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docProps/app.xml" ContentType="application/vnd.openxmlformats-officedocument.extended-properties+xml"/>
  <Override PartName="/word/peopleDocument.xml" ContentType="application/vnd.openxmlformats-officedocument.wordprocessingml.people+xml"/>
  <Override PartName="/word/endnotes.xml" ContentType="application/vnd.openxmlformats-officedocument.wordprocessingml.endnotes+xml"/>
  <Override PartName="/word/fontTable.xml" ContentType="application/vnd.openxmlformats-officedocument.wordprocessingml.fontTable+xml"/>
  <Override PartName="/word/styles.xml" ContentType="application/vnd.openxmlformats-officedocument.wordprocessingml.styles+xml"/>
  <Override PartName="/word/document.xml" ContentType="application/vnd.openxmlformats-officedocument.wordprocessingml.document.main+xml"/>
  <Override PartName="/word/commentsExtended.xml" ContentType="application/vnd.openxmlformats-officedocument.wordprocessingml.commentsExtended+xml"/>
  <Override PartName="/word/footnotes.xml" ContentType="application/vnd.openxmlformats-officedocument.wordprocessingml.footnotes+xml"/>
  <Override PartName="/word/footer1.xml" ContentType="application/vnd.openxmlformats-officedocument.wordprocessingml.footer+xml"/>
  <Override PartName="/word/footer3.xml" ContentType="application/vnd.openxmlformats-officedocument.wordprocessingml.footer+xml"/>
  <Override PartName="/word/settings.xml" ContentType="application/vnd.openxmlformats-officedocument.wordprocessingml.settings+xml"/>
  <Override PartName="/word/commentsIdsDocument.xml" ContentType="application/vnd.openxmlformats-officedocument.wordprocessingml.commentsIds+xml"/>
  <Override PartName="/word/webSettings.xml" ContentType="application/vnd.openxmlformats-officedocument.wordprocessingml.webSettings+xml"/>
  <Override PartName="/word/comments.xml" ContentType="application/vnd.openxmlformats-officedocument.wordprocessingml.comments+xml"/>
  <Override PartName="/word/theme/theme1.xml" ContentType="application/vnd.openxmlformats-officedocument.theme+xml"/>
  <Override PartName="/customXml/itemProps1.xml" ContentType="application/vnd.openxmlformats-officedocument.customXmlProperties+xml"/>
  <Override PartName="/word/commentsExtensible.xml" ContentType="application/vnd.openxmlformats-officedocument.wordprocessingml.commentsExtensible+xml"/>
  <Override PartName="/word/commentsIds.xml" ContentType="application/vnd.openxmlformats-officedocument.wordprocessingml.commentsIds+xml"/>
  <Override PartName="/word/numbering.xml" ContentType="application/vnd.openxmlformats-officedocument.wordprocessingml.numbering+xml"/>
  <Override PartName="/word/commentsDocument.xml" ContentType="application/vnd.openxmlformats-officedocument.wordprocessingml.comments+xml"/>
  <Override PartName="/word/footer2.xml" ContentType="application/vnd.openxmlformats-officedocument.wordprocessingml.footer+xml"/>
  <Override PartName="/word/people.xml" ContentType="application/vnd.openxmlformats-officedocument.wordprocessingml.people+xml"/>
  <Override PartName="/word/header1.xml" ContentType="application/vnd.openxmlformats-officedocument.wordprocessingml.header+xml"/>
  <Override PartName="/word/commentsExtendedDocument.xml" ContentType="application/vnd.openxmlformats-officedocument.wordprocessingml.commentsExtended+xml"/>
  <Override PartName="/word/commentsExtensibleDocument.xml" ContentType="application/vnd.openxmlformats-officedocument.wordprocessingml.commentsExtensible+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594028</wp:posOffset>
                </wp:positionV>
                <wp:extent cx="5467350" cy="348615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861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275/2026/0728/VFI-CT.48.A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TRẦN DANH KIÊN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34, tờ bản đồ số 73 có địa chỉ: Thôn Cây Găng, xã Tân Thành, huyện Hàm Thuận Nam, tỉnh Bình Thuận (nay là xã Tân Thành, tỉnh Lâm Đồng) theo Giấy ch</w:t>
                            </w:r>
                            <w:r>
                              <w:rPr>
                                <w:color w:val="000000"/>
                              </w:rPr>
                              <w:t xml:space="preserve">ứng nhận Quyền sử dụng đất, quyền sở hữu nhà ở và tài sản khác gắn liền với đất  số: CO 709702, số vào sổ cấp GCN: CS 02512 do Sở Tài nguyên và Môi trường tỉnh Bình Thuận cấp ngày 14/01/2019, chủ sử dụng đất là ông </w:t>
                            </w:r>
                            <w:r>
                              <w:rPr>
                                <w:color w:val="000000"/>
                              </w:rPr>
                              <w:t xml:space="preserve">Trần Danh Kiên (cập nhật ngày 30/3</w:t>
                            </w:r>
                            <w:r>
                              <w:rPr>
                                <w:color w:val="000000"/>
                              </w:rPr>
                              <w:t xml:space="preserve">/2022).</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46.77pt;mso-position-vertical:absolute;width:430.50pt;height:274.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275/2026/0728/VFI-CT.48.A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TRẦN DANH KIÊN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34, tờ bản đồ số 73 có địa chỉ: Thôn Cây Găng, xã Tân Thành, huyện Hàm Thuận Nam, tỉnh Bình Thuận (nay là xã Tân Thành, tỉnh Lâm Đồng) theo Giấy ch</w:t>
                      </w:r>
                      <w:r>
                        <w:rPr>
                          <w:color w:val="000000"/>
                        </w:rPr>
                        <w:t xml:space="preserve">ứng nhận Quyền sử dụng đất, quyền sở hữu nhà ở và tài sản khác gắn liền với đất  số: CO 709702, số vào sổ cấp GCN: CS 02512 do Sở Tài nguyên và Môi trường tỉnh Bình Thuận cấp ngày 14/01/2019, chủ sử dụng đất là ông </w:t>
                      </w:r>
                      <w:r>
                        <w:rPr>
                          <w:color w:val="000000"/>
                        </w:rPr>
                        <w:t xml:space="preserve">Trần Danh Kiên (cập nhật ngày 30/3</w:t>
                      </w:r>
                      <w:r>
                        <w:rPr>
                          <w:color w:val="000000"/>
                        </w:rPr>
                        <w:t xml:space="preserve">/2022).</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r>
      <w:r>
        <w:rPr>
          <w:b/>
          <w:sz w:val="28"/>
        </w:rPr>
        <w:t xml:space="preserve">MỤC LỤC</w:t>
      </w:r>
      <w:r>
        <w:rPr>
          <w:sz w:val="28"/>
        </w:rPr>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w:t>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23-26</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97" w:type="dxa"/>
        <w:tblW w:w="9921" w:type="dxa"/>
        <w:tblBorders/>
        <w:tblLayout w:type="fixed"/>
        <w:tblLook w:val="04A0" w:firstRow="1" w:lastRow="0" w:firstColumn="1" w:lastColumn="0" w:noHBand="0" w:noVBand="1"/>
      </w:tblPr>
      <w:tblGrid>
        <w:gridCol w:w="1871"/>
        <w:gridCol w:w="3090"/>
        <w:gridCol w:w="4847"/>
        <w:gridCol w:w="113"/>
      </w:tblGrid>
      <w:tr>
        <w:trPr>
          <w:gridAfter w:val="1"/>
          <w:trHeight w:val="1152"/>
        </w:trPr>
        <w:tc>
          <w:tcPr>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793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275/2026/0728/VFI-CT.48.A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4961"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14 tháng 5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TRẦN DANH KIÊN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highlight w:val="white"/>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275/2026/0728/VFI-HĐTĐ.48.A</w:t>
      </w:r>
      <w:r>
        <w:rPr>
          <w:spacing w:val="-4"/>
          <w:lang w:val="vi-VN"/>
        </w:rPr>
        <w:t xml:space="preserve"> ký ngày</w:t>
      </w:r>
      <w:r>
        <w:rPr>
          <w:spacing w:val="-4"/>
          <w:highlight w:val="white"/>
          <w:lang w:val="vi-VN"/>
        </w:rPr>
        <w:t xml:space="preserve"> </w:t>
      </w:r>
      <w:r>
        <w:rPr>
          <w:color w:val="000000" w:themeColor="text1"/>
          <w:spacing w:val="-4"/>
          <w:highlight w:val="white"/>
        </w:rPr>
        <w:t xml:space="preserve">13 tháng 5 năm 202</w:t>
      </w:r>
      <w:r>
        <w:rPr>
          <w:color w:val="000000" w:themeColor="text1"/>
          <w:spacing w:val="-4"/>
          <w:highlight w:val="white"/>
        </w:rPr>
        <w:t xml:space="preserve">6</w:t>
      </w:r>
      <w:r>
        <w:rPr>
          <w:spacing w:val="-4"/>
          <w:highlight w:val="white"/>
          <w:lang w:val="vi-VN"/>
        </w:rPr>
        <w:t xml:space="preserve"> </w:t>
      </w:r>
      <w:r>
        <w:rPr>
          <w:spacing w:val="-4"/>
          <w:highlight w:val="white"/>
          <w:lang w:val="vi-VN"/>
        </w:rPr>
        <w:t xml:space="preserve">giữa </w:t>
      </w:r>
      <w:r>
        <w:rPr>
          <w:rFonts w:ascii="Times New Roman" w:hAnsi="Times New Roman" w:eastAsia="Times New Roman" w:cs="Times New Roman"/>
          <w:color w:val="000000"/>
          <w:spacing w:val="-4"/>
          <w:sz w:val="24"/>
          <w:highlight w:val="white"/>
        </w:rPr>
        <w:t xml:space="preserve">Ông Trần Danh Kiên</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spacing w:val="-4"/>
          <w:highlight w:val="white"/>
        </w:rPr>
        <w:t xml:space="preserve">;</w:t>
      </w:r>
      <w:r>
        <w:rPr>
          <w:spacing w:val="-4"/>
          <w:highlight w:val="white"/>
        </w:rPr>
      </w:r>
      <w:r>
        <w:rPr>
          <w:spacing w:val="-4"/>
          <w:highlight w:val="white"/>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275/2026/0728/VFI-BC.48.A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14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ÔNG TRẦN DANH KIÊN</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Năm sinh</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1963</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CCCD số</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027074000187</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34, tờ bản đồ số 73 có địa chỉ: Thôn Cây Găng, xã Tân Thành, huyện Hàm Thuận Nam, tỉnh Bình Thuận (nay là xã Tân Thành, tỉnh Lâm Đồng) theo Giấy ch</w:t>
      </w:r>
      <w:r>
        <w:rPr>
          <w:color w:val="000000" w:themeColor="text1"/>
        </w:rPr>
        <w:t xml:space="preserve">ứng nhận Quyền sử dụng đất, quyền sở hữu nhà ở và tài sản khác gắn liền với đất  số: CO 709702, số vào sổ cấp GCN: CS 02512 do Sở Tài nguyên và Môi trường tỉnh Bình Thuận cấp ngày 14/01/2019, chủ sử dụng đất là ông Trần Danh Kiên (cập nhật ngày 30/3/2022)</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40"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3401"/>
        <w:gridCol w:w="1559"/>
        <w:gridCol w:w="1664"/>
        <w:gridCol w:w="2164"/>
      </w:tblGrid>
      <w:tr>
        <w:trPr>
          <w:trHeight w:val="20"/>
        </w:trPr>
        <w:tc>
          <w:tcPr>
            <w:shd w:val="clear" w:color="000000" w:fill="ffffff"/>
            <w:tcBorders/>
            <w:tcW w:w="737"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401"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55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664"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24"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34, tờ bản đồ số 73 có địa chỉ: Thôn Cây Găng, xã Tân Thành, huyện Hàm Thuận Nam, tỉnh Bình Thuận (nay là xã Tân Thành, tỉnh Lâm Đồng) theo Giấy ch</w:t>
            </w:r>
            <w:r>
              <w:rPr>
                <w:color w:val="000000"/>
              </w:rPr>
              <w:t xml:space="preserve">ứng nhận Quyền sử dụng đất, quyền sở hữu nhà ở và tài sản khác gắn liền với đất  số: CO 709702, số vào sổ cấp GCN: CS 02512 do Sở Tài nguyên và Môi trường tỉnh Bình Thuận cấp ngày 14/01/2019, chủ sử dụng đất là ông Trần Danh Kiên (cập nhật ngày 30/3/2022).</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401" w:type="dxa"/>
            <w:vAlign w:val="center"/>
            <w:textDirection w:val="lrTb"/>
            <w:noWrap w:val="false"/>
          </w:tcPr>
          <w:p>
            <w:pPr>
              <w:pBdr/>
              <w:spacing w:after="40" w:before="40" w:line="288" w:lineRule="auto"/>
              <w:ind/>
              <w:rPr>
                <w:sz w:val="24"/>
                <w:szCs w:val="24"/>
                <w:vertAlign w:val="baseline"/>
              </w:rPr>
            </w:pPr>
            <w:r>
              <w:rPr>
                <w:b/>
                <w:bCs/>
                <w:sz w:val="24"/>
                <w:szCs w:val="24"/>
              </w:rPr>
            </w:r>
            <w:r>
              <w:rPr>
                <w:rFonts w:ascii="Times New Roman" w:hAnsi="Times New Roman" w:eastAsia="Times New Roman" w:cs="Times New Roman"/>
                <w:color w:val="000000"/>
                <w:sz w:val="24"/>
                <w:szCs w:val="24"/>
              </w:rPr>
              <w:t xml:space="preserve">Quyền sử dụng đất nằm ngoài quy hoạch đường Hòn Lan (Đất ở tại nông thôn: 300,0m</w:t>
            </w:r>
            <w:r>
              <w:rPr>
                <w:rFonts w:ascii="Times New Roman" w:hAnsi="Times New Roman" w:eastAsia="Times New Roman" w:cs="Times New Roman"/>
                <w:color w:val="000000"/>
                <w:sz w:val="24"/>
                <w:szCs w:val="24"/>
                <w:vertAlign w:val="superscript"/>
              </w:rPr>
              <w:t xml:space="preserve">2</w:t>
            </w:r>
            <w:r>
              <w:rPr>
                <w:rFonts w:ascii="Times New Roman" w:hAnsi="Times New Roman" w:eastAsia="Times New Roman" w:cs="Times New Roman"/>
                <w:color w:val="000000"/>
                <w:sz w:val="24"/>
                <w:szCs w:val="24"/>
                <w:vertAlign w:val="baseline"/>
              </w:rPr>
              <w:t xml:space="preserve">; Đất trồng cây hàng năm khác 2761,72</w:t>
            </w:r>
            <w:commentRangeStart w:id="0"/>
            <w:r>
              <w:rPr>
                <w:sz w:val="24"/>
                <w:szCs w:val="24"/>
              </w:rPr>
            </w:r>
            <w:commentRangeEnd w:id="0"/>
            <w:r>
              <w:commentReference w:id="0"/>
            </w:r>
            <w:r>
              <w:rPr>
                <w:b/>
                <w:bCs/>
                <w:sz w:val="24"/>
                <w:szCs w:val="24"/>
              </w:rPr>
              <w:t xml:space="preserve">)</w:t>
            </w:r>
            <w:r>
              <w:rPr>
                <w:sz w:val="24"/>
                <w:szCs w:val="24"/>
                <w:vertAlign w:val="baseline"/>
              </w:rPr>
            </w:r>
          </w:p>
        </w:tc>
        <w:tc>
          <w:tcPr>
            <w:tcBorders/>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3.061,72 </w:t>
            </w:r>
            <w:r/>
          </w:p>
        </w:tc>
        <w:tc>
          <w:tcPr>
            <w:shd w:val="clear" w:color="000000" w:fill="ffffff"/>
            <w:tcBorders/>
            <w:tcW w:w="16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9.000.000 </w:t>
            </w:r>
            <w:r/>
          </w:p>
        </w:tc>
        <w:tc>
          <w:tcPr>
            <w:shd w:val="clear" w:color="000000" w:fill="ffffff"/>
            <w:tcBorders/>
            <w:tcW w:w="2164"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27.555.480.000</w:t>
            </w: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3401" w:type="dxa"/>
            <w:vAlign w:val="center"/>
            <w:textDirection w:val="lrTb"/>
            <w:noWrap w:val="false"/>
          </w:tcPr>
          <w:p>
            <w:pPr>
              <w:pBdr/>
              <w:spacing w:after="40" w:before="40" w:line="288" w:lineRule="auto"/>
              <w:ind/>
              <w:rPr/>
            </w:pPr>
            <w:r>
              <w:rPr>
                <w:b/>
                <w:bCs/>
              </w:rPr>
            </w:r>
            <w:r>
              <w:rPr>
                <w:rFonts w:ascii="Times New Roman" w:hAnsi="Times New Roman" w:eastAsia="Times New Roman" w:cs="Times New Roman"/>
                <w:color w:val="000000"/>
                <w:sz w:val="24"/>
              </w:rPr>
              <w:t xml:space="preserve">Quyền sử dụng đất trồng cây hàng năm khác thuộc quy hoạch đường Hòn Lan</w:t>
            </w:r>
            <w:r>
              <w:rPr>
                <w:b/>
                <w:bCs/>
              </w:rPr>
            </w:r>
            <w:r/>
          </w:p>
        </w:tc>
        <w:tc>
          <w:tcPr>
            <w:tcBorders/>
            <w:tcW w:w="1559"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474,28</w:t>
            </w:r>
            <w:r/>
          </w:p>
        </w:tc>
        <w:tc>
          <w:tcPr>
            <w:shd w:val="clear" w:color="000000" w:fill="ffffff"/>
            <w:tcBorders/>
            <w:tcW w:w="166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316.000 </w:t>
            </w:r>
            <w:r/>
          </w:p>
        </w:tc>
        <w:tc>
          <w:tcPr>
            <w:shd w:val="clear" w:color="000000" w:fill="ffffff"/>
            <w:tcBorders/>
            <w:tcW w:w="2164"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149.872.480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27.705.352.480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right"/>
              <w:rPr>
                <w:b/>
                <w:bCs/>
                <w:color w:val="000000"/>
              </w:rPr>
            </w:pPr>
            <w:r>
              <w:rPr>
                <w:b/>
                <w:bCs/>
                <w:color w:val="000000"/>
              </w:rPr>
              <w:t xml:space="preserve">27.705.000.000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bảy tỷ bảy trăm linh năm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29"/>
        <w:gridCol w:w="3302"/>
        <w:gridCol w:w="5031"/>
        <w:gridCol w:w="29"/>
      </w:tblGrid>
      <w:tr>
        <w:trPr>
          <w:trHeight w:val="1843"/>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2"/>
            <w:shd w:val="clear" w:color="auto" w:fill="auto"/>
            <w:tcBorders/>
            <w:tcMar>
              <w:left w:w="108" w:type="dxa"/>
              <w:top w:w="0" w:type="dxa"/>
              <w:right w:w="108" w:type="dxa"/>
              <w:bottom w:w="0" w:type="dxa"/>
            </w:tcMar>
            <w:tcW w:w="5031"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275/2026/0728/VFI-</w:t>
            </w:r>
            <w:r>
              <w:rPr>
                <w:rStyle w:val="1029"/>
                <w:rFonts w:ascii="Times New Roman" w:hAnsi="Times New Roman"/>
                <w:color w:val="000000" w:themeColor="text1"/>
                <w:lang w:val="pt-BR"/>
              </w:rPr>
              <w:t xml:space="preserve">BC.48.A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14 tháng 5 năm 2026</w:t>
            </w:r>
            <w:r>
              <w:rPr>
                <w:color w:val="000000" w:themeColor="text1"/>
                <w:sz w:val="24"/>
                <w:szCs w:val="24"/>
                <w:lang w:val="vi-VN"/>
              </w:rPr>
            </w:r>
            <w:r>
              <w:rPr>
                <w:color w:val="000000" w:themeColor="text1"/>
                <w:sz w:val="24"/>
                <w:szCs w:val="24"/>
                <w:lang w:val="vi-VN"/>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275/2026/0728/VFI-CT.48.A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14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ÔNG TRẦN DANH KIÊN</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Năm sinh</w:t>
            </w: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1963</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CCCD số</w:t>
            </w: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027074000187</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34, tờ bản đồ số 73 có địa chỉ: Thôn Cây Găng, xã Tân Thành, huyện Hàm Thuận Nam, tỉnh Bình Thuận (nay là xã Tân Thành, tỉnh Lâm Đồng) theo Giấy ch</w:t>
            </w:r>
            <w:r>
              <w:rPr>
                <w:bCs/>
                <w:color w:val="000000" w:themeColor="text1"/>
                <w:lang w:val="pt-BR"/>
              </w:rPr>
              <w:t xml:space="preserve">ứng nhận Quyền sử dụng đất, quyền sở hữu nhà ở và tài sản khác gắn liền với đất  số: CO 709702, số vào sổ cấp GCN: CS 02512 do Sở Tài nguyên và Môi trường tỉnh Bình Thuận cấp ngày 14/01/2019, chủ sử dụng đất là ông Trần Danh Kiên (cập nhật ngày 30/3/2022)</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Xã Tân Thành, tỉnh Lâm Đồng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10.71575, 107.94958333333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14/05/2026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w:t>
      </w:r>
      <w:r>
        <w:rPr>
          <w:bCs/>
          <w:color w:val="000000" w:themeColor="text1"/>
          <w:lang w:val="pt-BR"/>
        </w:rPr>
        <w:t xml:space="preserve">hứng nhận Quyền sử dụng đất, quyền sở hữu nhà ở và tài sản khác gắn liền với đất  số: CO 709702, số vào sổ cấp GCN: CS 02512 do Sở Tài nguyên và Môi trường tỉnh Bình Thuận cấp ngày 14/01/2019, chủ sử dụng đất là ông Trần Danh Kiên (cập nhật ngày 30/3/2022)</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275/2026/0728/VFI-HĐTĐ.48.A ngày </w:t>
      </w:r>
      <w:r>
        <w:rPr>
          <w:color w:val="000000" w:themeColor="text1"/>
          <w:highlight w:val="white"/>
          <w:lang w:val="pt-BR"/>
        </w:rPr>
        <w:t xml:space="preserve">13/05/2026</w:t>
      </w:r>
      <w:r>
        <w:rPr>
          <w:color w:val="000000" w:themeColor="text1"/>
          <w:lang w:val="pt-BR"/>
        </w:rPr>
        <w:t xml:space="preserve"> giữa Ông Trần Danh Kiên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Style w:val="1031"/>
        <w:numPr>
          <w:ilvl w:val="0"/>
          <w:numId w:val="39"/>
        </w:numPr>
        <w:pBdr/>
        <w:shd w:val="nil" w:color="000000"/>
        <w:tabs>
          <w:tab w:val="left" w:leader="none" w:pos="360"/>
        </w:tabs>
        <w:spacing w:line="276" w:lineRule="auto"/>
        <w:ind w:right="0" w:firstLine="0" w:left="0"/>
        <w:jc w:val="both"/>
        <w:rPr>
          <w:iCs/>
          <w:highlight w:val="none"/>
          <w14:ligatures w14:val="none"/>
        </w:rPr>
      </w:pPr>
      <w:r>
        <w:rPr>
          <w:lang w:val="pt-BR"/>
        </w:rPr>
        <w:tab/>
      </w:r>
      <w:r>
        <w:rPr>
          <w:highlight w:val="none"/>
        </w:rPr>
        <w:t xml:space="preserve">Sau khi hoàn thiện sáp nhập địa giới hành chính, tỉnh Lâm Đồng hình thành không gian phát triển liền mạch giữa các đô thị lớn, mở ra cơ hội phát triển cho các lĩnh vực bất động sản, du lịch, công nghiệp và logistics. </w:t>
      </w:r>
      <w:r>
        <w:rPr>
          <w:iCs/>
          <w:highlight w:val="none"/>
          <w14:ligatures w14:val="none"/>
        </w:rPr>
      </w:r>
      <w:r>
        <w:rPr>
          <w:iCs/>
          <w:highlight w:val="none"/>
          <w14:ligatures w14:val="none"/>
        </w:rPr>
      </w:r>
    </w:p>
    <w:p>
      <w:pPr>
        <w:pStyle w:val="1031"/>
        <w:numPr>
          <w:ilvl w:val="0"/>
          <w:numId w:val="39"/>
        </w:numPr>
        <w:pBdr/>
        <w:shd w:val="nil" w:color="000000"/>
        <w:tabs>
          <w:tab w:val="left" w:leader="none" w:pos="360"/>
        </w:tabs>
        <w:spacing w:line="276" w:lineRule="auto"/>
        <w:ind w:right="0" w:firstLine="0" w:left="0"/>
        <w:jc w:val="both"/>
        <w:rPr>
          <w14:ligatures w14:val="none"/>
        </w:rPr>
      </w:pPr>
      <w:r>
        <w:rPr>
          <w:highlight w:val="none"/>
        </w:rPr>
      </w:r>
      <w:r>
        <w:rPr>
          <w:highlight w:val="none"/>
        </w:rPr>
        <w:t xml:space="preserve">Ngay sau khi sáp nhập với tỉnh Bình Thuận vàĐắk Nông, hàng loạt tập đoàn lớn đã làm việc với chính quyền tỉnh Lâm Đồng để nghiên cứu, đề xuất đầu tư nhiều dự án quy mô hàng trăm đến hàng nghìn héc-ta. </w:t>
      </w:r>
      <w:r>
        <w:t xml:space="preserve">Đáng chú ý nhất là Tập đoàn Sun Group, đơn vị này đang cho thấy chiến lược đầu tư đa dạng. Dự án Khu đô thị Hàm Tiến - Mũi Né (219 ha, 12.077 tỷ) vừa nhận chủ trương đầu tư tại Hội nghị xúc tiến đầu tư ngày 12/10, được xem là dự án khởi điểm trong chiến lư</w:t>
      </w:r>
      <w:r>
        <w:t xml:space="preserve">ợc "hơn 10 dự án" mà tập đoàn đang tập trung hoàn thiện thủ tục để triển khai tại Lâm Đồng.</w:t>
      </w:r>
      <w:r>
        <w:rPr>
          <w14:ligatures w14:val="none"/>
        </w:rPr>
      </w:r>
      <w:r>
        <w:rPr>
          <w14:ligatures w14:val="none"/>
        </w:rPr>
      </w:r>
    </w:p>
    <w:p>
      <w:pPr>
        <w:pStyle w:val="1031"/>
        <w:numPr>
          <w:ilvl w:val="0"/>
          <w:numId w:val="39"/>
        </w:numPr>
        <w:pBdr/>
        <w:shd w:val="nil" w:color="000000"/>
        <w:tabs>
          <w:tab w:val="left" w:leader="none" w:pos="360"/>
        </w:tabs>
        <w:spacing w:line="276" w:lineRule="auto"/>
        <w:ind w:right="0" w:firstLine="0" w:left="0"/>
        <w:jc w:val="both"/>
        <w:rPr>
          <w14:ligatures w14:val="none"/>
        </w:rPr>
      </w:pPr>
      <w:r>
        <w:t xml:space="preserve">Không chỉ phát triển khu đô thị, Sun Group còn mở rộng ra cả lĩnh vực hạ tầng, với đề xuất đầu tư hạng mục hàng không dân dụng cho Cảng hàng không Phan Thiết từ một thành viên của tập đoàn này. Song song đó, Sun Group cũng đang nghiên cứu các dự án đô thị,</w:t>
      </w:r>
      <w:r>
        <w:t xml:space="preserve"> du lịch quy mô lớn khác tại khu vực cao nguyên. Tập đoàn định hướng phát triển khu nghỉ dưỡng cao cấp, tổ hợp vui chơi giải trí và trung tâm hội nghị quốc tế, gắn với bảo tồn thiên nhiên và du lịch xanh.</w:t>
      </w:r>
      <w:r>
        <w:rPr>
          <w14:ligatures w14:val="none"/>
        </w:rPr>
      </w:r>
      <w:r>
        <w:rPr>
          <w14:ligatures w14:val="none"/>
        </w:rPr>
      </w:r>
    </w:p>
    <w:p>
      <w:pPr>
        <w:pStyle w:val="1031"/>
        <w:numPr>
          <w:ilvl w:val="0"/>
          <w:numId w:val="39"/>
        </w:numPr>
        <w:pBdr/>
        <w:shd w:val="nil" w:color="000000"/>
        <w:tabs>
          <w:tab w:val="left" w:leader="none" w:pos="360"/>
        </w:tabs>
        <w:spacing w:line="276" w:lineRule="auto"/>
        <w:ind w:right="0" w:firstLine="0" w:left="0"/>
        <w:jc w:val="both"/>
        <w:rPr>
          <w14:ligatures w14:val="none"/>
        </w:rPr>
      </w:pPr>
      <w:r>
        <w:t xml:space="preserve">Tập đoàn Hưng Thịnh, doanh nghiệp có kinh nghiệm phát triển tại các đô thị phía Nam cũng đang khảo sát khu vực Bảo Lộc và trục cao tốc Dầu Giây – Liên Khương, hướng tới phát triển khu đô thị dịch vụ và khu nhà ở thương mại kết hợp du lịch sinh thái. Tại TP</w:t>
      </w:r>
      <w:r>
        <w:t xml:space="preserve"> Bảo Lộc cũ, Tập đoàn Hưng Thịnh cũng đề xuất ý tưởng quy hoạch khu đô thị du lịch núi Sapung trên diện tích gần 6.000 ha.</w:t>
      </w:r>
      <w:r>
        <w:rPr>
          <w14:ligatures w14:val="none"/>
        </w:rPr>
      </w:r>
      <w:r>
        <w:rPr>
          <w14:ligatures w14:val="none"/>
        </w:rPr>
      </w:r>
    </w:p>
    <w:p>
      <w:pPr>
        <w:pStyle w:val="1031"/>
        <w:numPr>
          <w:ilvl w:val="0"/>
          <w:numId w:val="39"/>
        </w:numPr>
        <w:pBdr/>
        <w:shd w:val="nil" w:color="000000"/>
        <w:tabs>
          <w:tab w:val="left" w:leader="none" w:pos="360"/>
        </w:tabs>
        <w:spacing w:line="276" w:lineRule="auto"/>
        <w:ind w:right="0" w:firstLine="0" w:left="0"/>
        <w:jc w:val="both"/>
        <w:rPr>
          <w14:ligatures w14:val="none"/>
        </w:rPr>
      </w:pPr>
      <w:r>
        <w:t xml:space="preserve">Trước đó, hồi tháng 6/2025, Tập đoàn Tân Hoàng Minh cũng đã đề xuất làm khu đô thị kết hợp du lịch và phim trường hơn 4.300 ha tại xã Xuân Thọ, TP Đà Lạt cũ.</w:t>
      </w:r>
      <w:r>
        <w:rPr>
          <w14:ligatures w14:val="none"/>
        </w:rPr>
      </w:r>
      <w:r>
        <w:rPr>
          <w14:ligatures w14:val="none"/>
        </w:rPr>
      </w:r>
    </w:p>
    <w:p>
      <w:pPr>
        <w:pStyle w:val="1031"/>
        <w:numPr>
          <w:ilvl w:val="0"/>
          <w:numId w:val="39"/>
        </w:numPr>
        <w:pBdr/>
        <w:shd w:val="nil" w:color="000000"/>
        <w:tabs>
          <w:tab w:val="left" w:leader="none" w:pos="360"/>
        </w:tabs>
        <w:spacing w:line="276" w:lineRule="auto"/>
        <w:ind w:right="0" w:firstLine="0" w:left="0"/>
        <w:jc w:val="both"/>
        <w:rPr>
          <w14:ligatures w14:val="none"/>
        </w:rPr>
      </w:pPr>
      <w:r>
        <w:t xml:space="preserve">Cũng cần phải nhắc đến một tập đoàn có tiếng tại phía Nam là Novaland. Đơn vị này tập trung mở rộng chuỗi đầu tư đô thị sinh thái, du lịch nghỉ dưỡng, kết nối hành lang du lịch, hình thành “tam giác vàng” nghỉ dưỡng. Đáng chú ý hơn cả là dự án NovaWorld Ph</w:t>
      </w:r>
      <w:r>
        <w:t xml:space="preserve">an Thiết (5 tỷ USD, quy mô 986 ha) của Tập đoàn Novaland, đang được từng bước tháo gỡ các vướng mắc pháp lý để tiếp tục triển khai. </w:t>
      </w:r>
      <w:r>
        <w:rPr>
          <w14:ligatures w14:val="none"/>
        </w:rPr>
      </w:r>
      <w:r>
        <w:rPr>
          <w14:ligatures w14:val="none"/>
        </w:rPr>
      </w:r>
    </w:p>
    <w:p>
      <w:pPr>
        <w:pStyle w:val="1031"/>
        <w:numPr>
          <w:ilvl w:val="0"/>
          <w:numId w:val="39"/>
        </w:numPr>
        <w:pBdr/>
        <w:shd w:val="nil" w:color="000000"/>
        <w:tabs>
          <w:tab w:val="left" w:leader="none" w:pos="360"/>
        </w:tabs>
        <w:spacing w:line="276" w:lineRule="auto"/>
        <w:ind w:right="0" w:firstLine="0" w:left="0"/>
        <w:jc w:val="both"/>
        <w:rPr>
          <w14:ligatures w14:val="none"/>
        </w:rPr>
      </w:pPr>
      <w:r>
        <w:t xml:space="preserve">Còn Công ty CP Địa ốc Sài Gòn Thương Tín (TTC Land) cũng đang định hướng đầu tư khu đô thị nông nghiệp công nghệ cao, kết hợp trung tâm dịch vụ du lịch xanh tại Đức Trọng.</w:t>
      </w:r>
      <w:r>
        <w:rPr>
          <w14:ligatures w14:val="none"/>
        </w:rPr>
      </w:r>
      <w:r>
        <w:rPr>
          <w14:ligatures w14:val="none"/>
        </w:rPr>
      </w:r>
    </w:p>
    <w:p>
      <w:pPr>
        <w:pStyle w:val="1031"/>
        <w:numPr>
          <w:ilvl w:val="0"/>
          <w:numId w:val="39"/>
        </w:numPr>
        <w:pBdr/>
        <w:shd w:val="nil" w:color="000000"/>
        <w:tabs>
          <w:tab w:val="left" w:leader="none" w:pos="360"/>
        </w:tabs>
        <w:spacing w:line="276" w:lineRule="auto"/>
        <w:ind w:right="0" w:firstLine="0" w:left="0"/>
        <w:jc w:val="both"/>
        <w:rPr>
          <w14:ligatures w14:val="none"/>
        </w:rPr>
      </w:pPr>
      <w:r>
        <w:t xml:space="preserve">Với Hoa Sen Group, ở phân khúc du lịch cao nguyên cũng đã ghi nhận dự án Khu du lịch tâm linh Đại Tùng Lâm (521,11 ha, 1.270 tỷ). Tập đoàn này cũng được trao chủ trương đầu tư tại hội nghị 12/10.</w:t>
      </w:r>
      <w:r>
        <w:rPr>
          <w14:ligatures w14:val="none"/>
        </w:rPr>
      </w:r>
      <w:r>
        <w:rPr>
          <w14:ligatures w14:val="none"/>
        </w:rPr>
      </w:r>
    </w:p>
    <w:p>
      <w:pPr>
        <w:pStyle w:val="1031"/>
        <w:numPr>
          <w:ilvl w:val="0"/>
          <w:numId w:val="39"/>
        </w:numPr>
        <w:pBdr/>
        <w:shd w:val="nil" w:color="000000"/>
        <w:tabs>
          <w:tab w:val="left" w:leader="none" w:pos="360"/>
        </w:tabs>
        <w:spacing w:line="276" w:lineRule="auto"/>
        <w:ind w:right="0" w:firstLine="0" w:left="0"/>
        <w:jc w:val="both"/>
        <w:rPr>
          <w14:ligatures w14:val="none"/>
        </w:rPr>
      </w:pPr>
      <w:r>
        <w:t xml:space="preserve">Từ ngày 1/7/2025, 3 tỉnh gồm Lâm Đồng, Đắk Nông và Bình Thuận chính thức hợp thành tỉnh mới lấy tên là Lâm Đồng. Đây cũng là tỉnh rộng nhất cả nước với hơn 24.200km2 diện tích tự nhiên và dân số khoảng 3,3 triệu người.</w:t>
      </w:r>
      <w:r>
        <w:rPr>
          <w14:ligatures w14:val="none"/>
        </w:rPr>
      </w:r>
      <w:r>
        <w:rPr>
          <w14:ligatures w14:val="none"/>
        </w:rPr>
      </w:r>
    </w:p>
    <w:p>
      <w:pPr>
        <w:pStyle w:val="1031"/>
        <w:numPr>
          <w:ilvl w:val="0"/>
          <w:numId w:val="39"/>
        </w:numPr>
        <w:pBdr/>
        <w:shd w:val="nil" w:color="000000"/>
        <w:tabs>
          <w:tab w:val="left" w:leader="none" w:pos="360"/>
        </w:tabs>
        <w:spacing w:line="276" w:lineRule="auto"/>
        <w:ind w:right="0" w:firstLine="0" w:left="0"/>
        <w:jc w:val="both"/>
        <w:rPr>
          <w14:ligatures w14:val="none"/>
        </w:rPr>
      </w:pPr>
      <w:r>
        <w:t xml:space="preserve">Tỉnh Lâm Đồng hội tụ đầy đủ các tiềm năng, lợi thế từ biển, rừng, cảng biển, cửa khẩu… cùng hệ thống di sản, danh lam thắng cảnh mở ra dư địa phát triển rộng lớn. Với lợi thế đó, Lâm Đồng đang đứng trước cơ hội bứt phá để trở thành cực tăng trưởng năng độn</w:t>
      </w:r>
      <w:r>
        <w:t xml:space="preserve">g của khu vực trong giai đoạn mới. Đồng thời, tỉnh có khí hậu ôn hòa quanh năm, cảnh quan thiên nhiên phong phú, là “thủ phủ” của du lịch nghỉ dưỡng và nông nghiệp công nghệ cao.</w:t>
      </w:r>
      <w:r>
        <w:rPr>
          <w14:ligatures w14:val="none"/>
        </w:rPr>
      </w:r>
      <w:r>
        <w:rPr>
          <w14:ligatures w14:val="none"/>
        </w:rPr>
      </w:r>
    </w:p>
    <w:p>
      <w:pPr>
        <w:pStyle w:val="1031"/>
        <w:numPr>
          <w:ilvl w:val="0"/>
          <w:numId w:val="39"/>
        </w:numPr>
        <w:pBdr/>
        <w:shd w:val="nil" w:color="000000"/>
        <w:tabs>
          <w:tab w:val="left" w:leader="none" w:pos="360"/>
        </w:tabs>
        <w:spacing w:line="276" w:lineRule="auto"/>
        <w:ind w:right="0" w:firstLine="0" w:left="0"/>
        <w:jc w:val="both"/>
        <w:rPr>
          <w14:ligatures w14:val="none"/>
        </w:rPr>
      </w:pPr>
      <w:r>
        <w:t xml:space="preserve">Song song với đó là hệ thống hạ tầng giao thông đang được đẩy mạnh, với công trình trọng điểm Cao tốc Dầu Giây – Liên Khương, rút ngắn thời gian từ TP HCM đến Lâm Đồng xuống hơn 3 giờ.</w:t>
      </w:r>
      <w:r>
        <w:rPr>
          <w14:ligatures w14:val="none"/>
        </w:rPr>
      </w:r>
      <w:r>
        <w:rPr>
          <w14:ligatures w14:val="none"/>
        </w:rPr>
      </w:r>
    </w:p>
    <w:p>
      <w:pPr>
        <w:pStyle w:val="1031"/>
        <w:numPr>
          <w:ilvl w:val="0"/>
          <w:numId w:val="39"/>
        </w:numPr>
        <w:pBdr/>
        <w:shd w:val="nil" w:color="000000"/>
        <w:tabs>
          <w:tab w:val="left" w:leader="none" w:pos="360"/>
        </w:tabs>
        <w:spacing w:line="276" w:lineRule="auto"/>
        <w:ind w:right="0" w:firstLine="0" w:left="0"/>
        <w:jc w:val="both"/>
        <w:rPr>
          <w14:ligatures w14:val="none"/>
        </w:rPr>
      </w:pPr>
      <w:r>
        <w:t xml:space="preserve">2 dự án cao tốc là Tân Phú - Bảo Lộc và Bảo Lộc - Liên Khương, với mục tiêu khởi công đồng loạt ngay trong tháng 12/2025 cũng tạo nên sự đột phá cho hạ tầng giao thông. Không chỉ vậy, đường tránh phía Nam Đà Lạt và tuyến kết nối Đà Lạt – Lạc Dương – Nha Tr</w:t>
      </w:r>
      <w:r>
        <w:t xml:space="preserve">ang đang được triển khai theo hình thức (PPP). Việc mở rộng sân bay Liên Khương đạt công suất 5 triệu khách/năm, hướng tới cảng hàng không quốc tế, giúp phát triển du lịch, giao thông hàng không.</w:t>
      </w:r>
      <w:r>
        <w:rPr>
          <w14:ligatures w14:val="none"/>
        </w:rPr>
      </w:r>
      <w:r>
        <w:rPr>
          <w14:ligatures w14:val="none"/>
        </w:rPr>
      </w:r>
    </w:p>
    <w:p>
      <w:pPr>
        <w:pStyle w:val="1031"/>
        <w:numPr>
          <w:ilvl w:val="0"/>
          <w:numId w:val="39"/>
        </w:numPr>
        <w:pBdr/>
        <w:shd w:val="nil" w:color="000000"/>
        <w:tabs>
          <w:tab w:val="left" w:leader="none" w:pos="360"/>
        </w:tabs>
        <w:spacing w:line="276" w:lineRule="auto"/>
        <w:ind w:right="0" w:firstLine="0" w:left="0"/>
        <w:jc w:val="both"/>
        <w:rPr>
          <w14:ligatures w14:val="none"/>
        </w:rPr>
      </w:pPr>
      <w:r>
        <w:t xml:space="preserve">Những dự án hạ tầng này không chỉ tạo điều kiện cho du lịch và logistics phát triển, mà còn nâng cao giá trị bất động sản, thu hút dòng vốn đầu tư thứ cấp.</w:t>
      </w:r>
      <w:r>
        <w:rPr>
          <w14:ligatures w14:val="none"/>
        </w:rPr>
      </w:r>
      <w:r>
        <w:rPr>
          <w14:ligatures w14:val="none"/>
        </w:rPr>
      </w:r>
    </w:p>
    <w:p>
      <w:pPr>
        <w:pStyle w:val="1031"/>
        <w:numPr>
          <w:ilvl w:val="0"/>
          <w:numId w:val="39"/>
        </w:numPr>
        <w:pBdr/>
        <w:shd w:val="nil" w:color="000000"/>
        <w:tabs>
          <w:tab w:val="left" w:leader="none" w:pos="360"/>
        </w:tabs>
        <w:spacing w:line="276" w:lineRule="auto"/>
        <w:ind w:right="0" w:firstLine="0" w:left="0"/>
        <w:jc w:val="both"/>
        <w:rPr>
          <w14:ligatures w14:val="none"/>
        </w:rPr>
      </w:pPr>
      <w:r>
        <w:t xml:space="preserve">Trước đó, ngày 12/10, UBND tỉnh Lâm Đồng tổ chức Hội nghị xúc tiến đầu tư 2025 với chủ đề "Lâm Đồng bứt phá tiềm năng, nâng tầm vị thế". Hội nghị có sự tham dự của các nhà đầu tư lớn trong và ngoài nước. </w:t>
      </w:r>
      <w:r>
        <w:rPr>
          <w14:ligatures w14:val="none"/>
        </w:rPr>
      </w:r>
      <w:r>
        <w:rPr>
          <w14:ligatures w14:val="none"/>
        </w:rPr>
      </w:r>
    </w:p>
    <w:p>
      <w:pPr>
        <w:pStyle w:val="1031"/>
        <w:numPr>
          <w:ilvl w:val="0"/>
          <w:numId w:val="39"/>
        </w:numPr>
        <w:pBdr/>
        <w:shd w:val="nil" w:color="000000"/>
        <w:tabs>
          <w:tab w:val="left" w:leader="none" w:pos="360"/>
        </w:tabs>
        <w:spacing w:line="276" w:lineRule="auto"/>
        <w:ind w:right="0" w:firstLine="0" w:left="0"/>
        <w:jc w:val="both"/>
        <w:rPr>
          <w14:ligatures w14:val="none"/>
        </w:rPr>
      </w:pPr>
      <w:r>
        <w:t xml:space="preserve">UBND tỉnh Lâm Đồng đã công bố danh mục 72 dự án kêu gọi đầu tư trong năm 2025 và giai đoạn 2026 - 2030. </w:t>
      </w:r>
      <w:r>
        <w:rPr>
          <w14:ligatures w14:val="none"/>
        </w:rPr>
      </w:r>
      <w:r>
        <w:rPr>
          <w14:ligatures w14:val="none"/>
        </w:rPr>
      </w:r>
    </w:p>
    <w:p>
      <w:pPr>
        <w:pStyle w:val="1031"/>
        <w:numPr>
          <w:ilvl w:val="0"/>
          <w:numId w:val="39"/>
        </w:numPr>
        <w:pBdr/>
        <w:shd w:val="nil" w:color="000000"/>
        <w:tabs>
          <w:tab w:val="left" w:leader="none" w:pos="360"/>
        </w:tabs>
        <w:spacing w:line="276" w:lineRule="auto"/>
        <w:ind w:right="0" w:firstLine="0" w:left="0"/>
        <w:jc w:val="both"/>
        <w:rPr>
          <w14:ligatures w14:val="none"/>
        </w:rPr>
      </w:pPr>
      <w:r>
        <w:t xml:space="preserve">Trong 72 dự án mà tỉnh Lâm Đồng kêu gọi đầu tư, có nhiều dự án quy mô lớn như: Khu du lịch Đan Kia - Suối Vàng (3.998ha, phường Lang Biang - Đà Lạt); 4 dự án tổ hợp công nghiệp khai thác bôxít và chế biến alumin - nhôm (tổng diện tích 3.000ha); khu nông ng</w:t>
      </w:r>
      <w:r>
        <w:t xml:space="preserve">hiệp ứng dụng công nghệ cao (440ha); khu dân cư nông thôn Bưng Thị - Tà Kóu (625ha, xã Hàm Thuận Nam); khu đô thị thương mại dịch vụ mới Tiến Thành (346ha, phường Tiến Thành); khu đô thị sân bay Phan Thiết (294ha, phường Mũi Né)…</w:t>
      </w:r>
      <w:r>
        <w:rPr>
          <w14:ligatures w14:val="none"/>
        </w:rPr>
      </w:r>
      <w:r>
        <w:rPr>
          <w14:ligatures w14:val="none"/>
        </w:rPr>
      </w:r>
    </w:p>
    <w:p>
      <w:pPr>
        <w:pStyle w:val="1031"/>
        <w:numPr>
          <w:ilvl w:val="0"/>
          <w:numId w:val="39"/>
        </w:numPr>
        <w:pBdr/>
        <w:shd w:val="nil" w:color="000000"/>
        <w:tabs>
          <w:tab w:val="left" w:leader="none" w:pos="360"/>
        </w:tabs>
        <w:spacing w:line="276" w:lineRule="auto"/>
        <w:ind w:right="0" w:firstLine="0" w:left="0"/>
        <w:jc w:val="both"/>
        <w:rPr>
          <w14:ligatures w14:val="none"/>
        </w:rPr>
      </w:pPr>
      <w:r>
        <w:t xml:space="preserve">Tại hội nghị, UBND tỉnh Lâm Đồng trao 9 chủ trương và chứng nhận đầu tư cho 8 doanh nghiệp, với tổng vốn đầu tư dự kiến hơn 35.000 tỉ đồng.</w:t>
      </w:r>
      <w:r>
        <w:rPr>
          <w14:ligatures w14:val="none"/>
        </w:rPr>
      </w:r>
      <w:r>
        <w:rPr>
          <w14:ligatures w14:val="none"/>
        </w:rPr>
      </w:r>
    </w:p>
    <w:p>
      <w:pPr>
        <w:pStyle w:val="1031"/>
        <w:numPr>
          <w:ilvl w:val="0"/>
          <w:numId w:val="39"/>
        </w:numPr>
        <w:pBdr/>
        <w:shd w:val="nil" w:color="000000"/>
        <w:tabs>
          <w:tab w:val="left" w:leader="none" w:pos="360"/>
        </w:tabs>
        <w:spacing w:line="276" w:lineRule="auto"/>
        <w:ind w:right="0" w:firstLine="0" w:left="0"/>
        <w:jc w:val="both"/>
        <w:rPr>
          <w14:ligatures w14:val="none"/>
        </w:rPr>
      </w:pPr>
      <w:r>
        <w:t xml:space="preserve">Trước những thuận lợi nhất định mà tỉnh Lâm Đồng đang có, đại diện chính quyền địa phương cũng cam kết tích cực hoàn thiện môi trường đầu tư kinh doanh, cơ sở hạ tầng từng bước được nâng cấp, kêu gọi, thu hút, tạo điều kiện tốt nhất để chào đón ngày càng n</w:t>
      </w:r>
      <w:r>
        <w:t xml:space="preserve">hiều tập đoàn, doanh nghiệp lớn đến khảo sát, đầu tư, triển khai dự án tại tỉnh.</w:t>
      </w:r>
      <w:r>
        <w:rPr>
          <w14:ligatures w14:val="none"/>
        </w:rPr>
      </w:r>
      <w:r>
        <w:rPr>
          <w14:ligatures w14:val="none"/>
        </w:rPr>
      </w:r>
    </w:p>
    <w:p>
      <w:pPr>
        <w:pStyle w:val="1031"/>
        <w:numPr>
          <w:ilvl w:val="0"/>
          <w:numId w:val="39"/>
        </w:numPr>
        <w:pBdr/>
        <w:shd w:val="nil" w:color="000000"/>
        <w:tabs>
          <w:tab w:val="left" w:leader="none" w:pos="360"/>
        </w:tabs>
        <w:spacing w:line="276" w:lineRule="auto"/>
        <w:ind w:right="0" w:firstLine="0" w:left="0"/>
        <w:jc w:val="both"/>
        <w:rPr>
          <w14:ligatures w14:val="none"/>
        </w:rPr>
      </w:pPr>
      <w:r>
        <w:t xml:space="preserve">Đồng thời tạo mọi điều kiện thuận lợi chào đón những nhà đầu tư có năng lực, tầm nhìn và cam kết lâu dài, cùng đồng hành để xây dựng Lâm Đồng trở thành trung tâm phát triển xanh, đáng sống của vùng Tây Nguyên.</w:t>
      </w:r>
      <w:r>
        <w:rPr>
          <w14:ligatures w14:val="none"/>
        </w:rPr>
      </w:r>
      <w:r>
        <w:rPr>
          <w14:ligatures w14:val="none"/>
        </w:rPr>
      </w:r>
    </w:p>
    <w:p>
      <w:pPr>
        <w:pStyle w:val="1031"/>
        <w:numPr>
          <w:ilvl w:val="0"/>
          <w:numId w:val="39"/>
        </w:numPr>
        <w:pBdr/>
        <w:shd w:val="nil" w:color="000000"/>
        <w:tabs>
          <w:tab w:val="left" w:leader="none" w:pos="360"/>
        </w:tabs>
        <w:spacing w:line="276" w:lineRule="auto"/>
        <w:ind w:right="0" w:firstLine="0" w:left="0"/>
        <w:jc w:val="both"/>
        <w:rPr>
          <w14:ligatures w14:val="none"/>
        </w:rPr>
      </w:pPr>
      <w:r>
        <w:t xml:space="preserve">Tính đến nay, toàn tỉnh Lâm Đồng có hơn 33.000 doanh nghiệp còn pháp nhân với tổng vốn đăng ký trên 350.000 tỷ đồng.</w:t>
      </w:r>
      <w:r>
        <w:rPr>
          <w14:ligatures w14:val="none"/>
        </w:rPr>
      </w:r>
      <w:r>
        <w:rPr>
          <w14:ligatures w14:val="none"/>
        </w:rPr>
      </w:r>
    </w:p>
    <w:p>
      <w:pPr>
        <w:pStyle w:val="1031"/>
        <w:numPr>
          <w:ilvl w:val="0"/>
          <w:numId w:val="39"/>
        </w:numPr>
        <w:pBdr/>
        <w:shd w:val="nil" w:color="000000"/>
        <w:tabs>
          <w:tab w:val="left" w:leader="none" w:pos="360"/>
        </w:tabs>
        <w:spacing w:line="276" w:lineRule="auto"/>
        <w:ind w:right="0" w:firstLine="0" w:left="0"/>
        <w:jc w:val="both"/>
        <w:rPr>
          <w14:ligatures w14:val="none"/>
        </w:rPr>
      </w:pPr>
      <w:r>
        <w:t xml:space="preserve">Các chuyên gia nhận định, sự xuất hiện của các “ông lớn” như Sun Group, Hoa Sen, Hưng Thịnh hay Novaland… sẽ là động lực mạnh mẽ cho tăng trưởng kinh tế, giúp Lâm Đồng hình thành các cực đô thị mới, đồng thời tạo công ăn việc làm, thúc đẩy du lịch và dịch </w:t>
      </w:r>
      <w:r>
        <w:t xml:space="preserve">vụ phát triển.</w:t>
      </w:r>
      <w:r>
        <w:rPr>
          <w14:ligatures w14:val="none"/>
        </w:rPr>
      </w:r>
      <w:r>
        <w:rPr>
          <w14:ligatures w14:val="none"/>
        </w:rPr>
      </w:r>
    </w:p>
    <w:p>
      <w:pPr>
        <w:pBdr/>
        <w:tabs>
          <w:tab w:val="left" w:leader="none" w:pos="426"/>
        </w:tabs>
        <w:spacing w:after="120" w:before="120" w:line="276" w:lineRule="auto"/>
        <w:ind/>
        <w:jc w:val="center"/>
        <w:rPr>
          <w:bCs/>
          <w:i/>
          <w:lang w:val="pt-BR"/>
        </w:rPr>
      </w:pPr>
      <w:r>
        <w:rPr>
          <w:i/>
          <w:iCs/>
        </w:rPr>
      </w:r>
      <w:r>
        <w:rPr>
          <w:i/>
          <w:iCs/>
          <w:highlight w:val="none"/>
        </w:rPr>
        <w:t xml:space="preserve">(Nguồn: </w:t>
      </w:r>
      <w:r>
        <w:rPr>
          <w:i/>
          <w:iCs/>
          <w:highlight w:val="none"/>
        </w:rPr>
        <w:t xml:space="preserve">https://doanhnhanvn.vn/sau-sap-nhap-lam-dong-tro-thanh-diem-hen-cua-cac-tap-doan-bat-dong-san.html</w:t>
      </w:r>
      <w:r>
        <w:rPr>
          <w:i/>
          <w:iCs/>
          <w:highlight w:val="none"/>
        </w:rPr>
        <w:t xml:space="preserve">)</w:t>
      </w:r>
      <w:r>
        <w:rPr>
          <w:bCs/>
          <w:i/>
          <w:lang w:val="pt-BR"/>
        </w:rPr>
      </w:r>
      <w:r>
        <w:rPr>
          <w:bCs/>
          <w:i/>
          <w:lang w:val="pt-BR"/>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34, tờ bản đồ số 73 có địa chỉ: Thôn Cây Găng, xã Tân Thành, huyện Hàm Thuận Nam, tỉnh Bình Thuận (nay là xã Tân Thành, tỉnh Lâm Đồng) theo Giấy ch</w:t>
            </w:r>
            <w:r>
              <w:rPr>
                <w:b/>
                <w:bCs/>
                <w:color w:val="000000"/>
              </w:rPr>
              <w:t xml:space="preserve">ứng nhận Quyền sử dụng đất, quyền sở hữu nhà ở và tài sản khác gắn liền với đất  số: CO 709702, số vào sổ cấp GCN: CS 02512 do Sở Tài nguyên và Môi trường tỉnh Bình Thuận cấp ngày 14/01/2019, chủ sử dụng đất là ông Trần Danh Kiên (cập nhật ngày 30/3/2022)</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73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b w:val="0"/>
                <w:bCs w:val="0"/>
                <w:color w:val="000000"/>
              </w:rPr>
              <w:t xml:space="preserve">Thôn Cây Găng, xã Tân Thành, huyện Hàm Thuận Nam, tỉnh Bình Thuận (nay là xã Tân Thành, tỉnh Lâm Đồng)</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3.536</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nông thôn: 300m²</w:t>
              <w:br/>
              <w:t xml:space="preserve"> Đất trồng cây hàng năm khác: 3.236m²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nông thôn: Lâu dài</w:t>
              <w:br/>
              <w:t xml:space="preserve"> Đất trồng cây hàng năm khác: Đến tháng 6/2057</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Được tặng đất được công nhận QSDĐ như giao đất có thu tiền sử dụng đất 300m²</w:t>
            </w:r>
            <w:r/>
          </w:p>
          <w:p>
            <w:pPr>
              <w:pBdr/>
              <w:spacing/>
              <w:ind/>
              <w:jc w:val="both"/>
              <w:rPr>
                <w:color w:val="000000"/>
              </w:rPr>
            </w:pPr>
            <w:r>
              <w:rPr>
                <w:rFonts w:ascii="Times New Roman" w:hAnsi="Times New Roman" w:eastAsia="Times New Roman" w:cs="Times New Roman"/>
                <w:color w:val="000000"/>
                <w:sz w:val="24"/>
              </w:rPr>
              <w:t xml:space="preserve">Được tặng đất được công nhận QSDĐ như giao đất không thu tiền sử dụng đất 3.236m²</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line="276" w:lineRule="auto"/>
              <w:ind/>
              <w:jc w:val="both"/>
              <w:rPr>
                <w:rFonts w:ascii="Times New Roman" w:hAnsi="Times New Roman" w:cs="Times New Roman"/>
                <w:b w:val="0"/>
                <w:bCs w:val="0"/>
                <w:color w:val="000000"/>
                <w:sz w:val="24"/>
                <w:szCs w:val="24"/>
                <w:highlight w:val="none"/>
              </w:rPr>
            </w:pPr>
            <w:r>
              <w:rPr>
                <w:rFonts w:ascii="Times New Roman" w:hAnsi="Times New Roman" w:eastAsia="Times New Roman" w:cs="Times New Roman"/>
                <w:b w:val="0"/>
                <w:bCs w:val="0"/>
                <w:color w:val="000000"/>
                <w:sz w:val="24"/>
                <w:szCs w:val="24"/>
                <w:highlight w:val="none"/>
              </w:rPr>
              <w:t xml:space="preserve">Theo GCN số </w:t>
            </w:r>
            <w:r>
              <w:rPr>
                <w:rFonts w:ascii="Times New Roman" w:hAnsi="Times New Roman" w:eastAsia="Times New Roman" w:cs="Times New Roman"/>
                <w:b w:val="0"/>
                <w:bCs w:val="0"/>
                <w:color w:val="000000"/>
                <w:sz w:val="24"/>
                <w:szCs w:val="24"/>
              </w:rPr>
              <w:t xml:space="preserve">CO 709702, sơ đồ thửa đất thể hiện một phần diện tích nằm trong quy hoạch có kích thước 5,88m*80,66m, tương ứng với diện tích khoảng </w:t>
            </w:r>
            <w:r>
              <w:rPr>
                <w:rFonts w:ascii="Times New Roman" w:hAnsi="Times New Roman" w:eastAsia="Times New Roman" w:cs="Times New Roman"/>
                <w:b w:val="0"/>
                <w:bCs w:val="0"/>
                <w:color w:val="000000"/>
                <w:sz w:val="24"/>
                <w:szCs w:val="24"/>
              </w:rPr>
              <w:t xml:space="preserve">474,28m². </w:t>
            </w:r>
            <w:r>
              <w:rPr>
                <w:rFonts w:ascii="Times New Roman" w:hAnsi="Times New Roman" w:eastAsia="Times New Roman" w:cs="Times New Roman"/>
                <w:b w:val="0"/>
                <w:bCs w:val="0"/>
                <w:color w:val="000000"/>
                <w:sz w:val="24"/>
                <w:szCs w:val="24"/>
              </w:rPr>
              <w:t xml:space="preserve">Sơ đồ thửa đất không thể hiện vị trí đất ở và đất trồng cây hàng năm. Do vậy, tổ thẩm định giả định phần đất thuộc quy hoạch đường Hòn Lan là phần đất trồng cây hàng năm</w:t>
            </w:r>
            <w:r>
              <w:rPr>
                <w:rFonts w:ascii="Times New Roman" w:hAnsi="Times New Roman" w:eastAsia="Times New Roman" w:cs="Times New Roman"/>
                <w:b w:val="0"/>
                <w:bCs w:val="0"/>
                <w:color w:val="000000"/>
                <w:sz w:val="24"/>
                <w:szCs w:val="24"/>
                <w:highlight w:val="none"/>
              </w:rPr>
            </w:r>
            <w:r>
              <w:rPr>
                <w:rFonts w:ascii="Times New Roman" w:hAnsi="Times New Roman" w:eastAsia="Times New Roman" w:cs="Times New Roman"/>
                <w:b w:val="0"/>
                <w:bCs w:val="0"/>
                <w:color w:val="000000"/>
                <w:sz w:val="24"/>
                <w:szCs w:val="24"/>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12,0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t xml:space="preserve">Tài sản tiếp giáp đường Hòn Lan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Bắc</w:t>
            </w:r>
            <w:r>
              <w:rPr>
                <w:color w:val="000000" w:themeColor="text1"/>
              </w:rPr>
              <w:t xml:space="preserve">: Tiếp giáp đường giao thông</w:t>
            </w:r>
            <w:r>
              <w:rPr>
                <w:color w:val="000000" w:themeColor="text1"/>
              </w:rPr>
            </w:r>
          </w:p>
          <w:p>
            <w:pPr>
              <w:pBdr/>
              <w:spacing/>
              <w:ind/>
              <w:rPr>
                <w:color w:val="000000" w:themeColor="text1"/>
                <w:highlight w:val="white"/>
              </w:rPr>
            </w:pPr>
            <w:r>
              <w:rPr>
                <w:color w:val="000000" w:themeColor="text1"/>
                <w:highlight w:val="white"/>
              </w:rPr>
            </w:r>
            <w:r>
              <w:rPr>
                <w:color w:val="000000" w:themeColor="text1"/>
                <w:highlight w:val="white"/>
              </w:rPr>
              <w:t xml:space="preserve">Các hướ</w:t>
            </w:r>
            <w:r>
              <w:rPr>
                <w:color w:val="000000" w:themeColor="text1"/>
                <w:highlight w:val="white"/>
              </w:rPr>
              <w:t xml:space="preserve">ng khác: Tiếp giáp thửa đất khác.</w:t>
            </w:r>
            <w:bookmarkEnd w:id="3"/>
            <w:r>
              <w:rPr>
                <w:color w:val="000000" w:themeColor="text1"/>
                <w:highlight w:val="white"/>
              </w:rPr>
            </w:r>
            <w:r>
              <w:rPr>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10.71575</w:t>
            </w:r>
            <w:r>
              <w:rPr>
                <w:color w:val="000000"/>
              </w:rPr>
              <w:t xml:space="preserve">, </w:t>
            </w:r>
            <w:r>
              <w:rPr>
                <w:color w:val="000000"/>
              </w:rPr>
              <w:t xml:space="preserve">107.94958333333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ngoài quy hoạch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3.061,7</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đất thuộc quy hoạch đường giao thông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474,28</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80,66</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38,3m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pacing w:val="-4"/>
                <w:sz w:val="24"/>
              </w:rPr>
              <w:t xml:space="preserve">Hướng mặt tiền chính:</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Bắc</w:t>
            </w:r>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Thưa thớt</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Khá</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Theo GCN số CO 709702, TSTĐ có khoảng 474,28m² đất nằm trong quy hoạch đường Hòn Lan và diện tích đất còn lại (3.061,7m²) nằm trong quy hoạch đất ở, hiện nay chưa có thông báo thu hồi đất/quyết định thu hồi đất/phương án giải tỏa bồi thường. Theo đề nghị c</w:t>
      </w:r>
      <w:r>
        <w:rPr>
          <w:rFonts w:ascii="Times New Roman" w:hAnsi="Times New Roman" w:eastAsia="Times New Roman" w:cs="Times New Roman"/>
          <w:color w:val="000000"/>
          <w:sz w:val="24"/>
        </w:rPr>
        <w:t xml:space="preserve">ủa Ngân hàng/Khách hàng, tổ thẩm định xác định giá trị tài sản theo thông tin quy hoạch nêu trên. Đối với diện tích nằm ngoài quy hoạch tổ thẩm định đánh giá theo giá trị thị trường, đối với phần nằm trong quy hoạch tổ thẩm định đánh giá theo giá UBND từng</w:t>
      </w:r>
      <w:r>
        <w:rPr>
          <w:rFonts w:ascii="Times New Roman" w:hAnsi="Times New Roman" w:eastAsia="Times New Roman" w:cs="Times New Roman"/>
          <w:color w:val="000000"/>
          <w:sz w:val="24"/>
        </w:rPr>
        <w:t xml:space="preserve"> thời kỳ, giá trị đền bù thực tế còn phụ thuộc vào thỏa thuận các bên tại thời điểm Nhà nước giải phóng mặt bằng thực hiện quy hoạch. Đề nghị đơn vị sử dụng kết quả lưu ý kiểm tra xác minh thêm thông tin quy hoạch nếu thấy cần thiết. Trong trường hợp Khách</w:t>
      </w:r>
      <w:r>
        <w:rPr>
          <w:rFonts w:ascii="Times New Roman" w:hAnsi="Times New Roman" w:eastAsia="Times New Roman" w:cs="Times New Roman"/>
          <w:color w:val="000000"/>
          <w:sz w:val="24"/>
        </w:rPr>
        <w:t xml:space="preserve"> hàng/Ngân hàng cung cấp được Văn bản xác nhận rõ phần diện tích thuộc quy hoạch mà có sự sai khác so với số liệu nêu trên thì kết quả thẩm định giá cần được xem xét, điều chỉnh phù hợp, chúng tôi bảo lưu quyền xem xét lại kết quả thẩm định giá</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Theo GCN số CO 709702, sơ đồ thửa đất không thể hiện vị trí đất ở và đất trồng cây hàng năm. Do vậy, tổ thẩm định giả định phần đất thuộc quy hoạch đường Hòn Lan là phần đất trồng cây hàng năm. Trong trường hợp Khách hàng/Ngân hàng cung cấp được Văn bản th</w:t>
      </w:r>
      <w:r>
        <w:rPr>
          <w:rFonts w:ascii="Times New Roman" w:hAnsi="Times New Roman" w:eastAsia="Times New Roman" w:cs="Times New Roman"/>
          <w:color w:val="000000"/>
          <w:sz w:val="24"/>
        </w:rPr>
        <w:t xml:space="preserve">ể hiện rõ vị trí có sai khác với giả định nêu trên thì kết quả thẩm định giá cần được xem xét, điều chỉnh phù hợp, chúng tôi bảo lưu quyền xem xét lại kết quả thẩm định giá</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r>
      <w:r>
        <w:rPr>
          <w:bCs/>
          <w:lang w:val="pt-BR"/>
        </w:rPr>
      </w:r>
    </w:p>
    <w:p>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w:t>
      </w:r>
      <w:r>
        <w:rPr>
          <w:b/>
          <w:lang w:val="pt-BR"/>
        </w:rPr>
        <w:t xml:space="preserve">ử dụng đấ</w:t>
      </w:r>
      <w:r>
        <w:rPr>
          <w:b/>
          <w:lang w:val="pt-BR"/>
        </w:rPr>
        <w:t xml:space="preserve">t</w:t>
      </w:r>
      <w:r>
        <w:rPr>
          <w:b/>
          <w:lang w:val="pt-BR"/>
        </w:rPr>
        <w:t xml:space="preserve"> nằm ngoài quy hoạch</w:t>
      </w:r>
      <w:r>
        <w:rPr>
          <w:b/>
          <w:lang w:val="pt-BR"/>
        </w:rPr>
      </w:r>
    </w:p>
    <w:p>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2126"/>
        <w:gridCol w:w="1701"/>
        <w:gridCol w:w="1701"/>
        <w:gridCol w:w="1701"/>
        <w:gridCol w:w="1701"/>
      </w:tblGrid>
      <w:tr>
        <w:trPr>
          <w:trHeight w:val="288"/>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b/>
                <w:color w:val="000000"/>
                <w:sz w:val="22"/>
              </w:rPr>
              <w:t xml:space="preserve">Thông tin về 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Địa chỉ</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Tân Thành, Tỉnh Lâm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Tân Thành, Tỉnh Lâm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Tân Thành, Tỉnh Lâm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Tân Thành, Tỉnh Lâm Đồng</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Nguồn tham khảo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https://batdongsan.com.vn/ban-dat-duong-hon-lan-xa-tan-thanh-23-177/ban-tang-nha-mat-tien-40m-gan-bien-long-bay-perolas-pr39520993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https://www.facebook.com/share/p/17jZjR4kJb/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https://guland.vn/post/ban-lo-dat-nho-mat-tien-duong-hon-lan-500m2-co-60-tho-cu-lh-0974090487-1913460</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Thông tin liên lạc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vMerge w:val="restart"/>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SDT: 0919441169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SDT: 0989951554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SDT: 0974090487</w:t>
            </w:r>
            <w:r/>
          </w:p>
        </w:tc>
      </w:tr>
      <w:tr>
        <w:trPr>
          <w:trHeight w:val="288"/>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(Sale Minh Huyền)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(Sale Thương Võ)</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(Sale Nguyễn Hà Dương)</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Tình trạng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Tháng 5/2026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Tháng 5/2026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Tháng 5/2026</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w:t>
              <w:br/>
              <w:t xml:space="preserve"> Đất trồng cây hàng năm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w:t>
              <w:br/>
              <w:t xml:space="preserve"> Đất trồng cây hàng năm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w:t>
              <w:br/>
              <w:t xml:space="preserve"> Đất trồng cây hàng năm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w:t>
              <w:br/>
              <w:t xml:space="preserve"> Đất trồng cây hàng năm khác</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 Lâu dài, </w:t>
              <w:br/>
              <w:t xml:space="preserve"> Đất trồng cây hàng năm khác – Có thời hạn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 Lâu dài, </w:t>
              <w:br/>
              <w:t xml:space="preserve"> Đất trồng cây hàng năm khác – Có thời hạn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 Lâu dài, </w:t>
              <w:br/>
              <w:t xml:space="preserve"> Đất trồng cây hàng năm khác – Có thời hạn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 Lâu dài, </w:t>
              <w:br/>
              <w:t xml:space="preserve"> Đất trồng cây hàng năm khác – Có thời hạn</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tiếp giáp đường Hòn Lan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tiếp giáp đường Hòn Lan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đường Hòn Lan khoảng 200m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tiếp giáp đường Hòn Lan</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12,0</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Tổng 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3536,0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4629,9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500,0</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Diện tích đất thuộc quy hoạch (m2)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474,28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 m²</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Diện tích đất nằm ngoài quy hoạch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3.061,70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1.400,0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4.629,9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500,0 m²</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Diện tích đất ở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300,00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400,0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60,0 m²</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Diện tích đất trồng cây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2.761,70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1.300,00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4.229,90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440,00 m²</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Tỷ lệ đất ở/tổng diện tích phù hợp quy hoạch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80,66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r>
      <w:tr>
        <w:trPr>
          <w:trHeight w:val="288"/>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Tỉ lệ mặt tiền/Tổng diện tích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0,023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0,029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0,016</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 giác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Vuông vức</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Tài sản trên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Giá rao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18.000.000.000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23.149.500.000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8.000.000.000</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14.400.000.000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20.834.550.000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6.400.000.000</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b/>
                <w:color w:val="000000"/>
                <w:sz w:val="22"/>
              </w:rPr>
              <w:t xml:space="preserve">Chi tiết tính toán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b/>
                <w:color w:val="000000"/>
                <w:sz w:val="22"/>
              </w:rPr>
              <w:t xml:space="preserve">Giá trị tài sản trên đất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b/>
                <w:color w:val="000000"/>
                <w:sz w:val="22"/>
              </w:rPr>
              <w:t xml:space="preserve">Giá trị đất ở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14.400.000.000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20.834.550.000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6.400.000.000</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b/>
                <w:color w:val="000000"/>
                <w:sz w:val="22"/>
              </w:rPr>
              <w:t xml:space="preserve">Đơn giá QSDĐ (đồng/m²)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10.285.714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12.800.000</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b/>
                <w:color w:val="000000"/>
                <w:sz w:val="22"/>
              </w:rPr>
              <w:t xml:space="preserve">NHẬN XÉT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Diện tích đất nằm ngoài quy hoạch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Tỷ lệ đất ở/tổng diện tích phù hợp quy hoạch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Tỉ lệ mặt tiền/Tổng diện tích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lineRule="auto"/>
              <w:ind/>
              <w:jc w:val="center"/>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40"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40"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76"/>
        <w:gridCol w:w="2103"/>
        <w:gridCol w:w="992"/>
        <w:gridCol w:w="1488"/>
        <w:gridCol w:w="1488"/>
        <w:gridCol w:w="1488"/>
        <w:gridCol w:w="1488"/>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TT</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thẩm định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1</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2</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3</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14.400.000.000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20.834.550.000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6.400.000.000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10.285.714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4.500.000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12.800.000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Mục đích sử dụng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nông thôn</w:t>
              <w:br/>
              <w:t xml:space="preserve"> Đất trồng cây hàng năm khác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nông thôn</w:t>
              <w:br/>
              <w:t xml:space="preserve"> Đất trồng cây hàng năm khác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nông thôn</w:t>
              <w:br/>
              <w:t xml:space="preserve"> Đất trồng cây hàng năm khác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nông thôn</w:t>
              <w:br/>
              <w:t xml:space="preserve"> Đất trồng cây hàng năm khác</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10.285.714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4.500.000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12.800.000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tiếp giáp đường Hòn Lan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tiếp giáp đường Hòn Lan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cách đường Hòn Lan khoảng 200m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tiếp giáp đường Hòn Lan</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1.350.000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10.285.714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5.850.000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12.800.000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Độ rộng đường trước tài sản (m)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12</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675.000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10.285.714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6.525.000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12.800.000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Diện tích đất nằm ngoài quy hoạch (m²)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3061,7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1400,0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4629,9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500,0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-1.542.857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450.000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-3.840.000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8.742.857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6.975.000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8.960.000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Tỷ lệ đất ở/tổng diện tích phù hợp quy hoạch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12%</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514.286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135.000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-384.000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9.257.143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7.110.000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8.576.000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Tỉ lệ mặt tiền/Tổng diện tích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0,023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0,029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0,007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0,016</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450.000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768.000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9.257.143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7.560.000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9.344.000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9.257.143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7.560.000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9.344.000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Vuông vức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Vuông vức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Đa giác khác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Vuông vức</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900.000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9.257.143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8.460.000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9.344.000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9.257.143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8.460.000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9.344.000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46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9.020.381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3,59%</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gridSpan w:val="6"/>
            <w:shd w:val="clear" w:color="ffffff" w:fill="ffffff"/>
            <w:tcBorders>
              <w:bottom w:val="single" w:color="000000" w:sz="8" w:space="0"/>
              <w:right w:val="single" w:color="000000" w:sz="8" w:space="0"/>
            </w:tcBorders>
            <w:tcMar>
              <w:left w:w="108" w:type="dxa"/>
              <w:top w:w="0" w:type="dxa"/>
              <w:right w:w="108" w:type="dxa"/>
              <w:bottom w:w="0" w:type="dxa"/>
            </w:tcMar>
            <w:tcW w:w="90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2.057.143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3.960.000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4.992.000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5-15%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3-30%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3-30%</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9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(1.028.571)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3.960.000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(3.456.000)</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40"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2,6% đến</w:t>
      </w:r>
      <w:r>
        <w:t xml:space="preserve"> 6,2%,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after="120" w:before="120" w:line="276" w:lineRule="auto"/>
        <w:ind/>
        <w:rPr>
          <w:b/>
          <w:bCs/>
          <w:i/>
          <w:u w:val="single"/>
        </w:rPr>
      </w:pPr>
      <w:r>
        <w:rPr>
          <w:b/>
          <w:bCs/>
          <w:i/>
          <w:iCs/>
          <w:highlight w:val="none"/>
          <w:u w:val="single"/>
        </w:rPr>
      </w:r>
      <w:r>
        <w:rPr>
          <w:b/>
          <w:bCs/>
          <w:i/>
          <w:iCs/>
          <w:highlight w:val="none"/>
          <w:u w:val="single"/>
        </w:rPr>
      </w:r>
      <w:r>
        <w:rPr>
          <w:b/>
          <w:bCs/>
          <w:i/>
          <w:iCs/>
          <w:highlight w:val="none"/>
          <w:u w:val="single"/>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61"/>
        <w:gridCol w:w="2128"/>
        <w:gridCol w:w="2053"/>
        <w:gridCol w:w="2044"/>
        <w:gridCol w:w="2054"/>
      </w:tblGrid>
      <w:tr>
        <w:trPr>
          <w:trHeight w:val="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76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1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0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05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7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6" w:space="0"/>
              <w:right w:val="single" w:color="000000" w:sz="6" w:space="0"/>
            </w:tcBorders>
            <w:tcMar>
              <w:left w:w="15" w:type="dxa"/>
              <w:top w:w="15" w:type="dxa"/>
              <w:right w:w="15" w:type="dxa"/>
              <w:bottom w:w="0" w:type="dxa"/>
            </w:tcMar>
            <w:tcW w:w="212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bottom w:val="single" w:color="000000" w:sz="6" w:space="0"/>
              <w:right w:val="single" w:color="000000" w:sz="6" w:space="0"/>
            </w:tcBorders>
            <w:tcMar>
              <w:left w:w="15" w:type="dxa"/>
              <w:top w:w="15" w:type="dxa"/>
              <w:right w:w="15" w:type="dxa"/>
              <w:bottom w:w="0" w:type="dxa"/>
            </w:tcMar>
            <w:tcW w:w="205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9.257.143 </w:t>
            </w:r>
            <w:r/>
          </w:p>
        </w:tc>
        <w:tc>
          <w:tcPr>
            <w:tcBorders>
              <w:bottom w:val="single" w:color="000000" w:sz="6" w:space="0"/>
              <w:right w:val="single" w:color="000000" w:sz="6" w:space="0"/>
            </w:tcBorders>
            <w:tcMar>
              <w:left w:w="15" w:type="dxa"/>
              <w:top w:w="15" w:type="dxa"/>
              <w:right w:w="15"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15" w:type="dxa"/>
              <w:top w:w="15" w:type="dxa"/>
              <w:right w:w="15" w:type="dxa"/>
              <w:bottom w:w="0" w:type="dxa"/>
            </w:tcMar>
            <w:tcW w:w="205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3.085.714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7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6" w:space="0"/>
              <w:right w:val="single" w:color="000000" w:sz="6" w:space="0"/>
            </w:tcBorders>
            <w:tcMar>
              <w:left w:w="15" w:type="dxa"/>
              <w:top w:w="15" w:type="dxa"/>
              <w:right w:w="15" w:type="dxa"/>
              <w:bottom w:w="0" w:type="dxa"/>
            </w:tcMar>
            <w:tcW w:w="212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bottom w:val="single" w:color="000000" w:sz="6" w:space="0"/>
              <w:right w:val="single" w:color="000000" w:sz="6" w:space="0"/>
            </w:tcBorders>
            <w:tcMar>
              <w:left w:w="15" w:type="dxa"/>
              <w:top w:w="15" w:type="dxa"/>
              <w:right w:w="15" w:type="dxa"/>
              <w:bottom w:w="0" w:type="dxa"/>
            </w:tcMar>
            <w:tcW w:w="205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8.460.000 </w:t>
            </w:r>
            <w:r/>
          </w:p>
        </w:tc>
        <w:tc>
          <w:tcPr>
            <w:tcBorders>
              <w:bottom w:val="single" w:color="000000" w:sz="6" w:space="0"/>
              <w:right w:val="single" w:color="000000" w:sz="6" w:space="0"/>
            </w:tcBorders>
            <w:tcMar>
              <w:left w:w="15" w:type="dxa"/>
              <w:top w:w="15" w:type="dxa"/>
              <w:right w:w="15"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15" w:type="dxa"/>
              <w:top w:w="15" w:type="dxa"/>
              <w:right w:w="15" w:type="dxa"/>
              <w:bottom w:w="0" w:type="dxa"/>
            </w:tcMar>
            <w:tcW w:w="205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2.820.000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7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6" w:space="0"/>
              <w:right w:val="single" w:color="000000" w:sz="6" w:space="0"/>
            </w:tcBorders>
            <w:tcMar>
              <w:left w:w="15" w:type="dxa"/>
              <w:top w:w="15" w:type="dxa"/>
              <w:right w:w="15" w:type="dxa"/>
              <w:bottom w:w="0" w:type="dxa"/>
            </w:tcMar>
            <w:tcW w:w="212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bottom w:val="single" w:color="000000" w:sz="6" w:space="0"/>
              <w:right w:val="single" w:color="000000" w:sz="6" w:space="0"/>
            </w:tcBorders>
            <w:tcMar>
              <w:left w:w="15" w:type="dxa"/>
              <w:top w:w="15" w:type="dxa"/>
              <w:right w:w="15" w:type="dxa"/>
              <w:bottom w:w="0" w:type="dxa"/>
            </w:tcMar>
            <w:tcW w:w="205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9.344.000 </w:t>
            </w:r>
            <w:r/>
          </w:p>
        </w:tc>
        <w:tc>
          <w:tcPr>
            <w:tcBorders>
              <w:bottom w:val="single" w:color="000000" w:sz="6" w:space="0"/>
              <w:right w:val="single" w:color="000000" w:sz="6" w:space="0"/>
            </w:tcBorders>
            <w:tcMar>
              <w:left w:w="15" w:type="dxa"/>
              <w:top w:w="15" w:type="dxa"/>
              <w:right w:w="15" w:type="dxa"/>
              <w:bottom w:w="0" w:type="dxa"/>
            </w:tcMar>
            <w:tcW w:w="204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15" w:type="dxa"/>
              <w:top w:w="15" w:type="dxa"/>
              <w:right w:w="15" w:type="dxa"/>
              <w:bottom w:w="0" w:type="dxa"/>
            </w:tcMar>
            <w:tcW w:w="205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3.114.667 </w:t>
            </w:r>
            <w:r/>
          </w:p>
        </w:tc>
      </w:tr>
      <w:tr>
        <w:trPr>
          <w:trHeight w:val="0"/>
        </w:trPr>
        <w:tc>
          <w:tcPr>
            <w:gridSpan w:val="4"/>
            <w:tcBorders>
              <w:top w:val="single" w:color="000000" w:sz="6" w:space="0"/>
              <w:left w:val="single" w:color="000000" w:sz="6" w:space="0"/>
              <w:bottom w:val="single" w:color="000000" w:sz="6" w:space="0"/>
              <w:right w:val="single" w:color="000000" w:sz="8" w:space="0"/>
            </w:tcBorders>
            <w:tcMar>
              <w:left w:w="15" w:type="dxa"/>
              <w:top w:w="15" w:type="dxa"/>
              <w:right w:w="15" w:type="dxa"/>
              <w:bottom w:w="0" w:type="dxa"/>
            </w:tcMar>
            <w:tcW w:w="69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6" w:space="0"/>
              <w:right w:val="single" w:color="000000" w:sz="6" w:space="0"/>
            </w:tcBorders>
            <w:tcMar>
              <w:left w:w="15" w:type="dxa"/>
              <w:top w:w="15" w:type="dxa"/>
              <w:right w:w="15" w:type="dxa"/>
              <w:bottom w:w="0" w:type="dxa"/>
            </w:tcMar>
            <w:tcW w:w="205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9.020.381 </w:t>
            </w:r>
            <w:r/>
          </w:p>
        </w:tc>
      </w:tr>
      <w:tr>
        <w:trPr>
          <w:trHeight w:val="0"/>
        </w:trPr>
        <w:tc>
          <w:tcPr>
            <w:gridSpan w:val="4"/>
            <w:tcBorders>
              <w:top w:val="single" w:color="000000" w:sz="6" w:space="0"/>
              <w:left w:val="single" w:color="000000" w:sz="6" w:space="0"/>
              <w:bottom w:val="single" w:color="000000" w:sz="6" w:space="0"/>
              <w:right w:val="single" w:color="000000" w:sz="8" w:space="0"/>
            </w:tcBorders>
            <w:tcMar>
              <w:left w:w="15" w:type="dxa"/>
              <w:top w:w="15" w:type="dxa"/>
              <w:right w:w="15" w:type="dxa"/>
              <w:bottom w:w="0" w:type="dxa"/>
            </w:tcMar>
            <w:tcW w:w="69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15" w:type="dxa"/>
              <w:top w:w="15" w:type="dxa"/>
              <w:right w:w="15" w:type="dxa"/>
              <w:bottom w:w="0" w:type="dxa"/>
            </w:tcMar>
            <w:tcW w:w="205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9.000.000 </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9.000.000</w:t>
      </w:r>
      <w:r>
        <w:rPr>
          <w:b/>
          <w:bCs/>
          <w:color w:val="000000" w:themeColor="text1"/>
        </w:rPr>
        <w:t xml:space="preserve"> </w:t>
      </w:r>
      <w:r>
        <w:rPr>
          <w:b/>
          <w:bCs/>
        </w:rPr>
        <w:t xml:space="preserve">đồng/m².</w:t>
      </w:r>
      <w:r>
        <w:rPr>
          <w:b/>
          <w:bCs/>
        </w:rPr>
      </w:r>
      <w:r>
        <w:rPr>
          <w:b/>
          <w:bCs/>
        </w:rPr>
      </w:r>
    </w:p>
    <w:p>
      <w:pPr>
        <w:pBdr/>
        <w:spacing w:after="120" w:before="120" w:line="276" w:lineRule="auto"/>
        <w:ind/>
        <w:jc w:val="both"/>
        <w:rPr>
          <w:b/>
          <w:bCs/>
          <w:highlight w:val="none"/>
        </w:rPr>
      </w:pPr>
      <w:r>
        <w:rPr>
          <w:b/>
          <w:bCs/>
        </w:rPr>
        <w:t xml:space="preserve">2. </w:t>
      </w:r>
      <w:r>
        <w:rPr>
          <w:rFonts w:ascii="Times New Roman" w:hAnsi="Times New Roman" w:eastAsia="Times New Roman" w:cs="Times New Roman"/>
          <w:b/>
          <w:color w:val="000000"/>
          <w:sz w:val="24"/>
        </w:rPr>
        <w:t xml:space="preserve">Xác định đơn giá quyền sử dụng đất nằm trong quy hoạch giao thông:</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120" w:before="120" w:line="240" w:lineRule="auto"/>
        <w:ind w:right="28" w:firstLine="0" w:left="0"/>
        <w:jc w:val="both"/>
        <w:rPr/>
      </w:pPr>
      <w:r>
        <w:rPr>
          <w:rFonts w:ascii="Times New Roman" w:hAnsi="Times New Roman" w:eastAsia="Times New Roman" w:cs="Times New Roman"/>
          <w:color w:val="000000"/>
          <w:spacing w:val="-2"/>
          <w:sz w:val="24"/>
        </w:rPr>
        <w:t xml:space="preserve">       Dưới sự thống nhất với Ngân hàng/Khách hàng và cho mục đích định giá tại báo cáo này, tổ thẩm định xác định đơn giá quyền sử dụng đất nằm trong quy hoạch đường giao thông theo khung giá UBND quy định</w:t>
      </w:r>
      <w:r/>
    </w:p>
    <w:p>
      <w:pPr>
        <w:pBdr>
          <w:top w:val="none" w:color="000000" w:sz="4" w:space="0"/>
          <w:left w:val="none" w:color="000000" w:sz="4" w:space="0"/>
          <w:bottom w:val="none" w:color="000000" w:sz="4" w:space="0"/>
          <w:right w:val="none" w:color="000000" w:sz="4" w:space="0"/>
        </w:pBdr>
        <w:spacing w:after="120" w:before="120" w:line="240" w:lineRule="auto"/>
        <w:ind w:right="28" w:firstLine="0" w:left="0"/>
        <w:jc w:val="both"/>
        <w:rPr>
          <w:rFonts w:ascii="Times New Roman" w:hAnsi="Times New Roman" w:cs="Times New Roman"/>
          <w:color w:val="000000" w:themeColor="text1"/>
          <w:szCs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themeColor="text1"/>
          <w:sz w:val="24"/>
          <w:szCs w:val="24"/>
        </w:rPr>
        <w:t xml:space="preserve">     </w:t>
      </w:r>
      <w:hyperlink r:id="rId18" w:tooltip="https://thuvienphapluat.vn/chinh-sach-phap-luat-moi/vn/ho-tro-phap-luat/bat-dong-san/102384/bang-gia-dat-lam-dong-nam-2026-chinh-thuc" w:history="1">
        <w:r>
          <w:rPr>
            <w:rStyle w:val="1021"/>
            <w:rFonts w:ascii="Times New Roman" w:hAnsi="Times New Roman" w:eastAsia="Times New Roman" w:cs="Times New Roman"/>
            <w:color w:val="000000" w:themeColor="text1"/>
            <w:sz w:val="24"/>
            <w:szCs w:val="24"/>
            <w:highlight w:val="white"/>
            <w:u w:val="none"/>
          </w:rPr>
          <w:t xml:space="preserve">Nghị quyết 82/2025/NQ-HĐND</w:t>
        </w:r>
      </w:hyperlink>
      <w:r>
        <w:rPr>
          <w:rFonts w:ascii="Times New Roman" w:hAnsi="Times New Roman" w:eastAsia="Times New Roman" w:cs="Times New Roman"/>
          <w:color w:val="000000" w:themeColor="text1"/>
          <w:sz w:val="24"/>
          <w:szCs w:val="24"/>
          <w:highlight w:val="white"/>
        </w:rPr>
        <w:t xml:space="preserve"> ngày 30/12/2025 ban hành Quy định Bảng giá đất để công bố và áp dụng từ ngày 01/01/2026 trên địa bàn tỉnh Lâm Đồng</w:t>
      </w:r>
      <w:r>
        <w:rPr>
          <w:rFonts w:ascii="Times New Roman" w:hAnsi="Times New Roman" w:eastAsia="Times New Roman" w:cs="Times New Roman"/>
          <w:color w:val="000000" w:themeColor="text1"/>
          <w:sz w:val="24"/>
          <w:szCs w:val="24"/>
        </w:rPr>
        <w:t xml:space="preserve">: Đ</w:t>
      </w:r>
      <w:r>
        <w:rPr>
          <w:rFonts w:ascii="Times New Roman" w:hAnsi="Times New Roman" w:eastAsia="Times New Roman" w:cs="Times New Roman"/>
          <w:color w:val="000000" w:themeColor="text1"/>
          <w:sz w:val="24"/>
          <w:szCs w:val="24"/>
        </w:rPr>
        <w:t xml:space="preserve">ất trồng cây hàng năm khác tại xã Tân Thành (VT1) là: 316.000 đồng/m².</w:t>
      </w:r>
      <w:r>
        <w:rPr>
          <w:rFonts w:ascii="Times New Roman" w:hAnsi="Times New Roman" w:cs="Times New Roman"/>
          <w:color w:val="000000" w:themeColor="text1"/>
          <w:szCs w:val="24"/>
        </w:rPr>
      </w:r>
      <w:r>
        <w:rPr>
          <w:rFonts w:ascii="Times New Roman" w:hAnsi="Times New Roman" w:cs="Times New Roman"/>
          <w:color w:val="000000" w:themeColor="text1"/>
          <w:szCs w:val="24"/>
        </w:rPr>
      </w:r>
    </w:p>
    <w:p>
      <w:pPr>
        <w:pBdr/>
        <w:spacing w:after="120" w:before="120" w:line="276" w:lineRule="auto"/>
        <w:ind w:firstLine="0" w:left="0"/>
        <w:jc w:val="both"/>
        <w:rPr>
          <w:b/>
          <w:bCs/>
          <w:lang w:val="pt-BR"/>
        </w:rPr>
      </w:pPr>
      <w:r>
        <w:rPr>
          <w:b/>
          <w:lang w:val="pt-BR"/>
        </w:rPr>
        <w:t xml:space="preserve">3. </w:t>
      </w:r>
      <w:r>
        <w:rPr>
          <w:b/>
          <w:lang w:val="pt-BR"/>
        </w:rPr>
        <w:t xml:space="preserve">Kết quả thẩm định giá:</w:t>
      </w:r>
      <w:r>
        <w:rPr>
          <w:b/>
          <w:bCs/>
          <w:lang w:val="pt-BR"/>
        </w:rPr>
      </w:r>
      <w:r>
        <w:rPr>
          <w:b/>
          <w:bCs/>
          <w:lang w:val="pt-BR"/>
        </w:rPr>
      </w:r>
    </w:p>
    <w:p>
      <w:pPr>
        <w:pStyle w:val="103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3118"/>
        <w:gridCol w:w="1559"/>
        <w:gridCol w:w="1947"/>
        <w:gridCol w:w="2164"/>
      </w:tblGrid>
      <w:tr>
        <w:trPr>
          <w:trHeight w:val="20"/>
        </w:trPr>
        <w:tc>
          <w:tcPr>
            <w:shd w:val="clear" w:color="000000" w:fill="ffffff"/>
            <w:tcBorders/>
            <w:tcW w:w="737" w:type="dxa"/>
            <w:vAlign w:val="center"/>
            <w:textDirection w:val="lrTb"/>
            <w:noWrap w:val="false"/>
          </w:tcPr>
          <w:p>
            <w:pPr>
              <w:pBdr/>
              <w:spacing w:after="40" w:before="40" w:line="276" w:lineRule="auto"/>
              <w:ind/>
              <w:jc w:val="center"/>
              <w:rPr>
                <w:b/>
                <w:bCs/>
              </w:rPr>
            </w:pPr>
            <w:r>
              <w:rPr>
                <w:b/>
                <w:bCs/>
              </w:rPr>
              <w:t xml:space="preserve">TT</w:t>
            </w:r>
            <w:r>
              <w:rPr>
                <w:b/>
                <w:bCs/>
              </w:rPr>
            </w:r>
            <w:r>
              <w:rPr>
                <w:b/>
                <w:bCs/>
              </w:rPr>
            </w:r>
          </w:p>
        </w:tc>
        <w:tc>
          <w:tcPr>
            <w:shd w:val="clear" w:color="000000" w:fill="ffffff"/>
            <w:tcBorders/>
            <w:tcW w:w="3118" w:type="dxa"/>
            <w:vAlign w:val="center"/>
            <w:textDirection w:val="lrTb"/>
            <w:noWrap w:val="false"/>
          </w:tcPr>
          <w:p>
            <w:pPr>
              <w:pBdr/>
              <w:spacing w:after="40" w:before="40" w:line="276" w:lineRule="auto"/>
              <w:ind/>
              <w:jc w:val="center"/>
              <w:rPr>
                <w:b/>
                <w:bCs/>
              </w:rPr>
            </w:pPr>
            <w:r>
              <w:rPr>
                <w:b/>
                <w:bCs/>
              </w:rPr>
              <w:t xml:space="preserve">Tài sản</w:t>
            </w:r>
            <w:r>
              <w:rPr>
                <w:b/>
                <w:bCs/>
              </w:rPr>
            </w:r>
            <w:r>
              <w:rPr>
                <w:b/>
                <w:bCs/>
              </w:rPr>
            </w:r>
          </w:p>
        </w:tc>
        <w:tc>
          <w:tcPr>
            <w:shd w:val="clear" w:color="000000" w:fill="ffffff"/>
            <w:tcBorders/>
            <w:tcW w:w="1559" w:type="dxa"/>
            <w:vAlign w:val="center"/>
            <w:textDirection w:val="lrTb"/>
            <w:noWrap w:val="false"/>
          </w:tcPr>
          <w:p>
            <w:pPr>
              <w:pBdr/>
              <w:spacing w:after="40" w:before="40" w:line="276" w:lineRule="auto"/>
              <w:ind/>
              <w:jc w:val="center"/>
              <w:rPr>
                <w:b/>
                <w:bCs/>
              </w:rPr>
            </w:pPr>
            <w:r>
              <w:rPr>
                <w:b/>
                <w:bCs/>
              </w:rPr>
              <w:t xml:space="preserve">Diện tích (m²)</w:t>
            </w:r>
            <w:r>
              <w:rPr>
                <w:b/>
                <w:bCs/>
              </w:rPr>
            </w:r>
            <w:r>
              <w:rPr>
                <w:b/>
                <w:bCs/>
              </w:rPr>
            </w:r>
          </w:p>
        </w:tc>
        <w:tc>
          <w:tcPr>
            <w:shd w:val="clear" w:color="000000" w:fill="ffffff"/>
            <w:tcBorders/>
            <w:tcW w:w="1947" w:type="dxa"/>
            <w:vAlign w:val="center"/>
            <w:textDirection w:val="lrTb"/>
            <w:noWrap w:val="false"/>
          </w:tcPr>
          <w:p>
            <w:pPr>
              <w:pBdr/>
              <w:spacing w:after="40" w:before="40" w:line="276"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76"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37" w:type="dxa"/>
            <w:vAlign w:val="center"/>
            <w:textDirection w:val="lrTb"/>
            <w:noWrap w:val="false"/>
          </w:tcPr>
          <w:p>
            <w:pPr>
              <w:pBdr/>
              <w:spacing w:after="40" w:before="40" w:line="276" w:lineRule="auto"/>
              <w:ind/>
              <w:jc w:val="center"/>
              <w:rPr>
                <w:b/>
                <w:bCs/>
              </w:rPr>
            </w:pPr>
            <w:r>
              <w:rPr>
                <w:b/>
                <w:bCs/>
              </w:rPr>
              <w:t xml:space="preserve"> </w:t>
            </w:r>
            <w:r>
              <w:rPr>
                <w:b/>
                <w:bCs/>
              </w:rPr>
            </w:r>
            <w:r>
              <w:rPr>
                <w:b/>
                <w:bCs/>
              </w:rPr>
            </w:r>
          </w:p>
        </w:tc>
        <w:tc>
          <w:tcPr>
            <w:gridSpan w:val="3"/>
            <w:shd w:val="clear" w:color="000000" w:fill="ffffff"/>
            <w:tcBorders/>
            <w:tcW w:w="6624" w:type="dxa"/>
            <w:vAlign w:val="center"/>
            <w:textDirection w:val="lrTb"/>
            <w:noWrap w:val="false"/>
          </w:tcPr>
          <w:p>
            <w:pPr>
              <w:pBdr/>
              <w:spacing w:after="40" w:before="40" w:line="276" w:lineRule="auto"/>
              <w:ind/>
              <w:jc w:val="left"/>
              <w:rPr>
                <w:b/>
                <w:bCs/>
              </w:rPr>
            </w:pPr>
            <w:r>
              <w:rPr>
                <w:color w:val="000000"/>
              </w:rPr>
              <w:t xml:space="preserve">Quyền sử dụng đất tại thửa đất số 34, tờ bản đồ số 73 có địa chỉ: Thôn Cây Găng, xã Tân Thành, huyện Hàm Thuận Nam, tỉnh Bình Thuận (nay là xã Tân Thành, tỉnh Lâm Đồng) theo Giấy ch</w:t>
            </w:r>
            <w:r>
              <w:rPr>
                <w:color w:val="000000"/>
              </w:rPr>
              <w:t xml:space="preserve">ứng nhận Quyền sử dụng đất, quyền sở hữu nhà ở và tài sản khác gắn liền với đất  số: CO 709702, số vào sổ cấp GCN: CS 02512 do Sở Tài nguyên và Môi trường tỉnh Bình Thuận cấp ngày 14/01/2019, chủ sử dụng đất là ông Trần Danh Kiên (cập nhật ngày 30/3/2022).</w:t>
            </w:r>
            <w:r>
              <w:rPr>
                <w:b/>
                <w:bCs/>
              </w:rPr>
            </w:r>
            <w:r>
              <w:rPr>
                <w:b/>
                <w:bCs/>
              </w:rPr>
            </w:r>
          </w:p>
        </w:tc>
        <w:tc>
          <w:tcPr>
            <w:shd w:val="clear" w:color="000000" w:fill="ffffff"/>
            <w:tcBorders/>
            <w:tcW w:w="2164" w:type="dxa"/>
            <w:vAlign w:val="center"/>
            <w:textDirection w:val="lrTb"/>
            <w:noWrap w:val="false"/>
          </w:tcPr>
          <w:p>
            <w:pPr>
              <w:pBdr/>
              <w:spacing w:after="40" w:before="40" w:line="276" w:lineRule="auto"/>
              <w:ind/>
              <w:jc w:val="center"/>
              <w:rPr>
                <w:b/>
                <w:bCs/>
              </w:rPr>
            </w:pPr>
            <w:r>
              <w:rPr>
                <w:b/>
                <w:bCs/>
              </w:rPr>
              <w:t xml:space="preserve"> </w:t>
            </w:r>
            <w:r>
              <w:rPr>
                <w:b/>
                <w:bCs/>
              </w:rPr>
            </w:r>
            <w:r>
              <w:rPr>
                <w:b/>
                <w:bCs/>
              </w:rPr>
            </w:r>
          </w:p>
        </w:tc>
      </w:tr>
      <w:tr>
        <w:trPr>
          <w:trHeight w:val="20"/>
        </w:trPr>
        <w:tc>
          <w:tcPr>
            <w:shd w:val="clear" w:color="000000" w:fill="ffffff"/>
            <w:tcBorders/>
            <w:tcW w:w="737" w:type="dxa"/>
            <w:vAlign w:val="center"/>
            <w:textDirection w:val="lrTb"/>
            <w:noWrap w:val="false"/>
          </w:tcPr>
          <w:p>
            <w:pPr>
              <w:pBdr/>
              <w:spacing w:after="40" w:before="40" w:line="276" w:lineRule="auto"/>
              <w:ind/>
              <w:jc w:val="center"/>
              <w:rPr>
                <w:b w:val="0"/>
                <w:bCs w:val="0"/>
              </w:rPr>
            </w:pPr>
            <w:r>
              <w:rPr>
                <w:b w:val="0"/>
                <w:bCs w:val="0"/>
              </w:rPr>
              <w:t xml:space="preserve">1</w:t>
            </w:r>
            <w:r>
              <w:rPr>
                <w:b w:val="0"/>
                <w:bCs w:val="0"/>
              </w:rPr>
            </w:r>
            <w:r>
              <w:rPr>
                <w:b w:val="0"/>
                <w:bCs w:val="0"/>
              </w:rPr>
            </w:r>
          </w:p>
        </w:tc>
        <w:tc>
          <w:tcPr>
            <w:shd w:val="clear" w:color="000000" w:fill="ffffff"/>
            <w:tcBorders/>
            <w:tcW w:w="3118" w:type="dxa"/>
            <w:vAlign w:val="center"/>
            <w:textDirection w:val="lrTb"/>
            <w:noWrap w:val="false"/>
          </w:tcPr>
          <w:p>
            <w:pPr>
              <w:pBdr/>
              <w:spacing w:after="40" w:before="40" w:line="276" w:lineRule="auto"/>
              <w:ind/>
              <w:jc w:val="left"/>
              <w:rPr>
                <w:highlight w:val="yellow"/>
              </w:rPr>
            </w:pPr>
            <w:r>
              <w:rPr>
                <w:b/>
                <w:bCs/>
              </w:rPr>
            </w:r>
            <w:r>
              <w:rPr>
                <w:b/>
                <w:bCs/>
                <w:sz w:val="24"/>
                <w:szCs w:val="24"/>
              </w:rPr>
            </w:r>
            <w:r>
              <w:rPr>
                <w:rFonts w:ascii="Times New Roman" w:hAnsi="Times New Roman" w:eastAsia="Times New Roman" w:cs="Times New Roman"/>
                <w:color w:val="000000"/>
                <w:sz w:val="24"/>
                <w:szCs w:val="24"/>
              </w:rPr>
              <w:t xml:space="preserve">Quyền sử dụng đất nằm ngoài quy hoạch đường Hòn Lan (Đất ở tại nông thôn: 300,0m</w:t>
            </w:r>
            <w:r>
              <w:rPr>
                <w:rFonts w:ascii="Times New Roman" w:hAnsi="Times New Roman" w:eastAsia="Times New Roman" w:cs="Times New Roman"/>
                <w:color w:val="000000"/>
                <w:sz w:val="24"/>
                <w:szCs w:val="24"/>
                <w:vertAlign w:val="superscript"/>
              </w:rPr>
              <w:t xml:space="preserve">2</w:t>
            </w:r>
            <w:r>
              <w:rPr>
                <w:rFonts w:ascii="Times New Roman" w:hAnsi="Times New Roman" w:eastAsia="Times New Roman" w:cs="Times New Roman"/>
                <w:color w:val="000000"/>
                <w:sz w:val="24"/>
                <w:szCs w:val="24"/>
                <w:vertAlign w:val="baseline"/>
              </w:rPr>
              <w:t xml:space="preserve">; Đất trồng cây hàng năm khác 2761,72</w:t>
            </w:r>
            <w:commentRangeStart w:id="1"/>
            <w:r>
              <w:rPr>
                <w:sz w:val="24"/>
                <w:szCs w:val="24"/>
              </w:rPr>
            </w:r>
            <w:commentRangeEnd w:id="1"/>
            <w:r>
              <w:commentReference w:id="1"/>
            </w:r>
            <w:r>
              <w:rPr>
                <w:b/>
                <w:bCs/>
                <w:sz w:val="24"/>
                <w:szCs w:val="24"/>
              </w:rPr>
              <w:t xml:space="preserve">)</w:t>
            </w:r>
            <w:r/>
            <w:r>
              <w:rPr>
                <w:b/>
                <w:bCs/>
              </w:rPr>
            </w:r>
            <w:r>
              <w:rPr>
                <w:highlight w:val="yellow"/>
              </w:rPr>
            </w:r>
          </w:p>
        </w:tc>
        <w:tc>
          <w:tcPr>
            <w:tcBorders/>
            <w:tcW w:w="1559"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3.061,72 </w:t>
            </w:r>
            <w:r/>
          </w:p>
        </w:tc>
        <w:tc>
          <w:tcPr>
            <w:shd w:val="clear" w:color="000000" w:fill="ffffff"/>
            <w:tcBorders/>
            <w:tcW w:w="194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      9.000.000 </w:t>
            </w:r>
            <w:r/>
          </w:p>
        </w:tc>
        <w:tc>
          <w:tcPr>
            <w:shd w:val="clear" w:color="000000" w:fill="ffffff"/>
            <w:tcBorders/>
            <w:tcW w:w="216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27.555.480.000</w:t>
            </w:r>
            <w:r/>
          </w:p>
        </w:tc>
      </w:tr>
      <w:tr>
        <w:trPr>
          <w:trHeight w:val="20"/>
        </w:trPr>
        <w:tc>
          <w:tcPr>
            <w:shd w:val="clear" w:color="000000" w:fill="ffffff"/>
            <w:tcBorders/>
            <w:tcW w:w="737" w:type="dxa"/>
            <w:vAlign w:val="center"/>
            <w:textDirection w:val="lrTb"/>
            <w:noWrap w:val="false"/>
          </w:tcPr>
          <w:p>
            <w:pPr>
              <w:pBdr/>
              <w:spacing w:after="40" w:before="40" w:line="276" w:lineRule="auto"/>
              <w:ind/>
              <w:jc w:val="center"/>
              <w:rPr>
                <w:b w:val="0"/>
                <w:bCs w:val="0"/>
              </w:rPr>
            </w:pPr>
            <w:r>
              <w:rPr>
                <w:b w:val="0"/>
                <w:bCs w:val="0"/>
              </w:rPr>
              <w:t xml:space="preserve">2</w:t>
            </w:r>
            <w:r>
              <w:rPr>
                <w:b w:val="0"/>
                <w:bCs w:val="0"/>
              </w:rPr>
            </w:r>
            <w:r>
              <w:rPr>
                <w:b w:val="0"/>
                <w:bCs w:val="0"/>
              </w:rPr>
            </w:r>
          </w:p>
        </w:tc>
        <w:tc>
          <w:tcPr>
            <w:shd w:val="clear" w:color="000000" w:fill="ffffff"/>
            <w:tcBorders/>
            <w:tcW w:w="3118" w:type="dxa"/>
            <w:vAlign w:val="center"/>
            <w:textDirection w:val="lrTb"/>
            <w:noWrap w:val="false"/>
          </w:tcPr>
          <w:p>
            <w:pPr>
              <w:pBdr/>
              <w:spacing w:after="40" w:before="40" w:line="276" w:lineRule="auto"/>
              <w:ind/>
              <w:jc w:val="left"/>
              <w:rPr/>
            </w:pPr>
            <w:r>
              <w:rPr>
                <w:b/>
                <w:bCs/>
              </w:rPr>
            </w:r>
            <w:r>
              <w:rPr>
                <w:rFonts w:ascii="Times New Roman" w:hAnsi="Times New Roman" w:eastAsia="Times New Roman" w:cs="Times New Roman"/>
                <w:color w:val="000000"/>
                <w:sz w:val="24"/>
              </w:rPr>
              <w:t xml:space="preserve">Quyền sử dụng đất trồng cây hàng năm khác thuộc quy hoạch đường Hòn Lan</w:t>
            </w:r>
            <w:r/>
          </w:p>
        </w:tc>
        <w:tc>
          <w:tcPr>
            <w:tcBorders/>
            <w:tcW w:w="1559"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474,28</w:t>
            </w:r>
            <w:r/>
          </w:p>
        </w:tc>
        <w:tc>
          <w:tcPr>
            <w:shd w:val="clear" w:color="000000" w:fill="ffffff"/>
            <w:tcBorders/>
            <w:tcW w:w="194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         316.000 </w:t>
            </w:r>
            <w:r/>
          </w:p>
        </w:tc>
        <w:tc>
          <w:tcPr>
            <w:shd w:val="clear" w:color="000000" w:fill="ffffff"/>
            <w:tcBorders/>
            <w:tcW w:w="216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149.872.480</w:t>
            </w:r>
            <w:r/>
          </w:p>
        </w:tc>
      </w:tr>
      <w:tr>
        <w:trPr>
          <w:trHeight w:val="20"/>
        </w:trPr>
        <w:tc>
          <w:tcPr>
            <w:gridSpan w:val="4"/>
            <w:tcBorders/>
            <w:tcW w:w="7361" w:type="dxa"/>
            <w:vAlign w:val="center"/>
            <w:textDirection w:val="lrTb"/>
            <w:noWrap/>
          </w:tcPr>
          <w:p>
            <w:pPr>
              <w:pBdr/>
              <w:spacing w:after="40" w:before="40" w:line="276"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27.705.352.480</w:t>
            </w:r>
            <w:r/>
          </w:p>
        </w:tc>
      </w:tr>
      <w:tr>
        <w:trPr>
          <w:trHeight w:val="20"/>
        </w:trPr>
        <w:tc>
          <w:tcPr>
            <w:gridSpan w:val="4"/>
            <w:tcBorders/>
            <w:tcW w:w="7361" w:type="dxa"/>
            <w:vAlign w:val="center"/>
            <w:textDirection w:val="lrTb"/>
            <w:noWrap/>
          </w:tcPr>
          <w:p>
            <w:pPr>
              <w:pBdr/>
              <w:spacing w:after="40" w:before="40" w:line="276"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76" w:lineRule="auto"/>
              <w:ind/>
              <w:jc w:val="center"/>
              <w:rPr>
                <w:b/>
                <w:bCs/>
                <w:color w:val="000000"/>
              </w:rPr>
            </w:pPr>
            <w:r>
              <w:rPr>
                <w:b/>
                <w:bCs/>
                <w:color w:val="000000"/>
              </w:rPr>
              <w:t xml:space="preserve">27.705.000.000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76" w:lineRule="auto"/>
              <w:ind/>
              <w:jc w:val="center"/>
              <w:rPr>
                <w:b/>
                <w:bCs/>
                <w:i/>
                <w:iCs/>
                <w:color w:val="000000"/>
              </w:rPr>
            </w:pPr>
            <w:r>
              <w:rPr>
                <w:b/>
                <w:bCs/>
                <w:i/>
                <w:iCs/>
                <w:color w:val="000000"/>
              </w:rPr>
              <w:t xml:space="preserve">(Bằng chữ: </w:t>
            </w:r>
            <w:r>
              <w:rPr>
                <w:b/>
                <w:bCs/>
                <w:i/>
                <w:iCs/>
                <w:color w:val="000000"/>
              </w:rPr>
              <w:t xml:space="preserve">Hai mươi bảy tỷ bảy trăm linh năm triệu đồng</w:t>
            </w:r>
            <w:r>
              <w:rPr>
                <w:b/>
                <w:bCs/>
                <w:i/>
                <w:iCs/>
                <w:color w:val="000000"/>
              </w:rPr>
              <w:t xml:space="preserve">./.)</w:t>
            </w:r>
            <w:r>
              <w:rPr>
                <w:b/>
                <w:bCs/>
                <w:i/>
                <w:iCs/>
                <w:color w:val="000000"/>
              </w:rPr>
            </w:r>
            <w:r>
              <w:rPr>
                <w:b/>
                <w:bCs/>
                <w:i/>
                <w:iCs/>
                <w:color w:val="000000"/>
              </w:rPr>
            </w:r>
          </w:p>
        </w:tc>
      </w:tr>
    </w:tbl>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40" w:before="40" w:line="276" w:lineRule="auto"/>
        <w:ind/>
        <w:jc w:val="both"/>
        <w:rPr/>
      </w:pPr>
      <w:r>
        <w:rPr>
          <w:rFonts w:ascii="Times New Roman" w:hAnsi="Times New Roman" w:eastAsia="Times New Roman" w:cs="Times New Roman"/>
          <w:color w:val="000000"/>
          <w:sz w:val="24"/>
        </w:rPr>
        <w:t xml:space="preserve">Theo GCN số CO 709702, TSTĐ có khoảng 474,28m² đất nằm trong quy hoạch đường Hòn Lan và diện tích đất còn lại (3.061,7m²) nằm trong quy hoạch đất ở, hiện nay chưa có thông báo thu hồi đất/quyết định thu hồi đất/phương án giải tỏa bồi thường. Theo đề nghị c</w:t>
      </w:r>
      <w:r>
        <w:rPr>
          <w:rFonts w:ascii="Times New Roman" w:hAnsi="Times New Roman" w:eastAsia="Times New Roman" w:cs="Times New Roman"/>
          <w:color w:val="000000"/>
          <w:sz w:val="24"/>
        </w:rPr>
        <w:t xml:space="preserve">ủa Ngân hàng/Khách hàng, tổ thẩm định xác định giá trị tài sản theo thông tin quy hoạch nêu trên. Đối với diện tích nằm ngoài quy hoạch tổ thẩm định đánh giá theo giá trị thị trường, đối với phần nằm trong quy hoạch tổ thẩm định đánh giá theo giá UBND từng</w:t>
      </w:r>
      <w:r>
        <w:rPr>
          <w:rFonts w:ascii="Times New Roman" w:hAnsi="Times New Roman" w:eastAsia="Times New Roman" w:cs="Times New Roman"/>
          <w:color w:val="000000"/>
          <w:sz w:val="24"/>
        </w:rPr>
        <w:t xml:space="preserve"> thời kỳ, giá trị đền bù thực tế còn phụ thuộc vào thỏa thuận các bên tại thời điểm Nhà nước giải phóng mặt bằng thực hiện quy hoạch. Đề nghị đơn vị sử dụng kết quả lưu ý kiểm tra xác minh thêm thông tin quy hoạch nếu thấy cần thiết. Trong trường hợp Khách</w:t>
      </w:r>
      <w:r>
        <w:rPr>
          <w:rFonts w:ascii="Times New Roman" w:hAnsi="Times New Roman" w:eastAsia="Times New Roman" w:cs="Times New Roman"/>
          <w:color w:val="000000"/>
          <w:sz w:val="24"/>
        </w:rPr>
        <w:t xml:space="preserve"> hàng/Ngân hàng cung cấp được Văn bản xác nhận rõ phần diện tích thuộc quy hoạch mà có sự sai khác so với số liệu nêu trên thì kết quả thẩm định giá cần được xem xét, điều chỉnh phù hợp, chúng tôi bảo lưu quyền xem xét lại kết quả thẩm định giá.</w:t>
      </w:r>
      <w:r/>
    </w:p>
    <w:p>
      <w:pPr>
        <w:pStyle w:val="1031"/>
        <w:numPr>
          <w:ilvl w:val="0"/>
          <w:numId w:val="3"/>
        </w:numPr>
        <w:pBdr/>
        <w:tabs>
          <w:tab w:val="left" w:leader="none" w:pos="993"/>
        </w:tabs>
        <w:spacing w:after="120" w:before="120" w:line="288" w:lineRule="auto"/>
        <w:ind/>
        <w:jc w:val="both"/>
        <w:rPr>
          <w:lang w:val="vi-VN"/>
        </w:rPr>
      </w:pPr>
      <w:r>
        <w:rPr>
          <w:rFonts w:ascii="Times New Roman" w:hAnsi="Times New Roman" w:eastAsia="Times New Roman" w:cs="Times New Roman"/>
          <w:color w:val="000000"/>
          <w:sz w:val="24"/>
        </w:rPr>
        <w:t xml:space="preserve">Theo GCN số CO 709702, sơ đồ thửa đất không thể hiện vị trí đất ở và đất trồng cây hàng năm. Do vậy, tổ thẩm định giả định phần đất thuộc quy hoạch đường Hòn Lan là phần đất trồng cây hàng năm. Trong trường hợp Khách hàng/Ngân hàng cung cấp được Văn bản th</w:t>
      </w:r>
      <w:r>
        <w:rPr>
          <w:rFonts w:ascii="Times New Roman" w:hAnsi="Times New Roman" w:eastAsia="Times New Roman" w:cs="Times New Roman"/>
          <w:color w:val="000000"/>
          <w:sz w:val="24"/>
        </w:rPr>
        <w:t xml:space="preserve">ể hiện rõ vị trí có sai khác với giả định nêu trên thì kết quả thẩm định giá cần được xem xét, điều chỉnh phù hợp, chúng tôi bảo lưu quyền xem xét lại kết quả thẩm định giá.</w:t>
      </w:r>
      <w:r>
        <w:rPr>
          <w:lang w:val="vi-VN"/>
        </w:rPr>
      </w:r>
      <w:r>
        <w:rPr>
          <w:lang w:val="vi-VN"/>
        </w:rPr>
      </w:r>
    </w:p>
    <w:p>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lang w:val="vi-VN"/>
        </w:rPr>
      </w:r>
      <w:r>
        <w:rPr>
          <w:lang w:val="vi-VN"/>
        </w:rPr>
      </w:r>
    </w:p>
    <w:p>
      <w:pPr>
        <w:pStyle w:val="1031"/>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275/2026/0728/VFI-CT.48.A</w:t>
      </w:r>
      <w:r>
        <w:rPr>
          <w:color w:val="ff0000"/>
          <w:lang w:val="vi-VN"/>
        </w:rPr>
        <w:t xml:space="preserve"> </w:t>
      </w:r>
      <w:r>
        <w:rPr>
          <w:color w:val="000000" w:themeColor="text1"/>
        </w:rPr>
        <w:t xml:space="preserve">ngày 14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275/2026/0728/VFI-BC.</w:t>
      </w:r>
      <w:r>
        <w:rPr>
          <w:i/>
          <w:highlight w:val="white"/>
        </w:rPr>
        <w:t xml:space="preserve">4</w:t>
      </w:r>
      <w:r>
        <w:rPr>
          <w:i/>
          <w:highlight w:val="white"/>
        </w:rPr>
        <w:t xml:space="preserve">8.A</w:t>
      </w:r>
      <w:r>
        <w:rPr>
          <w:i/>
          <w:highlight w:val="white"/>
          <w:lang w:val="pt-BR"/>
        </w:rPr>
        <w:t xml:space="preserve"> </w:t>
      </w:r>
      <w:r>
        <w:rPr>
          <w:i/>
          <w:highlight w:val="white"/>
          <w:lang w:val="pt-BR"/>
        </w:rPr>
        <w:t xml:space="preserve">ngày 14 t</w:t>
      </w:r>
      <w:r>
        <w:rPr>
          <w:i/>
          <w:highlight w:val="white"/>
          <w:lang w:val="pt-BR"/>
        </w:rPr>
        <w:t xml:space="preserve">hán</w:t>
      </w:r>
      <w:r>
        <w:rPr>
          <w:i/>
          <w:lang w:val="pt-BR"/>
        </w:rPr>
        <w:t xml:space="preserve">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23135" cy="251295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425896" name=""/>
                              <pic:cNvPicPr>
                                <a:picLocks noChangeAspect="1"/>
                              </pic:cNvPicPr>
                              <pic:nvPr/>
                            </pic:nvPicPr>
                            <pic:blipFill rotWithShape="1">
                              <a:blip r:embed="rId19"/>
                              <a:stretch/>
                            </pic:blipFill>
                            <pic:spPr bwMode="auto">
                              <a:xfrm flipH="0" flipV="0">
                                <a:off x="0" y="0"/>
                                <a:ext cx="1623134" cy="25129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7.81pt;height:197.87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59109" cy="206933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017634" name=""/>
                              <pic:cNvPicPr>
                                <a:picLocks noChangeAspect="1"/>
                              </pic:cNvPicPr>
                              <pic:nvPr/>
                            </pic:nvPicPr>
                            <pic:blipFill rotWithShape="1">
                              <a:blip r:embed="rId20"/>
                              <a:stretch/>
                            </pic:blipFill>
                            <pic:spPr bwMode="auto">
                              <a:xfrm flipH="0" flipV="0">
                                <a:off x="0" y="0"/>
                                <a:ext cx="2759108" cy="20693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7.25pt;height:162.94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60420" cy="192031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706476" name=""/>
                              <pic:cNvPicPr>
                                <a:picLocks noChangeAspect="1"/>
                              </pic:cNvPicPr>
                              <pic:nvPr/>
                            </pic:nvPicPr>
                            <pic:blipFill rotWithShape="1">
                              <a:blip r:embed="rId21"/>
                              <a:stretch/>
                            </pic:blipFill>
                            <pic:spPr bwMode="auto">
                              <a:xfrm flipH="0" flipV="0">
                                <a:off x="0" y="0"/>
                                <a:ext cx="2560419" cy="19203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1.61pt;height:151.2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74640" cy="200598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071313" name=""/>
                              <pic:cNvPicPr>
                                <a:picLocks noChangeAspect="1"/>
                              </pic:cNvPicPr>
                              <pic:nvPr/>
                            </pic:nvPicPr>
                            <pic:blipFill rotWithShape="1">
                              <a:blip r:embed="rId22"/>
                              <a:stretch/>
                            </pic:blipFill>
                            <pic:spPr bwMode="auto">
                              <a:xfrm flipH="0" flipV="0">
                                <a:off x="0" y="0"/>
                                <a:ext cx="2674639" cy="20059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0.60pt;height:157.9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74640" cy="200598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046026" name=""/>
                              <pic:cNvPicPr>
                                <a:picLocks noChangeAspect="1"/>
                              </pic:cNvPicPr>
                              <pic:nvPr/>
                            </pic:nvPicPr>
                            <pic:blipFill rotWithShape="1">
                              <a:blip r:embed="rId23"/>
                              <a:stretch/>
                            </pic:blipFill>
                            <pic:spPr bwMode="auto">
                              <a:xfrm flipH="0" flipV="0">
                                <a:off x="0" y="0"/>
                                <a:ext cx="2674639" cy="20059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0.60pt;height:157.95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28180" cy="197113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405436" name=""/>
                              <pic:cNvPicPr>
                                <a:picLocks noChangeAspect="1"/>
                              </pic:cNvPicPr>
                              <pic:nvPr/>
                            </pic:nvPicPr>
                            <pic:blipFill rotWithShape="1">
                              <a:blip r:embed="rId24"/>
                              <a:stretch/>
                            </pic:blipFill>
                            <pic:spPr bwMode="auto">
                              <a:xfrm flipH="0" flipV="0">
                                <a:off x="0" y="0"/>
                                <a:ext cx="2628179" cy="19711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6.94pt;height:155.21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275/2026/0728/VFI-BC.48.</w:t>
      </w:r>
      <w:r>
        <w:rPr>
          <w:i/>
        </w:rPr>
        <w:t xml:space="preserve">A</w:t>
      </w:r>
      <w:r>
        <w:rPr>
          <w:i/>
          <w:lang w:val="pt-BR"/>
        </w:rPr>
        <w:t xml:space="preserve"> </w:t>
      </w:r>
      <w:r>
        <w:rPr>
          <w:i/>
          <w:lang w:val="pt-BR"/>
        </w:rPr>
        <w:t xml:space="preserve">ngày 14 </w:t>
      </w:r>
      <w:r>
        <w:rPr>
          <w:i/>
          <w:lang w:val="pt-BR"/>
        </w:rPr>
        <w:t xml:space="preserve">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200" w:line="276" w:lineRule="auto"/>
        <w:ind/>
        <w:jc w:val="center"/>
        <w:rPr>
          <w:i/>
          <w:lang w:val="pt-BR"/>
        </w:rPr>
      </w:pPr>
      <w:r>
        <w:rPr>
          <w:i/>
          <w:lang w:val="pt-BR"/>
        </w:rPr>
      </w:r>
      <w:r>
        <mc:AlternateContent>
          <mc:Choice Requires="wpg">
            <w:drawing>
              <wp:inline xmlns:wp="http://schemas.openxmlformats.org/drawingml/2006/wordprocessingDrawing" distT="0" distB="0" distL="0" distR="0">
                <wp:extent cx="5780308" cy="707378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294723" name=""/>
                        <pic:cNvPicPr>
                          <a:picLocks noChangeAspect="1"/>
                        </pic:cNvPicPr>
                        <pic:nvPr/>
                      </pic:nvPicPr>
                      <pic:blipFill rotWithShape="1">
                        <a:blip r:embed="rId25"/>
                        <a:stretch/>
                      </pic:blipFill>
                      <pic:spPr bwMode="auto">
                        <a:xfrm flipH="0" flipV="0">
                          <a:off x="0" y="0"/>
                          <a:ext cx="5780307" cy="70737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55.14pt;height:556.99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bl>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628053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009780" name=""/>
                        <pic:cNvPicPr>
                          <a:picLocks noChangeAspect="1"/>
                        </pic:cNvPicPr>
                        <pic:nvPr/>
                      </pic:nvPicPr>
                      <pic:blipFill rotWithShape="1">
                        <a:blip r:embed="rId26"/>
                        <a:stretch/>
                      </pic:blipFill>
                      <pic:spPr bwMode="auto">
                        <a:xfrm>
                          <a:off x="0" y="0"/>
                          <a:ext cx="6048374" cy="62805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494.53pt;mso-wrap-distance-left:0.00pt;mso-wrap-distance-top:0.00pt;mso-wrap-distance-right:0.00pt;mso-wrap-distance-bottom:0.00pt;z-index:1;" stroked="false">
                <v:imagedata r:id="rId26"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5852872"/>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68407" name=""/>
                        <pic:cNvPicPr>
                          <a:picLocks noChangeAspect="1"/>
                        </pic:cNvPicPr>
                        <pic:nvPr/>
                      </pic:nvPicPr>
                      <pic:blipFill rotWithShape="1">
                        <a:blip r:embed="rId27"/>
                        <a:stretch/>
                      </pic:blipFill>
                      <pic:spPr bwMode="auto">
                        <a:xfrm>
                          <a:off x="0" y="0"/>
                          <a:ext cx="6048374" cy="58528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460.86pt;mso-wrap-distance-left:0.00pt;mso-wrap-distance-top:0.00pt;mso-wrap-distance-right:0.00pt;mso-wrap-distance-bottom:0.00pt;z-index:1;" stroked="false">
                <v:imagedata r:id="rId27"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4205947"/>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47802" name=""/>
                        <pic:cNvPicPr>
                          <a:picLocks noChangeAspect="1"/>
                        </pic:cNvPicPr>
                        <pic:nvPr/>
                      </pic:nvPicPr>
                      <pic:blipFill rotWithShape="1">
                        <a:blip r:embed="rId28"/>
                        <a:stretch/>
                      </pic:blipFill>
                      <pic:spPr bwMode="auto">
                        <a:xfrm>
                          <a:off x="0" y="0"/>
                          <a:ext cx="6048374" cy="42059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331.18pt;mso-wrap-distance-left:0.00pt;mso-wrap-distance-top:0.00pt;mso-wrap-distance-right:0.00pt;mso-wrap-distance-bottom:0.00pt;z-index:1;" stroked="false">
                <v:imagedata r:id="rId28"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4255574"/>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59150" name=""/>
                        <pic:cNvPicPr>
                          <a:picLocks noChangeAspect="1"/>
                        </pic:cNvPicPr>
                        <pic:nvPr/>
                      </pic:nvPicPr>
                      <pic:blipFill rotWithShape="1">
                        <a:blip r:embed="rId29"/>
                        <a:stretch/>
                      </pic:blipFill>
                      <pic:spPr bwMode="auto">
                        <a:xfrm>
                          <a:off x="0" y="0"/>
                          <a:ext cx="6048374" cy="42555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335.08pt;mso-wrap-distance-left:0.00pt;mso-wrap-distance-top:0.00pt;mso-wrap-distance-right:0.00pt;mso-wrap-distance-bottom:0.00pt;z-index:1;" stroked="false">
                <v:imagedata r:id="rId29"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Nguyễn Thị Thùy Dương" w:date="2026-05-16T15:18:15Z" w:initials="NTTD">
    <w:p w14:paraId="00000001" w14:textId="00000001">
      <w:pPr>
        <w:spacing w:line="240" w:after="0" w:lineRule="auto" w:before="0"/>
        <w:ind w:firstLine="0" w:left="0" w:right="0"/>
        <w:jc w:val="left"/>
      </w:pPr>
      <w:r>
        <w:rPr>
          <w:rFonts w:eastAsia="Arial" w:ascii="Arial" w:hAnsi="Arial" w:cs="Arial"/>
          <w:sz w:val="22"/>
        </w:rPr>
        <w:t xml:space="preserve">BS bao nhiêu đát ở, đất cây</w:t>
      </w:r>
    </w:p>
  </w:comment>
</w:comments>
</file>

<file path=word/commentsDocument.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5-16T15:18:15Z" w:initials="NTTD">
    <w:p w14:paraId="00000001" w14:textId="00000001">
      <w:pPr>
        <w:spacing w:line="240" w:after="0" w:lineRule="auto" w:before="0"/>
        <w:ind w:firstLine="0" w:left="0" w:right="0"/>
        <w:jc w:val="left"/>
      </w:pPr>
      <w:r>
        <w:rPr>
          <w:rFonts w:eastAsia="Arial" w:ascii="Arial" w:hAnsi="Arial" w:cs="Arial"/>
          <w:sz w:val="22"/>
        </w:rPr>
        <w:t xml:space="preserve">BS bao nhiêu đát ở, đất cây</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dedDocument.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31B6F8BE" w16cex:dateUtc="2026-05-16T08:18:15Z"/>
</w16cex:commentsExtensible>
</file>

<file path=word/commentsExtensibleDocument.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743B4E4E" w16cex:dateUtc="2026-05-16T08:18:15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31B6F8BE"/>
</w16cid:commentsIds>
</file>

<file path=word/commentsIdsDocument.xml><?xml version="1.0" encoding="utf-8"?>
<w16cid:commentsIds xmlns:mc="http://schemas.openxmlformats.org/markup-compatibility/2006" xmlns:w16cid="http://schemas.microsoft.com/office/word/2016/wordml/cid" mc:Ignorable="w16cid">
  <w16cid:commentId w16cid:paraId="00000001" w16cid:durableId="743B4E4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B1DFB91"/>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505F1135"/>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9">
    <w:nsid w:val="54B320B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peopleDocument.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https://thuvienphapluat.vn/chinh-sach-phap-luat-moi/vn/ho-tro-phap-luat/bat-dong-san/102384/bang-gia-dat-lam-dong-nam-2026-chinh-thuc" TargetMode="External"/><Relationship Id="rId19" Type="http://schemas.openxmlformats.org/officeDocument/2006/relationships/image" Target="media/image4.pn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jpg"/><Relationship Id="rId29" Type="http://schemas.openxmlformats.org/officeDocument/2006/relationships/image" Target="media/image14.jpg"/><Relationship Id="rId30" Type="http://schemas.openxmlformats.org/officeDocument/2006/relationships/comments" Target="comments.xml" /><Relationship Id="rId31" Type="http://schemas.microsoft.com/office/2011/relationships/commentsExtended" Target="commentsExtended.xml" /><Relationship Id="rId32" Type="http://schemas.microsoft.com/office/2018/08/relationships/commentsExtensible" Target="commentsExtensible.xml" /><Relationship Id="rId33" Type="http://schemas.microsoft.com/office/2016/09/relationships/commentsIds" Target="commentsIds.xml" /><Relationship Id="rId34" Type="http://schemas.microsoft.com/office/2011/relationships/people" Target="people.xml" /><Relationship Id="rId35" Type="http://schemas.onlyoffice.com/commentsDocument" Target="commentsDocument.xml" /><Relationship Id="rId36" Type="http://schemas.onlyoffice.com/commentsExtendedDocument" Target="commentsExtendedDocument.xml" /><Relationship Id="rId37" Type="http://schemas.onlyoffice.com/commentsExtensibleDocument" Target="commentsExtensibleDocument.xml" /><Relationship Id="rId38" Type="http://schemas.onlyoffice.com/commentsIdsDocument" Target="commentsIdsDocument.xml" /><Relationship Id="rId39" Type="http://schemas.onlyoffice.com/peopleDocument" Target="peopleDocument.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282</cp:revision>
  <dcterms:created xsi:type="dcterms:W3CDTF">2025-09-15T09:58:00Z</dcterms:created>
  <dcterms:modified xsi:type="dcterms:W3CDTF">2026-05-16T08:44:28Z</dcterms:modified>
</cp:coreProperties>
</file>