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349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349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275/2026/0782/VFI-CT.65.A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Thành Đồng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 tờ bản đồ số - có địa chỉ: Ô TD2- 1, Lô OSL-2, Khu Sun Premier Village, phường Bãi Cháy, thành phố Hạ Long, Quảng Ninh (nay là phường Bãi Cháy, tỉnh Qu</w:t>
                            </w:r>
                            <w:r>
                              <w:rPr>
                                <w:color w:val="000000"/>
                              </w:rPr>
                              <w:t xml:space="preserve">ảng Ninh) theo Giấy chứng nhận</w:t>
                            </w:r>
                            <w:r>
                              <w:rPr>
                                <w:color w:val="000000"/>
                              </w:rPr>
                              <w:t xml:space="preserve"> quyền sử dụng đất quyền sở hữu nhà ở và tài sản khác gắn liền với đất số: CO 037439, số vào sổ cấp GCN: CH37860 do Ủy ban nhân dân thành phố Hạ Long cấp ngày 11/12/2019; Chủ sử dụng đất là Ông:</w:t>
                            </w:r>
                            <w:r>
                              <w:rPr>
                                <w:color w:val="000000"/>
                              </w:rPr>
                              <w:t xml:space="preserve"> Đoàn văn Tuyết và bà Vũ Thị Huệ</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8.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275/2026/0782/VFI-CT.65.A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Thành Đồng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 tờ bản đồ số - có địa chỉ: Ô TD2- 1, Lô OSL-2, Khu Sun Premier Village, phường Bãi Cháy, thành phố Hạ Long, Quảng Ninh (nay là phường Bãi Cháy, tỉnh Qu</w:t>
                      </w:r>
                      <w:r>
                        <w:rPr>
                          <w:color w:val="000000"/>
                        </w:rPr>
                        <w:t xml:space="preserve">ảng Ninh) theo Giấy chứng nhận</w:t>
                      </w:r>
                      <w:r>
                        <w:rPr>
                          <w:color w:val="000000"/>
                        </w:rPr>
                        <w:t xml:space="preserve"> quyền sử dụng đất quyền sở hữu nhà ở và tài sản khác gắn liền với đất số: CO 037439, số vào sổ cấp GCN: CH37860 do Ủy ban nhân dân thành phố Hạ Long cấp ngày 11/12/2019; Chủ sử dụng đất là Ông:</w:t>
                      </w:r>
                      <w:r>
                        <w:rPr>
                          <w:color w:val="000000"/>
                        </w:rPr>
                        <w:t xml:space="preserve"> Đoàn văn Tuyết và bà Vũ Thị Huệ</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right"/>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4-12</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23-26</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27-31</w:t>
            </w:r>
            <w:r>
              <w:rPr>
                <w:b/>
                <w:bCs/>
                <w:color w:val="000000" w:themeColor="text1"/>
              </w:rPr>
            </w:r>
            <w:r>
              <w:rPr>
                <w:b/>
                <w:bCs/>
                <w:color w:val="000000" w:themeColor="text1"/>
              </w:rPr>
            </w:r>
          </w:p>
        </w:tc>
      </w:tr>
    </w:tbl>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958" w:type="dxa"/>
        <w:tblBorders/>
        <w:tblLayout w:type="fixed"/>
        <w:tblLook w:val="04A0" w:firstRow="1" w:lastRow="0" w:firstColumn="1" w:lastColumn="0" w:noHBand="0" w:noVBand="1"/>
      </w:tblPr>
      <w:tblGrid>
        <w:gridCol w:w="29"/>
        <w:gridCol w:w="1559"/>
        <w:gridCol w:w="4252"/>
        <w:gridCol w:w="4118"/>
      </w:tblGrid>
      <w:tr>
        <w:trPr>
          <w:trHeight w:val="1701"/>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370"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21"/>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372"/>
        </w:trPr>
        <w:tc>
          <w:tcPr>
            <w:gridSpan w:val="2"/>
            <w:shd w:val="clear" w:color="auto" w:fill="auto"/>
            <w:tcBorders/>
            <w:tcMar>
              <w:left w:w="108" w:type="dxa"/>
              <w:top w:w="0" w:type="dxa"/>
              <w:right w:w="108" w:type="dxa"/>
              <w:bottom w:w="0" w:type="dxa"/>
            </w:tcMar>
            <w:tcW w:w="5811"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275/2026/0782/VFI-CT.65.A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118" w:type="dxa"/>
            <w:textDirection w:val="lrTb"/>
            <w:noWrap w:val="false"/>
          </w:tcPr>
          <w:p>
            <w:pPr>
              <w:pStyle w:val="1030"/>
              <w:pBdr/>
              <w:spacing w:after="60"/>
              <w:ind w:right="-56"/>
              <w:jc w:val="right"/>
              <w:rPr>
                <w:color w:val="000000" w:themeColor="text1"/>
                <w:sz w:val="24"/>
                <w:szCs w:val="24"/>
              </w:rPr>
            </w:pPr>
            <w:r>
              <w:rPr>
                <w:rStyle w:val="1029"/>
                <w:rFonts w:ascii="Times New Roman" w:hAnsi="Times New Roman"/>
                <w:i/>
                <w:color w:val="000000" w:themeColor="text1"/>
              </w:rPr>
              <w:t xml:space="preserve">TP. Hà Nội</w:t>
            </w:r>
            <w:r>
              <w:rPr>
                <w:rStyle w:val="1029"/>
                <w:rFonts w:ascii="Times New Roman" w:hAnsi="Times New Roman"/>
                <w:i/>
                <w:color w:val="000000" w:themeColor="text1"/>
                <w:lang w:val="vi-VN"/>
              </w:rPr>
              <w:t xml:space="preserve">, </w:t>
            </w:r>
            <w:r>
              <w:rPr>
                <w:rStyle w:val="1029"/>
                <w:rFonts w:ascii="Times New Roman" w:hAnsi="Times New Roman"/>
                <w:i/>
                <w:color w:val="000000" w:themeColor="text1"/>
                <w:lang w:val="vi-VN"/>
              </w:rPr>
              <w:t xml:space="preserve">ngày 25 tháng 5 năm 2026</w:t>
            </w:r>
            <w:r>
              <w:rPr>
                <w:color w:val="000000" w:themeColor="text1"/>
                <w:sz w:val="24"/>
                <w:szCs w:val="24"/>
              </w:rPr>
            </w:r>
            <w:r>
              <w:rPr>
                <w:color w:val="000000" w:themeColor="text1"/>
                <w:sz w:val="24"/>
                <w:szCs w:val="24"/>
              </w:rPr>
            </w:r>
          </w:p>
        </w:tc>
      </w:tr>
    </w:tbl>
    <w:p>
      <w:pPr>
        <w:pStyle w:val="1030"/>
        <w:pBdr/>
        <w:spacing w:after="120" w:before="200" w:line="288" w:lineRule="auto"/>
        <w:ind/>
        <w:jc w:val="center"/>
        <w:rPr>
          <w:rStyle w:val="1029"/>
          <w:rFonts w:ascii="Times New Roman" w:hAnsi="Times New Roman"/>
          <w:b/>
          <w:bCs/>
          <w:color w:val="000000" w:themeColor="text1"/>
          <w:sz w:val="30"/>
          <w:szCs w:val="30"/>
        </w:rPr>
      </w:pPr>
      <w:r>
        <w:rPr>
          <w:rStyle w:val="1029"/>
          <w:rFonts w:ascii="Times New Roman" w:hAnsi="Times New Roman"/>
          <w:b/>
          <w:bCs/>
          <w:color w:val="000000" w:themeColor="text1"/>
          <w:sz w:val="30"/>
          <w:szCs w:val="30"/>
          <w:lang w:val="vi-VN"/>
        </w:rPr>
        <w:t xml:space="preserve">CHỨNG THƯ THẨM ĐỊNH GIÁ</w:t>
      </w:r>
      <w:r>
        <w:rPr>
          <w:rStyle w:val="1029"/>
          <w:rFonts w:ascii="Times New Roman" w:hAnsi="Times New Roman"/>
          <w:b/>
          <w:bCs/>
          <w:color w:val="000000" w:themeColor="text1"/>
          <w:sz w:val="30"/>
          <w:szCs w:val="30"/>
        </w:rPr>
      </w:r>
      <w:r>
        <w:rPr>
          <w:rStyle w:val="1029"/>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Công ty Cổ phần Thành Đồng</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275/2026/0782/VFI-HĐTĐ.65.A</w:t>
      </w:r>
      <w:r>
        <w:rPr>
          <w:color w:val="000000" w:themeColor="text1"/>
          <w:spacing w:val="-4"/>
          <w:lang w:val="vi-VN"/>
        </w:rPr>
        <w:t xml:space="preserve"> ký ngày </w:t>
      </w:r>
      <w:r>
        <w:rPr>
          <w:color w:val="000000" w:themeColor="text1"/>
          <w:spacing w:val="-4"/>
        </w:rPr>
        <w:t xml:space="preserve">22 tháng 5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Công ty Cổ phần Thành Đồng</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275/2026/0782/VFI-BC.65.A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25 tháng 5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b/>
                <w:bCs/>
                <w:color w:val="000000" w:themeColor="text1"/>
              </w:rPr>
            </w:pPr>
            <w:r>
              <w:rPr>
                <w:b/>
                <w:bCs/>
                <w:color w:val="000000" w:themeColor="text1"/>
              </w:rPr>
            </w:r>
            <w:r>
              <w:rPr>
                <w:b/>
                <w:bCs/>
                <w:color w:val="000000" w:themeColor="text1"/>
                <w:spacing w:val="-4"/>
              </w:rPr>
              <w:t xml:space="preserve">Công ty Cổ phần Thành Đồng</w:t>
            </w:r>
            <w:r>
              <w:rPr>
                <w:b/>
                <w:bCs/>
                <w:color w:val="000000" w:themeColor="text1"/>
              </w:rPr>
            </w:r>
            <w:r>
              <w:rPr>
                <w:b/>
                <w:bCs/>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MST</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5700428488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248" w:type="pct"/>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3643" w:type="pct"/>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Khu Bình Sơn Tây, Phường An Sinh, Tỉnh Quảng Ninh,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Đại diện </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Đoàn Văn Tuyết</w:t>
            </w:r>
            <w:r>
              <w:rPr>
                <w:color w:val="000000" w:themeColor="text1"/>
              </w:rPr>
            </w:r>
            <w:r>
              <w:rPr>
                <w:color w:val="000000" w:themeColor="text1"/>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rPr>
            </w:pPr>
            <w:r>
              <w:rPr>
                <w:bCs/>
                <w:color w:val="000000" w:themeColor="text1"/>
                <w:lang w:val="pt-BR"/>
              </w:rPr>
              <w:t xml:space="preserve">Chức vụ</w:t>
            </w:r>
            <w:r>
              <w:rPr>
                <w:bCs/>
                <w:color w:val="000000" w:themeColor="text1"/>
              </w:rPr>
            </w:r>
            <w:r>
              <w:rPr>
                <w:bCs/>
                <w:color w:val="000000" w:themeColor="text1"/>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vMerge w:val="restart"/>
            <w:textDirection w:val="lrTb"/>
            <w:noWrap w:val="false"/>
          </w:tcPr>
          <w:p>
            <w:pPr>
              <w:pBdr/>
              <w:spacing w:after="40" w:before="40" w:line="276" w:lineRule="auto"/>
              <w:ind/>
              <w:jc w:val="both"/>
              <w:rPr>
                <w:color w:val="000000" w:themeColor="text1"/>
              </w:rPr>
            </w:pPr>
            <w:r>
              <w:rPr>
                <w:color w:val="000000" w:themeColor="text1"/>
                <w:lang w:val="vi-VN"/>
              </w:rPr>
              <w:t xml:space="preserve">Chủ tịch Hội đồng quản trị kiêm Tổng Giám đốc</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r>
            <w:r>
              <w:rPr>
                <w:b/>
                <w:bCs/>
                <w:color w:val="000000" w:themeColor="text1"/>
              </w:rPr>
            </w:r>
            <w:r>
              <w:rPr>
                <w:b/>
                <w:bCs/>
                <w:color w:val="000000" w:themeColor="text1"/>
              </w:rPr>
            </w:r>
          </w:p>
        </w:tc>
      </w:tr>
      <w:tr>
        <w:trPr>
          <w:trHeight w:val="20"/>
        </w:trPr>
        <w:tc>
          <w:tcPr>
            <w:tcBorders/>
            <w:tcW w:w="226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8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vMerge w:val="restart"/>
            <w:textDirection w:val="lrTb"/>
            <w:noWrap w:val="false"/>
          </w:tcPr>
          <w:p>
            <w:pPr>
              <w:pBdr/>
              <w:spacing w:after="40" w:before="40" w:line="276" w:lineRule="auto"/>
              <w:ind/>
              <w:rPr>
                <w:b/>
                <w:bCs/>
                <w:color w:val="000000" w:themeColor="text1"/>
              </w:rPr>
            </w:pPr>
            <w:r>
              <w:rPr>
                <w:b/>
                <w:bCs/>
                <w:color w:val="000000" w:themeColor="text1"/>
                <w:lang w:val="vi-VN"/>
              </w:rPr>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 tờ bản đồ số - có địa chỉ: Ô TD2- 1, Lô OSL-2, Khu Sun Premier Village, phường Bãi Cháy, thành phố Hạ Long, Quảng Ninh (nay là phường Bãi Cháy, tỉnh Qu</w:t>
      </w:r>
      <w:r>
        <w:rPr>
          <w:color w:val="000000" w:themeColor="text1"/>
        </w:rPr>
        <w:t xml:space="preserve">ảng Ninh) theo Giấy chứng nhận quyền sử dụng đất quyền sở hữu nhà ở và tài sản khác gắn liền với đất số: CO 037439, số vào sổ cấp GCN: CH37860 do Ủy ban nhân dân thành phố Hạ Long cấp ngày 11/12/2019; Chủ sử dụng đất là Ông: Đoàn văn Tuyết và bà Vũ Thị Huệ</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05/2026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49"/>
        <w:gridCol w:w="1611"/>
        <w:gridCol w:w="1671"/>
        <w:gridCol w:w="1708"/>
        <w:gridCol w:w="1417"/>
        <w:gridCol w:w="2269"/>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4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7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Diện tích (m²)</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Đơn giá (đồng/m²)</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Tỷ lệ chát lượng còn lại</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Thành tiền (đồng)</w:t>
            </w:r>
            <w:r>
              <w:rPr>
                <w:color w:val="000000" w:themeColor="text1"/>
              </w:rPr>
            </w:r>
            <w:r>
              <w:rPr>
                <w:color w:val="000000" w:themeColor="text1"/>
              </w:rPr>
            </w:r>
          </w:p>
        </w:tc>
      </w:tr>
      <w:tr>
        <w:trPr>
          <w:trHeight w:val="195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4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407"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Quyền sử dụng đất tại thửa đất số: -, tờ bản đồ số - có địa chỉ: Ô TD2- 1, Lô OSL-2, Khu Sun Premier Village, phường Bãi Cháy, thành phố Hạ Long, Quảng Ninh (nay là phường Bãi Cháy, tỉnh Quảng Ninh) theo Giấy chứng nhận quyền sử dụng đất quyền sở hữu nhà ở</w:t>
            </w:r>
            <w:r>
              <w:rPr>
                <w:rFonts w:ascii="Times New Roman" w:hAnsi="Times New Roman" w:eastAsia="Times New Roman" w:cs="Times New Roman"/>
                <w:color w:val="000000" w:themeColor="text1"/>
                <w:sz w:val="24"/>
              </w:rPr>
              <w:t xml:space="preserve"> và tài sản khác gắn liền với đất số: CO 037439, số vào sổ cấp GCN: CH37860 do Ủy ban nhân dân thành phố Hạ Long cấp ngày 11/12/2019; Chủ sử dụng đất là Ông: Đoàn văn Tuyết và bà Vũ Thị Huệ</w:t>
            </w:r>
            <w:r>
              <w:rPr>
                <w:rFonts w:ascii="Times New Roman" w:hAnsi="Times New Roman" w:eastAsia="Times New Roman" w:cs="Times New Roman"/>
                <w:b/>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4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1</w:t>
            </w:r>
            <w:r>
              <w:rPr>
                <w:b w:val="0"/>
                <w:bCs w:val="0"/>
                <w:color w:val="000000" w:themeColor="text1"/>
              </w:rPr>
            </w:r>
            <w:r>
              <w:rPr>
                <w:b w:val="0"/>
                <w:bCs w:val="0"/>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1"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4"/>
              </w:rPr>
              <w:t xml:space="preserve">Đất ở tại đô thị</w:t>
            </w:r>
            <w:r>
              <w:rPr>
                <w:b w:val="0"/>
                <w:bCs w:val="0"/>
                <w:color w:val="000000" w:themeColor="text1"/>
              </w:rPr>
            </w:r>
            <w:r>
              <w:rPr>
                <w:b w:val="0"/>
                <w:bCs w:val="0"/>
                <w:color w:val="000000" w:themeColor="text1"/>
              </w:rPr>
            </w:r>
          </w:p>
        </w:tc>
        <w:tc>
          <w:tcPr>
            <w:tcBorders>
              <w:bottom w:val="single" w:color="000000" w:sz="5" w:space="0"/>
              <w:right w:val="single" w:color="000000" w:sz="5" w:space="0"/>
            </w:tcBorders>
            <w:tcMar>
              <w:left w:w="0" w:type="dxa"/>
              <w:top w:w="0" w:type="dxa"/>
              <w:right w:w="0" w:type="dxa"/>
              <w:bottom w:w="0" w:type="dxa"/>
            </w:tcMar>
            <w:tcW w:w="167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316,1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124.000.000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39.196.400.000</w:t>
            </w:r>
            <w:r>
              <w:rPr>
                <w:color w:val="000000" w:themeColor="text1"/>
              </w:rPr>
            </w:r>
            <w:r>
              <w:rPr>
                <w:color w:val="000000" w:themeColor="text1"/>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49"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2</w:t>
            </w:r>
            <w:r>
              <w:rPr>
                <w:b w:val="0"/>
                <w:bCs w:val="0"/>
                <w:color w:val="000000" w:themeColor="text1"/>
              </w:rPr>
            </w:r>
            <w:r>
              <w:rPr>
                <w:b w:val="0"/>
                <w:bCs w:val="0"/>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1"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4"/>
              </w:rPr>
              <w:t xml:space="preserve">Nhà 4 tầng</w:t>
            </w:r>
            <w:r>
              <w:rPr>
                <w:b w:val="0"/>
                <w:bCs w:val="0"/>
                <w:color w:val="000000" w:themeColor="text1"/>
              </w:rPr>
            </w:r>
            <w:r>
              <w:rPr>
                <w:b w:val="0"/>
                <w:bCs w:val="0"/>
                <w:color w:val="000000" w:themeColor="text1"/>
              </w:rPr>
            </w:r>
          </w:p>
        </w:tc>
        <w:tc>
          <w:tcPr>
            <w:tcBorders>
              <w:bottom w:val="single" w:color="000000" w:sz="5" w:space="0"/>
              <w:right w:val="single" w:color="000000" w:sz="5" w:space="0"/>
            </w:tcBorders>
            <w:tcMar>
              <w:left w:w="0" w:type="dxa"/>
              <w:top w:w="0" w:type="dxa"/>
              <w:right w:w="0" w:type="dxa"/>
              <w:bottom w:w="0" w:type="dxa"/>
            </w:tcMar>
            <w:tcW w:w="167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802,35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3.963.286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2.416.756.317</w:t>
            </w:r>
            <w:r>
              <w:rPr>
                <w:color w:val="000000" w:themeColor="text1"/>
              </w:rPr>
            </w:r>
            <w:r>
              <w:rPr>
                <w:color w:val="000000" w:themeColor="text1"/>
              </w:rP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8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TỔNG CỘNG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pPr>
              <w:pBdr/>
              <w:spacing w:after="0" w:before="0" w:line="240" w:lineRule="auto"/>
              <w:ind/>
              <w:jc w:val="center"/>
              <w:rPr>
                <w:b/>
                <w:bCs/>
                <w:color w:val="000000" w:themeColor="text1"/>
              </w:rPr>
            </w:pPr>
            <w:r>
              <w:rPr>
                <w:rFonts w:ascii="Times New Roman" w:hAnsi="Times New Roman" w:eastAsia="Times New Roman" w:cs="Times New Roman"/>
                <w:b/>
                <w:bCs/>
                <w:color w:val="000000" w:themeColor="text1"/>
                <w:sz w:val="24"/>
              </w:rPr>
              <w:t xml:space="preserve">41.613.156.317</w:t>
            </w:r>
            <w:r>
              <w:rPr>
                <w:b/>
                <w:bCs/>
                <w:color w:val="000000" w:themeColor="text1"/>
              </w:rPr>
            </w:r>
            <w:r>
              <w:rPr>
                <w:b/>
                <w:bCs/>
                <w:color w:val="000000" w:themeColor="text1"/>
              </w:rPr>
            </w:r>
          </w:p>
        </w:tc>
      </w:tr>
      <w:tr>
        <w:trPr>
          <w:trHeight w:val="624"/>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8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41.613.200.000</w:t>
            </w:r>
            <w:r>
              <w:rPr>
                <w:color w:val="000000" w:themeColor="text1"/>
              </w:rPr>
            </w:r>
            <w:r>
              <w:rPr>
                <w:color w:val="000000" w:themeColor="text1"/>
              </w:rPr>
            </w:r>
          </w:p>
        </w:tc>
      </w:tr>
      <w:tr>
        <w:trPr>
          <w:trHeight w:val="648"/>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i/>
                <w:color w:val="000000" w:themeColor="text1"/>
                <w:sz w:val="24"/>
              </w:rPr>
              <w:t xml:space="preserve">(Bằng chữ: Bốn mươi mốt tỷ sáu trăm mười ba triệu hai trăm nghìn đồng./.)</w:t>
            </w:r>
            <w:r>
              <w:rPr>
                <w:color w:val="000000" w:themeColor="text1"/>
              </w:rPr>
            </w:r>
            <w:r>
              <w:rPr>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rPr>
      </w:r>
      <w:r>
        <w:rPr>
          <w:rFonts w:eastAsia="Calibri"/>
          <w:b/>
          <w:color w:val="000000" w:themeColor="text1"/>
          <w:spacing w:val="-4"/>
        </w:rPr>
      </w:r>
    </w:p>
    <w:p>
      <w:pPr>
        <w:pBdr/>
        <w:spacing w:after="120" w:before="120" w:line="312" w:lineRule="auto"/>
        <w:ind/>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54"/>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830" w:type="dxa"/>
        <w:tblBorders/>
        <w:tblLayout w:type="fixed"/>
        <w:tblLook w:val="04A0" w:firstRow="1" w:lastRow="0" w:firstColumn="1" w:lastColumn="0" w:noHBand="0" w:noVBand="1"/>
      </w:tblPr>
      <w:tblGrid>
        <w:gridCol w:w="29"/>
        <w:gridCol w:w="1701"/>
        <w:gridCol w:w="3118"/>
        <w:gridCol w:w="4983"/>
      </w:tblGrid>
      <w:tr>
        <w:trPr>
          <w:trHeight w:val="1417"/>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101"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21"/>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255"/>
        </w:trPr>
        <w:tc>
          <w:tcPr>
            <w:gridSpan w:val="2"/>
            <w:shd w:val="clear" w:color="auto" w:fill="auto"/>
            <w:tcBorders/>
            <w:tcMar>
              <w:left w:w="108" w:type="dxa"/>
              <w:top w:w="0" w:type="dxa"/>
              <w:right w:w="108" w:type="dxa"/>
              <w:bottom w:w="0" w:type="dxa"/>
            </w:tcMar>
            <w:tcW w:w="4819"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275/2026/0782/VFI-BC.65.A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83" w:type="dxa"/>
            <w:textDirection w:val="lrTb"/>
            <w:noWrap w:val="false"/>
          </w:tcPr>
          <w:p>
            <w:pPr>
              <w:pStyle w:val="1030"/>
              <w:pBdr/>
              <w:spacing w:after="60"/>
              <w:ind w:right="-56"/>
              <w:jc w:val="right"/>
              <w:rPr>
                <w:color w:val="000000" w:themeColor="text1"/>
                <w:sz w:val="24"/>
                <w:szCs w:val="24"/>
              </w:rPr>
            </w:pPr>
            <w:r>
              <w:rPr>
                <w:rStyle w:val="1029"/>
                <w:rFonts w:ascii="Times New Roman" w:hAnsi="Times New Roman"/>
                <w:i/>
                <w:color w:val="000000" w:themeColor="text1"/>
              </w:rPr>
              <w:t xml:space="preserve">TP. Hà Nội</w:t>
            </w:r>
            <w:r>
              <w:rPr>
                <w:rStyle w:val="1029"/>
                <w:rFonts w:ascii="Times New Roman" w:hAnsi="Times New Roman"/>
                <w:i/>
                <w:color w:val="000000" w:themeColor="text1"/>
                <w:lang w:val="vi-VN"/>
              </w:rPr>
              <w:t xml:space="preserve">, </w:t>
            </w:r>
            <w:r>
              <w:rPr>
                <w:rStyle w:val="1029"/>
                <w:rFonts w:ascii="Times New Roman" w:hAnsi="Times New Roman"/>
                <w:i/>
                <w:color w:val="000000" w:themeColor="text1"/>
                <w:lang w:val="vi-VN"/>
              </w:rPr>
              <w:t xml:space="preserve">ngày 25 tháng 5 năm 2026</w:t>
            </w:r>
            <w:r>
              <w:rPr>
                <w:color w:val="000000" w:themeColor="text1"/>
                <w:sz w:val="24"/>
                <w:szCs w:val="24"/>
              </w:rPr>
            </w:r>
            <w:r>
              <w:rPr>
                <w:color w:val="000000" w:themeColor="text1"/>
                <w:sz w:val="24"/>
                <w:szCs w:val="24"/>
              </w:rPr>
            </w:r>
          </w:p>
        </w:tc>
      </w:tr>
    </w:tbl>
    <w:p>
      <w:pPr>
        <w:pStyle w:val="1030"/>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10"/>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275/2026/0782/VFI-CT.65.A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5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10"/>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r>
            <w:r>
              <w:rPr>
                <w:b/>
                <w:bCs/>
                <w:color w:val="000000" w:themeColor="text1"/>
              </w:rPr>
            </w:r>
            <w:r>
              <w:rPr>
                <w:b/>
                <w:bCs/>
                <w:color w:val="000000" w:themeColor="text1"/>
              </w:rPr>
            </w:r>
          </w:p>
        </w:tc>
      </w:tr>
      <w:tr>
        <w:trPr>
          <w:trHeight w:val="20"/>
        </w:trPr>
        <w:tc>
          <w:tcPr>
            <w:tcBorders/>
            <w:tcW w:w="2552"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8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vMerge w:val="restart"/>
            <w:textDirection w:val="lrTb"/>
            <w:noWrap w:val="false"/>
          </w:tcPr>
          <w:p>
            <w:pPr>
              <w:pBdr/>
              <w:spacing w:after="40" w:before="40" w:line="276" w:lineRule="auto"/>
              <w:ind/>
              <w:rPr>
                <w:b/>
                <w:bCs/>
                <w:color w:val="000000" w:themeColor="text1"/>
              </w:rPr>
            </w:pPr>
            <w:r>
              <w:rPr>
                <w:b/>
                <w:bCs/>
                <w:color w:val="000000" w:themeColor="text1"/>
                <w:lang w:val="vi-VN"/>
              </w:rPr>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31"/>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b/>
                <w:bCs/>
                <w:color w:val="000000" w:themeColor="text1"/>
              </w:rPr>
            </w:pPr>
            <w:r>
              <w:rPr>
                <w:b/>
                <w:bCs/>
                <w:color w:val="000000" w:themeColor="text1"/>
              </w:rPr>
            </w:r>
            <w:r>
              <w:rPr>
                <w:b/>
                <w:bCs/>
                <w:color w:val="000000" w:themeColor="text1"/>
                <w:spacing w:val="-4"/>
              </w:rPr>
              <w:t xml:space="preserve">Công ty Cổ phần Thành Đồng</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MST</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5700428488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5"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2"/>
                <w:sz w:val="24"/>
                <w:szCs w:val="24"/>
                <w:highlight w:val="white"/>
              </w:rPr>
              <w:t xml:space="preserve">Khu Bình Sơn Tây, Phường An Sinh, Tỉnh Quảng Ninh,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rPr>
            </w:pPr>
            <w:r>
              <w:rPr>
                <w:bCs/>
                <w:color w:val="000000" w:themeColor="text1"/>
                <w:lang w:val="pt-BR"/>
              </w:rPr>
              <w:t xml:space="preserve">Đại diện </w:t>
            </w:r>
            <w:r>
              <w:rPr>
                <w:bCs/>
                <w:color w:val="000000" w:themeColor="text1"/>
              </w:rPr>
            </w:r>
            <w:r>
              <w:rPr>
                <w:bCs/>
                <w:color w:val="000000" w:themeColor="text1"/>
              </w:rPr>
            </w:r>
          </w:p>
        </w:tc>
        <w:tc>
          <w:tcPr>
            <w:tcBorders/>
            <w:tcW w:w="284" w:type="dxa"/>
            <w:vAlign w:val="center"/>
            <w:vMerge w:val="restart"/>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vMerge w:val="restart"/>
            <w:textDirection w:val="lrTb"/>
            <w:noWrap w:val="false"/>
          </w:tcPr>
          <w:p>
            <w:pPr>
              <w:pBdr/>
              <w:spacing w:after="40" w:before="40" w:line="276" w:lineRule="auto"/>
              <w:ind/>
              <w:jc w:val="both"/>
              <w:rPr>
                <w:color w:val="000000" w:themeColor="text1"/>
              </w:rPr>
            </w:pPr>
            <w:r>
              <w:rPr>
                <w:color w:val="000000" w:themeColor="text1"/>
                <w:lang w:val="vi-VN"/>
              </w:rPr>
              <w:t xml:space="preserve">Đoàn Văn Tuyết</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Chức vụ</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Chủ tịch Hội đồng quản trị kiêm Tổng Giám đốc</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 tờ bản đồ số - có địa chỉ: Ô TD2- 1, Lô OSL-2, Khu Sun Premier Village, phường Bãi Cháy, thành phố Hạ Long, Quảng Ninh (nay là phường Bãi Cháy, tỉnh Qu</w:t>
            </w:r>
            <w:r>
              <w:rPr>
                <w:bCs/>
                <w:color w:val="000000" w:themeColor="text1"/>
                <w:lang w:val="pt-BR"/>
              </w:rPr>
              <w:t xml:space="preserve">ảng Ninh) theo Giấy chứng nhận quyền sử dụng đất quyền sở hữu nhà ở và tài sản khác gắn liền với đất số: CO 037439, số vào sổ cấp GCN: CH37860 do Ủy ban nhân dân thành phố Hạ Long cấp ngày 11/12/2019; Chủ sử dụng đất là Ông: Đoàn văn Tuyết và bà Vũ Thị Huệ</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05/2026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Ô TD2 - 1 Lô OSL - 2 khu Sun Premier Village phường Bãi Cháy thành phố Hạ Long tỉnh Quảng Ninh</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20.945912, 107.030527</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22/05/2026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31"/>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31"/>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31"/>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31"/>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3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31"/>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31"/>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3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31"/>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31"/>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31"/>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31"/>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nhà ở và tài sản khác gắn liền với đất số: CO 037439, số vào sổ cấp GCN: CH37860 do Ủy ban nhân dân thành phố Hạ Long cấp ngày 11/12/2019; Chủ sử dụng đất là Ông: Đoàn văn Tuyết và bà Vũ Thị Huệ</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31"/>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275/2026/0782/VFI-HĐTĐ.65.A ngày 22/05/2026 giữa Công ty Cổ phần Thành Đồng với Công ty Cổ phần Thẩm định và Đầu tư Tài chính Hoa Sen.</w:t>
      </w:r>
      <w:r>
        <w:rPr>
          <w:b/>
          <w:color w:val="000000" w:themeColor="text1"/>
        </w:rPr>
      </w:r>
      <w:r>
        <w:rPr>
          <w:b/>
          <w:color w:val="000000" w:themeColor="text1"/>
        </w:rPr>
      </w:r>
    </w:p>
    <w:p>
      <w:pPr>
        <w:pStyle w:val="1031"/>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shd w:val="clear" w:color="auto" w:fill="ffffff"/>
        </w:rPr>
        <w:t xml:space="preserve">Khi Hạ Long bước vào chu kỳ phát triển mới với sự xuất hiện của nhiều dự</w:t>
      </w:r>
      <w:r>
        <w:rPr>
          <w:color w:val="000000" w:themeColor="text1"/>
          <w:shd w:val="clear" w:color="auto" w:fill="ffffff"/>
        </w:rPr>
        <w:t xml:space="preserve"> án quy mô lớn, dữ liệu thị trường cho thấy giá trị bất động sản đang tập trung rõ hơn ở những khu vực đã hình thành hệ sinh thái vận hành thực.</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Báo cáo mới nhất về thị trường bất động sản Quảng Ninh do Batdongsan.com.vn, thành viên PropertyGuru Group, thự</w:t>
      </w:r>
      <w:r>
        <w:rPr>
          <w:color w:val="000000" w:themeColor="text1"/>
          <w:shd w:val="clear" w:color="auto" w:fill="ffffff"/>
        </w:rPr>
        <w:t xml:space="preserve">c hiện cho thấy bức tranh đáng chú ý: Trong khi nhiều thị trường du lịch biển đã thiết lập mặt bằng giá cao hơn sau các chu kỳ tăng trưởng trước, Hạ Long vẫn còn dư địa nhất định, đặc biệt tại những khu vực đã có cộng đồng cư dân, dịch vụ, tiện ích và khả </w:t>
      </w:r>
      <w:r>
        <w:rPr>
          <w:color w:val="000000" w:themeColor="text1"/>
          <w:shd w:val="clear" w:color="auto" w:fill="ffffff"/>
        </w:rPr>
        <w:t xml:space="preserve">năng vận hành thực tế.</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Theo báo cáo, pháp lý, kinh tế và hạ tầng tiếp tục là ba động lực chính thúc đẩy thị trường Quảng Ninh trong năm 2026. Trong đó, du lịch là một chỉ báo quan trọng. Năm 2025, Quảng Ninh ghi nhận khoảng 21,3 triệu lượt khách, trong đó </w:t>
      </w:r>
      <w:r>
        <w:rPr>
          <w:color w:val="000000" w:themeColor="text1"/>
          <w:shd w:val="clear" w:color="auto" w:fill="ffffff"/>
        </w:rPr>
        <w:t xml:space="preserve">khách quốc tế đạt khoảng 4,5 triệu lượt. Tổng doanh thu du lịch đạt khoảng 57,1 nghìn tỷ đồng. Đây là nền tảng cho các sản phẩm bất động sản gắn với lưu trú, nghỉ dưỡng, thương mại và dịch vụ.</w:t>
      </w:r>
      <w:r>
        <w:rPr>
          <w:color w:val="000000" w:themeColor="text1"/>
        </w:rPr>
      </w:r>
      <w:r>
        <w:rPr>
          <w:color w:val="000000" w:themeColor="text1"/>
        </w:rPr>
      </w:r>
    </w:p>
    <w:p>
      <w:pPr>
        <w:pBdr/>
        <w:tabs>
          <w:tab w:val="left" w:leader="none" w:pos="426"/>
        </w:tabs>
        <w:spacing w:after="120" w:before="120" w:line="276" w:lineRule="auto"/>
        <w:ind/>
        <w:jc w:val="both"/>
        <w:rPr>
          <w:bCs/>
          <w:i/>
          <w:color w:val="000000" w:themeColor="text1"/>
        </w:rPr>
      </w:pPr>
      <w:r>
        <w:rPr>
          <w:i/>
          <w:iCs/>
          <w:color w:val="000000" w:themeColor="text1"/>
          <w:shd w:val="clear" w:color="auto" w:fill="ffffff"/>
        </w:rPr>
        <w:t xml:space="preserve">Mặt bằng giá còn dư địa trong tương quan với các thị trường biể</w:t>
      </w:r>
      <w:r>
        <w:rPr>
          <w:i/>
          <w:iCs/>
          <w:color w:val="000000" w:themeColor="text1"/>
          <w:shd w:val="clear" w:color="auto" w:fill="ffffff"/>
        </w:rPr>
        <w:t xml:space="preserve">n khác</w:t>
      </w:r>
      <w:r>
        <w:rPr>
          <w:bCs/>
          <w:i/>
          <w:color w:val="000000" w:themeColor="text1"/>
        </w:rPr>
      </w:r>
      <w:r>
        <w:rPr>
          <w:bCs/>
          <w:i/>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Một điểm đáng chú ý trong báo cáo là trong hai năm qua, một số thành phố du lịch biển như Đà Nẵng, Vũng Tàu hay Khánh Hòa ghi nhận tốc độ tăng nguồn cung và mặt bằng giá nhanh hơn so với Quảng Ninh. Điều này đặt Hạ Long vào vị thế còn dư địa tái địn</w:t>
      </w:r>
      <w:r>
        <w:rPr>
          <w:color w:val="000000" w:themeColor="text1"/>
          <w:shd w:val="clear" w:color="auto" w:fill="ffffff"/>
        </w:rPr>
        <w:t xml:space="preserve">h giá, nhất là khi nền tảng du lịch, hạ tầng và dòng khách tiếp tục được củng cố.</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bối cảnh các nguồn cung mới đang góp phần thiết lập mặt bằng giá kỳ vọng cao hơn cho thị trường, lợi thế của Hạ Long không chỉ nằm ở khoảng cách giá so với các thị trườ</w:t>
      </w:r>
      <w:r>
        <w:rPr>
          <w:color w:val="000000" w:themeColor="text1"/>
          <w:shd w:val="clear" w:color="auto" w:fill="ffffff"/>
        </w:rPr>
        <w:t xml:space="preserve">ng nói trên, mà còn ở khả năng chuyển hóa dòng khách và hạ tầng thành giá trị vận hành thực. Đây là điểm khác biệt của chu kỳ mới: Thị trường không chỉ nhìn vào quy mô dự án hay kỳ vọng tương lai, mà bắt đầu định giá cao hơn những khu vực đã có cộng đồng, </w:t>
      </w:r>
      <w:r>
        <w:rPr>
          <w:color w:val="000000" w:themeColor="text1"/>
          <w:shd w:val="clear" w:color="auto" w:fill="ffffff"/>
        </w:rPr>
        <w:t xml:space="preserve">dịch vụ, tiện ích và nhịp vận hành ổn định.</w:t>
        <w:br/>
        <w:t xml:space="preserve">Dữ liệu của Batdongsan.com.vn cho thấy thị trường Hạ Long không tăng giá đồng đều mà có sự phân hóa rõ theo khu vực và loại hình sản phẩm. Ở nhóm chung cư, phường Hùng Thắng cũ ghi nhận nhiều dự án có mức tăng gi</w:t>
      </w:r>
      <w:r>
        <w:rPr>
          <w:color w:val="000000" w:themeColor="text1"/>
          <w:shd w:val="clear" w:color="auto" w:fill="ffffff"/>
        </w:rPr>
        <w:t xml:space="preserve">á nổi bật trong giai đoạn 2023 - 2026, như Green Bay Tower và Green Bay Garden cùng tăng 100%, Green Bay Premium tăng 88%.</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Ở nhóm thấp tầng để ở và nghỉ dưỡng, một số dự án tại khu đô thị Halong Marina cũng ghi nhận mặt bằng giá tăng đáng kể qua các năm. G</w:t>
      </w:r>
      <w:r>
        <w:rPr>
          <w:color w:val="000000" w:themeColor="text1"/>
          <w:shd w:val="clear" w:color="auto" w:fill="ffffff"/>
        </w:rPr>
        <w:t xml:space="preserve">rand Bay Halong Villas tăng từ 120 triệu đồng/m2 lên 172 triệu đồng/m2 trong cùng giai đoạn. InterContinental Residences Halong Bay tăng từ 170 triệu đồng/m2 năm 2023 lên 237 triệu đồng/m2 năm 2026.</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Đằng sau sự tăng giá này là quá trình tích lũy giá trị củ</w:t>
      </w:r>
      <w:r>
        <w:rPr>
          <w:color w:val="000000" w:themeColor="text1"/>
          <w:shd w:val="clear" w:color="auto" w:fill="ffffff"/>
        </w:rPr>
        <w:t xml:space="preserve">a một khu vực đã được phát triển và vận hành trong nhiều năm. Từ tháng 7/2025, InterContinental Halong Bay Resort đi vào hoạt động, trở thành khu nghỉ dưỡng biển mang thương hiệu IHG duy nhất tại miền Bắc. Sự hiện diện của thương hiệu quốc tế này không chỉ</w:t>
      </w:r>
      <w:r>
        <w:rPr>
          <w:color w:val="000000" w:themeColor="text1"/>
          <w:shd w:val="clear" w:color="auto" w:fill="ffffff"/>
        </w:rPr>
        <w:t xml:space="preserve"> bổ sung nguồn cung lưu trú cao cấp cho Hạ Long, mà còn góp phần nâng chuẩn trải nghiệm nghỉ dưỡng, làm mới diện mạo Halong Marina và tạo thêm lực hút cho du lịch địa phương.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Những dữ liệu này cho thấy giá trị tại Hạ Long đang có xu hướng tập trung hơn vào</w:t>
      </w:r>
      <w:r>
        <w:rPr>
          <w:color w:val="000000" w:themeColor="text1"/>
          <w:shd w:val="clear" w:color="auto" w:fill="ffffff"/>
        </w:rPr>
        <w:t xml:space="preserve"> các khu vực đã hình thành hệ sinh thái sống, nghỉ dưỡng, thương mại và dịch vụ, thay vì tăng đồng đều theo mặt bằng chung của thị trường.</w:t>
      </w:r>
      <w:r>
        <w:rPr>
          <w:color w:val="000000" w:themeColor="text1"/>
        </w:rPr>
      </w:r>
      <w:r>
        <w:rPr>
          <w:color w:val="000000" w:themeColor="text1"/>
        </w:rPr>
      </w:r>
    </w:p>
    <w:p>
      <w:pPr>
        <w:pBdr/>
        <w:tabs>
          <w:tab w:val="left" w:leader="none" w:pos="426"/>
        </w:tabs>
        <w:spacing w:after="120" w:before="120" w:line="276" w:lineRule="auto"/>
        <w:ind/>
        <w:jc w:val="both"/>
        <w:rPr>
          <w:bCs/>
          <w:i/>
          <w:color w:val="000000" w:themeColor="text1"/>
        </w:rPr>
      </w:pPr>
      <w:r>
        <w:rPr>
          <w:i/>
          <w:iCs/>
          <w:color w:val="000000" w:themeColor="text1"/>
          <w:shd w:val="clear" w:color="auto" w:fill="ffffff"/>
        </w:rPr>
        <w:t xml:space="preserve">Lợi thế của hệ sinh thái đã vận hành</w:t>
      </w:r>
      <w:r>
        <w:rPr>
          <w:bCs/>
          <w:i/>
          <w:color w:val="000000" w:themeColor="text1"/>
        </w:rPr>
      </w:r>
      <w:r>
        <w:rPr>
          <w:bCs/>
          <w:i/>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Halong Marina, khu đô thị biển do BIM Land phát triển, là một lát cắt đáng chú ý</w:t>
      </w:r>
      <w:r>
        <w:rPr>
          <w:color w:val="000000" w:themeColor="text1"/>
          <w:shd w:val="clear" w:color="auto" w:fill="ffffff"/>
        </w:rPr>
        <w:t xml:space="preserve">. Khác với các dự án mới đang trong giai đoạn định hình kỳ vọng, khu đô thị này đã trải qua quá trình phát triển, từng bước hình thành một hệ sinh thái ven vịnh với các chức năng sống, nghỉ dưỡng, thương mại, dịch vụ và giải trí.</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Tại đây, giá trị bất động </w:t>
      </w:r>
      <w:r>
        <w:rPr>
          <w:color w:val="000000" w:themeColor="text1"/>
          <w:shd w:val="clear" w:color="auto" w:fill="ffffff"/>
        </w:rPr>
        <w:t xml:space="preserve">sản không chỉ đến từ vị trí, mà từ sự cộng hưởng của nhiều lớp tiện ích và hoạt động đã hiện hữu: Cộng đồng cư dân, hệ thống lưu trú, căn hộ, biệt thự nghỉ dưỡng, trường học, thương mại, quảng trường biển, các hoạt động điểm đến và chuỗi dịch vụ phục vụ cả</w:t>
      </w:r>
      <w:r>
        <w:rPr>
          <w:color w:val="000000" w:themeColor="text1"/>
          <w:shd w:val="clear" w:color="auto" w:fill="ffffff"/>
        </w:rPr>
        <w:t xml:space="preserve"> cư dân lẫn du khách.</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bất động sản ven biển, "có biển" là điều kiện đầu vào. Nhưng để tạo ra giá trị bền vững, một khu vực cần có người ở, khách đến, dịch vụ vận hành và nhịp sống đủ đều để không phụ thuộc hoàn toàn vào mùa du lịch. Đây là những yếu tố</w:t>
      </w:r>
      <w:r>
        <w:rPr>
          <w:color w:val="000000" w:themeColor="text1"/>
          <w:shd w:val="clear" w:color="auto" w:fill="ffffff"/>
        </w:rPr>
        <w:t xml:space="preserve"> không thể hình thành chỉ bằng một đợt mở bán hay một chiến dịch truyền thông.</w:t>
      </w:r>
      <w:r>
        <w:rPr>
          <w:color w:val="000000" w:themeColor="text1"/>
        </w:rPr>
      </w:r>
      <w:r>
        <w:rPr>
          <w:color w:val="000000" w:themeColor="text1"/>
        </w:rPr>
      </w:r>
    </w:p>
    <w:p>
      <w:pPr>
        <w:pBdr/>
        <w:tabs>
          <w:tab w:val="left" w:leader="none" w:pos="426"/>
        </w:tabs>
        <w:spacing w:after="120" w:before="120" w:line="276" w:lineRule="auto"/>
        <w:ind/>
        <w:jc w:val="both"/>
        <w:rPr>
          <w:bCs/>
          <w:i/>
          <w:color w:val="000000" w:themeColor="text1"/>
        </w:rPr>
      </w:pPr>
      <w:r>
        <w:rPr>
          <w:i/>
          <w:iCs/>
          <w:color w:val="000000" w:themeColor="text1"/>
          <w:shd w:val="clear" w:color="auto" w:fill="ffffff"/>
        </w:rPr>
        <w:t xml:space="preserve">Từ giá trị đã kiểm chứng đến chu kỳ sản phẩm mới</w:t>
      </w:r>
      <w:r>
        <w:rPr>
          <w:bCs/>
          <w:i/>
          <w:color w:val="000000" w:themeColor="text1"/>
        </w:rPr>
      </w:r>
      <w:r>
        <w:rPr>
          <w:bCs/>
          <w:i/>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Gắn bó lâu dài với Hạ Long, thay vì phát triển các dự án đơn lẻ, BIM Land theo đuổi mô hình điểm đến tích hợp, nơi bất động sản </w:t>
      </w:r>
      <w:r>
        <w:rPr>
          <w:color w:val="000000" w:themeColor="text1"/>
          <w:shd w:val="clear" w:color="auto" w:fill="ffffff"/>
        </w:rPr>
        <w:t xml:space="preserve">được đặt trong một hệ sinh thái đô thị - du lịch - thương mại có khả năng vận hành thực.</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Sau các lớp sản phẩm đã hình thành tại Halong Marina, năm 2026, BIM Land tiếp tục giới thiệu những nguồn cung mới tại khu đô thị này, trong đó có Prima Bay, tòa tháp đ</w:t>
      </w:r>
      <w:r>
        <w:rPr>
          <w:color w:val="000000" w:themeColor="text1"/>
          <w:shd w:val="clear" w:color="auto" w:fill="ffffff"/>
        </w:rPr>
        <w:t xml:space="preserve">ược phát triển tại cửa ngõ bán đảo 1. Sự xuất hiện của Prima Bay không chỉ bổ sung thêm sản phẩm căn hộ lưu trú cho thị trường Hạ Long, mà còn nối tiếp quá trình hoàn thiện hệ sinh thái đô thị trung tâm bên vịnh biển mà BIM Land theo đuổi.</w:t>
      </w:r>
      <w:r>
        <w:rPr>
          <w:color w:val="000000" w:themeColor="text1"/>
        </w:rPr>
      </w:r>
      <w:r>
        <w:rPr>
          <w:color w:val="000000" w:themeColor="text1"/>
        </w:rPr>
      </w:r>
    </w:p>
    <w:p>
      <w:pPr>
        <w:pBdr/>
        <w:tabs>
          <w:tab w:val="left" w:leader="none" w:pos="426"/>
          <w:tab w:val="right" w:leader="none" w:pos="9525"/>
        </w:tabs>
        <w:spacing w:after="120" w:before="120" w:line="276" w:lineRule="auto"/>
        <w:ind/>
        <w:jc w:val="both"/>
        <w:rPr>
          <w:bCs/>
          <w:i/>
          <w:color w:val="000000" w:themeColor="text1"/>
        </w:rPr>
      </w:pPr>
      <w:r>
        <w:rPr>
          <w:color w:val="000000" w:themeColor="text1"/>
          <w:shd w:val="clear" w:color="auto" w:fill="ffffff"/>
        </w:rPr>
        <w:t xml:space="preserve">Trong bối cảnh H</w:t>
      </w:r>
      <w:r>
        <w:rPr>
          <w:color w:val="000000" w:themeColor="text1"/>
          <w:shd w:val="clear" w:color="auto" w:fill="ffffff"/>
        </w:rPr>
        <w:t xml:space="preserve">ạ Long tiếp tục được làm nóng bởi các dự án quy mô lớn và kỳ vọng hạ tầng, dữ liệu đang gợi mở một hướng nhìn khác: giá trị không chỉ nằm ở những gì được công bố cho tương lai, mà còn ở những khu vực đã có đời sống, vận hành và tăng trưởng được chứng minh.</w:t>
      </w:r>
      <w:r>
        <w:rPr>
          <w:color w:val="000000" w:themeColor="text1"/>
        </w:rPr>
        <w:tab/>
      </w:r>
      <w:r>
        <w:rPr>
          <w:bCs/>
          <w:i/>
          <w:color w:val="000000" w:themeColor="text1"/>
        </w:rPr>
      </w:r>
      <w:r>
        <w:rPr>
          <w:bCs/>
          <w:i/>
          <w:color w:val="000000" w:themeColor="text1"/>
        </w:rPr>
      </w:r>
    </w:p>
    <w:p>
      <w:pPr>
        <w:pStyle w:val="1031"/>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tại thửa đất số: -, tờ bản đồ số - có địa chỉ: Ô TD2- 1, Lô OSL-2, Khu Sun Premier Village, phường Bãi Cháy, thành phố Hạ Long, Quảng Ninh (nay là phường Bãi Cháy, tỉnh Qu</w:t>
            </w:r>
            <w:r>
              <w:rPr>
                <w:b/>
                <w:bCs/>
                <w:color w:val="000000" w:themeColor="text1"/>
              </w:rPr>
              <w:t xml:space="preserve">ảng Ninh) theo Giấy chứng nhận quyền sử dụng đất quyền sở hữu nhà ở và tài sản khác gắn liền với đất số: CO 037439, số vào sổ cấp GCN: CH37860 do Ủy ban nhân dân thành phố Hạ Long cấp ngày 11/12/2019; Chủ sử dụng đất là Ông: Đoàn văn Tuyết và bà Vũ Thị Huệ</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Ô TD2- 1, Lô OSL-2, Khu Sun Premier Village, phường Bãi Cháy, thành phố Hạ Long, Quảng Ninh (nay là phường Bãi Cháy, tỉnh Quảng Ninh)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316,1</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Nguồn gốc sử dụng đất:</w:t>
            </w:r>
            <w:r>
              <w:rPr>
                <w:color w:val="000000" w:themeColor="text1"/>
              </w:rPr>
            </w:r>
            <w:r>
              <w:rPr>
                <w:color w:val="000000" w:themeColor="text1"/>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color w:val="000000" w:themeColor="text1"/>
              </w:rPr>
            </w:pPr>
            <w:r>
              <w:rPr>
                <w:rFonts w:ascii="Times New Roman" w:hAnsi="Times New Roman" w:eastAsia="Times New Roman" w:cs="Times New Roman"/>
                <w:color w:val="000000" w:themeColor="text1"/>
                <w:sz w:val="24"/>
              </w:rPr>
              <w:t xml:space="preserve">Nhận quyền sử dụng đất do chuyển nhượng quyền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Ghi chú:</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thu thập được các thông tin quy hoạch liên quan đến thửa đất thẩm định giá.</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Đường nhựa có vỉa hè</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1 mặt tiền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color w:val="000000" w:themeColor="text1"/>
              </w:rPr>
            </w:pPr>
            <w:r>
              <w:rPr>
                <w:rFonts w:ascii="Times New Roman" w:hAnsi="Times New Roman" w:eastAsia="Times New Roman" w:cs="Times New Roman"/>
                <w:color w:val="000000" w:themeColor="text1"/>
                <w:sz w:val="24"/>
              </w:rPr>
              <w:t xml:space="preserve">Tài sản tiếp giáp đường Tùng Dương 1, cách đường Hạ Long khoảng 500m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Bắc: Tiếp giáp đường giao thông.</w:t>
              <w:br/>
              <w:t xml:space="preserve">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(20.945912, 107.030527)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415561" cy="292177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27891" name=""/>
                              <pic:cNvPicPr>
                                <a:picLocks noChangeAspect="1"/>
                              </pic:cNvPicPr>
                              <pic:nvPr/>
                            </pic:nvPicPr>
                            <pic:blipFill rotWithShape="1">
                              <a:blip r:embed="rId17"/>
                              <a:stretch/>
                            </pic:blipFill>
                            <pic:spPr bwMode="auto">
                              <a:xfrm flipH="0" flipV="0">
                                <a:off x="0" y="0"/>
                                <a:ext cx="5415561" cy="2921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42pt;height:230.06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316,1</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12</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Hình chữ nhật</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Cấp điện, cấp nước sạch, mạng internet,…hoàn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Đông đúc</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Thích hợp để ở/ kinh doanh</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t xml:space="preserve">+ </w:t>
            </w:r>
            <w:r>
              <w:rPr>
                <w:color w:val="000000" w:themeColor="text1"/>
              </w:rPr>
              <w:t xml:space="preserve">Tại thời điểm khảo sát dưới sự hướng dẫn của Khách hàng, CTXD gắn liền với đất là</w:t>
            </w:r>
            <w:r>
              <w:rPr>
                <w:rFonts w:ascii="Times New Roman" w:hAnsi="Times New Roman" w:eastAsia="Times New Roman" w:cs="Times New Roman"/>
                <w:color w:val="000000" w:themeColor="text1"/>
                <w:sz w:val="24"/>
              </w:rPr>
              <w:t xml:space="preserve"> nhà 4 tầng</w:t>
            </w:r>
            <w:r>
              <w:rPr>
                <w:color w:val="000000" w:themeColor="text1"/>
              </w:rPr>
              <w:t xml:space="preserve">, xây dựng năm 2018, diện tích xây dựng 202,35m², diện tích sàn 802.35m², </w:t>
            </w:r>
            <w:r>
              <w:rPr>
                <w:rFonts w:ascii="Times New Roman" w:hAnsi="Times New Roman" w:eastAsia="Times New Roman" w:cs="Times New Roman"/>
                <w:color w:val="000000" w:themeColor="text1"/>
                <w:sz w:val="24"/>
              </w:rPr>
              <w:t xml:space="preserve">công trình xây thô bên trong, hoàn thiện mặt ngoài.</w:t>
            </w:r>
            <w:r>
              <w:rPr>
                <w:rFonts w:ascii="Times New Roman" w:hAnsi="Times New Roman" w:eastAsia="Times New Roman" w:cs="Times New Roman"/>
                <w:color w:val="000000" w:themeColor="text1"/>
                <w:sz w:val="24"/>
              </w:rPr>
              <w:t xml:space="preserve">Tại thời điểm khảo sát công trình đã được chứng nhận trên giấy chứng nhận quyền sử dụng đất, quyền sở hữu nhà ở và tài sản khác gắn liền với đất số: CO 037439.</w:t>
            </w:r>
            <w:r>
              <w:rPr>
                <w:color w:val="000000" w:themeColor="text1"/>
              </w:rPr>
            </w:r>
            <w:r>
              <w:rPr>
                <w:color w:val="000000" w:themeColor="text1"/>
              </w:rPr>
            </w:r>
          </w:p>
        </w:tc>
      </w:tr>
    </w:tbl>
    <w:p>
      <w:pPr>
        <w:pBdr/>
        <w:spacing/>
        <w:ind/>
        <w:rPr>
          <w:b/>
          <w:bCs/>
          <w:color w:val="000000" w:themeColor="text1"/>
        </w:rPr>
      </w:pPr>
      <w:r>
        <w:rPr>
          <w:b/>
          <w:bCs/>
          <w:color w:val="000000" w:themeColor="text1"/>
        </w:rPr>
      </w:r>
      <w:r>
        <w:rPr>
          <w:b/>
          <w:bCs/>
          <w:color w:val="000000" w:themeColor="text1"/>
        </w:rPr>
      </w:r>
      <w:r>
        <w:rPr>
          <w:b/>
          <w:bCs/>
          <w:color w:val="000000" w:themeColor="text1"/>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982"/>
        <w:gridCol w:w="1276"/>
        <w:gridCol w:w="1702"/>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27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702"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S=0.5ha)&lt;5ha</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5982"/>
        <w:gridCol w:w="1276"/>
        <w:gridCol w:w="1702"/>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1276"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702" w:type="dxa"/>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xung</w:t>
            </w:r>
            <w:r>
              <w:rPr>
                <w:color w:val="000000" w:themeColor="text1"/>
                <w:lang w:eastAsia="ko-KR"/>
              </w:rPr>
              <w:t xml:space="preserve"> :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1276" w:type="dxa"/>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702" w:type="dxa"/>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31"/>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31"/>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31"/>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31"/>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31"/>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31"/>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31"/>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31"/>
        <w:numPr>
          <w:ilvl w:val="0"/>
          <w:numId w:val="3"/>
        </w:numPr>
        <w:pBdr/>
        <w:spacing w:after="60" w:before="60" w:line="276" w:lineRule="auto"/>
        <w:ind/>
        <w:jc w:val="both"/>
        <w:rPr>
          <w:color w:val="000000" w:themeColor="text1"/>
        </w:rPr>
      </w:pPr>
      <w:r>
        <w:rPr>
          <w:i/>
          <w:iCs/>
          <w:color w:val="000000" w:themeColor="text1"/>
          <w:lang w:val="vi-VN"/>
        </w:rPr>
        <w:t xml:space="preserve">Cách tiếp cận từ chi phí</w:t>
      </w:r>
      <w:r>
        <w:rPr>
          <w:i/>
          <w:iCs/>
          <w:color w:val="000000" w:themeColor="text1"/>
        </w:rPr>
        <w:t xml:space="preserve">:</w:t>
      </w:r>
      <w:r>
        <w:rPr>
          <w:i/>
          <w:iCs/>
          <w:color w:val="000000" w:themeColor="text1"/>
          <w:lang w:val="vi-VN"/>
        </w:rPr>
        <w:t xml:space="preserve"> </w:t>
      </w:r>
      <w:r>
        <w:rPr>
          <w:color w:val="000000" w:themeColor="text1"/>
        </w:rPr>
        <w:t xml:space="preserve">L</w:t>
      </w:r>
      <w:r>
        <w:rPr>
          <w:color w:val="000000" w:themeColor="text1"/>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color w:val="000000" w:themeColor="text1"/>
          <w:lang w:val="pt-BR"/>
        </w:rPr>
        <w:t xml:space="preserve">.</w:t>
      </w:r>
      <w:r>
        <w:rPr>
          <w:color w:val="000000" w:themeColor="text1"/>
        </w:rPr>
      </w:r>
      <w:r>
        <w:rPr>
          <w:color w:val="000000" w:themeColor="text1"/>
        </w:rPr>
      </w:r>
    </w:p>
    <w:p>
      <w:pPr>
        <w:pStyle w:val="1031"/>
        <w:numPr>
          <w:ilvl w:val="0"/>
          <w:numId w:val="3"/>
        </w:numPr>
        <w:pBdr/>
        <w:tabs>
          <w:tab w:val="left" w:leader="none" w:pos="993"/>
        </w:tabs>
        <w:spacing w:after="120" w:before="120" w:line="264" w:lineRule="auto"/>
        <w:ind/>
        <w:jc w:val="both"/>
        <w:rPr>
          <w:color w:val="000000" w:themeColor="text1"/>
          <w:spacing w:val="-2"/>
        </w:rPr>
      </w:pPr>
      <w:r>
        <w:rPr>
          <w:i/>
          <w:iCs/>
          <w:color w:val="000000" w:themeColor="text1"/>
          <w:lang w:val="vi-VN"/>
        </w:rPr>
        <w:t xml:space="preserve">Phương pháp chi phí thay thế</w:t>
      </w:r>
      <w:r>
        <w:rPr>
          <w:i/>
          <w:iCs/>
          <w:color w:val="000000" w:themeColor="text1"/>
        </w:rPr>
        <w:t xml:space="preserve">:</w:t>
      </w:r>
      <w:r>
        <w:rPr>
          <w:color w:val="000000" w:themeColor="text1"/>
          <w:lang w:val="vi-VN"/>
        </w:rPr>
        <w:t xml:space="preserve"> </w:t>
      </w:r>
      <w:r>
        <w:rPr>
          <w:color w:val="000000" w:themeColor="text1"/>
        </w:rPr>
        <w:t xml:space="preserve">L</w:t>
      </w:r>
      <w:r>
        <w:rPr>
          <w:color w:val="000000" w:themeColor="text1"/>
          <w:lang w:val="vi-VN"/>
        </w:rPr>
        <w:t xml:space="preserve">à phương pháp thẩm </w:t>
      </w:r>
      <w:r>
        <w:rPr>
          <w:color w:val="000000" w:themeColor="text1"/>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color w:val="000000" w:themeColor="text1"/>
          <w:spacing w:val="-2"/>
          <w:lang w:val="pt-BR"/>
        </w:rPr>
        <w:t xml:space="preserve">.</w:t>
      </w:r>
      <w:r>
        <w:rPr>
          <w:color w:val="000000" w:themeColor="text1"/>
          <w:spacing w:val="-2"/>
        </w:rPr>
      </w:r>
      <w:r>
        <w:rPr>
          <w:color w:val="000000" w:themeColor="text1"/>
          <w:spacing w:val="-2"/>
        </w:rPr>
      </w:r>
    </w:p>
    <w:p>
      <w:pPr>
        <w:pStyle w:val="1031"/>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31"/>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31"/>
        <w:numPr>
          <w:ilvl w:val="0"/>
          <w:numId w:val="3"/>
        </w:numPr>
        <w:pBdr/>
        <w:spacing w:after="120" w:before="120" w:line="276" w:lineRule="auto"/>
        <w:ind/>
        <w:jc w:val="both"/>
        <w:rPr>
          <w:color w:val="000000" w:themeColor="text1"/>
        </w:rPr>
      </w:pPr>
      <w:r>
        <w:rPr>
          <w:color w:val="000000" w:themeColor="text1"/>
          <w:spacing w:val="-4"/>
          <w:lang w:val="pt-BR"/>
        </w:rPr>
        <w:t xml:space="preserve">Đối với công trình xây dựng gắn liền trên đất, tại thời điểm thẩm định giá, qua thu thập thông tin từ thị trường, Tổ thẩm định nh</w:t>
      </w:r>
      <w:r>
        <w:rPr>
          <w:color w:val="000000" w:themeColor="text1"/>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color w:val="000000" w:themeColor="text1"/>
          <w:spacing w:val="-4"/>
          <w:lang w:val="pt-BR"/>
        </w:rPr>
        <w:t xml:space="preserve">tài sản so sánh và </w:t>
      </w:r>
      <w:r>
        <w:rPr>
          <w:color w:val="000000" w:themeColor="text1"/>
          <w:spacing w:val="-4"/>
          <w:lang w:val="pt-BR"/>
        </w:rPr>
        <w:t xml:space="preserve">tài sản thẩm định</w:t>
      </w:r>
      <w:r>
        <w:rPr>
          <w:color w:val="000000" w:themeColor="text1"/>
          <w:spacing w:val="-2"/>
          <w:lang w:val="pt-BR"/>
        </w:rPr>
        <w:t xml:space="preserve">.</w:t>
      </w:r>
      <w:r>
        <w:rPr>
          <w:color w:val="000000" w:themeColor="text1"/>
        </w:rPr>
      </w:r>
      <w:r>
        <w:rPr>
          <w:color w:val="000000" w:themeColor="text1"/>
        </w:rPr>
      </w:r>
    </w:p>
    <w:p>
      <w:pPr>
        <w:pStyle w:val="1031"/>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31"/>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31"/>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color w:val="000000" w:themeColor="text1"/>
        </w:rPr>
      </w:r>
      <w:r>
        <w:rPr>
          <w:bCs/>
          <w:color w:val="000000" w:themeColor="text1"/>
        </w:rPr>
      </w:r>
    </w:p>
    <w:p>
      <w:pPr>
        <w:pStyle w:val="1031"/>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Sun Premier Village, phường Bãi Cháy, thành phố Hạ Long, Quảng Ninh (nay là phường Bãi Cháy, tỉnh Quảng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Sun Premier Village, phường Bãi Cháy, thành phố Hạ Long, Quảng Ninh (nay là phường Bãi Cháy, tỉnh Quảng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Sun Premier Village, phường Bãi Cháy, thành phố Hạ Long, Quảng Ninh (nay là phường Bãi Cháy, tỉnh Quảng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Sun Premier Village, phường Bãi Cháy, thành phố Hạ Long, Quảng Ninh (nay là phường Bãi Cháy, tỉnh Quảng Ninh)</w:t>
            </w:r>
            <w:r>
              <w:rPr>
                <w:color w:val="000000" w:themeColor="text1"/>
                <w:sz w:val="22"/>
                <w:szCs w:val="22"/>
              </w:rPr>
            </w:r>
            <w:r>
              <w:rPr>
                <w:color w:val="000000" w:themeColor="text1"/>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https://batdongsan.com.vn/ban-nha-biet-thu-lien-ke-duong-ha-long-phuong-bai-chay-prj-premier-village-ha-long/sun-7-mau-phan-khu-loc-vung-pr44531933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0338441111</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Chung Anh</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0966282468</w:t>
            </w:r>
            <w:r>
              <w:rPr>
                <w:color w:val="000000" w:themeColor="text1"/>
                <w:sz w:val="22"/>
                <w:szCs w:val="22"/>
              </w:rPr>
              <w:br/>
            </w:r>
            <w:r>
              <w:rPr>
                <w:color w:val="000000" w:themeColor="text1"/>
                <w:sz w:val="22"/>
                <w:szCs w:val="22"/>
              </w:rPr>
              <w:t xml:space="preserve">(</w:t>
            </w:r>
            <w:r>
              <w:rPr>
                <w:color w:val="000000" w:themeColor="text1"/>
                <w:sz w:val="22"/>
                <w:szCs w:val="22"/>
              </w:rPr>
              <w:t xml:space="preserve">Sale</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0968951336</w:t>
            </w:r>
            <w:r>
              <w:rPr>
                <w:color w:val="000000" w:themeColor="text1"/>
                <w:sz w:val="22"/>
                <w:szCs w:val="22"/>
              </w:rPr>
              <w:br/>
            </w:r>
            <w:r>
              <w:rPr>
                <w:color w:val="000000" w:themeColor="text1"/>
                <w:sz w:val="22"/>
                <w:szCs w:val="22"/>
              </w:rPr>
              <w:t xml:space="preserve">(</w:t>
            </w:r>
            <w:r>
              <w:rPr>
                <w:color w:val="000000" w:themeColor="text1"/>
                <w:sz w:val="22"/>
                <w:szCs w:val="22"/>
              </w:rPr>
              <w:t xml:space="preserve">sale</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5/2026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5/2026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5/2026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Phường </w:t>
            </w:r>
            <w:r>
              <w:rPr>
                <w:rFonts w:ascii="Times New Roman" w:hAnsi="Times New Roman" w:eastAsia="Times New Roman" w:cs="Times New Roman"/>
                <w:color w:val="000000" w:themeColor="text1"/>
                <w:sz w:val="22"/>
                <w:szCs w:val="22"/>
              </w:rPr>
              <w:t xml:space="preserve">Bãi Cháy, thành phố Hạ Long, Quảng Ninh (nay là phường Bãi Cháy, tỉnh Quảng Ninh), </w:t>
            </w:r>
            <w:r>
              <w:rPr>
                <w:rFonts w:ascii="Times New Roman" w:hAnsi="Times New Roman" w:eastAsia="Times New Roman" w:cs="Times New Roman"/>
                <w:color w:val="000000" w:themeColor="text1"/>
                <w:sz w:val="22"/>
                <w:szCs w:val="22"/>
              </w:rPr>
              <w:t xml:space="preserve">tiếp giáp đường Tùng Dương 1, cách đường Hạ Long khoảng 500m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w:t>
            </w:r>
            <w:r>
              <w:rPr>
                <w:color w:val="000000" w:themeColor="text1"/>
                <w:sz w:val="22"/>
                <w:szCs w:val="22"/>
              </w:rPr>
              <w:t xml:space="preserve">Phường </w:t>
            </w:r>
            <w:r>
              <w:rPr>
                <w:rFonts w:ascii="Times New Roman" w:hAnsi="Times New Roman" w:eastAsia="Times New Roman" w:cs="Times New Roman"/>
                <w:color w:val="000000" w:themeColor="text1"/>
                <w:sz w:val="22"/>
                <w:szCs w:val="22"/>
              </w:rPr>
              <w:t xml:space="preserve">Bãi</w:t>
            </w:r>
            <w:r>
              <w:rPr>
                <w:rFonts w:ascii="Times New Roman" w:hAnsi="Times New Roman" w:eastAsia="Times New Roman" w:cs="Times New Roman"/>
                <w:color w:val="000000" w:themeColor="text1"/>
                <w:sz w:val="22"/>
                <w:szCs w:val="22"/>
              </w:rPr>
              <w:t xml:space="preserve"> Cháy, thành phố Hạ Long, Quảng Ninh (nay là phường Bãi Cháy, tỉnh Quảng Ninh)</w:t>
            </w:r>
            <w:r>
              <w:rPr>
                <w:color w:val="000000" w:themeColor="text1"/>
                <w:sz w:val="22"/>
                <w:szCs w:val="22"/>
              </w:rPr>
              <w:t xml:space="preserve">, tiếp giáp đường Lộc Vừng 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Phường </w:t>
            </w:r>
            <w:r>
              <w:rPr>
                <w:rFonts w:ascii="Times New Roman" w:hAnsi="Times New Roman" w:eastAsia="Times New Roman" w:cs="Times New Roman"/>
                <w:color w:val="000000" w:themeColor="text1"/>
                <w:sz w:val="22"/>
                <w:szCs w:val="22"/>
              </w:rPr>
              <w:t xml:space="preserve">Bãi</w:t>
            </w:r>
            <w:r>
              <w:rPr>
                <w:rFonts w:ascii="Times New Roman" w:hAnsi="Times New Roman" w:eastAsia="Times New Roman" w:cs="Times New Roman"/>
                <w:color w:val="000000" w:themeColor="text1"/>
                <w:sz w:val="22"/>
                <w:szCs w:val="22"/>
              </w:rPr>
              <w:t xml:space="preserve"> Cháy, thành phố Hạ Long, Quảng Ninh (nay là phường Bãi Cháy, tỉnh Quảng Ninh)</w:t>
            </w:r>
            <w:r>
              <w:rPr>
                <w:color w:val="000000" w:themeColor="text1"/>
                <w:sz w:val="22"/>
                <w:szCs w:val="22"/>
              </w:rPr>
              <w:t xml:space="preserve">, cách đường Hạ Long khoảng 300m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Phường </w:t>
            </w:r>
            <w:r>
              <w:rPr>
                <w:rFonts w:ascii="Times New Roman" w:hAnsi="Times New Roman" w:eastAsia="Times New Roman" w:cs="Times New Roman"/>
                <w:color w:val="000000" w:themeColor="text1"/>
                <w:sz w:val="22"/>
                <w:szCs w:val="22"/>
              </w:rPr>
              <w:t xml:space="preserve">Bãi Cháy, thành phố Hạ Long, Quảng Ninh (nay là phường Bãi Cháy, tỉnh Quảng Ninh)</w:t>
            </w:r>
            <w:r>
              <w:rPr>
                <w:color w:val="000000" w:themeColor="text1"/>
                <w:sz w:val="22"/>
                <w:szCs w:val="22"/>
              </w:rPr>
              <w:t xml:space="preserve">, khoảng cách ra đường chính khoảng 150m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Khoảng 12m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Khoảng 11,5m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Khoảng 11,5m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Khoảng 11,5m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Điều kiện môi trường an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316,1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300,1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112,5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góc 2 mặt đường, phố</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Cảnh quan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View khu dân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View khu dân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View khu dân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View khu dân cư</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Lợi thế kinh doanh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Số tầng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Diện tích sàn sử dụng (m²)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719,3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550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48.000.000.000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18.000.000.000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19.500.000.000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45.600.000.000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17.100.000.000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18.525.000.000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3.700.496.538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2.087.802.574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1.909.575.360</w:t>
            </w:r>
            <w:r>
              <w:rPr>
                <w:color w:val="000000" w:themeColor="text1"/>
                <w:sz w:val="22"/>
                <w:szCs w:val="22"/>
              </w:rPr>
            </w:r>
            <w:r>
              <w:rPr>
                <w:color w:val="000000" w:themeColor="text1"/>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Đơn giá xây dựng theo Quyết định số 425/QĐ-BXD ngày 30/03/2026 của Bộ Xây Dựng (đồng/m²)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5.982.070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4.629.274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4.339.944</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 Tỷ lệ % CLCL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left"/>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41.899.503.462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15.012.197.426</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16.615.424.640</w:t>
            </w:r>
            <w:r>
              <w:rPr>
                <w:b/>
                <w:bCs/>
                <w:color w:val="000000" w:themeColor="text1"/>
                <w:sz w:val="22"/>
                <w:szCs w:val="22"/>
              </w:rPr>
            </w:r>
            <w:r>
              <w:rPr>
                <w:b/>
                <w:bCs/>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139.618.472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134.037.477</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147.692.663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dựa trên ba tài sản so sánh tương đồng với tài sản thẩm định giá, Tổ thẩm định phân tích các </w:t>
      </w:r>
      <w:r>
        <w:rPr>
          <w:color w:val="000000" w:themeColor="text1"/>
          <w:lang w:val="it-IT"/>
        </w:rPr>
        <w:t xml:space="preserve">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31"/>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41.899.503.462</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15.012.197.426</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16.615.424.640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139.618.472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134.037.477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147.692.663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139.618.472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134.037.477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147.692.663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139.618.472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134.037.477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147.692.663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Thời hạn sử dụng đất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139.618.472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134.037.477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147.692.663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Bãi Cháy, thành phố Hạ Long, Quảng Ninh (nay là phường Bãi Cháy, tỉnh Quảng Ninh), tiếp giáp đường Tùng Dương 1, cách đường Hạ Long khoảng 500m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tại:Phường Bãi Cháy, thành phố Hạ Long, Quảng Ninh (nay là phường Bãi Cháy, tỉnh Quảng Ninh), tiếp giáp đường Lộc Vừng 1</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Bãi Cháy, thành phố Hạ Long, Quảng Ninh (nay là phường Bãi Cháy, tỉnh Quảng Ninh), cách đường Hạ Long khoảng 300m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Bãi Cháy, thành phố Hạ Long, Quảng Ninh (nay là phường Bãi Cháy, tỉnh Quảng Ninh), khoảng cách ra đường chính khoảng 150m</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139.618.472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134.037.477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147.692.663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12m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11,5m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11,5m</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11,5m</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139.618.472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134.037.477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147.692.663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316,1</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300,1</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112</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112,5</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-24.126.746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-26.584.679</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139.618.472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109.910.731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121.107.984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6.701.874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10.338.486</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139.618.472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116.612.605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131.446.470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góc 2 mặt đường, phố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-13.961.847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125.656.625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116.612.605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131.446.470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125.656.625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116.612.605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131.446.470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124.571.900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0,87%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-6,39%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5,52%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13.961.847</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30.828.620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36.923.165</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- 18%</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13.961.847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17.424.872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16.246.193</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từ </w:t>
      </w:r>
      <w:r>
        <w:rPr>
          <w:color w:val="000000" w:themeColor="text1"/>
        </w:rPr>
        <w:t xml:space="preserve"> 0,87</w:t>
      </w:r>
      <w:r>
        <w:rPr>
          <w:color w:val="000000" w:themeColor="text1"/>
        </w:rPr>
        <w:t xml:space="preserve">% đến 6,39</w:t>
      </w:r>
      <w:r>
        <w:rPr>
          <w:color w:val="000000" w:themeColor="text1"/>
        </w:rPr>
        <w:t xml:space="preserve">%,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highlight w:val="none"/>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highlight w:val="none"/>
          <w:u w:val="single"/>
        </w:rPr>
      </w:r>
      <w:r>
        <w:rPr>
          <w:b/>
          <w:bCs/>
          <w:i/>
          <w:iCs/>
          <w:color w:val="000000" w:themeColor="text1"/>
          <w:highlight w:val="none"/>
          <w:u w:val="single"/>
        </w:rPr>
      </w:r>
    </w:p>
    <w:p>
      <w:pPr>
        <w:pBdr/>
        <w:spacing w:after="120" w:before="120" w:line="276" w:lineRule="auto"/>
        <w:ind/>
        <w:rPr>
          <w:b/>
          <w:bCs/>
          <w:i/>
          <w:color w:val="000000" w:themeColor="text1"/>
          <w:u w:val="single"/>
        </w:rPr>
      </w:pPr>
      <w:r>
        <w:rPr>
          <w:b/>
          <w:bCs/>
          <w:i/>
          <w:iCs/>
          <w:color w:val="000000" w:themeColor="text1"/>
          <w:highlight w:val="none"/>
          <w:u w:val="single"/>
        </w:rPr>
      </w:r>
      <w:r>
        <w:rPr>
          <w:b/>
          <w:bCs/>
          <w:i/>
          <w:color w:val="000000" w:themeColor="text1"/>
          <w:u w:val="single"/>
        </w:rPr>
      </w:r>
      <w:r>
        <w:rPr>
          <w:b/>
          <w:bCs/>
          <w:i/>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125.656.625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41.893.919</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116.612.605</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38.866.981</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131.446.470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43.811.108</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124.572.008</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124.000.000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124.000.000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31"/>
        <w:numPr>
          <w:ilvl w:val="0"/>
          <w:numId w:val="26"/>
        </w:numPr>
        <w:pBdr/>
        <w:spacing w:after="120" w:before="120" w:line="276" w:lineRule="auto"/>
        <w:ind w:hanging="357" w:left="357"/>
        <w:jc w:val="both"/>
        <w:rPr>
          <w:b/>
          <w:bCs/>
          <w:color w:val="000000" w:themeColor="text1"/>
        </w:rPr>
      </w:pPr>
      <w:r>
        <w:rPr>
          <w:b/>
          <w:bCs/>
          <w:color w:val="000000" w:themeColor="text1"/>
        </w:rPr>
        <w:t xml:space="preserve">Xác định giá trị tài sản gắn liền với đất</w:t>
      </w:r>
      <w:r>
        <w:rPr>
          <w:b/>
          <w:bCs/>
          <w:color w:val="000000" w:themeColor="text1"/>
        </w:rPr>
      </w:r>
      <w:r>
        <w:rPr>
          <w:b/>
          <w:bCs/>
          <w:color w:val="000000" w:themeColor="text1"/>
        </w:rPr>
      </w:r>
    </w:p>
    <w:p>
      <w:pPr>
        <w:numPr>
          <w:ilvl w:val="0"/>
          <w:numId w:val="39"/>
        </w:num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highlight w:val="white"/>
        </w:rPr>
      </w:pPr>
      <w:r>
        <w:rPr>
          <w:rFonts w:ascii="Times New Roman" w:hAnsi="Times New Roman" w:eastAsia="Times New Roman" w:cs="Times New Roman"/>
          <w:b/>
          <w:color w:val="000000" w:themeColor="text1"/>
          <w:sz w:val="24"/>
        </w:rPr>
        <w:t xml:space="preserve">Xác định đơn giá của công </w:t>
      </w:r>
      <w:r>
        <w:rPr>
          <w:rFonts w:ascii="Times New Roman" w:hAnsi="Times New Roman" w:eastAsia="Times New Roman" w:cs="Times New Roman"/>
          <w:b/>
          <w:color w:val="000000" w:themeColor="text1"/>
          <w:sz w:val="24"/>
          <w:highlight w:val="white"/>
        </w:rPr>
        <w:t xml:space="preserve">trình </w:t>
      </w:r>
      <w:r>
        <w:rPr>
          <w:rFonts w:ascii="Times New Roman" w:hAnsi="Times New Roman" w:eastAsia="Times New Roman" w:cs="Times New Roman"/>
          <w:b/>
          <w:color w:val="000000" w:themeColor="text1"/>
          <w:sz w:val="24"/>
          <w:highlight w:val="white"/>
        </w:rPr>
        <w:t xml:space="preserve">xây dựng</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color w:val="000000" w:themeColor="text1"/>
          <w:sz w:val="24"/>
        </w:rPr>
        <w:t xml:space="preserve">Qua tham khảo thị trường về đơn giá xây dựng mới đối với công trình là nhà 04 tầng, cân nhắc và xem xét với mức độ hoàn thiện của công trình xây dựng hiện có, tổ thẩm định nhận thấy đơn giá vận dụng theo Quyết định 425/QĐ-BXD năm 2026 công bố suất vốn đầu </w:t>
      </w:r>
      <w:r>
        <w:rPr>
          <w:rFonts w:ascii="Times New Roman" w:hAnsi="Times New Roman" w:eastAsia="Times New Roman" w:cs="Times New Roman"/>
          <w:color w:val="000000" w:themeColor="text1"/>
          <w:sz w:val="24"/>
        </w:rPr>
        <w:t xml:space="preserve">tư xây dựng và giá xây dựng tổng hợp bộ phận kết cấu công trình 2025 là khá phù hợp với thị trường, theo đó:</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i/>
          <w:color w:val="000000" w:themeColor="text1"/>
          <w:sz w:val="24"/>
        </w:rPr>
        <w:t xml:space="preserve">“Suất vốn đầu tư xây dựng </w:t>
      </w:r>
      <w:r>
        <w:rPr>
          <w:rFonts w:ascii="Times New Roman" w:hAnsi="Times New Roman" w:eastAsia="Times New Roman" w:cs="Times New Roman"/>
          <w:i/>
          <w:color w:val="000000" w:themeColor="text1"/>
          <w:sz w:val="24"/>
          <w:highlight w:val="white"/>
        </w:rPr>
        <w:t xml:space="preserve">Nhà từ 4 đến 5 tầng, kết cấu khung chịu lực BTCT; tường bao xây gạch; sàn, mái BTCT đổ tại chỗ</w:t>
      </w:r>
      <w:r>
        <w:rPr>
          <w:rFonts w:ascii="Times New Roman" w:hAnsi="Times New Roman" w:eastAsia="Times New Roman" w:cs="Times New Roman"/>
          <w:i/>
          <w:color w:val="000000" w:themeColor="text1"/>
          <w:sz w:val="24"/>
        </w:rPr>
        <w:t xml:space="preserve">, không có tầng hầm, </w:t>
      </w:r>
      <w:r>
        <w:rPr>
          <w:rFonts w:ascii="Times New Roman" w:hAnsi="Times New Roman" w:eastAsia="Times New Roman" w:cs="Times New Roman"/>
          <w:i/>
          <w:color w:val="000000" w:themeColor="text1"/>
          <w:sz w:val="24"/>
          <w:highlight w:val="white"/>
        </w:rPr>
        <w:t xml:space="preserve">Diện tích xây dựng từ 180m</w:t>
      </w:r>
      <w:r>
        <w:rPr>
          <w:rFonts w:ascii="Times New Roman" w:hAnsi="Times New Roman" w:eastAsia="Times New Roman" w:cs="Times New Roman"/>
          <w:i/>
          <w:color w:val="000000" w:themeColor="text1"/>
          <w:sz w:val="20"/>
          <w:highlight w:val="white"/>
          <w:vertAlign w:val="superscript"/>
        </w:rPr>
        <w:t xml:space="preserve">2</w:t>
      </w:r>
      <w:r>
        <w:rPr>
          <w:rFonts w:ascii="Times New Roman" w:hAnsi="Times New Roman" w:eastAsia="Times New Roman" w:cs="Times New Roman"/>
          <w:i/>
          <w:color w:val="000000" w:themeColor="text1"/>
          <w:sz w:val="20"/>
          <w:highlight w:val="none"/>
          <w:vertAlign w:val="superscript"/>
        </w:rPr>
        <w:t xml:space="preserve"> </w:t>
      </w:r>
      <w:r>
        <w:rPr>
          <w:rFonts w:ascii="Times New Roman" w:hAnsi="Times New Roman" w:eastAsia="Times New Roman" w:cs="Times New Roman"/>
          <w:i/>
          <w:color w:val="000000" w:themeColor="text1"/>
          <w:sz w:val="24"/>
        </w:rPr>
        <w:t xml:space="preserve">trở lên có đơn giá là 7.075.000 đồng/m².</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6" w:left="0"/>
        <w:jc w:val="both"/>
        <w:rPr>
          <w:color w:val="000000" w:themeColor="text1"/>
        </w:rPr>
      </w:pPr>
      <w:r>
        <w:rPr>
          <w:rFonts w:ascii="Times New Roman" w:hAnsi="Times New Roman" w:eastAsia="Times New Roman" w:cs="Times New Roman"/>
          <w:i/>
          <w:color w:val="000000" w:themeColor="text1"/>
          <w:sz w:val="24"/>
        </w:rPr>
        <w:t xml:space="preserve">Hệ số điều chỉnh vùng cho Suất đầu tư: tỉnh Quảng Ninh thuộc vùng 2 có hệ số điều chỉnh là 0,948.”</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color w:val="000000" w:themeColor="text1"/>
          <w:highlight w:val="none"/>
        </w:rPr>
      </w:pPr>
      <w:r>
        <w:rPr>
          <w:rFonts w:ascii="Times New Roman" w:hAnsi="Times New Roman" w:eastAsia="Times New Roman" w:cs="Times New Roman"/>
          <w:i/>
          <w:color w:val="000000" w:themeColor="text1"/>
          <w:sz w:val="24"/>
        </w:rPr>
        <w:t xml:space="preserve">Do đó, Tổ thẩm định xác định đơn giá xây mới của công trình xây dựng là: (Suất đầu tư xây dựng) x (Hệ số vùng)/1,1 = 7.075.000 x 0,948/1,1 = </w:t>
      </w:r>
      <w:r>
        <w:rPr>
          <w:rFonts w:ascii="Times New Roman" w:hAnsi="Times New Roman" w:eastAsia="Times New Roman" w:cs="Times New Roman"/>
          <w:b w:val="0"/>
          <w:bCs w:val="0"/>
          <w:i/>
          <w:color w:val="000000" w:themeColor="text1"/>
          <w:sz w:val="24"/>
        </w:rPr>
        <w:t xml:space="preserve">6.097.364</w:t>
      </w:r>
      <w:r>
        <w:rPr>
          <w:rFonts w:ascii="Times New Roman" w:hAnsi="Times New Roman" w:eastAsia="Times New Roman" w:cs="Times New Roman"/>
          <w:b w:val="0"/>
          <w:bCs w:val="0"/>
          <w:color w:val="000000" w:themeColor="text1"/>
          <w:sz w:val="24"/>
        </w:rPr>
        <w:t xml:space="preserve"> </w:t>
      </w:r>
      <w:r>
        <w:rPr>
          <w:rFonts w:ascii="Times New Roman" w:hAnsi="Times New Roman" w:eastAsia="Times New Roman" w:cs="Times New Roman"/>
          <w:color w:val="000000" w:themeColor="text1"/>
          <w:sz w:val="24"/>
        </w:rPr>
        <w:t xml:space="preserve">đồng</w:t>
      </w:r>
      <w:r>
        <w:rPr>
          <w:rFonts w:ascii="Times New Roman" w:hAnsi="Times New Roman" w:eastAsia="Times New Roman" w:cs="Times New Roman"/>
          <w:i/>
          <w:color w:val="000000" w:themeColor="text1"/>
          <w:sz w:val="24"/>
        </w:rPr>
        <w:t xml:space="preserve">/m². </w:t>
      </w:r>
      <w:r>
        <w:rPr>
          <w:color w:val="000000" w:themeColor="text1"/>
          <w:highlight w:val="none"/>
        </w:rPr>
      </w:r>
      <w:r>
        <w:rPr>
          <w:color w:val="000000" w:themeColor="text1"/>
          <w:highlight w:val="none"/>
        </w:rPr>
      </w:r>
    </w:p>
    <w:p>
      <w:pPr>
        <w:pBdr>
          <w:top w:val="none" w:color="000000" w:sz="4" w:space="0"/>
          <w:left w:val="none" w:color="000000" w:sz="4" w:space="0"/>
          <w:bottom w:val="none" w:color="000000" w:sz="4" w:space="0"/>
          <w:right w:val="none" w:color="000000" w:sz="4" w:space="0"/>
        </w:pBdr>
        <w:spacing w:line="276" w:lineRule="auto"/>
        <w:ind w:right="0" w:firstLine="450" w:left="0"/>
        <w:jc w:val="both"/>
        <w:rPr>
          <w:color w:val="000000" w:themeColor="text1"/>
        </w:rPr>
      </w:pPr>
      <w:r>
        <w:rPr>
          <w:color w:val="000000" w:themeColor="text1"/>
          <w:highlight w:val="none"/>
        </w:rPr>
      </w:r>
      <w:r>
        <w:rPr>
          <w:rFonts w:ascii="Times New Roman" w:hAnsi="Times New Roman" w:eastAsia="Times New Roman" w:cs="Times New Roman"/>
          <w:color w:val="ee0000"/>
          <w:spacing w:val="2"/>
          <w:sz w:val="24"/>
        </w:rPr>
        <w:t xml:space="preserve">Tại thời điểm khảo sát, công trình xây dựng trên đất có hiện trạng xây thô tham khảo thông tin thị trường, tổ thẩm định xác định tỉ lệ hoàn thiện khoảng 50%, tương ứng đơn giá xây mới của công trình hiện có là: 6.097.364 x 65% </w:t>
      </w:r>
      <w:r>
        <w:rPr>
          <w:rFonts w:ascii="Times New Roman" w:hAnsi="Times New Roman" w:eastAsia="Times New Roman" w:cs="Times New Roman"/>
          <w:b/>
          <w:color w:val="ee0000"/>
          <w:spacing w:val="2"/>
          <w:sz w:val="24"/>
        </w:rPr>
        <w:t xml:space="preserve">= 3.963.286</w:t>
      </w:r>
      <w:r>
        <w:rPr>
          <w:rFonts w:ascii="Times New Roman" w:hAnsi="Times New Roman" w:eastAsia="Times New Roman" w:cs="Times New Roman"/>
          <w:b/>
          <w:color w:val="ee0000"/>
          <w:sz w:val="24"/>
        </w:rPr>
        <w:t xml:space="preserve"> đ</w:t>
      </w:r>
      <w:r>
        <w:rPr>
          <w:rFonts w:ascii="Times New Roman" w:hAnsi="Times New Roman" w:eastAsia="Times New Roman" w:cs="Times New Roman"/>
          <w:b/>
          <w:color w:val="ee0000"/>
          <w:spacing w:val="3"/>
          <w:sz w:val="24"/>
          <w:highlight w:val="white"/>
        </w:rPr>
        <w:t xml:space="preserve">ồng/m² sàn. </w:t>
      </w:r>
      <w:r>
        <w:rPr>
          <w:color w:val="000000" w:themeColor="text1"/>
          <w:highlight w:val="none"/>
        </w:rPr>
      </w:r>
      <w:r>
        <w:rPr>
          <w:color w:val="000000" w:themeColor="text1"/>
        </w:rPr>
      </w:r>
    </w:p>
    <w:p>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hao mòn theo kỹ thuật tổng cộng: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64" w:lineRule="auto"/>
        <w:ind w:right="0" w:firstLine="142" w:left="0"/>
        <w:jc w:val="both"/>
        <w:rPr>
          <w:color w:val="000000" w:themeColor="text1"/>
        </w:rPr>
      </w:pPr>
      <w:r>
        <w:rPr>
          <w:rFonts w:ascii="Times New Roman" w:hAnsi="Times New Roman" w:eastAsia="Times New Roman" w:cs="Times New Roman"/>
          <w:color w:val="000000" w:themeColor="text1"/>
          <w:sz w:val="24"/>
        </w:rPr>
        <w:t xml:space="preserve">Qua khảo sát hiện trạng, dựa vào đặc điểm tài sản và tham khảo ý kiến các chuyên giá về xây dựng. Tổ thẩm định đánh giá chất lượng còn lại của công trình xây dựng theo công văn số: 1326/BXD-QLN do Bộ xây dựng ban hành ngày 8/8/2011 về việc hướng dẫn kiểm k</w:t>
      </w:r>
      <w:r>
        <w:rPr>
          <w:rFonts w:ascii="Times New Roman" w:hAnsi="Times New Roman" w:eastAsia="Times New Roman" w:cs="Times New Roman"/>
          <w:color w:val="000000" w:themeColor="text1"/>
          <w:sz w:val="24"/>
        </w:rPr>
        <w:t xml:space="preserve">ê, đánh giá lại giá trị tài sản cố định là nhà, vật kiến trúc như sau:</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64" w:lineRule="auto"/>
        <w:ind w:right="0" w:firstLine="142" w:left="0"/>
        <w:jc w:val="both"/>
        <w:rPr>
          <w:color w:val="000000" w:themeColor="text1"/>
        </w:rPr>
      </w:pPr>
      <w:r>
        <w:rPr>
          <w:rFonts w:ascii="Times New Roman" w:hAnsi="Times New Roman" w:eastAsia="Times New Roman" w:cs="Times New Roman"/>
          <w:color w:val="000000" w:themeColor="text1"/>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themeColor="text1"/>
          <w:sz w:val="24"/>
        </w:rPr>
        <w:t xml:space="preserve"> cấu chính đó so với tổng giá trị của nhà hoặc vật kiến trúc.</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64" w:lineRule="auto"/>
        <w:ind w:right="0" w:firstLine="142" w:left="0"/>
        <w:rPr>
          <w:color w:val="000000" w:themeColor="text1"/>
        </w:rPr>
      </w:pPr>
      <w:r>
        <w:rPr>
          <w:rFonts w:ascii="Times New Roman" w:hAnsi="Times New Roman" w:eastAsia="Times New Roman" w:cs="Times New Roman"/>
          <w:color w:val="000000" w:themeColor="text1"/>
          <w:sz w:val="24"/>
        </w:rPr>
        <w:t xml:space="preserve">Công thức tính như sau:</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bl>
      <w:tblPr>
        <w:tblStyle w:val="103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47"/>
        <w:gridCol w:w="527"/>
        <w:gridCol w:w="659"/>
        <w:gridCol w:w="2696"/>
        <w:gridCol w:w="599"/>
        <w:gridCol w:w="2316"/>
      </w:tblGrid>
      <w:tr>
        <w:trPr>
          <w:trHeight w:val="20"/>
        </w:trPr>
        <w:tc>
          <w:tcPr>
            <w:tcBorders/>
            <w:tcMar>
              <w:left w:w="108" w:type="dxa"/>
              <w:top w:w="0" w:type="dxa"/>
              <w:right w:w="108" w:type="dxa"/>
              <w:bottom w:w="0" w:type="dxa"/>
            </w:tcMar>
            <w:tcW w:w="194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nhà, vật kiến trúc (%)</w:t>
            </w:r>
            <w:r>
              <w:rPr>
                <w:color w:val="000000" w:themeColor="text1"/>
              </w:rPr>
            </w:r>
            <w:r>
              <w:rPr>
                <w:color w:val="000000" w:themeColor="text1"/>
              </w:rPr>
            </w:r>
          </w:p>
        </w:tc>
        <w:tc>
          <w:tcPr>
            <w:tcBorders/>
            <w:tcMar>
              <w:left w:w="108" w:type="dxa"/>
              <w:top w:w="0" w:type="dxa"/>
              <w:right w:w="108" w:type="dxa"/>
              <w:bottom w:w="0" w:type="dxa"/>
            </w:tcMar>
            <w:tcW w:w="5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kết cấu chính thức i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5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x</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giá trị của kết cấu chính thứ i so với tổng giá trị của ngôi nhà hoặc vật kiến trúc (%)</w:t>
            </w:r>
            <w:r>
              <w:rPr>
                <w:color w:val="000000" w:themeColor="text1"/>
              </w:rPr>
            </w:r>
            <w:r>
              <w:rPr>
                <w:color w:val="000000" w:themeColor="text1"/>
              </w:rPr>
            </w:r>
          </w:p>
        </w:tc>
      </w:tr>
      <w:tr>
        <w:trPr>
          <w:trHeight w:val="20"/>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Tổng tỷ lệ giá trị của các kết cấu chính so với tổng giá trị của ngôi nhà hoặc vật kiến trúc (%)</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ind w:right="0" w:firstLine="0" w:left="0"/>
        <w:rPr>
          <w:color w:val="000000" w:themeColor="text1"/>
        </w:rPr>
      </w:pPr>
      <w:r>
        <w:rPr>
          <w:rFonts w:ascii="Times New Roman" w:hAnsi="Times New Roman" w:eastAsia="Times New Roman" w:cs="Times New Roman"/>
          <w:i/>
          <w:color w:val="000000" w:themeColor="text1"/>
          <w:sz w:val="24"/>
        </w:rPr>
        <w:t xml:space="preserve">Trong đó:</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ind w:right="0" w:firstLine="0" w:left="0"/>
        <w:rPr>
          <w:color w:val="000000" w:themeColor="text1"/>
        </w:rPr>
      </w:pPr>
      <w:r>
        <w:rPr>
          <w:rFonts w:ascii="Times New Roman" w:hAnsi="Times New Roman" w:eastAsia="Times New Roman" w:cs="Times New Roman"/>
          <w:color w:val="000000" w:themeColor="text1"/>
          <w:sz w:val="24"/>
        </w:rPr>
        <w:t xml:space="preserve">i: số thứ tự của kết cấu chính</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ind w:right="0" w:firstLine="0" w:left="0"/>
        <w:rPr>
          <w:color w:val="000000" w:themeColor="text1"/>
        </w:rPr>
      </w:pPr>
      <w:r>
        <w:rPr>
          <w:rFonts w:ascii="Times New Roman" w:hAnsi="Times New Roman" w:eastAsia="Times New Roman" w:cs="Times New Roman"/>
          <w:color w:val="000000" w:themeColor="text1"/>
          <w:sz w:val="24"/>
        </w:rPr>
        <w:t xml:space="preserve">n: số các kết cấu chính.</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240" w:line="360"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thẩm định xác định chất lượng còn lại của công trình theo phương pháp tổng cộng:</w:t>
      </w:r>
      <w:r>
        <w:rPr>
          <w:color w:val="000000" w:themeColor="text1"/>
        </w:rPr>
      </w:r>
      <w:r>
        <w:rPr>
          <w:color w:val="000000" w:themeColor="text1"/>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3729"/>
        <w:gridCol w:w="2080"/>
        <w:gridCol w:w="2080"/>
        <w:gridCol w:w="2083"/>
      </w:tblGrid>
      <w:tr>
        <w:trPr>
          <w:trHeight w:val="9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KẾT CẤU CHÍNH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các kết cấu chính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chất lượng còn lại các kết cấu chính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còn lại các kết cấu chính (%)</w:t>
            </w:r>
            <w:r>
              <w:rPr>
                <w:color w:val="000000" w:themeColor="text1"/>
              </w:rPr>
            </w:r>
            <w:r>
              <w:rPr>
                <w:color w:val="000000" w:themeColor="text1"/>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a</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b</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d</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e = c x d/g</w:t>
            </w:r>
            <w:r>
              <w:rPr>
                <w:color w:val="000000" w:themeColor="text1"/>
              </w:rPr>
            </w:r>
            <w:r>
              <w:rPr>
                <w:color w:val="000000" w:themeColor="text1"/>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Móng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w:t>
            </w:r>
            <w:r>
              <w:rPr>
                <w:color w:val="000000" w:themeColor="text1"/>
              </w:rPr>
            </w:r>
            <w:r>
              <w:rPr>
                <w:color w:val="000000" w:themeColor="text1"/>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Khung, cột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Tường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14%</w:t>
            </w:r>
            <w:r>
              <w:rPr>
                <w:color w:val="000000" w:themeColor="text1"/>
              </w:rPr>
            </w:r>
            <w:r>
              <w:rPr>
                <w:color w:val="000000" w:themeColor="text1"/>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Nền, sàn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19%</w:t>
            </w:r>
            <w:r>
              <w:rPr>
                <w:color w:val="000000" w:themeColor="text1"/>
              </w:rPr>
            </w:r>
            <w:r>
              <w:rPr>
                <w:color w:val="000000" w:themeColor="text1"/>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Kết cấu đỡ mái</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14%</w:t>
            </w:r>
            <w:r>
              <w:rPr>
                <w:color w:val="000000" w:themeColor="text1"/>
              </w:rPr>
            </w:r>
            <w:r>
              <w:rPr>
                <w:color w:val="000000" w:themeColor="text1"/>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Mái</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76%</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w:t>
            </w:r>
            <w:r>
              <w:rPr>
                <w:color w:val="000000" w:themeColor="text1"/>
              </w:rPr>
            </w:r>
            <w:r>
              <w:rPr>
                <w:color w:val="000000" w:themeColor="text1"/>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Tổng cộng (g)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63%</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Tỷ lệ chất lượng còn lại:</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76,00%</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thẩm định xác định Tỷ lệ chất lượng còn lại của công trình xây dựng là: </w:t>
      </w:r>
      <w:r>
        <w:rPr>
          <w:rFonts w:ascii="Times New Roman" w:hAnsi="Times New Roman" w:eastAsia="Times New Roman" w:cs="Times New Roman"/>
          <w:b/>
          <w:color w:val="000000" w:themeColor="text1"/>
          <w:sz w:val="24"/>
        </w:rPr>
        <w:t xml:space="preserve">76%</w:t>
      </w:r>
      <w:r>
        <w:rPr>
          <w:color w:val="000000" w:themeColor="text1"/>
        </w:rPr>
      </w:r>
      <w:r>
        <w:rPr>
          <w:color w:val="000000" w:themeColor="text1"/>
        </w:rPr>
      </w:r>
    </w:p>
    <w:p>
      <w:pPr>
        <w:numPr>
          <w:ilvl w:val="0"/>
          <w:numId w:val="41"/>
        </w:numPr>
        <w:pBdr>
          <w:top w:val="none" w:color="000000" w:sz="4" w:space="0"/>
          <w:left w:val="none" w:color="000000" w:sz="4" w:space="0"/>
          <w:bottom w:val="none" w:color="000000" w:sz="4" w:space="0"/>
          <w:right w:val="none" w:color="000000" w:sz="4" w:space="0"/>
        </w:pBdr>
        <w:spacing w:after="120" w:before="240" w:line="360" w:lineRule="auto"/>
        <w:ind/>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X</w:t>
      </w:r>
      <w:r>
        <w:rPr>
          <w:rFonts w:ascii="Times New Roman" w:hAnsi="Times New Roman" w:eastAsia="Times New Roman" w:cs="Times New Roman"/>
          <w:b/>
          <w:color w:val="000000" w:themeColor="text1"/>
          <w:sz w:val="24"/>
          <w:highlight w:val="white"/>
        </w:rPr>
        <w:t xml:space="preserve">ác định giá trị của công trình xây dựng trên đấ</w:t>
      </w:r>
      <w:r>
        <w:rPr>
          <w:rFonts w:ascii="Times New Roman" w:hAnsi="Times New Roman" w:eastAsia="Times New Roman" w:cs="Times New Roman"/>
          <w:b/>
          <w:color w:val="000000" w:themeColor="text1"/>
          <w:sz w:val="24"/>
          <w:highlight w:val="white"/>
        </w:rPr>
        <w:t xml:space="preserve">t:</w:t>
      </w:r>
      <w:r>
        <w:rPr>
          <w:color w:val="000000" w:themeColor="text1"/>
          <w:highlight w:val="white"/>
        </w:rPr>
      </w:r>
      <w:r>
        <w:rPr>
          <w:color w:val="000000" w:themeColor="text1"/>
          <w:highlight w:val="white"/>
        </w:rPr>
      </w:r>
    </w:p>
    <w:p>
      <w:pPr>
        <w:pBdr>
          <w:top w:val="none" w:color="000000" w:sz="4" w:space="0"/>
          <w:left w:val="none" w:color="000000" w:sz="4" w:space="0"/>
          <w:bottom w:val="none" w:color="000000" w:sz="4" w:space="0"/>
          <w:right w:val="none" w:color="000000" w:sz="4" w:space="0"/>
        </w:pBdr>
        <w:shd w:val="clear" w:color="ffffff" w:fill="ffffff"/>
        <w:spacing w:after="80" w:before="8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color w:val="000000" w:themeColor="text1"/>
        </w:rPr>
      </w:pPr>
      <w:r>
        <w:rPr>
          <w:rFonts w:ascii="Times New Roman" w:hAnsi="Times New Roman" w:eastAsia="Times New Roman" w:cs="Times New Roman"/>
          <w:b/>
          <w:i/>
          <w:color w:val="000000" w:themeColor="text1"/>
          <w:sz w:val="24"/>
        </w:rPr>
        <w:t xml:space="preserve">Giá trị tài sản = Chi phí thay thế - Tổng giá trị hao mòn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color w:val="000000" w:themeColor="text1"/>
        </w:rPr>
      </w:pPr>
      <w:r>
        <w:rPr>
          <w:rFonts w:ascii="Times New Roman" w:hAnsi="Times New Roman" w:eastAsia="Times New Roman" w:cs="Times New Roman"/>
          <w:b/>
          <w:i/>
          <w:color w:val="000000" w:themeColor="text1"/>
          <w:sz w:val="24"/>
        </w:rPr>
        <w:t xml:space="preserve">                       = Chi phí thay thế x (1- tỷ lệ hao mòn)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color w:val="000000" w:themeColor="text1"/>
        </w:rPr>
      </w:pPr>
      <w:r>
        <w:rPr>
          <w:rFonts w:ascii="Times New Roman" w:hAnsi="Times New Roman" w:eastAsia="Times New Roman" w:cs="Times New Roman"/>
          <w:b/>
          <w:i/>
          <w:color w:val="000000" w:themeColor="text1"/>
          <w:sz w:val="24"/>
        </w:rPr>
        <w:t xml:space="preserve">                      = Chi phí thay thế x Tỷ lệ chất lượng còn lại</w:t>
      </w:r>
      <w:r>
        <w:rPr>
          <w:color w:val="000000" w:themeColor="text1"/>
        </w:rPr>
      </w:r>
      <w:r>
        <w:rPr>
          <w:color w:val="000000" w:themeColor="text1"/>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304"/>
        <w:gridCol w:w="850"/>
        <w:gridCol w:w="1984"/>
        <w:gridCol w:w="1984"/>
        <w:gridCol w:w="1417"/>
        <w:gridCol w:w="1984"/>
      </w:tblGrid>
      <w:tr>
        <w:trPr>
          <w:trHeight w:val="98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30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Diện tích sàn (m²)</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giá xây dựng mới (đồng/m² sàn)</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Chi phí thay thế (đồng)</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Chất lượng còn lại (%)</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thẩm định (Đồng)</w:t>
            </w:r>
            <w:r>
              <w:rPr>
                <w:color w:val="000000" w:themeColor="text1"/>
              </w:rPr>
            </w:r>
            <w:r>
              <w:rPr>
                <w:color w:val="000000" w:themeColor="text1"/>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130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(4) = (1)*(2)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(5)</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(6)=(4)*(5)</w:t>
            </w:r>
            <w:r>
              <w:rPr>
                <w:color w:val="000000" w:themeColor="text1"/>
              </w:rPr>
            </w:r>
            <w:r>
              <w:rPr>
                <w:color w:val="000000" w:themeColor="text1"/>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130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Nhà 4 tầng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802,35</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3.963.286</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3.179.942.522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2.416.756.317</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80" w:before="80" w:line="264"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p>
      <w:pPr>
        <w:pStyle w:val="1031"/>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31"/>
        <w:pBdr/>
        <w:tabs>
          <w:tab w:val="left" w:leader="none" w:pos="993"/>
        </w:tabs>
        <w:spacing w:after="120" w:before="120" w:line="276" w:lineRule="auto"/>
        <w:ind w:left="0"/>
        <w:jc w:val="both"/>
        <w:rPr>
          <w:color w:val="000000" w:themeColor="text1"/>
          <w:highlight w:val="none"/>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05/2026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highlight w:val="none"/>
        </w:rPr>
      </w:r>
      <w:r>
        <w:rPr>
          <w:color w:val="000000" w:themeColor="text1"/>
          <w:highlight w:val="none"/>
        </w:rPr>
      </w:r>
    </w:p>
    <w:p>
      <w:pPr>
        <w:pStyle w:val="1031"/>
        <w:pBdr/>
        <w:tabs>
          <w:tab w:val="left" w:leader="none" w:pos="993"/>
        </w:tabs>
        <w:spacing w:after="120" w:before="120" w:line="276" w:lineRule="auto"/>
        <w:ind w:left="0"/>
        <w:jc w:val="both"/>
        <w:rPr>
          <w:color w:val="000000" w:themeColor="text1"/>
        </w:rPr>
      </w:pPr>
      <w:r>
        <w:rPr>
          <w:color w:val="000000" w:themeColor="text1"/>
        </w:rPr>
      </w:r>
      <w:r>
        <w:rPr>
          <w:color w:val="000000" w:themeColor="text1"/>
        </w:rPr>
      </w:r>
      <w:r>
        <w:rPr>
          <w:color w:val="000000" w:themeColor="text1"/>
        </w:rPr>
      </w:r>
    </w:p>
    <w:p>
      <w:pPr>
        <w:pStyle w:val="1031"/>
        <w:pBdr/>
        <w:tabs>
          <w:tab w:val="left" w:leader="none" w:pos="993"/>
        </w:tabs>
        <w:spacing w:after="120" w:before="120" w:line="276" w:lineRule="auto"/>
        <w:ind w:left="0"/>
        <w:jc w:val="both"/>
        <w:rPr>
          <w:color w:val="000000" w:themeColor="text1"/>
        </w:rPr>
      </w:pPr>
      <w:r>
        <w:rPr>
          <w:color w:val="000000" w:themeColor="text1"/>
        </w:rPr>
      </w:r>
      <w:r>
        <w:rPr>
          <w:color w:val="000000" w:themeColor="text1"/>
        </w:rPr>
      </w:r>
      <w:r>
        <w:rPr>
          <w:color w:val="000000" w:themeColor="text1"/>
        </w:rPr>
      </w:r>
    </w:p>
    <w:p>
      <w:pPr>
        <w:pStyle w:val="1031"/>
        <w:pBdr/>
        <w:tabs>
          <w:tab w:val="left" w:leader="none" w:pos="993"/>
        </w:tabs>
        <w:spacing w:after="120" w:before="120" w:line="276" w:lineRule="auto"/>
        <w:ind w:left="0"/>
        <w:jc w:val="both"/>
        <w:rPr>
          <w:color w:val="000000" w:themeColor="text1"/>
        </w:rPr>
      </w:pPr>
      <w:r>
        <w:rPr>
          <w:color w:val="000000" w:themeColor="text1"/>
          <w:highlight w:val="none"/>
        </w:rPr>
      </w:r>
      <w:r>
        <w:rPr>
          <w:color w:val="000000" w:themeColor="text1"/>
        </w:rPr>
      </w:r>
      <w:r>
        <w:rPr>
          <w:color w:val="000000" w:themeColor="text1"/>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051"/>
        <w:gridCol w:w="2060"/>
        <w:gridCol w:w="2062"/>
        <w:gridCol w:w="2069"/>
        <w:gridCol w:w="2061"/>
        <w:gridCol w:w="2073"/>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05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6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Diện tích (m²)</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Đơn giá (đồng/m²)</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6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Tỷ lệ chát lượng còn lại</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7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Thành tiền (đồng)</w:t>
            </w:r>
            <w:r>
              <w:rPr>
                <w:color w:val="000000" w:themeColor="text1"/>
              </w:rPr>
            </w:r>
            <w:r>
              <w:rPr>
                <w:color w:val="000000" w:themeColor="text1"/>
              </w:rPr>
            </w:r>
          </w:p>
        </w:tc>
      </w:tr>
      <w:tr>
        <w:trPr>
          <w:trHeight w:val="195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05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25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Quyền sử dụng đất tại thửa đất số: -, tờ bản đồ số - có địa chỉ: Ô TD2- 1, Lô OSL-2, Khu Sun Premier Village, phường Bãi Cháy, thành phố Hạ Long, Quảng Ninh (nay là phường Bãi Cháy, tỉnh Quảng Ninh) theo Giấy chứng nhận quyền sử dụng đất quyền sở hữu nhà ở</w:t>
            </w:r>
            <w:r>
              <w:rPr>
                <w:rFonts w:ascii="Times New Roman" w:hAnsi="Times New Roman" w:eastAsia="Times New Roman" w:cs="Times New Roman"/>
                <w:color w:val="000000" w:themeColor="text1"/>
                <w:sz w:val="24"/>
              </w:rPr>
              <w:t xml:space="preserve"> và tài sản khác gắn liền với đất số: CO 037439, số vào sổ cấp GCN: CH37860 do Ủy ban nhân dân thành phố Hạ Long cấp ngày 11/12/2019; Chủ sử dụng đất là Ông: Đoàn văn Tuyết và bà Vũ Thị Huệ</w:t>
            </w:r>
            <w:r>
              <w:rPr>
                <w:rFonts w:ascii="Times New Roman" w:hAnsi="Times New Roman" w:eastAsia="Times New Roman" w:cs="Times New Roman"/>
                <w:b/>
                <w:color w:val="000000" w:themeColor="text1"/>
                <w:sz w:val="24"/>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73" w:type="dxa"/>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05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1</w:t>
            </w:r>
            <w:r>
              <w:rPr>
                <w:b w:val="0"/>
                <w:bCs w:val="0"/>
                <w:color w:val="000000" w:themeColor="text1"/>
              </w:rPr>
            </w:r>
            <w:r>
              <w:rPr>
                <w:b w:val="0"/>
                <w:bCs w:val="0"/>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0"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4"/>
              </w:rPr>
              <w:t xml:space="preserve">Đất ở tại đô thị</w:t>
            </w:r>
            <w:r>
              <w:rPr>
                <w:b w:val="0"/>
                <w:bCs w:val="0"/>
                <w:color w:val="000000" w:themeColor="text1"/>
              </w:rPr>
            </w:r>
            <w:r>
              <w:rPr>
                <w:b w:val="0"/>
                <w:bCs w:val="0"/>
                <w:color w:val="000000" w:themeColor="text1"/>
              </w:rPr>
            </w:r>
          </w:p>
        </w:tc>
        <w:tc>
          <w:tcPr>
            <w:tcBorders>
              <w:bottom w:val="single" w:color="000000" w:sz="5" w:space="0"/>
              <w:right w:val="single" w:color="000000" w:sz="5" w:space="0"/>
            </w:tcBorders>
            <w:tcMar>
              <w:left w:w="0" w:type="dxa"/>
              <w:top w:w="0" w:type="dxa"/>
              <w:right w:w="0" w:type="dxa"/>
              <w:bottom w:w="0" w:type="dxa"/>
            </w:tcMar>
            <w:tcW w:w="20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316,1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124.000.000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7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39.196.400.000</w:t>
            </w:r>
            <w:r>
              <w:rPr>
                <w:color w:val="000000" w:themeColor="text1"/>
              </w:rPr>
            </w:r>
            <w:r>
              <w:rPr>
                <w:color w:val="000000" w:themeColor="text1"/>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051"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4"/>
              </w:rPr>
              <w:t xml:space="preserve">2</w:t>
            </w:r>
            <w:r>
              <w:rPr>
                <w:b w:val="0"/>
                <w:bCs w:val="0"/>
                <w:color w:val="000000" w:themeColor="text1"/>
              </w:rPr>
            </w:r>
            <w:r>
              <w:rPr>
                <w:b w:val="0"/>
                <w:bCs w:val="0"/>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0" w:type="dxa"/>
            <w:vAlign w:val="center"/>
            <w:textDirection w:val="lrTb"/>
            <w:noWrap w:val="false"/>
          </w:tcPr>
          <w:p>
            <w:pPr>
              <w:pBdr/>
              <w:spacing w:after="0" w:before="0" w:line="240" w:lineRule="auto"/>
              <w:ind/>
              <w:rPr>
                <w:b w:val="0"/>
                <w:bCs w:val="0"/>
                <w:color w:val="000000" w:themeColor="text1"/>
              </w:rPr>
            </w:pPr>
            <w:r>
              <w:rPr>
                <w:rFonts w:ascii="Times New Roman" w:hAnsi="Times New Roman" w:eastAsia="Times New Roman" w:cs="Times New Roman"/>
                <w:b w:val="0"/>
                <w:bCs w:val="0"/>
                <w:color w:val="000000" w:themeColor="text1"/>
                <w:sz w:val="24"/>
              </w:rPr>
              <w:t xml:space="preserve">Nhà 4 tầng</w:t>
            </w:r>
            <w:r>
              <w:rPr>
                <w:b w:val="0"/>
                <w:bCs w:val="0"/>
                <w:color w:val="000000" w:themeColor="text1"/>
              </w:rPr>
            </w:r>
            <w:r>
              <w:rPr>
                <w:b w:val="0"/>
                <w:bCs w:val="0"/>
                <w:color w:val="000000" w:themeColor="text1"/>
              </w:rPr>
            </w:r>
          </w:p>
        </w:tc>
        <w:tc>
          <w:tcPr>
            <w:tcBorders>
              <w:bottom w:val="single" w:color="000000" w:sz="5" w:space="0"/>
              <w:right w:val="single" w:color="000000" w:sz="5" w:space="0"/>
            </w:tcBorders>
            <w:tcMar>
              <w:left w:w="0" w:type="dxa"/>
              <w:top w:w="0" w:type="dxa"/>
              <w:right w:w="0" w:type="dxa"/>
              <w:bottom w:w="0" w:type="dxa"/>
            </w:tcMar>
            <w:tcW w:w="20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802,35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3.963.286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6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7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2.416.756.317</w:t>
            </w:r>
            <w:r>
              <w:rPr>
                <w:color w:val="000000" w:themeColor="text1"/>
              </w:rPr>
            </w:r>
            <w:r>
              <w:rPr>
                <w:color w:val="000000" w:themeColor="text1"/>
              </w:rP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4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TỔNG CỘNG</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6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7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41.613.156.317</w:t>
            </w:r>
            <w:r>
              <w:rPr>
                <w:color w:val="000000" w:themeColor="text1"/>
              </w:rPr>
            </w:r>
            <w:r>
              <w:rPr>
                <w:color w:val="000000" w:themeColor="text1"/>
              </w:rPr>
            </w:r>
          </w:p>
        </w:tc>
      </w:tr>
      <w:tr>
        <w:trPr>
          <w:trHeight w:val="624"/>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4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6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7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41.613.200.000</w:t>
            </w:r>
            <w:r>
              <w:rPr>
                <w:color w:val="000000" w:themeColor="text1"/>
              </w:rPr>
            </w:r>
            <w:r>
              <w:rPr>
                <w:color w:val="000000" w:themeColor="text1"/>
              </w:rPr>
            </w:r>
          </w:p>
        </w:tc>
      </w:tr>
      <w:tr>
        <w:trPr>
          <w:trHeight w:val="648"/>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13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i/>
                <w:color w:val="000000" w:themeColor="text1"/>
                <w:sz w:val="24"/>
              </w:rPr>
              <w:t xml:space="preserve">(Bằng chữ: Bốn mươi mốt tỷ sáu trăm mười ba triệu hai trăm nghìn đồng./.)</w:t>
            </w:r>
            <w:r>
              <w:rPr>
                <w:color w:val="000000" w:themeColor="text1"/>
              </w:rPr>
            </w:r>
            <w:r>
              <w:rPr>
                <w:color w:val="000000" w:themeColor="text1"/>
              </w:rPr>
            </w:r>
          </w:p>
        </w:tc>
      </w:tr>
    </w:tbl>
    <w:p>
      <w:pPr>
        <w:pStyle w:val="1031"/>
        <w:pBdr/>
        <w:tabs>
          <w:tab w:val="left" w:leader="none" w:pos="993"/>
        </w:tabs>
        <w:spacing w:after="120" w:before="120" w:line="276" w:lineRule="auto"/>
        <w:ind w:left="0"/>
        <w:jc w:val="both"/>
        <w:rPr>
          <w:color w:val="000000" w:themeColor="text1"/>
        </w:rPr>
      </w:pPr>
      <w:r>
        <w:rPr>
          <w:color w:val="000000" w:themeColor="text1"/>
        </w:rPr>
      </w:r>
      <w:r>
        <w:rPr>
          <w:color w:val="000000" w:themeColor="text1"/>
        </w:rPr>
      </w:r>
      <w:r>
        <w:rPr>
          <w:color w:val="000000" w:themeColor="text1"/>
        </w:rPr>
      </w:r>
    </w:p>
    <w:p>
      <w:pPr>
        <w:pStyle w:val="1031"/>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31"/>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31"/>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3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w:t>
      </w:r>
      <w:r>
        <w:rPr>
          <w:color w:val="000000" w:themeColor="text1"/>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color w:val="000000" w:themeColor="text1"/>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31"/>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31"/>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31"/>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31"/>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31"/>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31"/>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31"/>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31"/>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đất  đã cung cấp cho chúng tôi.</w:t>
      </w:r>
      <w:r>
        <w:rPr>
          <w:color w:val="000000" w:themeColor="text1"/>
          <w:shd w:val="clear" w:color="auto" w:fill="ffffff"/>
        </w:rPr>
      </w:r>
      <w:r>
        <w:rPr>
          <w:color w:val="000000" w:themeColor="text1"/>
          <w:shd w:val="clear" w:color="auto" w:fill="ffffff"/>
        </w:rPr>
      </w:r>
    </w:p>
    <w:p>
      <w:pPr>
        <w:pStyle w:val="1031"/>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bCs/>
          <w:color w:val="000000" w:themeColor="text1"/>
          <w:spacing w:val="-2"/>
        </w:rPr>
      </w:pPr>
      <w:r>
        <w:rPr>
          <w:bCs/>
          <w:color w:val="000000" w:themeColor="text1"/>
          <w:spacing w:val="-2"/>
          <w:lang w:val="pt-BR"/>
        </w:rPr>
        <w:t xml:space="preserve">Tại ngày phát hành chứng thư thẩm định giá, Chúng tôi không nhận được bất kỳ văn bản đánh giá hiện trạng công trình tài sản th</w:t>
      </w:r>
      <w:r>
        <w:rPr>
          <w:bCs/>
          <w:color w:val="000000" w:themeColor="text1"/>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color w:val="000000" w:themeColor="text1"/>
          <w:spacing w:val="-2"/>
          <w:lang w:val="pt-BR"/>
        </w:rPr>
        <w:t xml:space="preserve">vậy, chất lượng còn lại của tài sản được trình bày trên báo cáo này ch</w:t>
      </w:r>
      <w:r>
        <w:rPr>
          <w:bCs/>
          <w:color w:val="000000" w:themeColor="text1"/>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rPr>
      </w:r>
      <w:r>
        <w:rPr>
          <w:bCs/>
          <w:color w:val="000000" w:themeColor="text1"/>
          <w:spacing w:val="-2"/>
        </w:rPr>
      </w:r>
    </w:p>
    <w:p>
      <w:pPr>
        <w:pStyle w:val="1031"/>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31"/>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3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31"/>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31"/>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275/2026/0782/VFI-CT.65.A</w:t>
      </w:r>
      <w:r>
        <w:rPr>
          <w:color w:val="000000" w:themeColor="text1"/>
          <w:lang w:val="vi-VN"/>
        </w:rPr>
        <w:t xml:space="preserve"> </w:t>
      </w:r>
      <w:r>
        <w:rPr>
          <w:color w:val="000000" w:themeColor="text1"/>
        </w:rPr>
        <w:t xml:space="preserve">ngày 25 tháng 5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275/2026/0782/VFI-BC.65.A</w:t>
      </w:r>
      <w:r>
        <w:rPr>
          <w:i/>
          <w:color w:val="000000" w:themeColor="text1"/>
        </w:rPr>
        <w:t xml:space="preserve"> ngày</w:t>
      </w:r>
      <w:r>
        <w:rPr>
          <w:i/>
          <w:color w:val="000000" w:themeColor="text1"/>
          <w:lang w:val="pt-BR"/>
        </w:rPr>
        <w:t xml:space="preserve"> </w:t>
      </w:r>
      <w:r>
        <w:rPr>
          <w:i/>
          <w:color w:val="000000" w:themeColor="text1"/>
          <w:lang w:val="pt-BR"/>
        </w:rPr>
        <w:t xml:space="preserve">25 tháng 5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59"/>
        <w:gridCol w:w="5566"/>
      </w:tblGrid>
      <w:tr>
        <w:trPr/>
        <w:tc>
          <w:tcPr>
            <w:tcBorders/>
            <w:tcW w:w="3959"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5566"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r>
      <w:tr>
        <w:trPr/>
        <w:tc>
          <w:tcPr>
            <w:tcBorders/>
            <w:tcW w:w="3959"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417785" cy="258925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624495" name=""/>
                              <pic:cNvPicPr>
                                <a:picLocks noChangeAspect="1"/>
                              </pic:cNvPicPr>
                              <pic:nvPr/>
                            </pic:nvPicPr>
                            <pic:blipFill rotWithShape="1">
                              <a:blip r:embed="rId18"/>
                              <a:stretch/>
                            </pic:blipFill>
                            <pic:spPr bwMode="auto">
                              <a:xfrm flipH="0" flipV="0">
                                <a:off x="0" y="0"/>
                                <a:ext cx="2417784" cy="25892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0.38pt;height:203.88pt;mso-wrap-distance-left:0.00pt;mso-wrap-distance-top:0.00pt;mso-wrap-distance-right:0.00pt;mso-wrap-distance-bottom:0.00pt;z-index:1;" stroked="false">
                      <v:imagedata r:id="rId18" o:title=""/>
                      <o:lock v:ext="edit" rotation="t"/>
                    </v:shape>
                  </w:pict>
                </mc:Fallback>
              </mc:AlternateContent>
            </w:r>
            <w:r>
              <w:rPr>
                <w:b/>
                <w:bCs/>
                <w:i/>
                <w:color w:val="000000" w:themeColor="text1"/>
              </w:rPr>
            </w:r>
            <w:r>
              <w:rPr>
                <w:b/>
                <w:bCs/>
                <w:i/>
                <w:color w:val="000000" w:themeColor="text1"/>
              </w:rPr>
            </w:r>
          </w:p>
        </w:tc>
        <w:tc>
          <w:tcPr>
            <w:tcBorders/>
            <w:tcW w:w="5566"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456496" cy="259237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2127" name=""/>
                              <pic:cNvPicPr>
                                <a:picLocks noChangeAspect="1"/>
                              </pic:cNvPicPr>
                              <pic:nvPr/>
                            </pic:nvPicPr>
                            <pic:blipFill rotWithShape="1">
                              <a:blip r:embed="rId19"/>
                              <a:stretch/>
                            </pic:blipFill>
                            <pic:spPr bwMode="auto">
                              <a:xfrm flipH="0" flipV="0">
                                <a:off x="0" y="0"/>
                                <a:ext cx="3456496" cy="25923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72.17pt;height:204.12pt;mso-wrap-distance-left:0.00pt;mso-wrap-distance-top:0.00pt;mso-wrap-distance-right:0.00pt;mso-wrap-distance-bottom:0.00pt;z-index:1;" stroked="false">
                      <v:imagedata r:id="rId19" o:title=""/>
                      <o:lock v:ext="edit" rotation="t"/>
                    </v:shape>
                  </w:pict>
                </mc:Fallback>
              </mc:AlternateContent>
            </w:r>
            <w:r>
              <w:rPr>
                <w:b/>
                <w:bCs/>
                <w:i/>
                <w:color w:val="000000" w:themeColor="text1"/>
              </w:rPr>
            </w:r>
            <w:r>
              <w:rPr>
                <w:b/>
                <w:bCs/>
                <w:i/>
                <w:color w:val="000000" w:themeColor="text1"/>
              </w:rPr>
            </w:r>
          </w:p>
        </w:tc>
      </w:tr>
    </w:tbl>
    <w:tbl>
      <w:tblPr>
        <w:tblStyle w:val="103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3959"/>
        <w:gridCol w:w="5566"/>
      </w:tblGrid>
      <w:tr>
        <w:trPr/>
        <w:tc>
          <w:tcPr>
            <w:tcBorders/>
            <w:tcW w:w="4758" w:type="dxa"/>
            <w:vAlign w:val="center"/>
            <w:textDirection w:val="lrTb"/>
            <w:noWrap w:val="false"/>
          </w:tcPr>
          <w:p>
            <w:pPr>
              <w:pBdr/>
              <w:tabs>
                <w:tab w:val="left" w:leader="none" w:pos="3298"/>
              </w:tabs>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780209" cy="208297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39678" name=""/>
                              <pic:cNvPicPr>
                                <a:picLocks noChangeAspect="1"/>
                              </pic:cNvPicPr>
                              <pic:nvPr/>
                            </pic:nvPicPr>
                            <pic:blipFill rotWithShape="1">
                              <a:blip r:embed="rId20"/>
                              <a:stretch/>
                            </pic:blipFill>
                            <pic:spPr bwMode="auto">
                              <a:xfrm flipH="0" flipV="0">
                                <a:off x="0" y="0"/>
                                <a:ext cx="2780209" cy="20829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8.91pt;height:164.01pt;mso-wrap-distance-left:0.00pt;mso-wrap-distance-top:0.00pt;mso-wrap-distance-right:0.00pt;mso-wrap-distance-bottom:0.00pt;z-index:1;" stroked="false">
                      <v:imagedata r:id="rId20"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43775" cy="213060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2928" name=""/>
                              <pic:cNvPicPr>
                                <a:picLocks noChangeAspect="1"/>
                              </pic:cNvPicPr>
                              <pic:nvPr/>
                            </pic:nvPicPr>
                            <pic:blipFill rotWithShape="1">
                              <a:blip r:embed="rId21"/>
                              <a:stretch/>
                            </pic:blipFill>
                            <pic:spPr bwMode="auto">
                              <a:xfrm flipH="0" flipV="0">
                                <a:off x="0" y="0"/>
                                <a:ext cx="2843775" cy="2130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92pt;height:167.76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tabs>
                <w:tab w:val="left" w:leader="none" w:pos="3298"/>
              </w:tabs>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17817" cy="211336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01494" name=""/>
                              <pic:cNvPicPr>
                                <a:picLocks noChangeAspect="1"/>
                              </pic:cNvPicPr>
                              <pic:nvPr/>
                            </pic:nvPicPr>
                            <pic:blipFill rotWithShape="1">
                              <a:blip r:embed="rId22"/>
                              <a:stretch/>
                            </pic:blipFill>
                            <pic:spPr bwMode="auto">
                              <a:xfrm flipH="0" flipV="0">
                                <a:off x="0" y="0"/>
                                <a:ext cx="2817816" cy="21133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88pt;height:166.41pt;mso-wrap-distance-left:0.00pt;mso-wrap-distance-top:0.00pt;mso-wrap-distance-right:0.00pt;mso-wrap-distance-bottom:0.00pt;z-index:1;" stroked="false">
                      <v:imagedata r:id="rId22"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117150" cy="282286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65078" name=""/>
                              <pic:cNvPicPr>
                                <a:picLocks noChangeAspect="1"/>
                              </pic:cNvPicPr>
                              <pic:nvPr/>
                            </pic:nvPicPr>
                            <pic:blipFill rotWithShape="1">
                              <a:blip r:embed="rId23"/>
                              <a:stretch/>
                            </pic:blipFill>
                            <pic:spPr bwMode="auto">
                              <a:xfrm rot="5399976" flipH="0" flipV="0">
                                <a:off x="0" y="0"/>
                                <a:ext cx="2117149" cy="28228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6.70pt;height:222.27pt;mso-wrap-distance-left:0.00pt;mso-wrap-distance-top:0.00pt;mso-wrap-distance-right:0.00pt;mso-wrap-distance-bottom:0.00pt;rotation:89;z-index:1;" stroked="false">
                      <v:imagedata r:id="rId23"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rPr>
          <w:color w:val="000000" w:themeColor="text1"/>
          <w:highlight w:val="none"/>
        </w:rPr>
      </w:pP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67472" cy="905305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040217" name=""/>
                        <pic:cNvPicPr>
                          <a:picLocks noChangeAspect="1"/>
                        </pic:cNvPicPr>
                        <pic:nvPr/>
                      </pic:nvPicPr>
                      <pic:blipFill rotWithShape="1">
                        <a:blip r:embed="rId24"/>
                        <a:stretch/>
                      </pic:blipFill>
                      <pic:spPr bwMode="auto">
                        <a:xfrm flipH="0" flipV="0">
                          <a:off x="0" y="0"/>
                          <a:ext cx="6067471" cy="90530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7.75pt;height:712.84pt;mso-wrap-distance-left:0.00pt;mso-wrap-distance-top:0.00pt;mso-wrap-distance-right:0.00pt;mso-wrap-distance-bottom:0.00pt;z-index:1;" stroked="false">
                <v:imagedata r:id="rId24" o:title=""/>
                <o:lock v:ext="edit" rotation="t"/>
              </v:shape>
            </w:pict>
          </mc:Fallback>
        </mc:AlternateContent>
      </w:r>
      <w:r>
        <w:rPr>
          <w:color w:val="000000" w:themeColor="text1"/>
          <w:highlight w:val="none"/>
        </w:rPr>
      </w:r>
      <w:r>
        <w:rPr>
          <w:color w:val="000000" w:themeColor="text1"/>
          <w:highlight w:val="none"/>
        </w:rPr>
      </w:r>
    </w:p>
    <w:p>
      <w:pPr>
        <w:pBdr/>
        <w:spacing w:after="200" w:line="276" w:lineRule="auto"/>
        <w:ind/>
        <w:rPr>
          <w:color w:val="000000" w:themeColor="text1"/>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182065" cy="885290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80974" name=""/>
                        <pic:cNvPicPr>
                          <a:picLocks noChangeAspect="1"/>
                        </pic:cNvPicPr>
                        <pic:nvPr/>
                      </pic:nvPicPr>
                      <pic:blipFill rotWithShape="1">
                        <a:blip r:embed="rId25"/>
                        <a:stretch/>
                      </pic:blipFill>
                      <pic:spPr bwMode="auto">
                        <a:xfrm flipH="0" flipV="0">
                          <a:off x="0" y="0"/>
                          <a:ext cx="6182064" cy="88529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86.78pt;height:697.08pt;mso-wrap-distance-left:0.00pt;mso-wrap-distance-top:0.00pt;mso-wrap-distance-right:0.00pt;mso-wrap-distance-bottom:0.00pt;z-index:1;" stroked="false">
                <v:imagedata r:id="rId25" o:title=""/>
                <o:lock v:ext="edit" rotation="t"/>
              </v:shape>
            </w:pict>
          </mc:Fallback>
        </mc:AlternateContent>
      </w:r>
      <w:r>
        <w:rPr>
          <w:color w:val="000000" w:themeColor="text1"/>
        </w:rPr>
      </w:r>
      <w:r>
        <w:rPr>
          <w:color w:val="000000" w:themeColor="text1"/>
        </w:rPr>
      </w:r>
    </w:p>
    <w:p>
      <w:pPr>
        <w:pBdr/>
        <w:spacing w:after="200" w:line="276" w:lineRule="auto"/>
        <w:ind/>
        <w:jc w:val="center"/>
        <w:rPr>
          <w:bCs/>
          <w:i/>
          <w:color w:val="000000" w:themeColor="text1"/>
        </w:rPr>
      </w:pPr>
      <w:r>
        <w:rPr>
          <w:b/>
          <w:color w:val="000000" w:themeColor="text1"/>
          <w:highlight w:val="none"/>
        </w:rPr>
      </w:r>
      <w:r>
        <w:rPr>
          <w:bCs/>
          <w:i/>
          <w:color w:val="000000" w:themeColor="text1"/>
        </w:rPr>
      </w:r>
      <w:r>
        <w:rPr>
          <w:bCs/>
          <w:i/>
          <w:color w:val="000000" w:themeColor="text1"/>
        </w:rPr>
      </w:r>
    </w:p>
    <w:p>
      <w:pPr>
        <w:pBdr/>
        <w:spacing w:after="200" w:line="276" w:lineRule="auto"/>
        <w:ind/>
        <w:jc w:val="center"/>
        <w:rPr>
          <w:b/>
          <w:bCs/>
          <w:color w:val="000000" w:themeColor="text1"/>
          <w:highlight w:val="none"/>
        </w:rPr>
      </w:pPr>
      <w:r>
        <w:rPr>
          <w:b/>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01872" cy="86195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84523" name=""/>
                        <pic:cNvPicPr>
                          <a:picLocks noChangeAspect="1"/>
                        </pic:cNvPicPr>
                        <pic:nvPr/>
                      </pic:nvPicPr>
                      <pic:blipFill rotWithShape="1">
                        <a:blip r:embed="rId26"/>
                        <a:stretch/>
                      </pic:blipFill>
                      <pic:spPr bwMode="auto">
                        <a:xfrm flipH="0" flipV="0">
                          <a:off x="0" y="0"/>
                          <a:ext cx="6001872" cy="8619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2.59pt;height:678.71pt;mso-wrap-distance-left:0.00pt;mso-wrap-distance-top:0.00pt;mso-wrap-distance-right:0.00pt;mso-wrap-distance-bottom:0.00pt;z-index:1;" stroked="false">
                <v:imagedata r:id="rId26"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275/2026/0782/VFI-BC.65.A</w:t>
      </w:r>
      <w:r>
        <w:rPr>
          <w:i/>
          <w:color w:val="000000" w:themeColor="text1"/>
        </w:rPr>
        <w:t xml:space="preserve"> ngày</w:t>
      </w:r>
      <w:r>
        <w:rPr>
          <w:i/>
          <w:color w:val="000000" w:themeColor="text1"/>
          <w:lang w:val="pt-BR"/>
        </w:rPr>
        <w:t xml:space="preserve"> </w:t>
      </w:r>
      <w:r>
        <w:rPr>
          <w:i/>
          <w:color w:val="000000" w:themeColor="text1"/>
          <w:lang w:val="pt-BR"/>
        </w:rPr>
        <w:t xml:space="preserve">25 tháng 5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0338441111</w:t>
            </w:r>
            <w:r>
              <w:rPr>
                <w:color w:val="000000" w:themeColor="text1"/>
                <w:sz w:val="22"/>
                <w:szCs w:val="22"/>
              </w:rPr>
              <w:t xml:space="preserve"> </w:t>
            </w:r>
            <w:r>
              <w:rPr>
                <w:color w:val="000000" w:themeColor="text1"/>
                <w:sz w:val="22"/>
                <w:szCs w:val="22"/>
              </w:rPr>
              <w:br/>
              <w:t xml:space="preserve">(Chung Anh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48.000.000.000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45.600.000.000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5/2026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tại:Phường Bãi Cháy, thành phố Hạ Long, Quảng Ninh (nay là phường Bãi Cháy, tỉnh Quảng Ninh), tiếp giáp đường Lộc Vừng 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300,1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góc 2 mặt đường, phố</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4788240" cy="2764885"/>
                      <wp:effectExtent l="0" t="0" r="0" b="0"/>
                      <wp:docPr id="15" name=""/>
                      <wp:cNvGraphicFramePr/>
                      <a:graphic xmlns:a="http://schemas.openxmlformats.org/drawingml/2006/main">
                        <a:graphicData uri="http://schemas.openxmlformats.org/drawingml/2006/picture">
                          <pic:pic xmlns:pic="http://schemas.openxmlformats.org/drawingml/2006/picture">
                            <pic:nvPicPr>
                              <pic:cNvPr id="1325024503" name="" descr=""/>
                              <pic:cNvPicPr/>
                              <pic:nvPr/>
                            </pic:nvPicPr>
                            <pic:blipFill rotWithShape="1">
                              <a:blip r:embed="rId27"/>
                              <a:stretch/>
                            </pic:blipFill>
                            <pic:spPr bwMode="auto">
                              <a:xfrm flipH="0" flipV="0">
                                <a:off x="0" y="0"/>
                                <a:ext cx="4788239" cy="2764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77.03pt;height:217.71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jc w:val="center"/>
          <w:trHeight w:val="29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https://batdongsan.com.vn/ban-nha-biet-thu-lien-ke-duong-ha-long-phuong-bai-chay-prj-premier-village-ha-long/sun-7-mau-phan-khu-loc-vung-pr44531933</w:t>
            </w:r>
            <w:r>
              <w:rPr>
                <w:color w:val="000000" w:themeColor="text1"/>
                <w:sz w:val="22"/>
                <w:szCs w:val="22"/>
              </w:rPr>
              <w:br/>
              <w:t xml:space="preserve">0966282468</w:t>
            </w:r>
            <w:r>
              <w:rPr>
                <w:color w:val="000000" w:themeColor="text1"/>
                <w:sz w:val="22"/>
                <w:szCs w:val="22"/>
              </w:rPr>
              <w:t xml:space="preserve"> </w:t>
            </w:r>
            <w:r>
              <w:rPr>
                <w:color w:val="000000" w:themeColor="text1"/>
                <w:sz w:val="22"/>
                <w:szCs w:val="22"/>
              </w:rPr>
              <w:br/>
              <w:t xml:space="preserve">(Sale</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18.000.000.000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17.100.000.000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5/2026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Bãi Cháy, thành phố Hạ Long, Quảng Ninh (nay là phường Bãi Cháy, tỉnh Quảng Ninh), cách đường Hạ Long khoảng 300m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112</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331165" cy="3574699"/>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331164" cy="35746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9.78pt;height:281.47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097633" cy="33459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097631" cy="3345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1.39pt;height:263.46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0968951336</w:t>
            </w:r>
            <w:r>
              <w:rPr>
                <w:color w:val="000000" w:themeColor="text1"/>
                <w:sz w:val="22"/>
                <w:szCs w:val="22"/>
              </w:rPr>
              <w:t xml:space="preserve"> </w:t>
            </w:r>
            <w:r>
              <w:rPr>
                <w:color w:val="000000" w:themeColor="text1"/>
                <w:sz w:val="22"/>
                <w:szCs w:val="22"/>
              </w:rPr>
              <w:br/>
              <w:t xml:space="preserve">(sale</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19.500.000.000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18.525.000.000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5/2026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Phường Bãi Cháy, thành phố Hạ Long, Quảng Ninh (nay là phường Bãi Cháy, tỉnh Quảng Ninh), khoảng cách ra đường chính khoảng 150m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112,5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768667" cy="3209925"/>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768667" cy="32099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9.27pt;height:252.75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10422" cy="3209925"/>
                      <wp:effectExtent l="0" t="0" r="0" b="0"/>
                      <wp:docPr id="19" name=""/>
                      <wp:cNvGraphicFramePr/>
                      <a:graphic xmlns:a="http://schemas.openxmlformats.org/drawingml/2006/main">
                        <a:graphicData uri="http://schemas.openxmlformats.org/drawingml/2006/picture">
                          <pic:pic xmlns:pic="http://schemas.openxmlformats.org/drawingml/2006/picture">
                            <pic:nvPicPr>
                              <pic:cNvPr id="441249534" name="" descr=""/>
                              <pic:cNvPicPr/>
                              <pic:nvPr/>
                            </pic:nvPicPr>
                            <pic:blipFill rotWithShape="1">
                              <a:blip r:embed="rId31"/>
                              <a:stretch/>
                            </pic:blipFill>
                            <pic:spPr bwMode="auto">
                              <a:xfrm flipH="0" flipV="0">
                                <a:off x="0" y="0"/>
                                <a:ext cx="1710422" cy="32099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4.68pt;height:252.75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55054" cy="3209925"/>
                      <wp:effectExtent l="0" t="0" r="0" b="0"/>
                      <wp:docPr id="20" name=""/>
                      <wp:cNvGraphicFramePr/>
                      <a:graphic xmlns:a="http://schemas.openxmlformats.org/drawingml/2006/main">
                        <a:graphicData uri="http://schemas.openxmlformats.org/drawingml/2006/picture">
                          <pic:pic xmlns:pic="http://schemas.openxmlformats.org/drawingml/2006/picture">
                            <pic:nvPicPr>
                              <pic:cNvPr id="628754344" name="" descr=""/>
                              <pic:cNvPicPr/>
                              <pic:nvPr/>
                            </pic:nvPicPr>
                            <pic:blipFill rotWithShape="1">
                              <a:blip r:embed="rId32"/>
                              <a:stretch/>
                            </pic:blipFill>
                            <pic:spPr bwMode="auto">
                              <a:xfrm rot="0" flipH="0" flipV="0">
                                <a:off x="0" y="0"/>
                                <a:ext cx="1755054" cy="32099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38.19pt;height:252.75pt;mso-wrap-distance-left:0.00pt;mso-wrap-distance-top:0.00pt;mso-wrap-distance-right:0.00pt;mso-wrap-distance-bottom:0.00pt;rotation:0;z-index:1;" stroked="false">
                      <v:imagedata r:id="rId32"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sz w:val="14"/>
                <w:szCs w:val="14"/>
              </w:rPr>
            </w:pPr>
            <w:r>
              <w:rPr>
                <w:color w:val="000000" w:themeColor="text1"/>
                <w:sz w:val="14"/>
                <w:szCs w:val="14"/>
              </w:rPr>
            </w:r>
            <w:r>
              <w:rPr>
                <w:color w:val="000000" w:themeColor="text1"/>
                <w:sz w:val="14"/>
                <w:szCs w:val="14"/>
              </w:rPr>
            </w:r>
            <w:r>
              <w:rPr>
                <w:color w:val="000000" w:themeColor="text1"/>
                <w:sz w:val="14"/>
                <w:szCs w:val="14"/>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mc:AlternateContent>
          <mc:Choice Requires="wpg">
            <w:drawing>
              <wp:inline xmlns:wp="http://schemas.openxmlformats.org/drawingml/2006/wordprocessingDrawing" distT="0" distB="0" distL="0" distR="0">
                <wp:extent cx="6048375" cy="864823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9453" name=""/>
                        <pic:cNvPicPr>
                          <a:picLocks noChangeAspect="1"/>
                        </pic:cNvPicPr>
                        <pic:nvPr/>
                      </pic:nvPicPr>
                      <pic:blipFill rotWithShape="1">
                        <a:blip r:embed="rId33"/>
                        <a:stretch/>
                      </pic:blipFill>
                      <pic:spPr bwMode="auto">
                        <a:xfrm>
                          <a:off x="0" y="0"/>
                          <a:ext cx="6048374" cy="86482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80.96pt;mso-wrap-distance-left:0.00pt;mso-wrap-distance-top:0.00pt;mso-wrap-distance-right:0.00pt;mso-wrap-distance-bottom:0.00pt;z-index:1;" stroked="false">
                <v:imagedata r:id="rId33" o:title=""/>
                <o:lock v:ext="edit" rotation="t"/>
              </v:shape>
            </w:pict>
          </mc:Fallback>
        </mc:AlternateContent>
      </w:r>
      <w:r>
        <w:rPr>
          <w:color w:val="000000" w:themeColor="text1"/>
        </w:rPr>
      </w:r>
      <w:r>
        <w:rPr>
          <w:color w:val="000000" w:themeColor="text1"/>
        </w:rPr>
      </w:r>
      <w:r>
        <w:rPr>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7CD59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7A65C34A"/>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5AAAE78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519</cp:revision>
  <dcterms:created xsi:type="dcterms:W3CDTF">2025-09-15T02:01:00Z</dcterms:created>
  <dcterms:modified xsi:type="dcterms:W3CDTF">2026-06-01T07:55:35Z</dcterms:modified>
</cp:coreProperties>
</file>