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3828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53828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275/2026/0825/VFI-CT.44.A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Nguyễn Thị Hồng Lan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center"/>
                              <w:rPr>
                                <w:iCs/>
                                <w:color w:val="000000"/>
                                <w:highlight w:val="none"/>
                              </w:rPr>
                            </w:pPr>
                            <w:r>
                              <w:rPr>
                                <w:b/>
                              </w:rPr>
                              <w:t xml:space="preserve">Tài sản thẩm </w:t>
                            </w:r>
                            <w:r>
                              <w:rPr>
                                <w:b/>
                              </w:rPr>
                              <w:t xml:space="preserve">định</w:t>
                            </w:r>
                            <w:r>
                              <w:rPr>
                                <w:iCs/>
                                <w:color w:val="000000"/>
                                <w:highlight w:val="none"/>
                              </w:rPr>
                            </w:r>
                            <w:r>
                              <w:rPr>
                                <w:iCs/>
                                <w:color w:val="000000"/>
                                <w:highlight w:val="none"/>
                              </w:rPr>
                            </w:r>
                          </w:p>
                          <w:p>
                            <w:pPr>
                              <w:pBdr/>
                              <w:spacing w:after="120" w:before="120" w:line="312" w:lineRule="auto"/>
                              <w:ind/>
                              <w:jc w:val="both"/>
                              <w:rPr>
                                <w:b/>
                                <w:bCs/>
                                <w:highlight w:val="none"/>
                              </w:rPr>
                            </w:pPr>
                            <w:r>
                              <w:rPr>
                                <w:b/>
                                <w:bCs/>
                                <w:color w:val="000000" w:themeColor="text1"/>
                              </w:rPr>
                              <w:t xml:space="preserve">Tài sản 1</w:t>
                            </w:r>
                            <w:r>
                              <w:rPr>
                                <w:color w:val="000000" w:themeColor="text1"/>
                              </w:rPr>
                              <w:t xml:space="preserve">: Quyền sử dụng đất và tài sản gắn liền với đất tại thửa đất số: 476, tờ bản đồ số: 17, có địa chỉ: Khu 4, phường Thành Đông, thành phố Hải Phòng the</w:t>
                            </w:r>
                            <w:r>
                              <w:rPr>
                                <w:color w:val="000000" w:themeColor="text1"/>
                              </w:rPr>
                              <w:t xml:space="preserve">o Giấy chứng nhận quyền sử dụng đất, quyền sở hữu tài sản gắn liền với đất  số: AA 02814372, Số vào sổ cấp GCN: CN-00012 do Chi nhánh Văn phòng Đăng ký Đất đai Hải Dương cấp ngày 10/7/2025; chủ sử dụng đất là Ông Vũ Mạnh Cường và vợ Nguyễn Thị Hồng Lan</w:t>
                            </w:r>
                            <w:r>
                              <w:rPr>
                                <w:i/>
                                <w:iCs/>
                              </w:rPr>
                              <w:t xml:space="preserve">.</w:t>
                            </w:r>
                            <w:r>
                              <w:rPr>
                                <w:b/>
                                <w:bCs/>
                                <w:highlight w:val="none"/>
                              </w:rPr>
                            </w:r>
                            <w:r>
                              <w:rPr>
                                <w:b/>
                                <w:bCs/>
                                <w:highlight w:val="none"/>
                              </w:rPr>
                            </w:r>
                          </w:p>
                          <w:p>
                            <w:pPr>
                              <w:pBdr>
                                <w:top w:val="none" w:color="000000" w:sz="4" w:space="0"/>
                                <w:left w:val="none" w:color="000000" w:sz="4" w:space="0"/>
                                <w:bottom w:val="none" w:color="000000" w:sz="4" w:space="0"/>
                                <w:right w:val="none" w:color="000000" w:sz="4" w:space="0"/>
                              </w:pBdr>
                              <w:spacing w:after="120" w:before="120" w:line="312" w:lineRule="auto"/>
                              <w:ind/>
                              <w:jc w:val="both"/>
                              <w:rPr>
                                <w:color w:val="000000" w:themeColor="text1"/>
                                <w14:ligatures w14:val="none"/>
                              </w:rPr>
                            </w:pPr>
                            <w:r>
                              <w:rPr>
                                <w:b/>
                                <w:bCs/>
                                <w:color w:val="000000" w:themeColor="text1"/>
                              </w:rPr>
                              <w:t xml:space="preserve">Tài sản 2</w:t>
                            </w:r>
                            <w:r>
                              <w:rPr>
                                <w:color w:val="000000" w:themeColor="text1"/>
                              </w:rPr>
                              <w:t xml:space="preserve">: </w:t>
                            </w:r>
                            <w:r>
                              <w:rPr>
                                <w:color w:val="000000" w:themeColor="text1"/>
                              </w:rPr>
                              <w:t xml:space="preserve">Quyền sử dụng đất và tài sản gắn liền với đất tại thửa đất số: 475, tờ bản đồ số: 17, có địa chỉ: Khu 4, phường Thành Đông, thành phố Hải Phòng theo Giấy chứng nhận quyền sử dụng đất, quyền sở hữu tài sản gắn liền với đất  số: AA 02814374, Số vào sổ cấp GC</w:t>
                            </w:r>
                            <w:r>
                              <w:rPr>
                                <w:color w:val="000000" w:themeColor="text1"/>
                              </w:rPr>
                              <w:t xml:space="preserve">N: CN-00013 do Chi nhánh Văn phòng Đăng ký Đất đai Hải Dương cấp ngày 10/7/2025; chủ sử dụng đất là Ông Vũ Mạnh Cường và vợ Nguyễn Thị Hồng Lan.</w:t>
                            </w:r>
                            <w:r>
                              <w:rPr>
                                <w:color w:val="000000" w:themeColor="text1"/>
                                <w14:ligatures w14:val="none"/>
                              </w:rPr>
                            </w:r>
                            <w:r>
                              <w:rPr>
                                <w:color w:val="000000" w:themeColor="text1"/>
                                <w14:ligatures w14:val="none"/>
                              </w:rPr>
                            </w:r>
                            <w:r>
                              <w:rPr>
                                <w:color w:val="000000"/>
                                <w:highlight w:val="none"/>
                              </w:rPr>
                            </w:r>
                            <w:r>
                              <w:rPr>
                                <w:bCs/>
                                <w:i/>
                              </w:rPr>
                            </w:r>
                            <w:r>
                              <w:rPr>
                                <w:bCs/>
                                <w:i/>
                              </w:rPr>
                            </w:r>
                            <w:r>
                              <w:rPr>
                                <w:color w:val="000000" w:themeColor="text1"/>
                                <w14:ligatures w14:val="none"/>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23.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275/2026/0825/VFI-CT.44.A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Nguyễn Thị Hồng Lan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center"/>
                        <w:rPr>
                          <w:iCs/>
                          <w:color w:val="000000"/>
                          <w:highlight w:val="none"/>
                        </w:rPr>
                      </w:pPr>
                      <w:r>
                        <w:rPr>
                          <w:b/>
                        </w:rPr>
                        <w:t xml:space="preserve">Tài sản thẩm </w:t>
                      </w:r>
                      <w:r>
                        <w:rPr>
                          <w:b/>
                        </w:rPr>
                        <w:t xml:space="preserve">định</w:t>
                      </w:r>
                      <w:r>
                        <w:rPr>
                          <w:iCs/>
                          <w:color w:val="000000"/>
                          <w:highlight w:val="none"/>
                        </w:rPr>
                      </w:r>
                      <w:r>
                        <w:rPr>
                          <w:iCs/>
                          <w:color w:val="000000"/>
                          <w:highlight w:val="none"/>
                        </w:rPr>
                      </w:r>
                    </w:p>
                    <w:p>
                      <w:pPr>
                        <w:pBdr/>
                        <w:spacing w:after="120" w:before="120" w:line="312" w:lineRule="auto"/>
                        <w:ind/>
                        <w:jc w:val="both"/>
                        <w:rPr>
                          <w:b/>
                          <w:bCs/>
                          <w:highlight w:val="none"/>
                        </w:rPr>
                      </w:pPr>
                      <w:r>
                        <w:rPr>
                          <w:b/>
                          <w:bCs/>
                          <w:color w:val="000000" w:themeColor="text1"/>
                        </w:rPr>
                        <w:t xml:space="preserve">Tài sản 1</w:t>
                      </w:r>
                      <w:r>
                        <w:rPr>
                          <w:color w:val="000000" w:themeColor="text1"/>
                        </w:rPr>
                        <w:t xml:space="preserve">: Quyền sử dụng đất và tài sản gắn liền với đất tại thửa đất số: 476, tờ bản đồ số: 17, có địa chỉ: Khu 4, phường Thành Đông, thành phố Hải Phòng the</w:t>
                      </w:r>
                      <w:r>
                        <w:rPr>
                          <w:color w:val="000000" w:themeColor="text1"/>
                        </w:rPr>
                        <w:t xml:space="preserve">o Giấy chứng nhận quyền sử dụng đất, quyền sở hữu tài sản gắn liền với đất  số: AA 02814372, Số vào sổ cấp GCN: CN-00012 do Chi nhánh Văn phòng Đăng ký Đất đai Hải Dương cấp ngày 10/7/2025; chủ sử dụng đất là Ông Vũ Mạnh Cường và vợ Nguyễn Thị Hồng Lan</w:t>
                      </w:r>
                      <w:r>
                        <w:rPr>
                          <w:i/>
                          <w:iCs/>
                        </w:rPr>
                        <w:t xml:space="preserve">.</w:t>
                      </w:r>
                      <w:r>
                        <w:rPr>
                          <w:b/>
                          <w:bCs/>
                          <w:highlight w:val="none"/>
                        </w:rPr>
                      </w:r>
                      <w:r>
                        <w:rPr>
                          <w:b/>
                          <w:bCs/>
                          <w:highlight w:val="none"/>
                        </w:rPr>
                      </w:r>
                    </w:p>
                    <w:p>
                      <w:pPr>
                        <w:pBdr>
                          <w:top w:val="none" w:color="000000" w:sz="4" w:space="0"/>
                          <w:left w:val="none" w:color="000000" w:sz="4" w:space="0"/>
                          <w:bottom w:val="none" w:color="000000" w:sz="4" w:space="0"/>
                          <w:right w:val="none" w:color="000000" w:sz="4" w:space="0"/>
                        </w:pBdr>
                        <w:spacing w:after="120" w:before="120" w:line="312" w:lineRule="auto"/>
                        <w:ind/>
                        <w:jc w:val="both"/>
                        <w:rPr>
                          <w:color w:val="000000" w:themeColor="text1"/>
                          <w14:ligatures w14:val="none"/>
                        </w:rPr>
                      </w:pPr>
                      <w:r>
                        <w:rPr>
                          <w:b/>
                          <w:bCs/>
                          <w:color w:val="000000" w:themeColor="text1"/>
                        </w:rPr>
                        <w:t xml:space="preserve">Tài sản 2</w:t>
                      </w:r>
                      <w:r>
                        <w:rPr>
                          <w:color w:val="000000" w:themeColor="text1"/>
                        </w:rPr>
                        <w:t xml:space="preserve">: </w:t>
                      </w:r>
                      <w:r>
                        <w:rPr>
                          <w:color w:val="000000" w:themeColor="text1"/>
                        </w:rPr>
                        <w:t xml:space="preserve">Quyền sử dụng đất và tài sản gắn liền với đất tại thửa đất số: 475, tờ bản đồ số: 17, có địa chỉ: Khu 4, phường Thành Đông, thành phố Hải Phòng theo Giấy chứng nhận quyền sử dụng đất, quyền sở hữu tài sản gắn liền với đất  số: AA 02814374, Số vào sổ cấp GC</w:t>
                      </w:r>
                      <w:r>
                        <w:rPr>
                          <w:color w:val="000000" w:themeColor="text1"/>
                        </w:rPr>
                        <w:t xml:space="preserve">N: CN-00013 do Chi nhánh Văn phòng Đăng ký Đất đai Hải Dương cấp ngày 10/7/2025; chủ sử dụng đất là Ông Vũ Mạnh Cường và vợ Nguyễn Thị Hồng Lan.</w:t>
                      </w:r>
                      <w:r>
                        <w:rPr>
                          <w:color w:val="000000" w:themeColor="text1"/>
                          <w14:ligatures w14:val="none"/>
                        </w:rPr>
                      </w:r>
                      <w:r>
                        <w:rPr>
                          <w:color w:val="000000" w:themeColor="text1"/>
                          <w14:ligatures w14:val="none"/>
                        </w:rPr>
                      </w:r>
                      <w:r>
                        <w:rPr>
                          <w:color w:val="000000"/>
                          <w:highlight w:val="none"/>
                        </w:rPr>
                      </w:r>
                      <w:r>
                        <w:rPr>
                          <w:bCs/>
                          <w:i/>
                        </w:rPr>
                      </w:r>
                      <w:r>
                        <w:rPr>
                          <w:bCs/>
                          <w:i/>
                        </w:rPr>
                      </w:r>
                      <w:r>
                        <w:rPr>
                          <w:color w:val="000000" w:themeColor="text1"/>
                          <w14:ligatures w14:val="none"/>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 </w:t>
            </w:r>
            <w:r>
              <w:rPr>
                <w:rStyle w:val="1033"/>
                <w:rFonts w:ascii="Times New Roman" w:hAnsi="Times New Roman"/>
                <w:color w:val="000000" w:themeColor="text1"/>
                <w:lang w:val="pt-BR"/>
              </w:rPr>
              <w:t xml:space="preserve">275/2026/0825/VFI-CT.44.A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34"/>
              <w:pBdr/>
              <w:spacing w:after="60"/>
              <w:ind w:right="-56"/>
              <w:jc w:val="right"/>
              <w:rPr>
                <w:color w:val="000000" w:themeColor="text1"/>
                <w:sz w:val="24"/>
                <w:szCs w:val="24"/>
                <w:lang w:val="vi-VN"/>
              </w:rPr>
            </w:pPr>
            <w:r>
              <w:rPr>
                <w:rStyle w:val="1033"/>
                <w:rFonts w:ascii="Times New Roman" w:hAnsi="Times New Roman"/>
                <w:i/>
                <w:color w:val="auto"/>
              </w:rPr>
              <w:t xml:space="preserve">TP. Hà 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01 tháng 6 năm 2026</w:t>
            </w:r>
            <w:r>
              <w:rPr>
                <w:color w:val="000000" w:themeColor="text1"/>
                <w:sz w:val="24"/>
                <w:szCs w:val="24"/>
                <w:lang w:val="vi-VN"/>
              </w:rPr>
            </w:r>
            <w:r>
              <w:rPr>
                <w:color w:val="000000" w:themeColor="text1"/>
                <w:sz w:val="24"/>
                <w:szCs w:val="24"/>
                <w:lang w:val="vi-VN"/>
              </w:rPr>
            </w:r>
          </w:p>
        </w:tc>
      </w:tr>
    </w:tbl>
    <w:p>
      <w:pPr>
        <w:pStyle w:val="1034"/>
        <w:pBdr/>
        <w:spacing w:after="120" w:before="200" w:line="288" w:lineRule="auto"/>
        <w:ind/>
        <w:jc w:val="center"/>
        <w:rPr>
          <w:rStyle w:val="1033"/>
          <w:rFonts w:ascii="Times New Roman" w:hAnsi="Times New Roman"/>
          <w:b/>
          <w:bCs/>
          <w:color w:val="auto"/>
          <w:sz w:val="30"/>
          <w:szCs w:val="30"/>
          <w:lang w:val="vi-VN"/>
        </w:rPr>
      </w:pPr>
      <w:r>
        <w:rPr>
          <w:rStyle w:val="1033"/>
          <w:rFonts w:ascii="Times New Roman" w:hAnsi="Times New Roman"/>
          <w:b/>
          <w:bCs/>
          <w:color w:val="auto"/>
          <w:sz w:val="30"/>
          <w:szCs w:val="30"/>
          <w:lang w:val="vi-VN"/>
        </w:rPr>
        <w:t xml:space="preserve">CHỨNG THƯ THẨM ĐỊNH GIÁ</w:t>
      </w:r>
      <w:r>
        <w:rPr>
          <w:rStyle w:val="1033"/>
          <w:rFonts w:ascii="Times New Roman" w:hAnsi="Times New Roman"/>
          <w:b/>
          <w:bCs/>
          <w:color w:val="auto"/>
          <w:sz w:val="30"/>
          <w:szCs w:val="30"/>
          <w:lang w:val="vi-VN"/>
        </w:rPr>
      </w:r>
      <w:r>
        <w:rPr>
          <w:rStyle w:val="103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Bà </w:t>
      </w:r>
      <w:r>
        <w:rPr>
          <w:rFonts w:ascii="Times New Roman Bold" w:hAnsi="Times New Roman Bold"/>
          <w:b/>
          <w:color w:val="000000" w:themeColor="text1"/>
          <w:lang w:val="pt-BR"/>
        </w:rPr>
        <w:t xml:space="preserve">Nguyễn Thị Hồng Lan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275/2026/0825/VFI-HĐTĐ.44.A</w:t>
      </w:r>
      <w:r>
        <w:rPr>
          <w:spacing w:val="-4"/>
          <w:lang w:val="vi-VN"/>
        </w:rPr>
        <w:t xml:space="preserve"> ký ngày </w:t>
      </w:r>
      <w:r>
        <w:rPr>
          <w:color w:val="000000" w:themeColor="text1"/>
          <w:spacing w:val="-4"/>
        </w:rPr>
        <w:t xml:space="preserve">1 tháng 6 năm 2026</w:t>
      </w:r>
      <w:r>
        <w:rPr>
          <w:spacing w:val="-4"/>
          <w:lang w:val="vi-VN"/>
        </w:rPr>
        <w:t xml:space="preserve"> </w:t>
      </w:r>
      <w:r>
        <w:rPr>
          <w:spacing w:val="-4"/>
          <w:lang w:val="vi-VN"/>
        </w:rPr>
        <w:t xml:space="preserve">giữa </w:t>
      </w:r>
      <w:r>
        <w:rPr>
          <w:color w:val="000000" w:themeColor="text1"/>
          <w:spacing w:val="-4"/>
        </w:rPr>
        <w:t xml:space="preserve">Bà Nguyễn Thị Hồng Lan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275/2026/0825/VFI-BC.44.A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Nguyễn Thị Hồng Lan</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030180019896</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744"/>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color w:val="000000" w:themeColor="text1"/>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r>
      <w:r>
        <w:rPr>
          <w:color w:val="000000" w:themeColor="text1"/>
        </w:rPr>
      </w:r>
    </w:p>
    <w:p>
      <w:pPr>
        <w:pBdr/>
        <w:spacing w:after="120" w:before="120" w:line="312" w:lineRule="auto"/>
        <w:ind/>
        <w:jc w:val="both"/>
        <w:rPr>
          <w:b/>
          <w:bCs/>
          <w:highlight w:val="none"/>
        </w:rPr>
      </w:pPr>
      <w:r>
        <w:rPr>
          <w:b/>
          <w:bCs/>
          <w:color w:val="000000" w:themeColor="text1"/>
        </w:rPr>
        <w:t xml:space="preserve">Tài sản 1</w:t>
      </w:r>
      <w:r>
        <w:rPr>
          <w:color w:val="000000" w:themeColor="text1"/>
        </w:rPr>
        <w:t xml:space="preserve">: Quyền sử dụng đất và tài sản gắn liền với đất tại thửa đất số: 476, tờ bản đồ số: 17, có địa chỉ: Khu 4, phường Thành Đông, thành phố Hải Phòng the</w:t>
      </w:r>
      <w:r>
        <w:rPr>
          <w:color w:val="000000" w:themeColor="text1"/>
        </w:rPr>
        <w:t xml:space="preserve">o Giấy chứng nhận quyền sử dụng đất, quyền sở hữu tài sản gắn liền với đất  số: AA 02814372, Số vào sổ cấp GCN: CN-00012 do Chi nhánh Văn phòng Đăng ký Đất đai Hải Dương cấp ngày 10/7/2025; chủ sử dụng đất là Ông Vũ Mạnh Cường và vợ Nguyễn Thị Hồng Lan</w:t>
      </w:r>
      <w:r>
        <w:rPr>
          <w:i/>
          <w:iCs/>
        </w:rPr>
        <w:t xml:space="preserve">.</w:t>
      </w:r>
      <w:r>
        <w:rPr>
          <w:b/>
          <w:bCs/>
          <w:highlight w:val="none"/>
        </w:rPr>
      </w:r>
      <w:r>
        <w:rPr>
          <w:b/>
          <w:bCs/>
          <w:highlight w:val="none"/>
        </w:rPr>
      </w:r>
    </w:p>
    <w:p>
      <w:pPr>
        <w:pBdr>
          <w:top w:val="none" w:color="000000" w:sz="4" w:space="0"/>
          <w:left w:val="none" w:color="000000" w:sz="4" w:space="0"/>
          <w:bottom w:val="none" w:color="000000" w:sz="4" w:space="0"/>
          <w:right w:val="none" w:color="000000" w:sz="4" w:space="0"/>
        </w:pBdr>
        <w:spacing w:after="120" w:before="120" w:line="312" w:lineRule="auto"/>
        <w:ind/>
        <w:jc w:val="both"/>
        <w:rPr>
          <w:color w:val="000000" w:themeColor="text1"/>
          <w14:ligatures w14:val="none"/>
        </w:rPr>
      </w:pPr>
      <w:r>
        <w:rPr>
          <w:b/>
          <w:bCs/>
          <w:color w:val="000000" w:themeColor="text1"/>
        </w:rPr>
        <w:t xml:space="preserve">Tài sản 2</w:t>
      </w:r>
      <w:r>
        <w:rPr>
          <w:color w:val="000000" w:themeColor="text1"/>
        </w:rPr>
        <w:t xml:space="preserve">: </w:t>
      </w:r>
      <w:r>
        <w:rPr>
          <w:color w:val="000000" w:themeColor="text1"/>
        </w:rPr>
        <w:t xml:space="preserve">Quyền sử dụng đất và tài sản gắn liền với đất tại thửa đất số: 475, tờ bản đồ số: 17, có địa chỉ: Khu 4, phường Thành Đông, thành phố Hải Phòng theo Giấy chứng nhận quyền sử dụng đất, quyền sở hữu tài sản gắn liền với đất  số: AA 02814374, Số vào sổ cấp GC</w:t>
      </w:r>
      <w:r>
        <w:rPr>
          <w:color w:val="000000" w:themeColor="text1"/>
        </w:rPr>
        <w:t xml:space="preserve">N: CN-00013 do Chi nhánh Văn phòng Đăng ký Đất đai Hải Dương cấp ngày 10/7/2025; chủ sử dụng đất là Ông Vũ Mạnh Cường và vợ Nguyễn Thị Hồng Lan.</w:t>
      </w:r>
      <w:r>
        <w:rPr>
          <w:color w:val="000000" w:themeColor="text1"/>
          <w14:ligatures w14:val="none"/>
        </w:rPr>
      </w:r>
      <w:r>
        <w:rPr>
          <w:color w:val="000000" w:themeColor="text1"/>
          <w14:ligatures w14:val="none"/>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06/2026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06/2026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2194"/>
        <w:gridCol w:w="1633"/>
        <w:gridCol w:w="2581"/>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194"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633"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vMerge w:val="restart"/>
            <w:textDirection w:val="lrTb"/>
            <w:noWrap w:val="false"/>
          </w:tcPr>
          <w:p>
            <w:pPr>
              <w:pBdr/>
              <w:spacing w:after="40" w:before="40" w:line="288" w:lineRule="auto"/>
              <w:ind/>
              <w:jc w:val="center"/>
              <w:rPr>
                <w:b/>
                <w:bCs/>
              </w:rPr>
            </w:pPr>
            <w:r>
              <w:rPr>
                <w:b/>
                <w:bCs/>
              </w:rPr>
              <w:t xml:space="preserve">01</w:t>
            </w:r>
            <w:r>
              <w:rPr>
                <w:b/>
                <w:bCs/>
              </w:rPr>
            </w:r>
            <w:r>
              <w:rPr>
                <w:b/>
                <w:bCs/>
              </w:rPr>
            </w:r>
          </w:p>
        </w:tc>
        <w:tc>
          <w:tcPr>
            <w:shd w:val="clear" w:color="000000" w:fill="ffffff"/>
            <w:tcBorders/>
            <w:tcW w:w="2194" w:type="dxa"/>
            <w:vAlign w:val="center"/>
            <w:vMerge w:val="restart"/>
            <w:textDirection w:val="lrTb"/>
            <w:noWrap w:val="false"/>
          </w:tcPr>
          <w:p>
            <w:pPr>
              <w:pBdr/>
              <w:spacing w:after="40" w:before="40" w:line="288" w:lineRule="auto"/>
              <w:ind/>
              <w:jc w:val="center"/>
              <w:rPr>
                <w:b/>
                <w:bCs/>
              </w:rPr>
            </w:pPr>
            <w:r>
              <w:rPr>
                <w:b/>
                <w:bCs/>
              </w:rPr>
              <w:t xml:space="preserve">Quyền sử dụng đất</w:t>
            </w:r>
            <w:r>
              <w:rPr>
                <w:b/>
                <w:bCs/>
              </w:rPr>
            </w:r>
            <w:r>
              <w:rPr>
                <w:b/>
                <w:bCs/>
              </w:rPr>
            </w:r>
          </w:p>
        </w:tc>
        <w:tc>
          <w:tcPr>
            <w:shd w:val="clear" w:color="000000" w:fill="ffffff"/>
            <w:tcBorders/>
            <w:tcW w:w="1633" w:type="dxa"/>
            <w:vAlign w:val="center"/>
            <w:vMerge w:val="restart"/>
            <w:textDirection w:val="lrTb"/>
            <w:noWrap w:val="false"/>
          </w:tcPr>
          <w:p>
            <w:pPr>
              <w:pBdr/>
              <w:spacing w:after="40" w:before="40" w:line="288" w:lineRule="auto"/>
              <w:ind/>
              <w:jc w:val="center"/>
              <w:rPr>
                <w:b/>
                <w:bCs/>
              </w:rPr>
            </w:pPr>
            <w:r>
              <w:rPr>
                <w:b/>
                <w:bCs/>
              </w:rPr>
            </w:r>
            <w:r>
              <w:rPr>
                <w:b/>
                <w:bCs/>
              </w:rPr>
            </w:r>
            <w:r>
              <w:rPr>
                <w:b/>
                <w:bCs/>
              </w:rPr>
            </w:r>
          </w:p>
        </w:tc>
        <w:tc>
          <w:tcPr>
            <w:shd w:val="clear" w:color="000000" w:fill="ffffff"/>
            <w:tcBorders/>
            <w:tcW w:w="2581" w:type="dxa"/>
            <w:vAlign w:val="center"/>
            <w:vMerge w:val="restart"/>
            <w:textDirection w:val="lrTb"/>
            <w:noWrap w:val="false"/>
          </w:tcPr>
          <w:p>
            <w:pPr>
              <w:pBdr/>
              <w:spacing w:after="40" w:before="40" w:line="288" w:lineRule="auto"/>
              <w:ind/>
              <w:jc w:val="center"/>
              <w:rPr>
                <w:b/>
                <w:bCs/>
              </w:rPr>
            </w:pPr>
            <w:r>
              <w:rPr>
                <w:b/>
                <w:bCs/>
              </w:rPr>
            </w:r>
            <w:r>
              <w:rPr>
                <w:b/>
                <w:bCs/>
              </w:rPr>
            </w:r>
            <w:r>
              <w:rPr>
                <w:b/>
                <w:bCs/>
              </w:rPr>
            </w:r>
          </w:p>
        </w:tc>
        <w:tc>
          <w:tcPr>
            <w:shd w:val="clear" w:color="000000" w:fill="ffffff"/>
            <w:tcBorders/>
            <w:tcW w:w="2164" w:type="dxa"/>
            <w:vAlign w:val="center"/>
            <w:vMerge w:val="restart"/>
            <w:textDirection w:val="lrTb"/>
            <w:noWrap w:val="false"/>
          </w:tcPr>
          <w:p>
            <w:pPr>
              <w:pBdr/>
              <w:spacing w:after="40" w:before="40" w:line="288" w:lineRule="auto"/>
              <w:ind/>
              <w:jc w:val="center"/>
              <w:rPr>
                <w:b/>
                <w:bCs/>
              </w:rPr>
            </w:pPr>
            <w:r>
              <w:rPr>
                <w:b/>
                <w:bCs/>
              </w:rPr>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color w:val="000000"/>
              </w:rPr>
              <w:t xml:space="preserve">Quyền sử dụng đất và tài sản gắn liền với đất tại thửa đất số: 476, tờ bản đồ số: 17, có địa chỉ: Khu 4, phường Thành Đông, thành phố Hải Phòng the</w:t>
            </w:r>
            <w:r>
              <w:rPr>
                <w:color w:val="000000"/>
              </w:rPr>
              <w:t xml:space="preserve">o Giấy chứng nhận quyền sử dụng đất, quyền sở hữu tài sản gắn liền với đất  số: AA 02814372, Số vào sổ cấp GCN: CN-00012 do Chi nhánh Văn phòng Đăng ký Đất đai Hải Dương cấp ngày 10/7/2025; chủ sử dụng đất là Ông Vũ Mạnh Cường và vợ Nguyễn Thị Hồng Lan</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vMerge w:val="restart"/>
            <w:textDirection w:val="lrTb"/>
            <w:noWrap w:val="false"/>
          </w:tcPr>
          <w:p>
            <w:pPr>
              <w:pBdr/>
              <w:spacing w:after="40" w:before="40" w:line="288" w:lineRule="auto"/>
              <w:ind/>
              <w:jc w:val="center"/>
              <w:rPr>
                <w:b/>
                <w:bCs/>
              </w:rPr>
            </w:pPr>
            <w:r>
              <w:rPr>
                <w:b/>
                <w:bCs/>
              </w:rPr>
              <w:t xml:space="preserve">-</w:t>
            </w:r>
            <w:r>
              <w:rPr>
                <w:b/>
                <w:bCs/>
              </w:rPr>
            </w:r>
            <w:r>
              <w:rPr>
                <w:b/>
                <w:bCs/>
              </w:rPr>
            </w:r>
          </w:p>
        </w:tc>
        <w:tc>
          <w:tcPr>
            <w:shd w:val="clear" w:color="000000" w:fill="ffffff"/>
            <w:tcBorders/>
            <w:tcW w:w="2194" w:type="dxa"/>
            <w:vAlign w:val="center"/>
            <w:vMerge w:val="restart"/>
            <w:textDirection w:val="lrTb"/>
            <w:noWrap w:val="false"/>
          </w:tcPr>
          <w:p>
            <w:pPr>
              <w:pBdr/>
              <w:spacing w:after="40" w:before="40" w:line="288" w:lineRule="auto"/>
              <w:ind/>
              <w:rPr/>
            </w:pPr>
            <w:r>
              <w:rPr>
                <w:b/>
                <w:bCs/>
              </w:rPr>
              <w:t xml:space="preserve">Đất ở </w:t>
            </w:r>
            <w:r/>
          </w:p>
        </w:tc>
        <w:tc>
          <w:tcPr>
            <w:tcBorders/>
            <w:tcW w:w="1633" w:type="dxa"/>
            <w:vAlign w:val="center"/>
            <w:vMerge w:val="restart"/>
            <w:textDirection w:val="lrTb"/>
            <w:noWrap/>
          </w:tcPr>
          <w:p>
            <w:pPr>
              <w:pBdr/>
              <w:spacing w:after="40" w:before="40" w:line="288" w:lineRule="auto"/>
              <w:ind/>
              <w:jc w:val="center"/>
              <w:rPr>
                <w:color w:val="000000"/>
              </w:rPr>
            </w:pPr>
            <w:r>
              <w:rPr>
                <w:color w:val="000000" w:themeColor="text1"/>
              </w:rPr>
              <w:t xml:space="preserve">197,5</w:t>
            </w:r>
            <w:r>
              <w:rPr>
                <w:color w:val="000000"/>
              </w:rPr>
            </w:r>
            <w:r>
              <w:rPr>
                <w:color w:val="000000"/>
              </w:rPr>
            </w:r>
          </w:p>
        </w:tc>
        <w:tc>
          <w:tcPr>
            <w:shd w:val="clear" w:color="000000" w:fill="ffffff"/>
            <w:tcBorders/>
            <w:tcW w:w="2581" w:type="dxa"/>
            <w:vAlign w:val="center"/>
            <w:vMerge w:val="restart"/>
            <w:textDirection w:val="lrTb"/>
            <w:noWrap w:val="false"/>
          </w:tcPr>
          <w:p>
            <w:pPr>
              <w:pBdr/>
              <w:spacing w:after="40" w:before="40" w:line="288" w:lineRule="auto"/>
              <w:ind/>
              <w:jc w:val="center"/>
              <w:rPr/>
            </w:pPr>
            <w:r>
              <w:rPr>
                <w:color w:val="000000" w:themeColor="text1"/>
              </w:rPr>
              <w:t xml:space="preserve">42.500.000</w:t>
            </w:r>
            <w:r/>
          </w:p>
        </w:tc>
        <w:tc>
          <w:tcPr>
            <w:shd w:val="clear" w:color="000000" w:fill="ffffff"/>
            <w:tcBorders/>
            <w:tcW w:w="2164" w:type="dxa"/>
            <w:vAlign w:val="center"/>
            <w:vMerge w:val="restart"/>
            <w:textDirection w:val="lrTb"/>
            <w:noWrap w:val="false"/>
          </w:tcPr>
          <w:p>
            <w:pPr>
              <w:pBdr/>
              <w:spacing w:after="40" w:before="40" w:line="288" w:lineRule="auto"/>
              <w:ind/>
              <w:jc w:val="center"/>
              <w:rPr/>
            </w:pPr>
            <w:r>
              <w:rPr>
                <w:color w:val="000000" w:themeColor="text1"/>
              </w:rPr>
              <w:t xml:space="preserve">8.393.750.000</w:t>
            </w:r>
            <w:r/>
          </w:p>
        </w:tc>
      </w:tr>
      <w:tr>
        <w:trPr>
          <w:trHeight w:val="20"/>
        </w:trPr>
        <w:tc>
          <w:tcPr>
            <w:shd w:val="clear" w:color="000000" w:fill="ffffff"/>
            <w:tcBorders/>
            <w:tcW w:w="952" w:type="dxa"/>
            <w:vAlign w:val="center"/>
            <w:vMerge w:val="restart"/>
            <w:textDirection w:val="lrTb"/>
            <w:noWrap w:val="false"/>
          </w:tcPr>
          <w:p>
            <w:pPr>
              <w:pBdr/>
              <w:spacing w:after="40" w:before="40" w:line="288" w:lineRule="auto"/>
              <w:ind/>
              <w:jc w:val="center"/>
              <w:rPr>
                <w:b/>
                <w:bCs/>
              </w:rPr>
            </w:pPr>
            <w:r>
              <w:rPr>
                <w:b/>
                <w:bCs/>
              </w:rPr>
            </w:r>
            <w:r>
              <w:rPr>
                <w:b/>
                <w:bCs/>
              </w:rPr>
            </w:r>
            <w:r>
              <w:rPr>
                <w:b/>
                <w:bCs/>
              </w:rPr>
            </w:r>
          </w:p>
        </w:tc>
        <w:tc>
          <w:tcPr>
            <w:gridSpan w:val="3"/>
            <w:shd w:val="clear" w:color="000000" w:fill="ffffff"/>
            <w:tcBorders/>
            <w:tcW w:w="6408" w:type="dxa"/>
            <w:vAlign w:val="center"/>
            <w:vMerge w:val="restart"/>
            <w:textDirection w:val="lrTb"/>
            <w:noWrap w:val="false"/>
          </w:tcPr>
          <w:p>
            <w:pPr>
              <w:pBdr/>
              <w:spacing w:after="40" w:before="40" w:line="288" w:lineRule="auto"/>
              <w:ind/>
              <w:jc w:val="both"/>
              <w:rPr>
                <w:color w:val="000000" w:themeColor="text1"/>
              </w:rPr>
            </w:pPr>
            <w:r>
              <w:rPr>
                <w:color w:val="000000" w:themeColor="text1"/>
              </w:rPr>
            </w:r>
            <w:r>
              <w:rPr>
                <w:color w:val="000000" w:themeColor="text1"/>
              </w:rPr>
              <w:t xml:space="preserve">Quyền sử dụng đất và tài sản gắn liền với đất tại thửa đất số: 475, tờ bản đồ số: 17, có địa chỉ: Khu 4, phường Thành Đông, thành phố Hải Phòng theo Giấy chứng nhận quyền sử dụng đất, quyền sở hữu tài sản gắn liền với </w:t>
            </w:r>
            <w:r>
              <w:rPr>
                <w:color w:val="000000"/>
              </w:rPr>
              <w:t xml:space="preserve">đất  </w:t>
            </w:r>
            <w:r>
              <w:rPr>
                <w:color w:val="000000" w:themeColor="text1"/>
              </w:rPr>
              <w:t xml:space="preserve">số: AA 02814374, Số vào sổ cấp GC</w:t>
            </w:r>
            <w:r>
              <w:rPr>
                <w:color w:val="000000" w:themeColor="text1"/>
              </w:rPr>
              <w:t xml:space="preserve">N: CN-00013 do Chi nhánh Văn phòng Đăng ký Đất đai Hải Dương cấp ngày 10/7/2025; chủ sử dụng đất là Ông Vũ Mạnh Cường và vợ Nguyễn Thị Hồng Lan.</w:t>
            </w:r>
            <w:r>
              <w:rPr>
                <w:color w:val="000000" w:themeColor="text1"/>
              </w:rPr>
            </w:r>
            <w:r>
              <w:rPr>
                <w:color w:val="000000" w:themeColor="text1"/>
              </w:rPr>
            </w:r>
          </w:p>
        </w:tc>
        <w:tc>
          <w:tcPr>
            <w:shd w:val="clear" w:color="000000" w:fill="ffffff"/>
            <w:tcBorders/>
            <w:tcW w:w="2164"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r>
            <w:r>
              <w:rPr>
                <w:color w:val="000000" w:themeColor="text1"/>
              </w:rPr>
            </w:r>
            <w:r>
              <w:rPr>
                <w:color w:val="000000" w:themeColor="text1"/>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pPr>
            <w:r>
              <w:rPr>
                <w:b/>
                <w:bCs/>
              </w:rPr>
              <w:t xml:space="preserve">-</w:t>
            </w:r>
            <w:r/>
          </w:p>
        </w:tc>
        <w:tc>
          <w:tcPr>
            <w:shd w:val="clear" w:color="000000" w:fill="ffffff"/>
            <w:tcBorders/>
            <w:tcW w:w="2194" w:type="dxa"/>
            <w:vAlign w:val="center"/>
            <w:textDirection w:val="lrTb"/>
            <w:noWrap w:val="false"/>
          </w:tcPr>
          <w:p>
            <w:pPr>
              <w:pBdr/>
              <w:spacing w:after="40" w:before="40" w:line="288" w:lineRule="auto"/>
              <w:ind/>
              <w:rPr/>
            </w:pPr>
            <w:r>
              <w:rPr>
                <w:b/>
                <w:bCs/>
              </w:rPr>
              <w:t xml:space="preserve">Đất ở</w:t>
            </w:r>
            <w:r/>
          </w:p>
        </w:tc>
        <w:tc>
          <w:tcPr>
            <w:tcBorders/>
            <w:tcW w:w="1633" w:type="dxa"/>
            <w:vAlign w:val="center"/>
            <w:textDirection w:val="lrTb"/>
            <w:noWrap/>
          </w:tcPr>
          <w:p>
            <w:pPr>
              <w:pBdr/>
              <w:spacing w:after="40" w:before="40" w:line="288" w:lineRule="auto"/>
              <w:ind/>
              <w:jc w:val="center"/>
              <w:rPr>
                <w:color w:val="000000"/>
              </w:rPr>
            </w:pPr>
            <w:r>
              <w:rPr>
                <w:color w:val="000000" w:themeColor="text1"/>
              </w:rPr>
              <w:t xml:space="preserve">185,8</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42.500.000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7.896.500.000</w:t>
            </w:r>
            <w:r/>
          </w:p>
        </w:tc>
      </w:tr>
      <w:tr>
        <w:trPr>
          <w:trHeight w:val="20"/>
        </w:trPr>
        <w:tc>
          <w:tcPr>
            <w:shd w:val="clear" w:color="000000" w:fill="ffffff"/>
            <w:tcBorders/>
            <w:tcW w:w="952" w:type="dxa"/>
            <w:vAlign w:val="center"/>
            <w:vMerge w:val="restart"/>
            <w:textDirection w:val="lrTb"/>
            <w:noWrap w:val="false"/>
          </w:tcPr>
          <w:p>
            <w:pPr>
              <w:pBdr/>
              <w:spacing w:after="40" w:before="40" w:line="288" w:lineRule="auto"/>
              <w:ind/>
              <w:jc w:val="center"/>
              <w:rPr>
                <w:b/>
                <w:bCs/>
              </w:rPr>
            </w:pPr>
            <w:r>
              <w:rPr>
                <w:b/>
                <w:bCs/>
              </w:rPr>
              <w:t xml:space="preserve">02</w:t>
            </w:r>
            <w:r>
              <w:rPr>
                <w:b/>
                <w:bCs/>
              </w:rPr>
            </w:r>
            <w:r>
              <w:rPr>
                <w:b/>
                <w:bCs/>
              </w:rPr>
            </w:r>
          </w:p>
        </w:tc>
        <w:tc>
          <w:tcPr>
            <w:shd w:val="clear" w:color="000000" w:fill="ffffff"/>
            <w:tcBorders/>
            <w:tcW w:w="2194" w:type="dxa"/>
            <w:vAlign w:val="center"/>
            <w:vMerge w:val="restart"/>
            <w:textDirection w:val="lrTb"/>
            <w:noWrap w:val="false"/>
          </w:tcPr>
          <w:p>
            <w:pPr>
              <w:pBdr/>
              <w:spacing w:after="40" w:before="40" w:line="288" w:lineRule="auto"/>
              <w:ind/>
              <w:rPr>
                <w:b/>
                <w:bCs/>
              </w:rPr>
            </w:pPr>
            <w:r>
              <w:rPr>
                <w:b/>
                <w:bCs/>
              </w:rPr>
              <w:t xml:space="preserve">Nhà ở 2 tầng</w:t>
            </w:r>
            <w:r>
              <w:rPr>
                <w:b/>
                <w:bCs/>
              </w:rPr>
            </w:r>
            <w:r>
              <w:rPr>
                <w:b/>
                <w:bCs/>
              </w:rPr>
            </w:r>
          </w:p>
        </w:tc>
        <w:tc>
          <w:tcPr>
            <w:tcBorders/>
            <w:tcW w:w="1633" w:type="dxa"/>
            <w:vAlign w:val="center"/>
            <w:vMerge w:val="restart"/>
            <w:textDirection w:val="lrTb"/>
            <w:noWrap/>
          </w:tcPr>
          <w:p>
            <w:pPr>
              <w:pBdr/>
              <w:spacing w:after="40" w:before="40" w:line="288" w:lineRule="auto"/>
              <w:ind/>
              <w:jc w:val="center"/>
              <w:rPr>
                <w:color w:val="000000" w:themeColor="text1"/>
              </w:rPr>
            </w:pPr>
            <w:r>
              <w:rPr>
                <w:color w:val="000000" w:themeColor="text1"/>
              </w:rPr>
              <w:t xml:space="preserve">766</w:t>
            </w:r>
            <w:r>
              <w:rPr>
                <w:color w:val="000000" w:themeColor="text1"/>
              </w:rPr>
            </w:r>
            <w:r>
              <w:rPr>
                <w:color w:val="000000" w:themeColor="text1"/>
              </w:rPr>
            </w:r>
          </w:p>
        </w:tc>
        <w:tc>
          <w:tcPr>
            <w:shd w:val="clear" w:color="000000" w:fill="ffffff"/>
            <w:tcBorders/>
            <w:tcW w:w="2581"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6.744.546</w:t>
            </w:r>
            <w:r>
              <w:rPr>
                <w:color w:val="000000" w:themeColor="text1"/>
              </w:rPr>
            </w:r>
            <w:r>
              <w:rPr>
                <w:color w:val="000000" w:themeColor="text1"/>
              </w:rPr>
            </w:r>
          </w:p>
        </w:tc>
        <w:tc>
          <w:tcPr>
            <w:shd w:val="clear" w:color="000000" w:fill="ffffff"/>
            <w:tcBorders/>
            <w:tcW w:w="2164"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5.166.322.236</w:t>
            </w:r>
            <w:r>
              <w:rPr>
                <w:color w:val="000000" w:themeColor="text1"/>
              </w:rPr>
            </w:r>
            <w:r>
              <w:rPr>
                <w:color w:val="000000" w:themeColor="text1"/>
              </w:rP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color w:val="000000" w:themeColor="text1"/>
              </w:rPr>
              <w:t xml:space="preserve">21.456.572.236</w:t>
            </w:r>
            <w:r>
              <w:rPr>
                <w:b/>
                <w:bCs/>
                <w:color w:val="000000"/>
              </w:rPr>
            </w:r>
            <w:r>
              <w:rPr>
                <w:b/>
                <w:bCs/>
                <w:color w:val="000000"/>
              </w:rP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themeColor="text1"/>
              </w:rPr>
              <w:t xml:space="preserve">21.456.600.000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Hai mươi mốt tỷ bốn trăm năm mươi sáu triệu sáu trăm nghìn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 </w:t>
            </w:r>
            <w:r>
              <w:rPr>
                <w:rStyle w:val="1033"/>
                <w:rFonts w:ascii="Times New Roman" w:hAnsi="Times New Roman"/>
                <w:color w:val="000000" w:themeColor="text1"/>
                <w:lang w:val="pt-BR"/>
              </w:rPr>
              <w:t xml:space="preserve">275/2026/0825/VFI-CT.44.A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34"/>
              <w:pBdr/>
              <w:spacing w:after="60"/>
              <w:ind w:right="-56"/>
              <w:jc w:val="right"/>
              <w:rPr>
                <w:color w:val="000000" w:themeColor="text1"/>
                <w:sz w:val="24"/>
                <w:szCs w:val="24"/>
                <w:lang w:val="vi-VN"/>
              </w:rPr>
            </w:pPr>
            <w:r>
              <w:rPr>
                <w:rStyle w:val="1033"/>
                <w:rFonts w:ascii="Times New Roman" w:hAnsi="Times New Roman"/>
                <w:i/>
                <w:color w:val="auto"/>
              </w:rPr>
              <w:t xml:space="preserve">TP. Hà 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1 tháng 6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34"/>
              <w:pBdr/>
              <w:spacing w:after="60"/>
              <w:ind/>
              <w:rPr>
                <w:rStyle w:val="1033"/>
                <w:rFonts w:ascii="Times New Roman" w:hAnsi="Times New Roman"/>
                <w:color w:val="000000" w:themeColor="text1"/>
                <w:lang w:val="pt-BR"/>
              </w:rPr>
            </w:pPr>
            <w:r>
              <w:rPr>
                <w:rStyle w:val="1033"/>
                <w:rFonts w:ascii="Times New Roman" w:hAnsi="Times New Roman"/>
                <w:color w:val="000000" w:themeColor="text1"/>
                <w:lang w:val="pt-BR"/>
              </w:rPr>
            </w:r>
            <w:r>
              <w:rPr>
                <w:rStyle w:val="1033"/>
                <w:rFonts w:ascii="Times New Roman" w:hAnsi="Times New Roman"/>
                <w:color w:val="000000" w:themeColor="text1"/>
                <w:lang w:val="pt-BR"/>
              </w:rPr>
            </w:r>
            <w:r>
              <w:rPr>
                <w:rStyle w:val="1033"/>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1034"/>
              <w:pBdr/>
              <w:spacing w:after="60"/>
              <w:ind w:right="-56"/>
              <w:rPr>
                <w:rStyle w:val="1033"/>
                <w:rFonts w:ascii="Times New Roman" w:hAnsi="Times New Roman"/>
                <w:i/>
                <w:color w:val="auto"/>
              </w:rPr>
            </w:pPr>
            <w:r>
              <w:rPr>
                <w:rFonts w:ascii="Times New Roman" w:hAnsi="Times New Roman"/>
                <w:i/>
                <w:color w:val="auto"/>
              </w:rPr>
            </w:r>
            <w:r>
              <w:rPr>
                <w:rStyle w:val="1033"/>
                <w:rFonts w:ascii="Times New Roman" w:hAnsi="Times New Roman"/>
                <w:i/>
                <w:color w:val="auto"/>
              </w:rPr>
            </w:r>
            <w:r>
              <w:rPr>
                <w:rStyle w:val="1033"/>
                <w:rFonts w:ascii="Times New Roman" w:hAnsi="Times New Roman"/>
                <w:i/>
                <w:color w:val="auto"/>
              </w:rPr>
            </w:r>
          </w:p>
        </w:tc>
      </w:tr>
    </w:tbl>
    <w:p>
      <w:pPr>
        <w:pStyle w:val="103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275/2026/0825/VFI-CT.44.A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 tháng 6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t xml:space="preserve">Nguyễn Thị Hồng Lan</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030180019896</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120" w:before="120" w:line="312" w:lineRule="auto"/>
              <w:ind/>
              <w:jc w:val="both"/>
              <w:rPr>
                <w:b/>
                <w:bCs/>
                <w:highlight w:val="none"/>
              </w:rPr>
            </w:pPr>
            <w:r>
              <w:rPr>
                <w:b/>
                <w:bCs/>
                <w:color w:val="000000" w:themeColor="text1"/>
              </w:rPr>
              <w:t xml:space="preserve">Tài sản 1</w:t>
            </w:r>
            <w:r>
              <w:rPr>
                <w:color w:val="000000" w:themeColor="text1"/>
              </w:rPr>
              <w:t xml:space="preserve">: Quyền sử dụng đất và tài sản gắn liền với đất tại thửa đất số: 476, tờ bản đồ số: 17, có địa chỉ: Khu 4, phường Thành Đông, thành phố Hải Phòng the</w:t>
            </w:r>
            <w:r>
              <w:rPr>
                <w:color w:val="000000" w:themeColor="text1"/>
              </w:rPr>
              <w:t xml:space="preserve">o Giấy chứng nhận quyền sử dụng đất, quyền sở hữu tài sản gắn liền với đất  số: AA 02814372, Số vào sổ cấp GCN: CN-00012 do Chi nhánh Văn phòng Đăng ký Đất đai Hải Dương cấp ngày 10/7/2025; chủ sử dụng đất là Ông Vũ Mạnh Cường và vợ Nguyễn Thị Hồng Lan</w:t>
            </w:r>
            <w:r>
              <w:rPr>
                <w:i/>
                <w:iCs/>
              </w:rPr>
              <w:t xml:space="preserve">.</w:t>
            </w:r>
            <w:r>
              <w:rPr>
                <w:b/>
                <w:bCs/>
                <w:highlight w:val="none"/>
              </w:rPr>
            </w:r>
            <w:r>
              <w:rPr>
                <w:b/>
                <w:bCs/>
                <w:highlight w:val="none"/>
              </w:rPr>
            </w:r>
          </w:p>
          <w:p>
            <w:pPr>
              <w:pBdr>
                <w:top w:val="none" w:color="000000" w:sz="4" w:space="0"/>
                <w:left w:val="none" w:color="000000" w:sz="4" w:space="0"/>
                <w:bottom w:val="none" w:color="000000" w:sz="4" w:space="0"/>
                <w:right w:val="none" w:color="000000" w:sz="4" w:space="0"/>
              </w:pBdr>
              <w:spacing w:after="120" w:before="120" w:line="312" w:lineRule="auto"/>
              <w:ind/>
              <w:jc w:val="both"/>
              <w:rPr>
                <w:color w:val="000000" w:themeColor="text1"/>
                <w14:ligatures w14:val="none"/>
              </w:rPr>
            </w:pPr>
            <w:r>
              <w:rPr>
                <w:b/>
                <w:bCs/>
                <w:color w:val="000000" w:themeColor="text1"/>
              </w:rPr>
              <w:t xml:space="preserve">Tài sản 2</w:t>
            </w:r>
            <w:r>
              <w:rPr>
                <w:color w:val="000000" w:themeColor="text1"/>
              </w:rPr>
              <w:t xml:space="preserve">: </w:t>
            </w:r>
            <w:r>
              <w:rPr>
                <w:color w:val="000000" w:themeColor="text1"/>
              </w:rPr>
              <w:t xml:space="preserve">Quyền sử dụng đất và tài sản gắn liền với đất tại thửa đất số: 475, tờ bản đồ số: 17, có địa chỉ: Khu 4, phường Thành Đông, thành phố Hải Phòng theo Giấy chứng nhận quyền sử dụng đất, quyền sở hữu tài sản gắn liền với đất  số: AA 02814374, Số vào sổ cấp GC</w:t>
            </w:r>
            <w:r>
              <w:rPr>
                <w:color w:val="000000" w:themeColor="text1"/>
              </w:rPr>
              <w:t xml:space="preserve">N: CN-00013 do Chi nhánh Văn phòng Đăng ký Đất đai Hải Dương cấp ngày 10/7/2025; chủ sử dụng đất là Ông Vũ Mạnh Cường và vợ Nguyễn Thị Hồng Lan.</w:t>
            </w:r>
            <w:r>
              <w:rPr>
                <w:color w:val="000000" w:themeColor="text1"/>
                <w14:ligatures w14:val="none"/>
              </w:rPr>
            </w:r>
            <w:r>
              <w:rPr>
                <w:color w:val="000000" w:themeColor="text1"/>
                <w14:ligatures w14:val="none"/>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06/2026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Khu 4, phường Thành Đông, thành phố Hải Phòng</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20.950694444444, 106.31822222222</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06/2026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5"/>
        <w:numPr>
          <w:ilvl w:val="0"/>
          <w:numId w:val="1"/>
        </w:numPr>
        <w:pBdr/>
        <w:spacing w:after="120" w:before="120" w:line="276" w:lineRule="auto"/>
        <w:ind/>
        <w:jc w:val="both"/>
        <w:rPr>
          <w:bCs/>
          <w:spacing w:val="-4"/>
          <w:lang w:val="pt-BR"/>
        </w:rPr>
      </w:pPr>
      <w:r>
        <w:rPr>
          <w:bCs/>
          <w:spacing w:val="-4"/>
          <w:lang w:val="pt-BR"/>
        </w:rPr>
        <w:t xml:space="preserve">Quyết định số 425/QĐ-BXD ngày 31/3/2026 của Bộ Xây dựng về việc Công bố suất vốn đầu tư xây dựng công trình và giá xây dựng tổng hợp bộ phận kết cấu công trình năm 2025;</w:t>
      </w:r>
      <w:r>
        <w:rPr>
          <w:bCs/>
          <w:spacing w:val="-4"/>
          <w:lang w:val="pt-BR"/>
        </w:rPr>
      </w:r>
      <w:r>
        <w:rPr>
          <w:bCs/>
          <w:spacing w:val="-4"/>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tài sản gắn liền với đất  số: AA 02814372, Số vào sổ cấp GCN: CN-00012 do Chi nhánh Văn phòng Đăng ký Đất đai Hải Dương cấp ngày 10/7/2025; chủ sử dụng đất là Ông Vũ Mạnh Cường và vợ Nguyễn Thị Hồng Lan</w:t>
      </w:r>
      <w:r>
        <w:rPr>
          <w:lang w:val="pt-BR"/>
        </w:rPr>
        <w:t xml:space="preserve">.</w:t>
      </w:r>
      <w:r>
        <w:rPr>
          <w:i/>
          <w:iCs/>
          <w:lang w:val="pt-BR"/>
        </w:rPr>
      </w:r>
      <w:r>
        <w:rPr>
          <w:i/>
          <w:iCs/>
          <w:lang w:val="pt-BR"/>
        </w:rPr>
      </w:r>
    </w:p>
    <w:p>
      <w:pPr>
        <w:pStyle w:val="1035"/>
        <w:numPr>
          <w:ilvl w:val="0"/>
          <w:numId w:val="2"/>
        </w:numPr>
        <w:pBdr/>
        <w:tabs>
          <w:tab w:val="left" w:leader="none" w:pos="993"/>
        </w:tabs>
        <w:spacing w:after="120" w:before="120" w:line="276" w:lineRule="auto"/>
        <w:ind/>
        <w:jc w:val="both"/>
        <w:rPr>
          <w:bCs/>
          <w:i/>
          <w:lang w:val="pt-BR"/>
        </w:rPr>
      </w:pPr>
      <w:r>
        <w:rPr>
          <w:highlight w:val="none"/>
          <w:lang w:val="pt-BR" w:bidi="pt-BR"/>
        </w:rPr>
      </w:r>
      <w:r>
        <w:rPr>
          <w:color w:val="000000" w:themeColor="text1"/>
        </w:rPr>
        <w:t xml:space="preserve">Giấy chứng nhận quyền sử dụng đất, quyền sở hữu tài sản gắn liền với đất  số: AA 02814374, Số vào sổ cấp GC</w:t>
      </w:r>
      <w:r>
        <w:rPr>
          <w:color w:val="000000" w:themeColor="text1"/>
        </w:rPr>
        <w:t xml:space="preserve">N: CN-00013 do Chi nhánh Văn phòng Đăng ký Đất đai Hải Dương cấp ngày 10/7/2025; chủ sử dụng đất là Ông Vũ Mạnh Cường và vợ Nguyễn Thị Hồng Lan.</w:t>
      </w:r>
      <w:r>
        <w:rPr>
          <w:bCs/>
          <w:i/>
          <w:lang w:val="pt-BR"/>
        </w:rPr>
      </w:r>
      <w:r>
        <w:rPr>
          <w:bCs/>
          <w:i/>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275/2026/0825/VFI-HĐTĐ.44.A ngày 01/06/2026 giữa bà Nguyễn Thị Hồng Lan với Công ty Cổ phần Thẩm định và Đầu tư Tài chính Hoa Sen.</w:t>
      </w:r>
      <w:r>
        <w:rPr>
          <w:b/>
          <w:lang w:val="pt-BR"/>
        </w:rPr>
      </w:r>
      <w:r>
        <w:rPr>
          <w:b/>
          <w:lang w:val="pt-BR"/>
        </w:rPr>
      </w:r>
    </w:p>
    <w:p>
      <w:pPr>
        <w:pStyle w:val="103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t xml:space="preserve">Thị trường bất động sản Hải Phòng đang bước vào giai đoạn tăng trưởng mạnh mẽ nhờ sự xuất hiện của hàng loạt dự án quy mô lớn cùng dòng vốn đầu tư hàng tỷ USD. Thành phố </w:t>
      </w:r>
      <w:r>
        <w:rPr>
          <w:shd w:val="clear" w:color="auto" w:fill="ffffff"/>
        </w:rPr>
        <w:t xml:space="preserve">cảng không chỉ thay đổi diện mạo đô thị mà còn trở thành một trong những điểm đến hấp dẫn nhất đối với giới đầu tư bất động sản tại miền Bắc.</w:t>
        <w:br/>
        <w:br/>
        <w:t xml:space="preserve">Trong khoảng 5 năm trở lại đây, số lượng dự án bất động sản tại Hải Phòng đã tăng gần gấp đôi. Nếu trước đây thị </w:t>
      </w:r>
      <w:r>
        <w:rPr>
          <w:shd w:val="clear" w:color="auto" w:fill="ffffff"/>
        </w:rPr>
        <w:t xml:space="preserve">trường chủ yếu phục vụ nhu cầu ở thực của người dân địa phương thì hiện nay đã thu hút đông đảo nhà đầu tư từ Hà Nội, Hải Dương, Hưng Yên và nhiều tỉnh thành phía Nam. Các khu vực như Thủy Nguyên, An Dương và Dương Kinh trở thành những điểm nóng được săn đ</w:t>
      </w:r>
      <w:r>
        <w:rPr>
          <w:shd w:val="clear" w:color="auto" w:fill="ffffff"/>
        </w:rPr>
        <w:t xml:space="preserve">ón nhờ tiềm năng phát triển hạ tầng và quy hoạch đô thị đồng bộ.</w:t>
        <w:br/>
        <w:br/>
        <w:t xml:space="preserve">Sự thay đổi của Hải Phòng được đánh giá là rõ nét khi ngày càng có nhiều tập đoàn bất động sản lớn tham gia phát triển dự án. Thành phố không còn là thị trường mang tính địa phương như trước</w:t>
      </w:r>
      <w:r>
        <w:rPr>
          <w:shd w:val="clear" w:color="auto" w:fill="ffffff"/>
        </w:rPr>
        <w:t xml:space="preserve"> mà đang dần hình thành một trung tâm đầu tư mới của khu vực phía Bắc. Sự góp mặt của các doanh nghiệp lớn giúp đa dạng hóa nguồn cung từ khu đô thị, căn hộ thương mại đến nhà ở xã hội, tạo nên sức hút mạnh mẽ đối với cả người mua để ở và giới đầu tư.</w:t>
        <w:br/>
        <w:br/>
        <w:t xml:space="preserve">The</w:t>
      </w:r>
      <w:r>
        <w:rPr>
          <w:shd w:val="clear" w:color="auto" w:fill="ffffff"/>
        </w:rPr>
        <w:t xml:space="preserve">o ghi nhận trong quý I/2025, lượng giao dịch bất động sản tại Hải Phòng tăng khoảng 30% so với cùng kỳ năm trước. Giá nhà đất tại nhiều khu vực cũng tăng từ 10% đến 30%, tùy thuộc vào vị trí và phân khúc. Đặc biệt, các khu vực như Thủy Nguyên, Tràng Cát và</w:t>
      </w:r>
      <w:r>
        <w:rPr>
          <w:shd w:val="clear" w:color="auto" w:fill="ffffff"/>
        </w:rPr>
        <w:t xml:space="preserve"> Dương Kinh ghi nhận mức tăng giá đáng kể nhờ sự phát triển nhanh chóng của cơ sở hạ tầng và các dự án đô thị mới.</w:t>
        <w:br/>
        <w:br/>
        <w:t xml:space="preserve">Không chỉ thị trường đất nền, phân khúc căn hộ và nhà ở thấp tầng cũng ghi nhận tín hiệu tích cực. Nhiều dự án mới mở bán đạt tỷ lệ hấp thụ </w:t>
      </w:r>
      <w:r>
        <w:rPr>
          <w:shd w:val="clear" w:color="auto" w:fill="ffffff"/>
        </w:rPr>
        <w:t xml:space="preserve">cao, cho thấy nhu cầu mua nhà tại Hải Phòng đang gia tăng mạnh. Bên cạnh đó, các dự án nhà ở xã hội cũng thu hút lượng lớn khách hàng nhờ đáp ứng nhu cầu an cư của người lao động và cư dân trẻ.</w:t>
        <w:br/>
        <w:br/>
        <w:t xml:space="preserve">Một trong những yếu tố quan trọng thúc đẩy thị trường là sự p</w:t>
      </w:r>
      <w:r>
        <w:rPr>
          <w:shd w:val="clear" w:color="auto" w:fill="ffffff"/>
        </w:rPr>
        <w:t xml:space="preserve">hát triển mạnh mẽ của hệ thống hạ tầng giao thông và công nghiệp. Hải Phòng đang đẩy nhanh tiến độ triển khai nhiều khu công nghiệp quy mô lớn, thu hút doanh nghiệp trong và ngoài nước đến đầu tư. Điều này không chỉ tạo thêm việc làm mà còn kéo theo nhu cầ</w:t>
      </w:r>
      <w:r>
        <w:rPr>
          <w:shd w:val="clear" w:color="auto" w:fill="ffffff"/>
        </w:rPr>
        <w:t xml:space="preserve">u lớn về nhà ở, dịch vụ và thương mại.</w:t>
        <w:br/>
        <w:br/>
        <w:t xml:space="preserve">Ngoài lợi thế là trung tâm cảng biển lớn nhất miền Bắc, Hải Phòng còn được hưởng lợi từ chiến lược phát triển kinh tế biển, logistics và công nghiệp công nghệ cao. Những yếu tố này giúp thành phố duy trì tốc độ tăng </w:t>
      </w:r>
      <w:r>
        <w:rPr>
          <w:shd w:val="clear" w:color="auto" w:fill="ffffff"/>
        </w:rPr>
        <w:t xml:space="preserve">trưởng kinh tế ổn định, đồng thời tạo nền tảng vững chắc cho thị trường bất động sản phát triển lâu dài.</w:t>
        <w:br/>
        <w:br/>
        <w:t xml:space="preserve">Giới chuyên gia nhận định Hải Phòng đang bước vào chu kỳ tăng trưởng mới với nhiều dư địa phát triển. Việc liên tục đón nhận các dự án tỷ đô, cùng với</w:t>
      </w:r>
      <w:r>
        <w:rPr>
          <w:shd w:val="clear" w:color="auto" w:fill="ffffff"/>
        </w:rPr>
        <w:t xml:space="preserve"> sự hoàn thiện của hạ tầng giao thông và các khu đô thị hiện đại, đang góp phần nâng cao vị thế của thành phố trên bản đồ bất động sản Việt Nam. Trong bối cảnh nhiều thị trường khác có dấu hiệu chững lại, Hải Phòng nổi lên như một điểm sáng nhờ khả năng kế</w:t>
      </w:r>
      <w:r>
        <w:rPr>
          <w:shd w:val="clear" w:color="auto" w:fill="ffffff"/>
        </w:rPr>
        <w:t xml:space="preserve">t hợp giữa phát triển công nghiệp, đô thị hóa và thu hút đầu tư.</w:t>
        <w:br/>
        <w:br/>
        <w:t xml:space="preserve">Sự xuất hiện của các đại dự án, làn sóng đầu tư mạnh mẽ cùng nhu cầu nhà ở ngày càng tăng đang tạo động lực giúp thị trường tiếp tục sôi động. Với những lợi thế sẵn có và định hướng phát tri</w:t>
      </w:r>
      <w:r>
        <w:rPr>
          <w:shd w:val="clear" w:color="auto" w:fill="ffffff"/>
        </w:rPr>
        <w:t xml:space="preserve">ển rõ ràng, Hải Phòng được kỳ vọng sẽ trở thành một trong những trung tâm bất động sản năng động và hấp dẫn nhất cả nước trong những năm tới.</w:t>
        <w:br/>
        <w:t xml:space="preserve">(Nguồn: https://onehousing.vn/blog/bat-dong-san-hai-phong-nam-2025-troi-day-manh-me-nho-loat-dai-du-an-ty-do-n17t)</w:t>
      </w:r>
      <w:r>
        <w:rPr>
          <w:i/>
          <w:iCs/>
          <w:lang w:val="pt-BR"/>
        </w:rPr>
      </w:r>
      <w:r>
        <w:rPr>
          <w:i/>
          <w:iCs/>
          <w:lang w:val="pt-BR"/>
        </w:rPr>
      </w:r>
    </w:p>
    <w:p>
      <w:pPr>
        <w:pStyle w:val="1035"/>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highlight w:val="none"/>
          <w:lang w:val="pt-BR"/>
        </w:rPr>
      </w:r>
      <w:r>
        <w:rPr>
          <w:b/>
          <w:bCs/>
          <w:highlight w:val="none"/>
          <w:lang w:val="pt-BR"/>
        </w:rPr>
      </w:r>
    </w:p>
    <w:p>
      <w:pPr>
        <w:pStyle w:val="1035"/>
        <w:pBdr/>
        <w:tabs>
          <w:tab w:val="left" w:leader="none" w:pos="993"/>
        </w:tabs>
        <w:spacing w:after="120" w:before="120" w:line="276" w:lineRule="auto"/>
        <w:ind w:left="0"/>
        <w:jc w:val="both"/>
        <w:rPr>
          <w:b/>
          <w:bCs/>
          <w:i/>
        </w:rPr>
      </w:pPr>
      <w:r>
        <w:rPr>
          <w:b/>
          <w:bCs/>
          <w:i/>
          <w:iCs/>
          <w:highlight w:val="none"/>
          <w:lang w:val="pt-BR" w:bidi="pt-BR"/>
        </w:rPr>
        <w:t xml:space="preserve">Tài sản 01:</w:t>
      </w:r>
      <w:r>
        <w:rPr>
          <w:b/>
          <w:bCs/>
          <w:i/>
        </w:rPr>
      </w:r>
      <w:r>
        <w:rPr>
          <w:b/>
          <w:bCs/>
          <w:i/>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và tài sản gắn liền với đất tại thửa đất số: 476, tờ bản đồ số: 17, có địa chỉ: Khu 4, phường Thành Đông, thành phố Hải Phòng the</w:t>
            </w:r>
            <w:r>
              <w:rPr>
                <w:b/>
                <w:bCs/>
                <w:color w:val="000000"/>
              </w:rPr>
              <w:t xml:space="preserve">o Giấy chứng nhận quyền sử dụng đất, quyền sở hữu tài sản gắn liền với đất  số: AA 02814372, Số vào sổ cấp GCN: CN-00012 do Chi nhánh Văn phòng Đăng ký Đất đai Hải Dương cấp ngày 10/7/2025; chủ sử dụng đất là Ông Vũ Mạnh Cường và vợ Nguyễn Thị Hồng Lan</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476</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17</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Khu 4 phường Thành Đông thành phố Hải Phòng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197,5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chung của vợ và chồng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Tại thời điểm thẩm định giá, Tổ thẩm dịnh không thu được bất kỳ thông tin quy hoạch nào liên quan đến thửa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An Định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8</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8</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Tiếp giáp đường An Định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t xml:space="preserve">Hướng Tây Bắc: tiếp giáp đường An Định</w:t>
              <w:br/>
              <w:t xml:space="preserve">Các hướng còn lại: tiếp giáp các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20.950694444444</w:t>
            </w:r>
            <w:r>
              <w:rPr>
                <w:color w:val="000000"/>
              </w:rPr>
              <w:t xml:space="preserve">, </w:t>
            </w:r>
            <w:r>
              <w:rPr>
                <w:color w:val="000000"/>
              </w:rPr>
              <w:t xml:space="preserve">106.31822222222</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w:r>
            <w:r>
              <mc:AlternateContent>
                <mc:Choice Requires="wpg">
                  <w:drawing>
                    <wp:inline xmlns:wp="http://schemas.openxmlformats.org/drawingml/2006/wordprocessingDrawing" distT="0" distB="0" distL="0" distR="0">
                      <wp:extent cx="3904320" cy="1996943"/>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582761" name=""/>
                              <pic:cNvPicPr>
                                <a:picLocks noChangeAspect="1"/>
                              </pic:cNvPicPr>
                              <pic:nvPr/>
                            </pic:nvPicPr>
                            <pic:blipFill rotWithShape="1">
                              <a:blip r:embed="rId17"/>
                              <a:stretch/>
                            </pic:blipFill>
                            <pic:spPr bwMode="auto">
                              <a:xfrm flipH="0" flipV="0">
                                <a:off x="0" y="0"/>
                                <a:ext cx="3904319" cy="19969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07.43pt;height:157.24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197,5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4,7</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39,5</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khu dân cư</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0"/>
        <w:jc w:val="both"/>
        <w:rPr>
          <w:b/>
          <w:bCs/>
          <w:i/>
          <w:highlight w:val="none"/>
          <w:u w:val="none"/>
        </w:rPr>
      </w:pPr>
      <w:r>
        <w:rPr>
          <w:b/>
          <w:bCs/>
          <w:i/>
          <w:iCs/>
          <w:u w:val="none"/>
        </w:rPr>
        <w:t xml:space="preserve">Tài sản 02:</w:t>
      </w:r>
      <w:r>
        <w:rPr>
          <w:b/>
          <w:bCs/>
          <w:i/>
          <w:highlight w:val="none"/>
          <w:u w:val="none"/>
        </w:rPr>
      </w:r>
      <w:r>
        <w:rPr>
          <w:b/>
          <w:bCs/>
          <w:i/>
          <w:highlight w:val="none"/>
          <w:u w:val="none"/>
        </w:rPr>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r>
            <w:r>
              <w:rPr>
                <w:b/>
                <w:bCs/>
                <w:color w:val="000000" w:themeColor="text1"/>
              </w:rPr>
              <w:t xml:space="preserve">Quyền sử dụng đất và tài sản gắn liền với đất tại thửa đất số: 475, tờ bản đồ số: 17, có địa chỉ: Khu 4, phường Thành Đông, thành phố Hải Phòng theo Giấy chứng nhận quyền sử dụng đất, quyền sở hữu tài sản gắn liền với đất  số: AA 02814374, Số vào sổ cấp GC</w:t>
            </w:r>
            <w:r>
              <w:rPr>
                <w:b/>
                <w:bCs/>
                <w:color w:val="000000" w:themeColor="text1"/>
              </w:rPr>
              <w:t xml:space="preserve">N: CN-00013 do Chi nhánh Văn phòng Đăng ký Đất đai Hải Dương cấp ngày 10/7/2025; chủ sử dụng đất là Ông Vũ Mạnh Cường và vợ Nguyễn Thị Hồng Lan.</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475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17</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Khu 4 phường Thành Đông thành phố Hải Phòng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185,8</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chung của vợ và chồng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Tại thời điểm thẩm định giá, Tổ thẩm dịnh không thu được bất kỳ thông tin quy hoạch nào liên quan đến thửa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An Định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8</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8</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Tiếp giáp đường An Định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t xml:space="preserve">Hướng Tây Bắc: tiếp giáp đường An Định</w:t>
              <w:br/>
              <w:t xml:space="preserve">Các hướng còn lại: tiếp giáp các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20.950694444444</w:t>
            </w:r>
            <w:r>
              <w:rPr>
                <w:color w:val="000000"/>
              </w:rPr>
              <w:t xml:space="preserve">, </w:t>
            </w:r>
            <w:r>
              <w:rPr>
                <w:color w:val="000000"/>
              </w:rPr>
              <w:t xml:space="preserve">106.31822222222</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w:r>
            <w:r>
              <mc:AlternateContent>
                <mc:Choice Requires="wpg">
                  <w:drawing>
                    <wp:inline xmlns:wp="http://schemas.openxmlformats.org/drawingml/2006/wordprocessingDrawing" distT="0" distB="0" distL="0" distR="0">
                      <wp:extent cx="4332945" cy="221617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157381" name=""/>
                              <pic:cNvPicPr>
                                <a:picLocks noChangeAspect="1"/>
                              </pic:cNvPicPr>
                              <pic:nvPr/>
                            </pic:nvPicPr>
                            <pic:blipFill rotWithShape="1">
                              <a:blip r:embed="rId17"/>
                              <a:stretch/>
                            </pic:blipFill>
                            <pic:spPr bwMode="auto">
                              <a:xfrm flipH="0" flipV="0">
                                <a:off x="0" y="0"/>
                                <a:ext cx="4332944" cy="22161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41.18pt;height:174.5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185,8</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5,81</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38,81</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khu dân cư</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r>
              <w:rPr>
                <w:color w:val="000000"/>
              </w:rPr>
            </w:r>
          </w:p>
        </w:tc>
      </w:tr>
    </w:tbl>
    <w:p>
      <w:pPr>
        <w:pBdr/>
        <w:spacing w:line="235" w:lineRule="auto"/>
        <w:ind w:left="0"/>
        <w:jc w:val="both"/>
        <w:rPr>
          <w:b/>
          <w:bCs/>
          <w:i/>
          <w:u w:val="none"/>
        </w:rPr>
      </w:pPr>
      <w:r>
        <w:rPr>
          <w:b/>
          <w:bCs/>
          <w:i/>
          <w:u w:val="none"/>
        </w:rPr>
      </w:r>
      <w:r>
        <w:rPr>
          <w:b/>
          <w:bCs/>
          <w:i/>
          <w:u w:val="none"/>
        </w:rPr>
      </w:r>
      <w:r>
        <w:rPr>
          <w:b/>
          <w:bCs/>
          <w:i/>
          <w:u w:val="none"/>
        </w:rPr>
      </w:r>
    </w:p>
    <w:p>
      <w:pPr>
        <w:pBdr/>
        <w:spacing w:line="235" w:lineRule="auto"/>
        <w:ind w:left="0"/>
        <w:jc w:val="both"/>
        <w:rPr>
          <w:b w:val="0"/>
          <w:bCs w:val="0"/>
          <w:i w:val="0"/>
          <w:u w:val="none"/>
        </w:rPr>
      </w:pPr>
      <w:r>
        <w:rPr>
          <w:b/>
          <w:bCs/>
          <w:i/>
          <w:iCs/>
          <w:highlight w:val="none"/>
          <w:u w:val="none"/>
        </w:rPr>
        <w:t xml:space="preserve">Tài sản trên đất: </w:t>
      </w:r>
      <w:r>
        <w:rPr>
          <w:b w:val="0"/>
          <w:bCs w:val="0"/>
          <w:i w:val="0"/>
          <w:iCs w:val="0"/>
          <w:highlight w:val="none"/>
          <w:u w:val="none"/>
        </w:rPr>
        <w:t xml:space="preserve">Tại thời điểm khảo sát, </w:t>
      </w:r>
      <w:r>
        <w:rPr>
          <w:b w:val="0"/>
          <w:bCs w:val="0"/>
          <w:i w:val="0"/>
          <w:iCs w:val="0"/>
          <w:highlight w:val="none"/>
          <w:u w:val="none"/>
        </w:rPr>
        <w:t xml:space="preserve">Tổ thẩm định xác định trên đất có CTXD nh</w:t>
      </w:r>
      <w:r>
        <w:rPr>
          <w:b w:val="0"/>
          <w:bCs w:val="0"/>
          <w:i w:val="0"/>
          <w:iCs w:val="0"/>
          <w:highlight w:val="none"/>
          <w:u w:val="none"/>
        </w:rPr>
        <w:t xml:space="preserve">à 2 tầng xây dựng trên 02 thửa đất có cùng chủ tài sản, kết cấu khung cột thép, tường gạch, mái tôn, chưa chát tường bên trong, Diện tích xây dựng là 383m2, tổng diện tích sàn sử dụng khoảng 766m2, xây dựng năm 2026. CTXD chưa được công nhận trên GCN QSDĐ.</w:t>
      </w:r>
      <w:r>
        <w:rPr>
          <w:b w:val="0"/>
          <w:bCs w:val="0"/>
          <w:i w:val="0"/>
          <w:u w:val="none"/>
        </w:rPr>
      </w:r>
      <w:r>
        <w:rPr>
          <w:b w:val="0"/>
          <w:bCs w:val="0"/>
          <w:i w:val="0"/>
          <w:u w:val="none"/>
        </w:rPr>
      </w:r>
    </w:p>
    <w:p>
      <w:pPr>
        <w:pStyle w:val="103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Style w:val="1035"/>
        <w:numPr>
          <w:ilvl w:val="0"/>
          <w:numId w:val="3"/>
        </w:numPr>
        <w:pBdr/>
        <w:tabs>
          <w:tab w:val="left" w:leader="none" w:pos="993"/>
        </w:tabs>
        <w:spacing w:after="120" w:before="120" w:line="264" w:lineRule="auto"/>
        <w:ind/>
        <w:jc w:val="both"/>
        <w:rPr>
          <w:spacing w:val="-2"/>
          <w:highlight w:val="white"/>
        </w:rPr>
      </w:pPr>
      <w:r>
        <w:rPr>
          <w:spacing w:val="-2"/>
          <w:highlight w:val="white"/>
          <w:lang w:val="pt-BR" w:bidi="pt-BR"/>
        </w:rPr>
      </w:r>
      <w:r>
        <w:rPr>
          <w:b w:val="0"/>
          <w:bCs w:val="0"/>
          <w:i w:val="0"/>
          <w:iCs w:val="0"/>
          <w:highlight w:val="white"/>
          <w:u w:val="none"/>
        </w:rPr>
        <w:t xml:space="preserve">Tại thời điểm khảo sát, </w:t>
      </w:r>
      <w:r>
        <w:rPr>
          <w:b w:val="0"/>
          <w:bCs w:val="0"/>
          <w:i w:val="0"/>
          <w:iCs w:val="0"/>
          <w:highlight w:val="white"/>
          <w:u w:val="none"/>
        </w:rPr>
        <w:t xml:space="preserve">Tổ thẩm định xác định trên đất có CTXD nh</w:t>
      </w:r>
      <w:r>
        <w:rPr>
          <w:b w:val="0"/>
          <w:bCs w:val="0"/>
          <w:i w:val="0"/>
          <w:iCs w:val="0"/>
          <w:highlight w:val="white"/>
          <w:u w:val="none"/>
        </w:rPr>
        <w:t xml:space="preserve">à 2 tầng xây dựng trên 02 thửa đất có cùng chủ tài sản, kết cấu khung cột thép, tường gạch, mái tôn, chưa chát tường bên trong, Diện tích xây dựng là 383m2, tổng diện tích sàn sử dụng khoảng 766m2, xây dựng năm 2026. CTXD chưa được công nhận trên GCN QSDĐ.</w:t>
      </w:r>
      <w:r>
        <w:rPr>
          <w:spacing w:val="-2"/>
          <w:highlight w:val="white"/>
          <w:lang w:val="pt-BR" w:bidi="pt-BR"/>
        </w:rPr>
        <w:t xml:space="preserve"> Đồng thời Tổ thẩm định cũng không được cung cấp bất kỳ hồ sơ nào liên quan đến công trì</w:t>
      </w:r>
      <w:r>
        <w:rPr>
          <w:spacing w:val="-2"/>
          <w:highlight w:val="white"/>
          <w:lang w:val="pt-BR" w:bidi="pt-BR"/>
        </w:rPr>
        <w:t xml:space="preserve">nh nói trên. Theo yêu cầu của khách hàng, Tổ thẩm định xác định giá trị công trình trên đất theo kết quả khảo sát thực tế và giả định các thông tin đo đạc cũng như thông tin khách hàng cung cấp là chính xác. Kính đề nghị các đơn vị sử dụng Chứng thư lưu ý.</w:t>
      </w:r>
      <w:r>
        <w:rPr>
          <w:spacing w:val="-2"/>
          <w:highlight w:val="white"/>
          <w:lang w:val="pt-BR"/>
        </w:rPr>
      </w:r>
      <w:r>
        <w:rPr>
          <w:spacing w:val="-2"/>
          <w:highlight w:val="white"/>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5"/>
        <w:numPr>
          <w:ilvl w:val="0"/>
          <w:numId w:val="41"/>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35"/>
        <w:numPr>
          <w:ilvl w:val="0"/>
          <w:numId w:val="3"/>
        </w:numPr>
        <w:pBdr/>
        <w:tabs>
          <w:tab w:val="left" w:leader="none" w:pos="993"/>
        </w:tabs>
        <w:spacing w:after="120" w:before="120" w:line="276" w:lineRule="auto"/>
        <w:ind w:left="357"/>
        <w:jc w:val="both"/>
        <w:rPr>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lang w:val="pt-BR"/>
        </w:rPr>
      </w:r>
      <w:r>
        <w:rPr>
          <w:lang w:val="pt-BR"/>
        </w:rPr>
      </w:r>
    </w:p>
    <w:p>
      <w:pPr>
        <w:pStyle w:val="103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5"/>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pPr>
        <w:pStyle w:val="103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5"/>
        <w:numPr>
          <w:ilvl w:val="0"/>
          <w:numId w:val="39"/>
        </w:numPr>
        <w:pBdr/>
        <w:spacing w:after="120" w:before="120" w:line="276" w:lineRule="auto"/>
        <w:ind/>
        <w:jc w:val="both"/>
        <w:rPr>
          <w:b/>
          <w:bCs/>
          <w:lang w:val="pt-BR"/>
        </w:rPr>
      </w:pPr>
      <w:r>
        <w:rPr>
          <w:b/>
          <w:highlight w:val="none"/>
          <w:lang w:val="pt-BR" w:bidi="pt-BR"/>
        </w:rPr>
        <w:t xml:space="preserve">Tài sản 01:</w:t>
      </w:r>
      <w:r>
        <w:rPr>
          <w:b/>
          <w:bCs/>
          <w:lang w:val="pt-BR"/>
        </w:rPr>
      </w:r>
      <w:r>
        <w:rPr>
          <w:b/>
          <w:bCs/>
          <w:lang w:val="pt-BR"/>
        </w:rPr>
      </w:r>
    </w:p>
    <w:p>
      <w:pPr>
        <w:pStyle w:val="103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rPr>
              <w:t xml:space="preserve">Khu 4 phường Thành Đông thành phố Hải Phòng</w:t>
            </w:r>
            <w:r>
              <w:rPr>
                <w:color w:val="000000"/>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rPr>
              <w:t xml:space="preserve">Phường Thành Đông thành phố Hải Phòng</w:t>
            </w:r>
            <w:r>
              <w:rPr>
                <w:color w:val="000000"/>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rPr>
              <w:t xml:space="preserve">Phường Thành Đông thành phố Hải Phòng</w:t>
            </w:r>
            <w:r>
              <w:rPr>
                <w:color w:val="000000"/>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rPr>
              <w:t xml:space="preserve">Phường Thành Đông thành phố Hải Phòng</w:t>
            </w:r>
            <w:r>
              <w:rPr>
                <w:color w:val="000000"/>
              </w:rPr>
            </w:r>
            <w:r/>
          </w:p>
        </w:tc>
      </w:tr>
      <w:tr>
        <w:trPr>
          <w:trHeight w:val="90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https://www.facebook.com/share/p/1D5SBudHZB/</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0966528098</w:t>
            </w:r>
            <w:r>
              <w:rPr>
                <w:sz w:val="22"/>
                <w:szCs w:val="22"/>
              </w:rPr>
              <w:t xml:space="preserve"> </w:t>
            </w:r>
            <w:r>
              <w:rPr>
                <w:sz w:val="22"/>
                <w:szCs w:val="22"/>
              </w:rPr>
              <w:br/>
              <w:t xml:space="preserve">(</w:t>
            </w:r>
            <w:r>
              <w:rPr>
                <w:sz w:val="22"/>
                <w:szCs w:val="22"/>
              </w:rPr>
              <w:t xml:space="preserve">Phương Linh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0974460569</w:t>
            </w:r>
            <w:r>
              <w:rPr>
                <w:sz w:val="22"/>
                <w:szCs w:val="22"/>
              </w:rPr>
              <w:br/>
            </w:r>
            <w:r>
              <w:rPr>
                <w:sz w:val="22"/>
                <w:szCs w:val="22"/>
              </w:rPr>
              <w:t xml:space="preserve">(</w:t>
            </w:r>
            <w:r>
              <w:rPr>
                <w:sz w:val="22"/>
                <w:szCs w:val="22"/>
              </w:rPr>
              <w:t xml:space="preserve">Mạnh Thắng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0987536788</w:t>
            </w:r>
            <w:r>
              <w:rPr>
                <w:sz w:val="22"/>
                <w:szCs w:val="22"/>
              </w:rPr>
              <w:br/>
            </w:r>
            <w:r>
              <w:rPr>
                <w:sz w:val="22"/>
                <w:szCs w:val="22"/>
              </w:rPr>
              <w:t xml:space="preserve">(</w:t>
            </w:r>
            <w:r>
              <w:rPr>
                <w:sz w:val="22"/>
                <w:szCs w:val="22"/>
              </w:rPr>
              <w:t xml:space="preserve">Đức Cảnh</w:t>
            </w:r>
            <w:r>
              <w:rPr>
                <w:sz w:val="22"/>
                <w:szCs w:val="22"/>
              </w:rPr>
              <w:t xml:space="preserve">)</w:t>
            </w:r>
            <w:r>
              <w:rPr>
                <w:sz w:val="22"/>
                <w:szCs w:val="22"/>
              </w:rPr>
            </w:r>
            <w:r>
              <w:rPr>
                <w:sz w:val="22"/>
                <w:szCs w:val="22"/>
              </w:rPr>
            </w:r>
          </w:p>
        </w:tc>
      </w:tr>
      <w:tr>
        <w:trPr>
          <w:trHeight w:val="4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 Đang giao dịch</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 Đang giao dịch</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 </w:t>
            </w:r>
            <w:r>
              <w:rPr>
                <w:color w:val="000000" w:themeColor="text1"/>
                <w:sz w:val="22"/>
                <w:szCs w:val="22"/>
              </w:rPr>
              <w:t xml:space="preserve">Tháng 06/2026</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 </w:t>
            </w:r>
            <w:r>
              <w:rPr>
                <w:color w:val="000000" w:themeColor="text1"/>
                <w:sz w:val="22"/>
                <w:szCs w:val="22"/>
              </w:rPr>
              <w:t xml:space="preserve">Tháng 06/2026</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ở</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ở</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ở</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ở</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rPr>
              <w:t xml:space="preserve">Tiếp giáp đường An Định, </w:t>
            </w:r>
            <w:r>
              <w:rPr>
                <w:color w:val="000000"/>
              </w:rPr>
              <w:t xml:space="preserve">Phường Thành Đông thành phố Hải Phòng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rPr>
              <w:t xml:space="preserve">Tiếp giáp đường An Định, </w:t>
            </w:r>
            <w:r>
              <w:rPr>
                <w:color w:val="000000"/>
              </w:rPr>
              <w:t xml:space="preserve">Phường Thành Đông thành phố Hải Phòng</w:t>
            </w:r>
            <w:r>
              <w:rPr>
                <w:color w:val="000000"/>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rPr>
              <w:t xml:space="preserve">Tiếp giáp đường An Định, </w:t>
            </w:r>
            <w:r>
              <w:rPr>
                <w:color w:val="000000"/>
              </w:rPr>
              <w:t xml:space="preserve">Phường Thành Đông thành phố Hải Phòng</w:t>
            </w:r>
            <w:r>
              <w:rPr>
                <w:color w:val="000000"/>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rPr>
              <w:t xml:space="preserve">Tiếp giáp đường An Định, </w:t>
            </w:r>
            <w:r>
              <w:rPr>
                <w:color w:val="000000"/>
              </w:rPr>
              <w:t xml:space="preserve">Phường Thành Đông thành phố Hải Phòng</w:t>
            </w:r>
            <w:r>
              <w:rPr>
                <w:color w:val="000000"/>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125,4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144,8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9,54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trống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trống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7.345.500.000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4.810.000.000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7.950.000.000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6.610.950.000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4.329.000.000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7.155.000.000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6.610.950.000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4.329.000.000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7.155.000.000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52.718.900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46.800.000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49.412.983</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95"/>
        <w:gridCol w:w="1802"/>
        <w:gridCol w:w="1030"/>
        <w:gridCol w:w="1522"/>
        <w:gridCol w:w="1522"/>
        <w:gridCol w:w="1522"/>
        <w:gridCol w:w="1522"/>
      </w:tblGrid>
      <w:tr>
        <w:trPr>
          <w:trHeight w:val="20"/>
          <w:tblHeader/>
        </w:trPr>
        <w:tc>
          <w:tcPr>
            <w:shd w:val="clear" w:color="000000" w:fill="ffffff"/>
            <w:tcBorders/>
            <w:tcW w:w="595"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802"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595"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802"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6.610.950.000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4.329.000.000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7.155.000.000</w:t>
            </w:r>
            <w:r>
              <w:rPr>
                <w:color w:val="000000"/>
                <w:sz w:val="20"/>
                <w:szCs w:val="20"/>
              </w:rPr>
            </w:r>
            <w:r>
              <w:rPr>
                <w:color w:val="000000"/>
                <w:sz w:val="20"/>
                <w:szCs w:val="20"/>
              </w:rPr>
            </w:r>
          </w:p>
        </w:tc>
      </w:tr>
      <w:tr>
        <w:trPr>
          <w:trHeight w:val="20"/>
        </w:trPr>
        <w:tc>
          <w:tcPr>
            <w:shd w:val="clear" w:color="000000" w:fill="ffffff"/>
            <w:tcBorders/>
            <w:tcW w:w="595"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802"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52.718.900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46.800.000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49.412.983</w:t>
            </w:r>
            <w:r>
              <w:rPr>
                <w:color w:val="000000"/>
                <w:sz w:val="22"/>
                <w:szCs w:val="22"/>
              </w:rPr>
            </w:r>
            <w:r>
              <w:rPr>
                <w:color w:val="000000"/>
                <w:sz w:val="22"/>
                <w:szCs w:val="22"/>
              </w:rPr>
            </w:r>
          </w:p>
        </w:tc>
      </w:tr>
      <w:tr>
        <w:trPr>
          <w:trHeight w:val="20"/>
        </w:trPr>
        <w:tc>
          <w:tcPr>
            <w:shd w:val="clear" w:color="000000" w:fill="ffffff"/>
            <w:tcBorders/>
            <w:tcW w:w="595"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802"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59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52.198.565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49.412.983</w:t>
            </w:r>
            <w:r>
              <w:rPr>
                <w:color w:val="000000"/>
                <w:sz w:val="22"/>
                <w:szCs w:val="22"/>
              </w:rPr>
            </w:r>
            <w:r>
              <w:rPr>
                <w:color w:val="000000"/>
                <w:sz w:val="22"/>
                <w:szCs w:val="22"/>
              </w:rPr>
            </w:r>
          </w:p>
        </w:tc>
      </w:tr>
      <w:tr>
        <w:trPr>
          <w:trHeight w:val="20"/>
        </w:trPr>
        <w:tc>
          <w:tcPr>
            <w:shd w:val="clear" w:color="000000" w:fill="ffffff"/>
            <w:tcBorders/>
            <w:tcW w:w="59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Đất ở</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Đất ở</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Đất ở</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Đất ở</w:t>
            </w:r>
            <w:r>
              <w:rPr>
                <w:b/>
                <w:bCs/>
                <w:color w:val="000000"/>
                <w:sz w:val="22"/>
                <w:szCs w:val="22"/>
              </w:rPr>
            </w:r>
            <w:r/>
          </w:p>
        </w:tc>
      </w:tr>
      <w:tr>
        <w:trPr>
          <w:trHeight w:val="157"/>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55.647.727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52.158.149</w:t>
            </w:r>
            <w:r>
              <w:rPr>
                <w:color w:val="000000"/>
                <w:sz w:val="22"/>
                <w:szCs w:val="22"/>
              </w:rPr>
            </w:r>
            <w:r>
              <w:rPr>
                <w:color w:val="000000"/>
                <w:sz w:val="22"/>
                <w:szCs w:val="22"/>
              </w:rPr>
            </w:r>
          </w:p>
        </w:tc>
      </w:tr>
      <w:tr>
        <w:trPr>
          <w:trHeight w:val="20"/>
        </w:trPr>
        <w:tc>
          <w:tcPr>
            <w:shd w:val="clear" w:color="000000" w:fill="ffffff"/>
            <w:tcBorders/>
            <w:tcW w:w="59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55.647.727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52.158.149</w:t>
            </w:r>
            <w:r>
              <w:rPr>
                <w:color w:val="000000"/>
                <w:sz w:val="22"/>
                <w:szCs w:val="22"/>
              </w:rPr>
            </w:r>
            <w:r>
              <w:rPr>
                <w:color w:val="000000"/>
                <w:sz w:val="22"/>
                <w:szCs w:val="22"/>
              </w:rPr>
            </w:r>
          </w:p>
        </w:tc>
      </w:tr>
      <w:tr>
        <w:trPr>
          <w:trHeight w:val="20"/>
        </w:trPr>
        <w:tc>
          <w:tcPr>
            <w:shd w:val="clear" w:color="000000" w:fill="ffffff"/>
            <w:tcBorders/>
            <w:tcW w:w="59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rPr>
              <w:t xml:space="preserve">Tiếp giáp đường An Định, </w:t>
            </w:r>
            <w:r>
              <w:rPr>
                <w:color w:val="000000"/>
              </w:rPr>
              <w:t xml:space="preserve">Phường Thành Đông thành phố Hải Phòng</w:t>
            </w:r>
            <w:r/>
          </w:p>
        </w:tc>
        <w:tc>
          <w:tcPr>
            <w:shd w:val="clear" w:color="000000" w:fill="ffffff"/>
            <w:tcBorders/>
            <w:tcW w:w="1522" w:type="dxa"/>
            <w:vAlign w:val="center"/>
            <w:textDirection w:val="lrTb"/>
            <w:noWrap w:val="false"/>
          </w:tcPr>
          <w:p>
            <w:pPr>
              <w:pBdr/>
              <w:spacing/>
              <w:ind/>
              <w:jc w:val="center"/>
              <w:rPr/>
            </w:pPr>
            <w:r>
              <w:rPr>
                <w:color w:val="000000"/>
              </w:rPr>
              <w:t xml:space="preserve">Tiếp giáp đường An Định, </w:t>
            </w:r>
            <w:r>
              <w:rPr>
                <w:color w:val="000000"/>
              </w:rPr>
              <w:t xml:space="preserve">Phường Thành Đông thành phố Hải Phòng</w:t>
            </w:r>
            <w:r/>
          </w:p>
        </w:tc>
        <w:tc>
          <w:tcPr>
            <w:shd w:val="clear" w:color="000000" w:fill="ffffff"/>
            <w:tcBorders/>
            <w:tcW w:w="1522" w:type="dxa"/>
            <w:vAlign w:val="center"/>
            <w:textDirection w:val="lrTb"/>
            <w:noWrap w:val="false"/>
          </w:tcPr>
          <w:p>
            <w:pPr>
              <w:pBdr/>
              <w:spacing/>
              <w:ind/>
              <w:jc w:val="center"/>
              <w:rPr/>
            </w:pPr>
            <w:r>
              <w:rPr>
                <w:color w:val="000000"/>
              </w:rPr>
              <w:t xml:space="preserve">Tiếp giáp đường An Định, </w:t>
            </w:r>
            <w:r>
              <w:rPr>
                <w:color w:val="000000"/>
              </w:rPr>
              <w:t xml:space="preserve">Phường Thành Đông thành phố Hải Phòng</w:t>
            </w:r>
            <w:r/>
          </w:p>
        </w:tc>
        <w:tc>
          <w:tcPr>
            <w:shd w:val="clear" w:color="000000" w:fill="ffffff"/>
            <w:tcBorders/>
            <w:tcW w:w="1522" w:type="dxa"/>
            <w:vAlign w:val="center"/>
            <w:textDirection w:val="lrTb"/>
            <w:noWrap w:val="false"/>
          </w:tcPr>
          <w:p>
            <w:pPr>
              <w:pBdr/>
              <w:spacing/>
              <w:ind/>
              <w:jc w:val="center"/>
              <w:rPr/>
            </w:pPr>
            <w:r>
              <w:rPr>
                <w:color w:val="000000"/>
              </w:rPr>
              <w:t xml:space="preserve">Tiếp giáp đường An Định, </w:t>
            </w:r>
            <w:r>
              <w:rPr>
                <w:color w:val="000000"/>
              </w:rPr>
              <w:t xml:space="preserve">Phường Thành Đông thành phố Hải Phòng</w:t>
            </w: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55.647.727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52.158.149</w:t>
            </w:r>
            <w:r>
              <w:rPr>
                <w:color w:val="000000"/>
                <w:sz w:val="22"/>
                <w:szCs w:val="22"/>
              </w:rPr>
            </w:r>
            <w:r>
              <w:rPr>
                <w:color w:val="000000"/>
                <w:sz w:val="22"/>
                <w:szCs w:val="22"/>
              </w:rPr>
            </w:r>
          </w:p>
        </w:tc>
      </w:tr>
      <w:tr>
        <w:trPr>
          <w:trHeight w:val="20"/>
        </w:trPr>
        <w:tc>
          <w:tcPr>
            <w:shd w:val="clear" w:color="000000" w:fill="ffffff"/>
            <w:tcBorders/>
            <w:tcW w:w="59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w:t>
            </w:r>
            <w:r>
              <w:rPr>
                <w:b/>
                <w:bCs/>
                <w:color w:val="000000"/>
                <w:sz w:val="22"/>
                <w:szCs w:val="22"/>
              </w:rPr>
            </w:r>
            <w:r>
              <w:rPr>
                <w:b/>
                <w:bCs/>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55.647.727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49.400.000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50.511.050</w:t>
            </w:r>
            <w:r>
              <w:rPr>
                <w:color w:val="000000"/>
                <w:sz w:val="22"/>
                <w:szCs w:val="22"/>
              </w:rPr>
            </w:r>
            <w:r>
              <w:rPr>
                <w:color w:val="000000"/>
                <w:sz w:val="22"/>
                <w:szCs w:val="22"/>
              </w:rPr>
            </w:r>
          </w:p>
        </w:tc>
      </w:tr>
      <w:tr>
        <w:trPr>
          <w:trHeight w:val="20"/>
        </w:trPr>
        <w:tc>
          <w:tcPr>
            <w:shd w:val="clear" w:color="000000" w:fill="ffffff"/>
            <w:tcBorders/>
            <w:tcW w:w="59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197,5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125,4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144,8</w:t>
            </w:r>
            <w:r>
              <w:rPr>
                <w:b/>
                <w:bCs/>
                <w:color w:val="000000"/>
                <w:sz w:val="22"/>
                <w:szCs w:val="22"/>
              </w:rPr>
            </w:r>
            <w:r>
              <w:rPr>
                <w:b/>
                <w:bCs/>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-3.690.323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-4.212.000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-2.607.907</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49.028.577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42.588.000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47.903.143</w:t>
            </w:r>
            <w:r>
              <w:rPr>
                <w:color w:val="000000"/>
                <w:sz w:val="22"/>
                <w:szCs w:val="22"/>
              </w:rPr>
            </w:r>
            <w:r>
              <w:rPr>
                <w:color w:val="000000"/>
                <w:sz w:val="22"/>
                <w:szCs w:val="22"/>
              </w:rPr>
            </w:r>
          </w:p>
        </w:tc>
      </w:tr>
      <w:tr>
        <w:trPr>
          <w:trHeight w:val="20"/>
        </w:trPr>
        <w:tc>
          <w:tcPr>
            <w:shd w:val="clear" w:color="000000" w:fill="ffffff"/>
            <w:tcBorders/>
            <w:tcW w:w="59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9,54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-2.609.928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-2.607.907</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46.418.649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42.588.000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45.295.236</w:t>
            </w:r>
            <w:r>
              <w:rPr>
                <w:color w:val="000000"/>
                <w:sz w:val="22"/>
                <w:szCs w:val="22"/>
              </w:rPr>
            </w:r>
            <w:r>
              <w:rPr>
                <w:color w:val="000000"/>
                <w:sz w:val="22"/>
                <w:szCs w:val="22"/>
              </w:rPr>
            </w:r>
          </w:p>
        </w:tc>
      </w:tr>
      <w:tr>
        <w:trPr>
          <w:trHeight w:val="20"/>
        </w:trPr>
        <w:tc>
          <w:tcPr>
            <w:shd w:val="clear" w:color="000000" w:fill="ffffff"/>
            <w:tcBorders/>
            <w:tcW w:w="59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-2.609.928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43.808.721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42.588.000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45.295.236</w:t>
            </w:r>
            <w:r>
              <w:rPr>
                <w:color w:val="000000"/>
                <w:sz w:val="22"/>
                <w:szCs w:val="22"/>
              </w:rPr>
            </w:r>
            <w:r>
              <w:rPr>
                <w:color w:val="000000"/>
                <w:sz w:val="22"/>
                <w:szCs w:val="22"/>
              </w:rPr>
            </w:r>
          </w:p>
        </w:tc>
      </w:tr>
      <w:tr>
        <w:trPr>
          <w:trHeight w:val="20"/>
        </w:trPr>
        <w:tc>
          <w:tcPr>
            <w:shd w:val="clear" w:color="000000" w:fill="ffffff"/>
            <w:tcBorders/>
            <w:tcW w:w="595"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-1.112.955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-988.000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-1.043.163</w:t>
            </w:r>
            <w:r>
              <w:rPr>
                <w:color w:val="000000"/>
                <w:sz w:val="22"/>
                <w:szCs w:val="22"/>
              </w:rPr>
            </w:r>
            <w:r>
              <w:rPr>
                <w:color w:val="000000"/>
                <w:sz w:val="22"/>
                <w:szCs w:val="22"/>
              </w:rPr>
            </w:r>
          </w:p>
        </w:tc>
      </w:tr>
      <w:tr>
        <w:trPr>
          <w:trHeight w:val="20"/>
        </w:trPr>
        <w:tc>
          <w:tcPr>
            <w:tcBorders/>
            <w:tcW w:w="595"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42.695.766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41.600.000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44.252.073</w:t>
            </w:r>
            <w:r>
              <w:rPr>
                <w:color w:val="000000"/>
                <w:sz w:val="22"/>
                <w:szCs w:val="22"/>
              </w:rPr>
            </w:r>
            <w:r>
              <w:rPr>
                <w:color w:val="000000"/>
                <w:sz w:val="22"/>
                <w:szCs w:val="22"/>
              </w:rPr>
            </w:r>
          </w:p>
        </w:tc>
      </w:tr>
      <w:tr>
        <w:trPr>
          <w:trHeight w:val="20"/>
        </w:trPr>
        <w:tc>
          <w:tcPr>
            <w:shd w:val="clear" w:color="000000" w:fill="ffffff"/>
            <w:tcBorders/>
            <w:tcW w:w="595"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802"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42.695.766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41.600.000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43.154.006</w:t>
            </w:r>
            <w:r>
              <w:rPr>
                <w:b/>
                <w:bCs/>
                <w:color w:val="000000"/>
                <w:sz w:val="22"/>
                <w:szCs w:val="22"/>
              </w:rPr>
            </w:r>
            <w:r>
              <w:rPr>
                <w:b/>
                <w:bCs/>
                <w:color w:val="000000"/>
                <w:sz w:val="22"/>
                <w:szCs w:val="22"/>
              </w:rPr>
            </w:r>
          </w:p>
        </w:tc>
      </w:tr>
      <w:tr>
        <w:trPr>
          <w:trHeight w:val="20"/>
        </w:trPr>
        <w:tc>
          <w:tcPr>
            <w:shd w:val="clear" w:color="000000" w:fill="ffffff"/>
            <w:tcBorders/>
            <w:tcW w:w="595"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42.483.257</w:t>
            </w:r>
            <w:r>
              <w:rPr>
                <w:b/>
                <w:bCs/>
                <w:color w:val="000000"/>
                <w:sz w:val="22"/>
                <w:szCs w:val="22"/>
              </w:rPr>
            </w:r>
            <w:r>
              <w:rPr>
                <w:b/>
                <w:bCs/>
                <w:color w:val="000000"/>
                <w:sz w:val="22"/>
                <w:szCs w:val="22"/>
              </w:rPr>
            </w:r>
          </w:p>
        </w:tc>
      </w:tr>
      <w:tr>
        <w:trPr>
          <w:trHeight w:val="20"/>
        </w:trPr>
        <w:tc>
          <w:tcPr>
            <w:shd w:val="clear" w:color="000000" w:fill="ffffff"/>
            <w:tcBorders/>
            <w:tcW w:w="595"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1,58%</w:t>
            </w:r>
            <w:r>
              <w:rPr>
                <w:color w:val="000000"/>
                <w:sz w:val="22"/>
                <w:szCs w:val="22"/>
              </w:rPr>
            </w:r>
            <w:r>
              <w:rPr>
                <w:color w:val="000000"/>
                <w:sz w:val="22"/>
                <w:szCs w:val="22"/>
              </w:rPr>
            </w:r>
          </w:p>
        </w:tc>
      </w:tr>
      <w:tr>
        <w:trPr>
          <w:trHeight w:val="20"/>
        </w:trPr>
        <w:tc>
          <w:tcPr>
            <w:shd w:val="clear" w:color="000000" w:fill="ffffff"/>
            <w:tcBorders/>
            <w:tcW w:w="595"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802"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595"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10.023.134</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5.200.000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6.258.977</w:t>
            </w:r>
            <w:r>
              <w:rPr>
                <w:b/>
                <w:bCs/>
                <w:color w:val="000000"/>
                <w:sz w:val="22"/>
                <w:szCs w:val="22"/>
              </w:rPr>
            </w:r>
            <w:r>
              <w:rPr>
                <w:b/>
                <w:bCs/>
                <w:color w:val="000000"/>
                <w:sz w:val="22"/>
                <w:szCs w:val="22"/>
              </w:rPr>
            </w:r>
          </w:p>
        </w:tc>
      </w:tr>
      <w:tr>
        <w:trPr>
          <w:trHeight w:val="20"/>
        </w:trPr>
        <w:tc>
          <w:tcPr>
            <w:shd w:val="clear" w:color="000000" w:fill="ffffff"/>
            <w:tcBorders/>
            <w:tcW w:w="595"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595"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- 9%</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r>
      <w:tr>
        <w:trPr>
          <w:trHeight w:val="20"/>
        </w:trPr>
        <w:tc>
          <w:tcPr>
            <w:shd w:val="clear" w:color="000000" w:fill="ffffff"/>
            <w:tcBorders/>
            <w:tcW w:w="595"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802"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10.023.134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5.200.000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6.258.977</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-2,08</w:t>
      </w:r>
      <w:r>
        <w:t xml:space="preserve">% đến</w:t>
      </w:r>
      <w:r>
        <w:t xml:space="preserve"> </w:t>
      </w:r>
      <w:r>
        <w:t xml:space="preserve">1,58</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42.695.766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14.234.768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41.600.000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13.865.280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43.154.006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14.383.230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42.483.278</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42.500.000</w:t>
            </w:r>
            <w:r>
              <w:rPr>
                <w:b/>
                <w:bCs/>
                <w:color w:val="000000"/>
              </w:rPr>
            </w:r>
            <w:r>
              <w:rPr>
                <w:b/>
                <w:bCs/>
                <w:color w:val="000000"/>
              </w:rPr>
            </w:r>
          </w:p>
        </w:tc>
      </w:tr>
    </w:tbl>
    <w:p>
      <w:pPr>
        <w:pBdr/>
        <w:spacing w:after="120" w:before="120" w:line="276" w:lineRule="auto"/>
        <w:ind/>
        <w:jc w:val="both"/>
        <w:rPr>
          <w:b/>
          <w:bCs/>
          <w:highlight w:val="none"/>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42.500.000</w:t>
      </w:r>
      <w:r>
        <w:rPr>
          <w:b/>
          <w:bCs/>
          <w:color w:val="000000" w:themeColor="text1"/>
        </w:rPr>
        <w:t xml:space="preserve"> </w:t>
      </w:r>
      <w:r>
        <w:rPr>
          <w:b/>
          <w:bCs/>
        </w:rPr>
        <w:t xml:space="preserve">đồng/m².</w:t>
      </w:r>
      <w:r>
        <w:rPr>
          <w:b/>
          <w:bCs/>
          <w:highlight w:val="none"/>
        </w:rPr>
      </w:r>
      <w:r>
        <w:rPr>
          <w:b/>
          <w:bCs/>
          <w:highlight w:val="none"/>
        </w:rPr>
      </w:r>
    </w:p>
    <w:p>
      <w:pPr>
        <w:pStyle w:val="1035"/>
        <w:numPr>
          <w:ilvl w:val="0"/>
          <w:numId w:val="40"/>
        </w:numPr>
        <w:pBdr/>
        <w:spacing w:after="120" w:before="120" w:line="276" w:lineRule="auto"/>
        <w:ind/>
        <w:jc w:val="both"/>
        <w:rPr>
          <w:b/>
          <w:bCs/>
        </w:rPr>
      </w:pPr>
      <w:r>
        <w:rPr>
          <w:b/>
          <w:bCs/>
          <w:highlight w:val="none"/>
        </w:rPr>
        <w:t xml:space="preserve">Tài sản 02:</w:t>
      </w:r>
      <w:r>
        <w:rPr>
          <w:b/>
          <w:bCs/>
        </w:rPr>
      </w:r>
      <w:r>
        <w:rPr>
          <w:b/>
          <w:bCs/>
        </w:rPr>
      </w:r>
    </w:p>
    <w:p>
      <w:pPr>
        <w:pBdr/>
        <w:spacing w:after="120" w:before="120" w:line="276" w:lineRule="auto"/>
        <w:ind w:firstLine="0" w:left="0"/>
        <w:jc w:val="both"/>
        <w:rPr>
          <w:b w:val="0"/>
          <w:bCs w:val="0"/>
        </w:rPr>
      </w:pPr>
      <w:r>
        <w:rPr>
          <w:b w:val="0"/>
          <w:bCs w:val="0"/>
          <w:highlight w:val="none"/>
        </w:rPr>
        <w:t xml:space="preserve">Qua khảo sát thực tế và thông tin khách hàng cung cấp, Tổ thẩm định nhận thấy 02 tài sản thẩm định liền kề nhau, tương đồng về vị trí, quy mô kích thước, mạt tiền...... Vì vậy, Tổ thẩm định xác định đơn giá của tài sản 02 bằng tài sản 01 là: </w:t>
      </w:r>
      <w:r>
        <w:rPr>
          <w:b/>
          <w:bCs/>
          <w:color w:val="000000" w:themeColor="text1"/>
          <w:lang w:val="vi-VN"/>
        </w:rPr>
        <w:t xml:space="preserve">42.500.000</w:t>
      </w:r>
      <w:r>
        <w:rPr>
          <w:b/>
          <w:bCs/>
          <w:color w:val="000000" w:themeColor="text1"/>
        </w:rPr>
        <w:t xml:space="preserve"> </w:t>
      </w:r>
      <w:r>
        <w:rPr>
          <w:b/>
          <w:bCs/>
        </w:rPr>
        <w:t xml:space="preserve">đồng/m².</w:t>
      </w:r>
      <w:r>
        <w:rPr>
          <w:b w:val="0"/>
          <w:bCs w:val="0"/>
        </w:rPr>
      </w:r>
      <w:r>
        <w:rPr>
          <w:b w:val="0"/>
          <w:bCs w:val="0"/>
        </w:rPr>
      </w:r>
    </w:p>
    <w:p>
      <w:pPr>
        <w:pStyle w:val="1035"/>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r>
        <w:rPr>
          <w:b/>
          <w:bCs/>
        </w:rPr>
      </w:r>
    </w:p>
    <w:p>
      <w:pPr>
        <w:pBdr>
          <w:top w:val="none" w:color="000000" w:sz="4" w:space="0"/>
          <w:left w:val="none" w:color="000000" w:sz="4" w:space="0"/>
          <w:bottom w:val="none" w:color="000000" w:sz="4" w:space="0"/>
          <w:right w:val="none" w:color="000000" w:sz="4" w:space="0"/>
        </w:pBdr>
        <w:spacing w:line="276" w:lineRule="auto"/>
        <w:ind w:right="0" w:firstLine="426" w:left="0"/>
        <w:jc w:val="both"/>
        <w:rPr/>
      </w:pPr>
      <w:r>
        <w:rPr>
          <w:rFonts w:ascii="Times New Roman" w:hAnsi="Times New Roman" w:eastAsia="Times New Roman" w:cs="Times New Roman"/>
          <w:color w:val="000000"/>
          <w:sz w:val="24"/>
        </w:rPr>
        <w:t xml:space="preserve">Qua tham khảo thị trường về đơn giá xây dựng mới đối với công trình nhà 02 tầng, cân nhắc và xem xét với kết cấu hiện tại của công trình xây dựng hiện có, tổ thẩm định nhận thấy đơn giá vận dụng theo Quyết định số 425/QĐ-BXD ngày 30 tháng 3 năm 2026 của B</w:t>
      </w:r>
      <w:r>
        <w:rPr>
          <w:rFonts w:ascii="Times New Roman" w:hAnsi="Times New Roman" w:eastAsia="Times New Roman" w:cs="Times New Roman"/>
          <w:color w:val="000000"/>
          <w:sz w:val="24"/>
        </w:rPr>
        <w:t xml:space="preserve">ộ Xây dựng về việc công bố suất vốn đầu tư xây dựng và giá xây dựng tổng hợp bộ phận kết cấu công trình năm 2025 là tương đối phù hợp, theo đó:</w:t>
      </w:r>
      <w:r/>
    </w:p>
    <w:p>
      <w:pPr>
        <w:pBdr>
          <w:top w:val="none" w:color="000000" w:sz="4" w:space="0"/>
          <w:left w:val="none" w:color="000000" w:sz="4" w:space="0"/>
          <w:bottom w:val="none" w:color="000000" w:sz="4" w:space="0"/>
          <w:right w:val="none" w:color="000000" w:sz="4" w:space="0"/>
        </w:pBdr>
        <w:spacing w:line="276" w:lineRule="auto"/>
        <w:ind w:right="0" w:firstLine="426" w:left="0"/>
        <w:jc w:val="both"/>
        <w:rPr>
          <w:rFonts w:ascii="Times New Roman" w:hAnsi="Times New Roman" w:eastAsia="Times New Roman" w:cs="Times New Roman"/>
          <w:b w:val="0"/>
          <w:bCs/>
          <w:i/>
          <w:color w:val="000000"/>
          <w:sz w:val="24"/>
          <w:szCs w:val="24"/>
          <w14:ligatures w14:val="none"/>
        </w:rPr>
      </w:pPr>
      <w:r>
        <w:rPr>
          <w:rFonts w:ascii="Times New Roman" w:hAnsi="Times New Roman" w:eastAsia="Times New Roman" w:cs="Times New Roman"/>
          <w:b w:val="0"/>
          <w:bCs w:val="0"/>
          <w:i/>
          <w:iCs/>
          <w:color w:val="000000"/>
          <w:sz w:val="24"/>
          <w:szCs w:val="24"/>
        </w:rPr>
        <w:t xml:space="preserve">Suất vốn đầu tư xây dựng của </w:t>
      </w:r>
      <w:r>
        <w:rPr>
          <w:rFonts w:ascii="Times New Roman" w:hAnsi="Times New Roman" w:eastAsia="Times New Roman" w:cs="Times New Roman"/>
          <w:b w:val="0"/>
          <w:bCs w:val="0"/>
          <w:i/>
          <w:iCs/>
          <w:color w:val="000000"/>
          <w:sz w:val="24"/>
          <w:szCs w:val="24"/>
        </w:rPr>
        <w:t xml:space="preserve">Nhà từ 2 đến 3 tầng, kết cấu khung chịu lực BTCT; tường bao xây gạch; sàn, mái BTCT đổ tại chỗ không có tầng hầm</w:t>
      </w:r>
      <w:r>
        <w:rPr>
          <w:rFonts w:ascii="Times New Roman" w:hAnsi="Times New Roman" w:eastAsia="Times New Roman" w:cs="Times New Roman"/>
          <w:b w:val="0"/>
          <w:bCs w:val="0"/>
          <w:i/>
          <w:iCs/>
          <w:color w:val="000000"/>
          <w:sz w:val="24"/>
          <w:szCs w:val="24"/>
        </w:rPr>
        <w:t xml:space="preserve"> </w:t>
      </w:r>
      <w:r>
        <w:rPr>
          <w:rFonts w:ascii="Times New Roman" w:hAnsi="Times New Roman" w:eastAsia="Times New Roman" w:cs="Times New Roman"/>
          <w:b w:val="0"/>
          <w:bCs w:val="0"/>
          <w:i/>
          <w:iCs/>
          <w:color w:val="000000"/>
          <w:sz w:val="24"/>
          <w:szCs w:val="24"/>
        </w:rPr>
        <w:t xml:space="preserve"> là 8.370.000 đồng/m²</w:t>
      </w:r>
      <w:r>
        <w:rPr>
          <w:rFonts w:ascii="Times New Roman" w:hAnsi="Times New Roman" w:eastAsia="Times New Roman" w:cs="Times New Roman"/>
          <w:b w:val="0"/>
          <w:bCs w:val="0"/>
          <w:i/>
          <w:iCs/>
          <w:color w:val="000000"/>
          <w:sz w:val="24"/>
          <w:szCs w:val="24"/>
        </w:rPr>
        <w:t xml:space="preserve"> và</w:t>
      </w:r>
      <w:r>
        <w:rPr>
          <w:rFonts w:ascii="Times New Roman" w:hAnsi="Times New Roman" w:eastAsia="Times New Roman" w:cs="Times New Roman"/>
          <w:b w:val="0"/>
          <w:bCs w:val="0"/>
          <w:i/>
          <w:iCs/>
          <w:color w:val="000000"/>
          <w:sz w:val="24"/>
          <w:szCs w:val="24"/>
        </w:rPr>
        <w:t xml:space="preserve"> h</w:t>
      </w:r>
      <w:r>
        <w:rPr>
          <w:rFonts w:ascii="Times New Roman" w:hAnsi="Times New Roman" w:eastAsia="Times New Roman" w:cs="Times New Roman"/>
          <w:b w:val="0"/>
          <w:bCs w:val="0"/>
          <w:i/>
          <w:iCs/>
          <w:color w:val="000000"/>
          <w:sz w:val="24"/>
          <w:szCs w:val="24"/>
        </w:rPr>
        <w:t xml:space="preserve">ệ </w:t>
      </w:r>
      <w:r>
        <w:rPr>
          <w:rFonts w:ascii="Times New Roman" w:hAnsi="Times New Roman" w:eastAsia="Times New Roman" w:cs="Times New Roman"/>
          <w:b w:val="0"/>
          <w:bCs w:val="0"/>
          <w:i/>
          <w:iCs/>
          <w:color w:val="000000"/>
          <w:sz w:val="24"/>
          <w:szCs w:val="24"/>
        </w:rPr>
        <w:t xml:space="preserve">số vùng 2 (thành phố Hải Phòng là 0,948 </w:t>
      </w:r>
      <w:r>
        <w:rPr>
          <w:rFonts w:ascii="Times New Roman" w:hAnsi="Times New Roman" w:eastAsia="Times New Roman" w:cs="Times New Roman"/>
          <w:b w:val="0"/>
          <w:bCs w:val="0"/>
          <w:i/>
          <w:iCs/>
          <w:color w:val="000000"/>
          <w:sz w:val="24"/>
          <w:szCs w:val="24"/>
        </w:rPr>
        <w:t xml:space="preserve">(đơn giá bao gồm VAT).</w:t>
      </w:r>
      <w:r>
        <w:rPr>
          <w:rFonts w:ascii="Times New Roman" w:hAnsi="Times New Roman" w:eastAsia="Times New Roman" w:cs="Times New Roman"/>
          <w:b w:val="0"/>
          <w:bCs/>
          <w:i/>
          <w:color w:val="000000"/>
          <w:sz w:val="24"/>
          <w:szCs w:val="24"/>
          <w14:ligatures w14:val="none"/>
        </w:rPr>
      </w:r>
      <w:r>
        <w:rPr>
          <w:rFonts w:ascii="Times New Roman" w:hAnsi="Times New Roman" w:eastAsia="Times New Roman" w:cs="Times New Roman"/>
          <w:b w:val="0"/>
          <w:bCs/>
          <w:i/>
          <w:color w:val="000000"/>
          <w:sz w:val="24"/>
          <w:szCs w:val="24"/>
          <w14:ligatures w14:val="none"/>
        </w:rPr>
      </w:r>
    </w:p>
    <w:p>
      <w:pPr>
        <w:pBdr>
          <w:top w:val="none" w:color="000000" w:sz="4" w:space="0"/>
          <w:left w:val="none" w:color="000000" w:sz="4" w:space="0"/>
          <w:bottom w:val="none" w:color="000000" w:sz="4" w:space="0"/>
          <w:right w:val="none" w:color="000000" w:sz="4" w:space="0"/>
        </w:pBdr>
        <w:spacing w:line="276" w:lineRule="auto"/>
        <w:ind w:right="0" w:firstLine="426"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r>
      <w:r>
        <w:rPr>
          <w:b w:val="0"/>
          <w:bCs w:val="0"/>
          <w:i w:val="0"/>
          <w:iCs w:val="0"/>
          <w:highlight w:val="none"/>
          <w:u w:val="none"/>
        </w:rPr>
        <w:t xml:space="preserve">Tại thời điểm khảo sát, </w:t>
      </w:r>
      <w:r>
        <w:rPr>
          <w:b w:val="0"/>
          <w:bCs w:val="0"/>
          <w:i w:val="0"/>
          <w:iCs w:val="0"/>
          <w:highlight w:val="none"/>
          <w:u w:val="none"/>
        </w:rPr>
        <w:t xml:space="preserve">Tổ thẩm định xác định CTXD nhà 2 tầng kết cấu khung cột thép, tường gạch, mái tôn, chưa chát tường bên trong, ước tính tỷ lệ hoàn thiện khoảng 85%. </w:t>
      </w:r>
      <w:r>
        <w:rPr>
          <w:rFonts w:ascii="Times New Roman" w:hAnsi="Times New Roman" w:eastAsia="Times New Roman" w:cs="Times New Roman"/>
          <w:color w:val="000000"/>
          <w:sz w:val="24"/>
        </w:rPr>
        <w:t xml:space="preserve">Do đó, Tổ thẩm định xác định đơn giá xây mới của công trình là 8.370.000*0,948*85%= 6.744.546 đồng/m².</w:t>
      </w:r>
      <w:r>
        <w:rPr>
          <w:rFonts w:ascii="Times New Roman" w:hAnsi="Times New Roman" w:eastAsia="Times New Roman" w:cs="Times New Roman"/>
          <w:sz w:val="24"/>
        </w:rPr>
      </w:r>
      <w:r>
        <w:rPr>
          <w:rFonts w:ascii="Times New Roman" w:hAnsi="Times New Roman" w:eastAsia="Times New Roman" w:cs="Times New Roman"/>
          <w:sz w:val="24"/>
        </w:rPr>
      </w:r>
    </w:p>
    <w:p>
      <w:pPr>
        <w:numPr>
          <w:ilvl w:val="0"/>
          <w:numId w:val="42"/>
        </w:numPr>
        <w:pBdr>
          <w:top w:val="none" w:color="000000" w:sz="4" w:space="0"/>
          <w:left w:val="none" w:color="000000" w:sz="4" w:space="0"/>
          <w:bottom w:val="none" w:color="000000" w:sz="4" w:space="0"/>
          <w:right w:val="none" w:color="000000" w:sz="4" w:space="0"/>
        </w:pBdr>
        <w:spacing w:line="276" w:lineRule="auto"/>
        <w:ind/>
        <w:jc w:val="both"/>
        <w:rPr/>
      </w:pPr>
      <w:r>
        <w:rPr>
          <w:rFonts w:ascii="Times New Roman" w:hAnsi="Times New Roman" w:eastAsia="Times New Roman" w:cs="Times New Roman"/>
          <w:b/>
          <w:color w:val="000000"/>
          <w:sz w:val="24"/>
        </w:rPr>
        <w:t xml:space="preserve">Xác định giá trị hao mòn theo kỹ thuật tuổi đời:</w:t>
      </w:r>
      <w:r/>
    </w:p>
    <w:p>
      <w:pPr>
        <w:pBdr>
          <w:top w:val="none" w:color="000000" w:sz="4" w:space="0"/>
          <w:left w:val="none" w:color="000000" w:sz="4" w:space="0"/>
          <w:bottom w:val="none" w:color="000000" w:sz="4" w:space="0"/>
          <w:right w:val="none" w:color="000000" w:sz="4" w:space="0"/>
        </w:pBdr>
        <w:spacing w:line="276" w:lineRule="auto"/>
        <w:ind w:right="0" w:firstLine="284" w:left="0"/>
        <w:jc w:val="both"/>
        <w:rPr/>
      </w:pPr>
      <w:r>
        <w:rPr>
          <w:rFonts w:ascii="Times New Roman" w:hAnsi="Times New Roman" w:eastAsia="Times New Roman" w:cs="Times New Roman"/>
          <w:color w:val="000000"/>
          <w:spacing w:val="2"/>
          <w:sz w:val="24"/>
        </w:rPr>
        <w:t xml:space="preserve">Tỉ lệ hao mòn được tính toán theo phương pháp tuổi đời:</w:t>
      </w:r>
      <w:r/>
    </w:p>
    <w:p>
      <w:pPr>
        <w:pBdr>
          <w:top w:val="none" w:color="000000" w:sz="4" w:space="0"/>
          <w:left w:val="none" w:color="000000" w:sz="4" w:space="0"/>
          <w:bottom w:val="none" w:color="000000" w:sz="4" w:space="0"/>
          <w:right w:val="none" w:color="000000" w:sz="4" w:space="0"/>
        </w:pBdr>
        <w:spacing w:line="276" w:lineRule="auto"/>
        <w:ind w:right="0" w:firstLine="284" w:left="0"/>
        <w:jc w:val="both"/>
        <w:rPr/>
      </w:pPr>
      <w:r>
        <w:rPr>
          <w:rFonts w:ascii="Times New Roman" w:hAnsi="Times New Roman" w:eastAsia="Times New Roman" w:cs="Times New Roman"/>
          <w:color w:val="000000"/>
          <w:spacing w:val="2"/>
          <w:sz w:val="24"/>
        </w:rPr>
        <w:t xml:space="preserve">Công thức: Tỉ lệ hao mòn = Tuổi đời hiệu quả/ Tuổi đời kinh tế</w:t>
      </w:r>
      <w:r/>
    </w:p>
    <w:p>
      <w:pPr>
        <w:pBdr>
          <w:top w:val="none" w:color="000000" w:sz="4" w:space="0"/>
          <w:left w:val="none" w:color="000000" w:sz="4" w:space="0"/>
          <w:bottom w:val="none" w:color="000000" w:sz="4" w:space="0"/>
          <w:right w:val="none" w:color="000000" w:sz="4" w:space="0"/>
        </w:pBdr>
        <w:spacing w:line="276" w:lineRule="auto"/>
        <w:ind w:right="0" w:firstLine="284" w:left="0"/>
        <w:jc w:val="both"/>
        <w:rPr>
          <w:rFonts w:ascii="Times New Roman" w:hAnsi="Times New Roman" w:eastAsia="Times New Roman" w:cs="Times New Roman"/>
          <w:color w:val="000000"/>
          <w:spacing w:val="2"/>
          <w:sz w:val="24"/>
          <w:szCs w:val="24"/>
          <w:highlight w:val="none"/>
        </w:rPr>
      </w:pPr>
      <w:r>
        <w:rPr>
          <w:rFonts w:ascii="Times New Roman" w:hAnsi="Times New Roman" w:eastAsia="Times New Roman" w:cs="Times New Roman"/>
          <w:color w:val="000000"/>
          <w:spacing w:val="2"/>
          <w:sz w:val="24"/>
        </w:rPr>
        <w:t xml:space="preserve">Tổ thẩm định giả định rằng công trình xây dựng hoạt động liên tục trong khoảng th</w:t>
      </w:r>
      <w:r>
        <w:rPr>
          <w:rFonts w:ascii="Times New Roman" w:hAnsi="Times New Roman" w:eastAsia="Times New Roman" w:cs="Times New Roman"/>
          <w:color w:val="000000"/>
          <w:spacing w:val="2"/>
          <w:sz w:val="24"/>
        </w:rPr>
        <w:t xml:space="preserve">ời gian trích khấu hao được duy tu, sửa chữa định kỳ và đúng quy trình nên tuổi đời hiệu quả bằng tuổi đời thực tế. Theo thông tin khách hàng cung cấp, công trình xây dựng năm 2026 đang trong quá trình hoàn thành, tổ thẩm định xác định tỷ lệ hao mòn là: 0%</w:t>
      </w:r>
      <w:r>
        <w:rPr>
          <w:rFonts w:ascii="Times New Roman" w:hAnsi="Times New Roman" w:eastAsia="Times New Roman" w:cs="Times New Roman"/>
          <w:color w:val="000000"/>
          <w:spacing w:val="2"/>
          <w:sz w:val="24"/>
        </w:rPr>
        <w:t xml:space="preserve">.</w:t>
      </w:r>
      <w:r>
        <w:rPr>
          <w:rFonts w:ascii="Times New Roman" w:hAnsi="Times New Roman" w:eastAsia="Times New Roman" w:cs="Times New Roman"/>
          <w:color w:val="000000"/>
          <w:spacing w:val="2"/>
          <w:sz w:val="24"/>
          <w:szCs w:val="24"/>
          <w:highlight w:val="none"/>
        </w:rPr>
      </w:r>
    </w:p>
    <w:p>
      <w:pPr>
        <w:pBdr/>
        <w:shd w:val="nil" w:color="auto"/>
        <w:spacing/>
        <w:ind/>
        <w:rPr/>
      </w:pPr>
      <w:r>
        <w:br w:type="page" w:clear="all"/>
      </w:r>
      <w:r>
        <w:rPr>
          <w:rFonts w:ascii="Times New Roman" w:hAnsi="Times New Roman" w:eastAsia="Times New Roman" w:cs="Times New Roman"/>
          <w:color w:val="000000"/>
          <w:spacing w:val="2"/>
          <w:sz w:val="24"/>
          <w:highlight w:val="none"/>
        </w:rPr>
      </w:r>
      <w:r/>
    </w:p>
    <w:p>
      <w:pPr>
        <w:numPr>
          <w:ilvl w:val="0"/>
          <w:numId w:val="42"/>
        </w:numPr>
        <w:pBdr>
          <w:top w:val="none" w:color="000000" w:sz="4" w:space="0"/>
          <w:left w:val="none" w:color="000000" w:sz="4" w:space="0"/>
          <w:bottom w:val="none" w:color="000000" w:sz="4" w:space="0"/>
          <w:right w:val="none" w:color="000000" w:sz="4" w:space="0"/>
        </w:pBdr>
        <w:spacing w:after="120" w:before="120" w:line="264" w:lineRule="auto"/>
        <w:ind/>
        <w:jc w:val="both"/>
        <w:rPr/>
      </w:pPr>
      <w:r>
        <w:rPr>
          <w:rFonts w:ascii="Times New Roman" w:hAnsi="Times New Roman" w:eastAsia="Times New Roman" w:cs="Times New Roman"/>
          <w:b/>
          <w:color w:val="000000"/>
          <w:sz w:val="24"/>
        </w:rPr>
        <w:t xml:space="preserve">Xác định giá trị của công trình xây dựng trên đất:</w:t>
      </w:r>
      <w:r/>
    </w:p>
    <w:tbl>
      <w:tblPr>
        <w:tblStyle w:val="103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1555"/>
        <w:gridCol w:w="1134"/>
        <w:gridCol w:w="1701"/>
        <w:gridCol w:w="1272"/>
        <w:gridCol w:w="1857"/>
        <w:gridCol w:w="1996"/>
      </w:tblGrid>
      <w:tr>
        <w:trPr>
          <w:trHeight w:val="936"/>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Diện tích sàn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Chi phí thay thế</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Tỷ lệ hao mòn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Giá trị hao mòn (đồng)</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Giá trị thẩm định tại thời điểm thẩm định giá (đồng)</w:t>
            </w:r>
            <w:r/>
          </w:p>
        </w:tc>
      </w:tr>
      <w:tr>
        <w:trPr>
          <w:trHeight w:val="30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55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(5)=(3)*(4)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rPr>
              <w:t xml:space="preserve">(6) = (3) - (5)</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55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4"/>
              </w:rPr>
              <w:t xml:space="preserve">Nhà 02 tầng</w:t>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4"/>
              </w:rPr>
              <w:t xml:space="preserve">766</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ind w:right="-111" w:firstLine="0" w:left="-114"/>
              <w:jc w:val="center"/>
              <w:rPr/>
            </w:pPr>
            <w:r>
              <w:rPr>
                <w:rFonts w:ascii="Times New Roman" w:hAnsi="Times New Roman" w:eastAsia="Times New Roman" w:cs="Times New Roman"/>
                <w:color w:val="000000"/>
                <w:sz w:val="24"/>
              </w:rPr>
              <w:t xml:space="preserve">5.166.322.236</w:t>
            </w:r>
            <w:r/>
          </w:p>
        </w:tc>
        <w:tc>
          <w:tcPr>
            <w:tcBorders>
              <w:bottom w:val="single" w:color="000000" w:sz="8" w:space="0"/>
              <w:right w:val="single" w:color="000000" w:sz="8" w:space="0"/>
            </w:tcBorders>
            <w:tcMar>
              <w:left w:w="108" w:type="dxa"/>
              <w:top w:w="0" w:type="dxa"/>
              <w:right w:w="108" w:type="dxa"/>
              <w:bottom w:w="0" w:type="dxa"/>
            </w:tcMar>
            <w:tcW w:w="12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185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1996"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111" w:firstLine="0" w:left="-114"/>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5.166.322.236</w:t>
            </w:r>
            <w:r>
              <w:rPr>
                <w:rFonts w:ascii="Times New Roman" w:hAnsi="Times New Roman" w:eastAsia="Times New Roman" w:cs="Times New Roman"/>
                <w:sz w:val="24"/>
              </w:rPr>
            </w:r>
            <w:r>
              <w:rPr>
                <w:rFonts w:ascii="Times New Roman" w:hAnsi="Times New Roman" w:eastAsia="Times New Roman" w:cs="Times New Roman"/>
                <w:sz w:val="24"/>
              </w:rPr>
            </w:r>
          </w:p>
        </w:tc>
      </w:tr>
    </w:tbl>
    <w:p>
      <w:pPr>
        <w:pStyle w:val="103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06/2026</w:t>
      </w:r>
      <w:r>
        <w:t xml:space="preserve"> </w:t>
      </w:r>
      <w:r>
        <w:t xml:space="preserve">ước tính </w:t>
      </w:r>
      <w:r>
        <w:t xml:space="preserve">như sau</w:t>
      </w:r>
      <w:r>
        <w:t xml:space="preserve">:</w:t>
      </w: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52"/>
        <w:gridCol w:w="2194"/>
        <w:gridCol w:w="1633"/>
        <w:gridCol w:w="2581"/>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194"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633"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vMerge w:val="restart"/>
            <w:textDirection w:val="lrTb"/>
            <w:noWrap w:val="false"/>
          </w:tcPr>
          <w:p>
            <w:pPr>
              <w:pBdr/>
              <w:spacing w:after="40" w:before="40" w:line="288" w:lineRule="auto"/>
              <w:ind/>
              <w:jc w:val="center"/>
              <w:rPr>
                <w:b/>
                <w:bCs/>
              </w:rPr>
            </w:pPr>
            <w:r>
              <w:rPr>
                <w:b/>
                <w:bCs/>
              </w:rPr>
              <w:t xml:space="preserve">01</w:t>
            </w:r>
            <w:r>
              <w:rPr>
                <w:b/>
                <w:bCs/>
              </w:rPr>
            </w:r>
            <w:r>
              <w:rPr>
                <w:b/>
                <w:bCs/>
              </w:rPr>
            </w:r>
          </w:p>
        </w:tc>
        <w:tc>
          <w:tcPr>
            <w:shd w:val="clear" w:color="000000" w:fill="ffffff"/>
            <w:tcBorders/>
            <w:tcW w:w="2194" w:type="dxa"/>
            <w:vAlign w:val="center"/>
            <w:vMerge w:val="restart"/>
            <w:textDirection w:val="lrTb"/>
            <w:noWrap w:val="false"/>
          </w:tcPr>
          <w:p>
            <w:pPr>
              <w:pBdr/>
              <w:spacing w:after="40" w:before="40" w:line="288" w:lineRule="auto"/>
              <w:ind/>
              <w:jc w:val="center"/>
              <w:rPr>
                <w:b/>
                <w:bCs/>
              </w:rPr>
            </w:pPr>
            <w:r>
              <w:rPr>
                <w:b/>
                <w:bCs/>
              </w:rPr>
              <w:t xml:space="preserve">Quyền sử dụng đất</w:t>
            </w:r>
            <w:r>
              <w:rPr>
                <w:b/>
                <w:bCs/>
              </w:rPr>
            </w:r>
            <w:r>
              <w:rPr>
                <w:b/>
                <w:bCs/>
              </w:rPr>
            </w:r>
          </w:p>
        </w:tc>
        <w:tc>
          <w:tcPr>
            <w:shd w:val="clear" w:color="000000" w:fill="ffffff"/>
            <w:tcBorders/>
            <w:tcW w:w="1633" w:type="dxa"/>
            <w:vAlign w:val="center"/>
            <w:vMerge w:val="restart"/>
            <w:textDirection w:val="lrTb"/>
            <w:noWrap w:val="false"/>
          </w:tcPr>
          <w:p>
            <w:pPr>
              <w:pBdr/>
              <w:spacing w:after="40" w:before="40" w:line="288" w:lineRule="auto"/>
              <w:ind/>
              <w:jc w:val="center"/>
              <w:rPr>
                <w:b/>
                <w:bCs/>
              </w:rPr>
            </w:pPr>
            <w:r>
              <w:rPr>
                <w:b/>
                <w:bCs/>
              </w:rPr>
            </w:r>
            <w:r>
              <w:rPr>
                <w:b/>
                <w:bCs/>
              </w:rPr>
            </w:r>
            <w:r>
              <w:rPr>
                <w:b/>
                <w:bCs/>
              </w:rPr>
            </w:r>
          </w:p>
        </w:tc>
        <w:tc>
          <w:tcPr>
            <w:shd w:val="clear" w:color="000000" w:fill="ffffff"/>
            <w:tcBorders/>
            <w:tcW w:w="2581" w:type="dxa"/>
            <w:vAlign w:val="center"/>
            <w:vMerge w:val="restart"/>
            <w:textDirection w:val="lrTb"/>
            <w:noWrap w:val="false"/>
          </w:tcPr>
          <w:p>
            <w:pPr>
              <w:pBdr/>
              <w:spacing w:after="40" w:before="40" w:line="288" w:lineRule="auto"/>
              <w:ind/>
              <w:jc w:val="center"/>
              <w:rPr>
                <w:b/>
                <w:bCs/>
              </w:rPr>
            </w:pPr>
            <w:r>
              <w:rPr>
                <w:b/>
                <w:bCs/>
              </w:rPr>
            </w:r>
            <w:r>
              <w:rPr>
                <w:b/>
                <w:bCs/>
              </w:rPr>
            </w:r>
            <w:r>
              <w:rPr>
                <w:b/>
                <w:bCs/>
              </w:rPr>
            </w:r>
          </w:p>
        </w:tc>
        <w:tc>
          <w:tcPr>
            <w:shd w:val="clear" w:color="000000" w:fill="ffffff"/>
            <w:tcBorders/>
            <w:tcW w:w="2164" w:type="dxa"/>
            <w:vAlign w:val="center"/>
            <w:vMerge w:val="restart"/>
            <w:textDirection w:val="lrTb"/>
            <w:noWrap w:val="false"/>
          </w:tcPr>
          <w:p>
            <w:pPr>
              <w:pBdr/>
              <w:spacing w:after="40" w:before="40" w:line="288" w:lineRule="auto"/>
              <w:ind/>
              <w:jc w:val="center"/>
              <w:rPr>
                <w:b/>
                <w:bCs/>
              </w:rPr>
            </w:pPr>
            <w:r>
              <w:rPr>
                <w:b/>
                <w:bCs/>
              </w:rPr>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color w:val="000000"/>
              </w:rPr>
              <w:t xml:space="preserve">Quyền sử dụng đất và tài sản gắn liền với đất tại thửa đất số: 476, tờ bản đồ số: 17, có địa chỉ: Khu 4, phường Thành Đông, thành phố Hải Phòng the</w:t>
            </w:r>
            <w:r>
              <w:rPr>
                <w:color w:val="000000"/>
              </w:rPr>
              <w:t xml:space="preserve">o Giấy chứng nhận quyền sử dụng đất, quyền sở hữu tài sản gắn liền với đất  số: AA 02814372, Số vào sổ cấp GCN: CN-00012 do Chi nhánh Văn phòng Đăng ký Đất đai Hải Dương cấp ngày 10/7/2025; chủ sử dụng đất là Ông Vũ Mạnh Cường và vợ Nguyễn Thị Hồng Lan</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vMerge w:val="restart"/>
            <w:textDirection w:val="lrTb"/>
            <w:noWrap w:val="false"/>
          </w:tcPr>
          <w:p>
            <w:pPr>
              <w:pBdr/>
              <w:spacing w:after="40" w:before="40" w:line="288" w:lineRule="auto"/>
              <w:ind/>
              <w:jc w:val="center"/>
              <w:rPr>
                <w:b/>
                <w:bCs/>
              </w:rPr>
            </w:pPr>
            <w:r>
              <w:rPr>
                <w:b/>
                <w:bCs/>
              </w:rPr>
              <w:t xml:space="preserve">-</w:t>
            </w:r>
            <w:r>
              <w:rPr>
                <w:b/>
                <w:bCs/>
              </w:rPr>
            </w:r>
            <w:r>
              <w:rPr>
                <w:b/>
                <w:bCs/>
              </w:rPr>
            </w:r>
          </w:p>
        </w:tc>
        <w:tc>
          <w:tcPr>
            <w:shd w:val="clear" w:color="000000" w:fill="ffffff"/>
            <w:tcBorders/>
            <w:tcW w:w="2194" w:type="dxa"/>
            <w:vAlign w:val="center"/>
            <w:vMerge w:val="restart"/>
            <w:textDirection w:val="lrTb"/>
            <w:noWrap w:val="false"/>
          </w:tcPr>
          <w:p>
            <w:pPr>
              <w:pBdr/>
              <w:spacing w:after="40" w:before="40" w:line="288" w:lineRule="auto"/>
              <w:ind/>
              <w:rPr/>
            </w:pPr>
            <w:r>
              <w:rPr>
                <w:b/>
                <w:bCs/>
              </w:rPr>
              <w:t xml:space="preserve">Đất ở </w:t>
            </w:r>
            <w:r/>
          </w:p>
        </w:tc>
        <w:tc>
          <w:tcPr>
            <w:tcBorders/>
            <w:tcW w:w="1633" w:type="dxa"/>
            <w:vAlign w:val="center"/>
            <w:vMerge w:val="restart"/>
            <w:textDirection w:val="lrTb"/>
            <w:noWrap/>
          </w:tcPr>
          <w:p>
            <w:pPr>
              <w:pBdr/>
              <w:spacing w:after="40" w:before="40" w:line="288" w:lineRule="auto"/>
              <w:ind/>
              <w:jc w:val="center"/>
              <w:rPr>
                <w:color w:val="000000"/>
              </w:rPr>
            </w:pPr>
            <w:r>
              <w:rPr>
                <w:color w:val="000000" w:themeColor="text1"/>
              </w:rPr>
              <w:t xml:space="preserve">197,5</w:t>
            </w:r>
            <w:r>
              <w:rPr>
                <w:color w:val="000000"/>
              </w:rPr>
            </w:r>
            <w:r>
              <w:rPr>
                <w:color w:val="000000"/>
              </w:rPr>
            </w:r>
          </w:p>
        </w:tc>
        <w:tc>
          <w:tcPr>
            <w:shd w:val="clear" w:color="000000" w:fill="ffffff"/>
            <w:tcBorders/>
            <w:tcW w:w="2581" w:type="dxa"/>
            <w:vAlign w:val="center"/>
            <w:vMerge w:val="restart"/>
            <w:textDirection w:val="lrTb"/>
            <w:noWrap w:val="false"/>
          </w:tcPr>
          <w:p>
            <w:pPr>
              <w:pBdr/>
              <w:spacing w:after="40" w:before="40" w:line="288" w:lineRule="auto"/>
              <w:ind/>
              <w:jc w:val="center"/>
              <w:rPr/>
            </w:pPr>
            <w:r>
              <w:rPr>
                <w:color w:val="000000" w:themeColor="text1"/>
              </w:rPr>
              <w:t xml:space="preserve">42.500.000</w:t>
            </w:r>
            <w:r/>
          </w:p>
        </w:tc>
        <w:tc>
          <w:tcPr>
            <w:shd w:val="clear" w:color="000000" w:fill="ffffff"/>
            <w:tcBorders/>
            <w:tcW w:w="2164" w:type="dxa"/>
            <w:vAlign w:val="center"/>
            <w:vMerge w:val="restart"/>
            <w:textDirection w:val="lrTb"/>
            <w:noWrap w:val="false"/>
          </w:tcPr>
          <w:p>
            <w:pPr>
              <w:pBdr/>
              <w:spacing w:after="40" w:before="40" w:line="288" w:lineRule="auto"/>
              <w:ind/>
              <w:jc w:val="center"/>
              <w:rPr/>
            </w:pPr>
            <w:r>
              <w:rPr>
                <w:color w:val="000000" w:themeColor="text1"/>
              </w:rPr>
              <w:t xml:space="preserve">8.393.750.000</w:t>
            </w:r>
            <w:r/>
          </w:p>
        </w:tc>
      </w:tr>
      <w:tr>
        <w:trPr>
          <w:trHeight w:val="20"/>
        </w:trPr>
        <w:tc>
          <w:tcPr>
            <w:shd w:val="clear" w:color="000000" w:fill="ffffff"/>
            <w:tcBorders/>
            <w:tcW w:w="952" w:type="dxa"/>
            <w:vAlign w:val="center"/>
            <w:vMerge w:val="restart"/>
            <w:textDirection w:val="lrTb"/>
            <w:noWrap w:val="false"/>
          </w:tcPr>
          <w:p>
            <w:pPr>
              <w:pBdr/>
              <w:spacing w:after="40" w:before="40" w:line="288" w:lineRule="auto"/>
              <w:ind/>
              <w:jc w:val="center"/>
              <w:rPr>
                <w:b/>
                <w:bCs/>
              </w:rPr>
            </w:pPr>
            <w:r>
              <w:rPr>
                <w:b/>
                <w:bCs/>
              </w:rPr>
            </w:r>
            <w:r>
              <w:rPr>
                <w:b/>
                <w:bCs/>
              </w:rPr>
            </w:r>
            <w:r>
              <w:rPr>
                <w:b/>
                <w:bCs/>
              </w:rPr>
            </w:r>
          </w:p>
        </w:tc>
        <w:tc>
          <w:tcPr>
            <w:gridSpan w:val="3"/>
            <w:shd w:val="clear" w:color="000000" w:fill="ffffff"/>
            <w:tcBorders/>
            <w:tcW w:w="6408" w:type="dxa"/>
            <w:vAlign w:val="center"/>
            <w:vMerge w:val="restart"/>
            <w:textDirection w:val="lrTb"/>
            <w:noWrap w:val="false"/>
          </w:tcPr>
          <w:p>
            <w:pPr>
              <w:pBdr/>
              <w:spacing w:after="40" w:before="40" w:line="288" w:lineRule="auto"/>
              <w:ind/>
              <w:jc w:val="both"/>
              <w:rPr>
                <w:color w:val="000000" w:themeColor="text1"/>
              </w:rPr>
            </w:pPr>
            <w:r>
              <w:rPr>
                <w:color w:val="000000" w:themeColor="text1"/>
              </w:rPr>
            </w:r>
            <w:r>
              <w:rPr>
                <w:color w:val="000000" w:themeColor="text1"/>
              </w:rPr>
              <w:t xml:space="preserve">Quyền sử dụng đất và tài sản gắn liền với đất tại thửa đất số: 475, tờ bản đồ số: 17, có địa chỉ: Khu 4, phường Thành Đông, thành phố Hải Phòng theo Giấy chứng nhận quyền sử dụng đất, quyền sở hữu tài sản gắn liền với </w:t>
            </w:r>
            <w:r>
              <w:rPr>
                <w:color w:val="000000"/>
              </w:rPr>
              <w:t xml:space="preserve">đất  </w:t>
            </w:r>
            <w:r>
              <w:rPr>
                <w:color w:val="000000" w:themeColor="text1"/>
              </w:rPr>
              <w:t xml:space="preserve">số: AA 02814374, Số vào sổ cấp GC</w:t>
            </w:r>
            <w:r>
              <w:rPr>
                <w:color w:val="000000" w:themeColor="text1"/>
              </w:rPr>
              <w:t xml:space="preserve">N: CN-00013 do Chi nhánh Văn phòng Đăng ký Đất đai Hải Dương cấp ngày 10/7/2025; chủ sử dụng đất là Ông Vũ Mạnh Cường và vợ Nguyễn Thị Hồng Lan.</w:t>
            </w:r>
            <w:r>
              <w:rPr>
                <w:color w:val="000000" w:themeColor="text1"/>
              </w:rPr>
            </w:r>
            <w:r>
              <w:rPr>
                <w:color w:val="000000" w:themeColor="text1"/>
              </w:rPr>
            </w:r>
          </w:p>
        </w:tc>
        <w:tc>
          <w:tcPr>
            <w:shd w:val="clear" w:color="000000" w:fill="ffffff"/>
            <w:tcBorders/>
            <w:tcW w:w="2164"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r>
            <w:r>
              <w:rPr>
                <w:color w:val="000000" w:themeColor="text1"/>
              </w:rPr>
            </w:r>
            <w:r>
              <w:rPr>
                <w:color w:val="000000" w:themeColor="text1"/>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pPr>
            <w:r>
              <w:rPr>
                <w:b/>
                <w:bCs/>
              </w:rPr>
              <w:t xml:space="preserve">-</w:t>
            </w:r>
            <w:r/>
          </w:p>
        </w:tc>
        <w:tc>
          <w:tcPr>
            <w:shd w:val="clear" w:color="000000" w:fill="ffffff"/>
            <w:tcBorders/>
            <w:tcW w:w="2194" w:type="dxa"/>
            <w:vAlign w:val="center"/>
            <w:textDirection w:val="lrTb"/>
            <w:noWrap w:val="false"/>
          </w:tcPr>
          <w:p>
            <w:pPr>
              <w:pBdr/>
              <w:spacing w:after="40" w:before="40" w:line="288" w:lineRule="auto"/>
              <w:ind/>
              <w:rPr/>
            </w:pPr>
            <w:r>
              <w:rPr>
                <w:b/>
                <w:bCs/>
              </w:rPr>
              <w:t xml:space="preserve">Đất ở</w:t>
            </w:r>
            <w:r/>
          </w:p>
        </w:tc>
        <w:tc>
          <w:tcPr>
            <w:tcBorders/>
            <w:tcW w:w="1633" w:type="dxa"/>
            <w:vAlign w:val="center"/>
            <w:textDirection w:val="lrTb"/>
            <w:noWrap/>
          </w:tcPr>
          <w:p>
            <w:pPr>
              <w:pBdr/>
              <w:spacing w:after="40" w:before="40" w:line="288" w:lineRule="auto"/>
              <w:ind/>
              <w:jc w:val="center"/>
              <w:rPr>
                <w:color w:val="000000"/>
              </w:rPr>
            </w:pPr>
            <w:r>
              <w:rPr>
                <w:color w:val="000000" w:themeColor="text1"/>
              </w:rPr>
              <w:t xml:space="preserve">185,8</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42.500.000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7.896.500.000</w:t>
            </w:r>
            <w:r/>
          </w:p>
        </w:tc>
      </w:tr>
      <w:tr>
        <w:trPr>
          <w:trHeight w:val="20"/>
        </w:trPr>
        <w:tc>
          <w:tcPr>
            <w:shd w:val="clear" w:color="000000" w:fill="ffffff"/>
            <w:tcBorders/>
            <w:tcW w:w="952" w:type="dxa"/>
            <w:vAlign w:val="center"/>
            <w:vMerge w:val="restart"/>
            <w:textDirection w:val="lrTb"/>
            <w:noWrap w:val="false"/>
          </w:tcPr>
          <w:p>
            <w:pPr>
              <w:pBdr/>
              <w:spacing w:after="40" w:before="40" w:line="288" w:lineRule="auto"/>
              <w:ind/>
              <w:jc w:val="center"/>
              <w:rPr>
                <w:b/>
                <w:bCs/>
              </w:rPr>
            </w:pPr>
            <w:r>
              <w:rPr>
                <w:b/>
                <w:bCs/>
              </w:rPr>
              <w:t xml:space="preserve">02</w:t>
            </w:r>
            <w:r>
              <w:rPr>
                <w:b/>
                <w:bCs/>
              </w:rPr>
            </w:r>
            <w:r>
              <w:rPr>
                <w:b/>
                <w:bCs/>
              </w:rPr>
            </w:r>
          </w:p>
        </w:tc>
        <w:tc>
          <w:tcPr>
            <w:shd w:val="clear" w:color="000000" w:fill="ffffff"/>
            <w:tcBorders/>
            <w:tcW w:w="2194" w:type="dxa"/>
            <w:vAlign w:val="center"/>
            <w:vMerge w:val="restart"/>
            <w:textDirection w:val="lrTb"/>
            <w:noWrap w:val="false"/>
          </w:tcPr>
          <w:p>
            <w:pPr>
              <w:pBdr/>
              <w:spacing w:after="40" w:before="40" w:line="288" w:lineRule="auto"/>
              <w:ind/>
              <w:rPr>
                <w:b/>
                <w:bCs/>
              </w:rPr>
            </w:pPr>
            <w:r>
              <w:rPr>
                <w:b/>
                <w:bCs/>
              </w:rPr>
              <w:t xml:space="preserve">Nhà ở 2 tầng</w:t>
            </w:r>
            <w:r>
              <w:rPr>
                <w:b/>
                <w:bCs/>
              </w:rPr>
            </w:r>
            <w:r>
              <w:rPr>
                <w:b/>
                <w:bCs/>
              </w:rPr>
            </w:r>
          </w:p>
        </w:tc>
        <w:tc>
          <w:tcPr>
            <w:tcBorders/>
            <w:tcW w:w="1633" w:type="dxa"/>
            <w:vAlign w:val="center"/>
            <w:vMerge w:val="restart"/>
            <w:textDirection w:val="lrTb"/>
            <w:noWrap/>
          </w:tcPr>
          <w:p>
            <w:pPr>
              <w:pBdr/>
              <w:spacing w:after="40" w:before="40" w:line="288" w:lineRule="auto"/>
              <w:ind/>
              <w:jc w:val="center"/>
              <w:rPr>
                <w:color w:val="000000" w:themeColor="text1"/>
              </w:rPr>
            </w:pPr>
            <w:r>
              <w:rPr>
                <w:color w:val="000000" w:themeColor="text1"/>
              </w:rPr>
              <w:t xml:space="preserve">766</w:t>
            </w:r>
            <w:r>
              <w:rPr>
                <w:color w:val="000000" w:themeColor="text1"/>
              </w:rPr>
            </w:r>
            <w:r>
              <w:rPr>
                <w:color w:val="000000" w:themeColor="text1"/>
              </w:rPr>
            </w:r>
          </w:p>
        </w:tc>
        <w:tc>
          <w:tcPr>
            <w:shd w:val="clear" w:color="000000" w:fill="ffffff"/>
            <w:tcBorders/>
            <w:tcW w:w="2581"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6.744.546</w:t>
            </w:r>
            <w:r>
              <w:rPr>
                <w:color w:val="000000" w:themeColor="text1"/>
              </w:rPr>
            </w:r>
            <w:r>
              <w:rPr>
                <w:color w:val="000000" w:themeColor="text1"/>
              </w:rPr>
            </w:r>
          </w:p>
        </w:tc>
        <w:tc>
          <w:tcPr>
            <w:shd w:val="clear" w:color="000000" w:fill="ffffff"/>
            <w:tcBorders/>
            <w:tcW w:w="2164"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5.166.322.236</w:t>
            </w:r>
            <w:r>
              <w:rPr>
                <w:color w:val="000000" w:themeColor="text1"/>
              </w:rPr>
            </w:r>
            <w:r>
              <w:rPr>
                <w:color w:val="000000" w:themeColor="text1"/>
              </w:rP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color w:val="000000" w:themeColor="text1"/>
              </w:rPr>
              <w:t xml:space="preserve">21.456.572.236</w:t>
            </w:r>
            <w:r>
              <w:rPr>
                <w:b/>
                <w:bCs/>
                <w:color w:val="000000"/>
              </w:rPr>
            </w:r>
            <w:r>
              <w:rPr>
                <w:b/>
                <w:bCs/>
                <w:color w:val="000000"/>
              </w:rP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themeColor="text1"/>
              </w:rPr>
              <w:t xml:space="preserve">21.456.600.000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Hai mươi mốt tỷ bốn trăm năm mươi sáu triệu sáu trăm nghìn đồng</w:t>
            </w:r>
            <w:r>
              <w:rPr>
                <w:b/>
                <w:bCs/>
                <w:i/>
                <w:iCs/>
                <w:color w:val="000000"/>
              </w:rPr>
              <w:t xml:space="preserve">./.)</w:t>
            </w:r>
            <w:r>
              <w:rPr>
                <w:b/>
                <w:bCs/>
                <w:i/>
                <w:iCs/>
                <w:color w:val="000000"/>
              </w:rPr>
            </w:r>
            <w:r>
              <w:rPr>
                <w:b/>
                <w:bCs/>
                <w:i/>
                <w:iCs/>
                <w:color w:val="000000"/>
              </w:rPr>
            </w:r>
          </w:p>
        </w:tc>
      </w:tr>
    </w:tbl>
    <w:p>
      <w:pPr>
        <w:pStyle w:val="103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5"/>
        <w:numPr>
          <w:ilvl w:val="0"/>
          <w:numId w:val="43"/>
        </w:numPr>
        <w:pBdr/>
        <w:tabs>
          <w:tab w:val="left" w:leader="none" w:pos="993"/>
        </w:tabs>
        <w:spacing w:after="120" w:before="120" w:line="264" w:lineRule="auto"/>
        <w:ind/>
        <w:jc w:val="both"/>
        <w:rPr>
          <w:spacing w:val="-2"/>
          <w:highlight w:val="white"/>
        </w:rPr>
      </w:pPr>
      <w:r>
        <w:rPr>
          <w:spacing w:val="-2"/>
          <w:highlight w:val="white"/>
          <w:lang w:val="pt-BR" w:bidi="pt-BR"/>
        </w:rPr>
      </w:r>
      <w:r>
        <w:rPr>
          <w:b w:val="0"/>
          <w:bCs w:val="0"/>
          <w:i w:val="0"/>
          <w:iCs w:val="0"/>
          <w:highlight w:val="white"/>
          <w:u w:val="none"/>
        </w:rPr>
        <w:t xml:space="preserve">Tại thời điểm khảo sát, </w:t>
      </w:r>
      <w:r>
        <w:rPr>
          <w:b w:val="0"/>
          <w:bCs w:val="0"/>
          <w:i w:val="0"/>
          <w:iCs w:val="0"/>
          <w:highlight w:val="white"/>
          <w:u w:val="none"/>
        </w:rPr>
        <w:t xml:space="preserve">Tổ thẩm định xác định trên đất có CTXD nh</w:t>
      </w:r>
      <w:r>
        <w:rPr>
          <w:b w:val="0"/>
          <w:bCs w:val="0"/>
          <w:i w:val="0"/>
          <w:iCs w:val="0"/>
          <w:highlight w:val="white"/>
          <w:u w:val="none"/>
        </w:rPr>
        <w:t xml:space="preserve">à 2 tầng xây dựng trên 02 thửa đất có cùng chủ tài sản, kết cấu khung cột thép, tường gạch, mái tôn, chưa chát tường bên trong, Diện tích xây dựng là 383m2, tổng diện tích sàn sử dụng khoảng 766m2, xây dựng năm 2026. CTXD chưa được công nhận trên GCN QSDĐ.</w:t>
      </w:r>
      <w:r>
        <w:rPr>
          <w:spacing w:val="-2"/>
          <w:highlight w:val="white"/>
          <w:lang w:val="pt-BR" w:bidi="pt-BR"/>
        </w:rPr>
        <w:t xml:space="preserve"> Đồng thời Tổ thẩm định cũng không được cung cấp bất kỳ hồ sơ nào liên quan đến công trì</w:t>
      </w:r>
      <w:r>
        <w:rPr>
          <w:spacing w:val="-2"/>
          <w:highlight w:val="white"/>
          <w:lang w:val="pt-BR" w:bidi="pt-BR"/>
        </w:rPr>
        <w:t xml:space="preserve">nh nói trên. Theo yêu cầu của khách hàng, Tổ thẩm định xác định giá trị công trình trên đất theo kết quả khảo sát thực tế và giả định các thông tin đo đạc cũng như thông tin khách hàng cung cấp là chính xác. Kính đề nghị các đơn vị sử dụng Chứng thư lưu ý.</w:t>
      </w:r>
      <w:r>
        <w:rPr>
          <w:spacing w:val="-2"/>
          <w:highlight w:val="white"/>
        </w:rPr>
      </w:r>
      <w:r>
        <w:rPr>
          <w:spacing w:val="-2"/>
          <w:highlight w:val="white"/>
        </w:rPr>
      </w:r>
    </w:p>
    <w:p>
      <w:pPr>
        <w:pStyle w:val="1035"/>
        <w:numPr>
          <w:ilvl w:val="0"/>
          <w:numId w:val="5"/>
        </w:numPr>
        <w:pBdr/>
        <w:tabs>
          <w:tab w:val="left" w:leader="none" w:pos="993"/>
        </w:tabs>
        <w:spacing w:after="120" w:before="120" w:line="288" w:lineRule="auto"/>
        <w:ind/>
        <w:jc w:val="both"/>
        <w:rPr>
          <w:bCs/>
          <w:spacing w:val="-2"/>
          <w:highlight w:val="white"/>
        </w:rPr>
      </w:pPr>
      <w:r>
        <w:rPr>
          <w:bCs/>
          <w:spacing w:val="-2"/>
          <w:highlight w:val="white"/>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highlight w:val="white"/>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highlight w:val="white"/>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highlight w:val="white"/>
        </w:rPr>
      </w:r>
      <w:r>
        <w:rPr>
          <w:bCs/>
          <w:spacing w:val="-2"/>
          <w:highlight w:val="white"/>
        </w:rPr>
      </w:r>
    </w:p>
    <w:p>
      <w:pPr>
        <w:pStyle w:val="103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5"/>
        <w:pBdr/>
        <w:tabs>
          <w:tab w:val="left" w:leader="none" w:pos="993"/>
        </w:tabs>
        <w:spacing w:after="120" w:before="120" w:line="288" w:lineRule="auto"/>
        <w:ind w:left="0"/>
        <w:jc w:val="both"/>
        <w:rPr>
          <w:highlight w:val="none"/>
          <w:lang w:val="pt-BR"/>
        </w:rPr>
      </w:pPr>
      <w:r>
        <w:rPr>
          <w:lang w:val="pt-BR"/>
        </w:rPr>
        <w:t xml:space="preserve">Phụ lục 2: Thông tin </w:t>
      </w:r>
      <w:r>
        <w:rPr>
          <w:lang w:val="pt-BR"/>
        </w:rPr>
        <w:t xml:space="preserve">thu thập thị trường</w:t>
      </w:r>
      <w:r>
        <w:rPr>
          <w:lang w:val="pt-BR"/>
        </w:rPr>
        <w:t xml:space="preserve">.</w:t>
      </w:r>
      <w:r>
        <w:rPr>
          <w:lang w:val="pt-BR"/>
        </w:rPr>
      </w:r>
      <w:r>
        <w:rPr>
          <w:highlight w:val="none"/>
          <w:lang w:val="pt-BR"/>
        </w:rPr>
      </w:r>
    </w:p>
    <w:p>
      <w:pPr>
        <w:pBdr/>
        <w:shd w:val="nil" w:color="auto"/>
        <w:spacing/>
        <w:ind/>
        <w:rPr>
          <w:lang w:val="pt-BR"/>
        </w:rPr>
      </w:pPr>
      <w:r>
        <w:rPr>
          <w:lang w:val="pt-BR"/>
        </w:rPr>
        <w:br w:type="page" w:clear="all"/>
      </w:r>
      <w:r>
        <w:rPr>
          <w:lang w:val="pt-BR"/>
        </w:rPr>
      </w:r>
      <w:r>
        <w:rPr>
          <w:lang w:val="pt-BR"/>
        </w:rPr>
      </w:r>
    </w:p>
    <w:p>
      <w:pPr>
        <w:pStyle w:val="103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275/2026/0825/VFI-CT.44.A</w:t>
      </w:r>
      <w:r>
        <w:rPr>
          <w:color w:val="ff0000"/>
          <w:lang w:val="vi-VN"/>
        </w:rPr>
        <w:t xml:space="preserve"> </w:t>
      </w:r>
      <w:r>
        <w:rPr>
          <w:color w:val="000000" w:themeColor="text1"/>
        </w:rPr>
        <w:t xml:space="preserve">ngày 1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275/2026/0825/VFI-BC.44.A</w:t>
      </w:r>
      <w:r>
        <w:rPr>
          <w:i/>
          <w:lang w:val="pt-BR"/>
        </w:rPr>
        <w:t xml:space="preserve"> </w:t>
      </w:r>
      <w:r>
        <w:rPr>
          <w:i/>
          <w:lang w:val="pt-BR"/>
        </w:rPr>
        <w:t xml:space="preserve">ngày 01 tháng 6 năm 2026</w:t>
      </w:r>
      <w:r>
        <w:rPr>
          <w:i/>
          <w:lang w:val="pt-BR"/>
        </w:rPr>
        <w:t xml:space="preserve"> </w:t>
      </w:r>
      <w:r>
        <w:rPr>
          <w:i/>
          <w:lang w:val="pt-BR"/>
        </w:rPr>
        <w:t xml:space="preserve">của </w:t>
      </w:r>
      <w:r>
        <w:rPr>
          <w:i/>
          <w:lang w:val="pt-BR"/>
        </w:rPr>
      </w:r>
      <w:r>
        <w:rPr>
          <w:i/>
          <w:lang w:val="pt-BR"/>
        </w:rPr>
      </w:r>
    </w:p>
    <w:p>
      <w:pPr>
        <w:pBdr/>
        <w:spacing w:after="120"/>
        <w:ind/>
        <w:jc w:val="center"/>
        <w:rPr>
          <w:bCs/>
          <w:i/>
          <w:highlight w:val="none"/>
          <w:lang w:val="pt-BR"/>
        </w:rPr>
      </w:pPr>
      <w:r>
        <w:rPr>
          <w:i/>
          <w:lang w:val="pt-BR"/>
        </w:rPr>
        <w:t xml:space="preserve">Công ty Cổ phần Thẩm định và Đầu tư Tài chính Hoa Sen)</w:t>
      </w:r>
      <w:r>
        <w:rPr>
          <w:bCs/>
          <w:i/>
          <w:highlight w:val="none"/>
          <w:lang w:val="pt-BR"/>
        </w:rPr>
      </w:r>
      <w:r>
        <w:rPr>
          <w:bCs/>
          <w:i/>
          <w:highlight w:val="none"/>
          <w:lang w:val="pt-BR"/>
        </w:rPr>
      </w:r>
    </w:p>
    <w:p>
      <w:pPr>
        <w:pBdr/>
        <w:spacing w:after="120"/>
        <w:ind/>
        <w:jc w:val="center"/>
        <w:rPr>
          <w:b/>
          <w:bCs/>
          <w:i/>
        </w:rPr>
      </w:pPr>
      <w:r>
        <w:rPr>
          <w:b/>
          <w:bCs/>
          <w:i/>
          <w:highlight w:val="none"/>
          <w:lang w:val="pt-BR" w:bidi="pt-BR"/>
        </w:rPr>
        <w:t xml:space="preserve">Tài sản 01 + 02</w:t>
      </w:r>
      <w:r>
        <w:rPr>
          <w:b/>
          <w:bCs/>
          <w:i/>
        </w:rPr>
      </w:r>
      <w:r>
        <w:rPr>
          <w:b/>
          <w:bCs/>
          <w:i/>
        </w:rPr>
      </w:r>
    </w:p>
    <w:tbl>
      <w:tblPr>
        <w:tblStyle w:val="103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28866" cy="1971649"/>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002146" name=""/>
                              <pic:cNvPicPr>
                                <a:picLocks noChangeAspect="1"/>
                              </pic:cNvPicPr>
                              <pic:nvPr/>
                            </pic:nvPicPr>
                            <pic:blipFill rotWithShape="1">
                              <a:blip r:embed="rId18"/>
                              <a:stretch/>
                            </pic:blipFill>
                            <pic:spPr bwMode="auto">
                              <a:xfrm flipH="0" flipV="0">
                                <a:off x="0" y="0"/>
                                <a:ext cx="2628865" cy="19716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7.00pt;height:155.25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17660" cy="211324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106519" name=""/>
                              <pic:cNvPicPr>
                                <a:picLocks noChangeAspect="1"/>
                              </pic:cNvPicPr>
                              <pic:nvPr/>
                            </pic:nvPicPr>
                            <pic:blipFill rotWithShape="1">
                              <a:blip r:embed="rId19"/>
                              <a:stretch/>
                            </pic:blipFill>
                            <pic:spPr bwMode="auto">
                              <a:xfrm flipH="0" flipV="0">
                                <a:off x="0" y="0"/>
                                <a:ext cx="2817659" cy="211324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1.86pt;height:166.4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22585" cy="2041939"/>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334711" name=""/>
                              <pic:cNvPicPr>
                                <a:picLocks noChangeAspect="1"/>
                              </pic:cNvPicPr>
                              <pic:nvPr/>
                            </pic:nvPicPr>
                            <pic:blipFill rotWithShape="1">
                              <a:blip r:embed="rId20"/>
                              <a:stretch/>
                            </pic:blipFill>
                            <pic:spPr bwMode="auto">
                              <a:xfrm flipH="0" flipV="0">
                                <a:off x="0" y="0"/>
                                <a:ext cx="2722584" cy="20419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4.38pt;height:160.78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30325" cy="2122744"/>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481636" name=""/>
                              <pic:cNvPicPr>
                                <a:picLocks noChangeAspect="1"/>
                              </pic:cNvPicPr>
                              <pic:nvPr/>
                            </pic:nvPicPr>
                            <pic:blipFill rotWithShape="1">
                              <a:blip r:embed="rId21"/>
                              <a:stretch/>
                            </pic:blipFill>
                            <pic:spPr bwMode="auto">
                              <a:xfrm flipH="0" flipV="0">
                                <a:off x="0" y="0"/>
                                <a:ext cx="2830325" cy="21227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2.86pt;height:167.15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15983" cy="2036987"/>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74667" name=""/>
                              <pic:cNvPicPr>
                                <a:picLocks noChangeAspect="1"/>
                              </pic:cNvPicPr>
                              <pic:nvPr/>
                            </pic:nvPicPr>
                            <pic:blipFill rotWithShape="1">
                              <a:blip r:embed="rId22"/>
                              <a:stretch/>
                            </pic:blipFill>
                            <pic:spPr bwMode="auto">
                              <a:xfrm flipH="0" flipV="0">
                                <a:off x="0" y="0"/>
                                <a:ext cx="2715982" cy="203698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3.86pt;height:160.39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31447" cy="212358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66533" name=""/>
                              <pic:cNvPicPr>
                                <a:picLocks noChangeAspect="1"/>
                              </pic:cNvPicPr>
                              <pic:nvPr/>
                            </pic:nvPicPr>
                            <pic:blipFill rotWithShape="1">
                              <a:blip r:embed="rId23"/>
                              <a:stretch/>
                            </pic:blipFill>
                            <pic:spPr bwMode="auto">
                              <a:xfrm flipH="0" flipV="0">
                                <a:off x="0" y="0"/>
                                <a:ext cx="2831447" cy="21235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2.95pt;height:167.21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b/>
          <w:bCs/>
          <w:highlight w:val="none"/>
        </w:rPr>
      </w:pPr>
      <w:r>
        <w:rPr>
          <w:b/>
          <w:highlight w:val="none"/>
        </w:rPr>
        <w:t xml:space="preserve">HỒ SƠ PHÁP LÝ</w:t>
      </w:r>
      <w:r>
        <w:rPr>
          <w:b/>
          <w:bCs/>
          <w:highlight w:val="none"/>
        </w:rPr>
      </w:r>
      <w:r>
        <w:rPr>
          <w:b/>
          <w:bCs/>
          <w:highlight w:val="none"/>
        </w:rPr>
      </w:r>
    </w:p>
    <w:p>
      <w:pPr>
        <w:pBdr/>
        <w:spacing w:after="200" w:line="276" w:lineRule="auto"/>
        <w:ind/>
        <w:jc w:val="left"/>
        <w:rPr>
          <w:b/>
          <w:bCs/>
          <w:highlight w:val="none"/>
          <w:lang w:val="pt-BR" w:bidi="pt-BR"/>
        </w:rPr>
      </w:pPr>
      <w:r>
        <w:rPr>
          <w:b/>
          <w:highlight w:val="none"/>
          <w:lang w:val="pt-BR" w:bidi="pt-BR"/>
        </w:rPr>
      </w:r>
      <w:r>
        <mc:AlternateContent>
          <mc:Choice Requires="wpg">
            <w:drawing>
              <wp:inline xmlns:wp="http://schemas.openxmlformats.org/drawingml/2006/wordprocessingDrawing" distT="0" distB="0" distL="0" distR="0">
                <wp:extent cx="2848315" cy="4047131"/>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18529" name=""/>
                        <pic:cNvPicPr>
                          <a:picLocks noChangeAspect="1"/>
                        </pic:cNvPicPr>
                        <pic:nvPr/>
                      </pic:nvPicPr>
                      <pic:blipFill rotWithShape="1">
                        <a:blip r:embed="rId24"/>
                        <a:stretch/>
                      </pic:blipFill>
                      <pic:spPr bwMode="auto">
                        <a:xfrm flipH="0" flipV="0">
                          <a:off x="0" y="0"/>
                          <a:ext cx="2848314" cy="404713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24.28pt;height:318.67pt;mso-wrap-distance-left:0.00pt;mso-wrap-distance-top:0.00pt;mso-wrap-distance-right:0.00pt;mso-wrap-distance-bottom:0.00pt;z-index:1;" stroked="false">
                <v:imagedata r:id="rId24" o:title=""/>
                <o:lock v:ext="edit" rotation="t"/>
              </v:shape>
            </w:pict>
          </mc:Fallback>
        </mc:AlternateContent>
      </w:r>
      <w:r>
        <mc:AlternateContent>
          <mc:Choice Requires="wpg">
            <w:drawing>
              <wp:inline xmlns:wp="http://schemas.openxmlformats.org/drawingml/2006/wordprocessingDrawing" distT="0" distB="0" distL="0" distR="0">
                <wp:extent cx="2771775" cy="3955919"/>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896131" name=""/>
                        <pic:cNvPicPr>
                          <a:picLocks noChangeAspect="1"/>
                        </pic:cNvPicPr>
                        <pic:nvPr/>
                      </pic:nvPicPr>
                      <pic:blipFill rotWithShape="1">
                        <a:blip r:embed="rId25"/>
                        <a:stretch/>
                      </pic:blipFill>
                      <pic:spPr bwMode="auto">
                        <a:xfrm flipH="0" flipV="0">
                          <a:off x="0" y="0"/>
                          <a:ext cx="2771775" cy="395591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18.25pt;height:311.49pt;mso-wrap-distance-left:0.00pt;mso-wrap-distance-top:0.00pt;mso-wrap-distance-right:0.00pt;mso-wrap-distance-bottom:0.00pt;z-index:1;" stroked="false">
                <v:imagedata r:id="rId25" o:title=""/>
                <o:lock v:ext="edit" rotation="t"/>
              </v:shape>
            </w:pict>
          </mc:Fallback>
        </mc:AlternateContent>
      </w:r>
      <w:r>
        <w:rPr>
          <w:b/>
          <w:bCs/>
          <w:highlight w:val="none"/>
          <w:lang w:val="pt-BR" w:bidi="pt-BR"/>
        </w:rPr>
      </w:r>
      <w:r>
        <w:rPr>
          <w:b/>
          <w:bCs/>
          <w:highlight w:val="none"/>
          <w:lang w:val="pt-BR" w:bidi="pt-BR"/>
        </w:rPr>
      </w:r>
    </w:p>
    <w:p>
      <w:pPr>
        <w:pBdr/>
        <w:spacing w:after="200" w:line="276" w:lineRule="auto"/>
        <w:ind/>
        <w:jc w:val="left"/>
        <w:rPr>
          <w:b/>
          <w:bCs/>
          <w:highlight w:val="none"/>
          <w:lang w:val="pt-BR" w:bidi="pt-BR"/>
        </w:rPr>
      </w:pPr>
      <w:r>
        <w:rPr>
          <w:b/>
          <w:highlight w:val="none"/>
          <w:lang w:val="pt-BR" w:bidi="pt-BR"/>
        </w:rPr>
      </w:r>
      <w:r>
        <mc:AlternateContent>
          <mc:Choice Requires="wpg">
            <w:drawing>
              <wp:inline xmlns:wp="http://schemas.openxmlformats.org/drawingml/2006/wordprocessingDrawing" distT="0" distB="0" distL="0" distR="0">
                <wp:extent cx="2781640" cy="3910864"/>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904875" name=""/>
                        <pic:cNvPicPr>
                          <a:picLocks noChangeAspect="1"/>
                        </pic:cNvPicPr>
                        <pic:nvPr/>
                      </pic:nvPicPr>
                      <pic:blipFill rotWithShape="1">
                        <a:blip r:embed="rId26"/>
                        <a:stretch/>
                      </pic:blipFill>
                      <pic:spPr bwMode="auto">
                        <a:xfrm flipH="0" flipV="0">
                          <a:off x="0" y="0"/>
                          <a:ext cx="2781639" cy="391086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19.03pt;height:307.94pt;mso-wrap-distance-left:0.00pt;mso-wrap-distance-top:0.00pt;mso-wrap-distance-right:0.00pt;mso-wrap-distance-bottom:0.00pt;z-index:1;" stroked="false">
                <v:imagedata r:id="rId26" o:title=""/>
                <o:lock v:ext="edit" rotation="t"/>
              </v:shape>
            </w:pict>
          </mc:Fallback>
        </mc:AlternateContent>
      </w:r>
      <w:r>
        <w:rPr>
          <w:b/>
          <w:highlight w:val="none"/>
          <w:lang w:val="pt-BR" w:bidi="pt-BR"/>
        </w:rPr>
        <w:t xml:space="preserve">  </w:t>
      </w:r>
      <w:r>
        <mc:AlternateContent>
          <mc:Choice Requires="wpg">
            <w:drawing>
              <wp:inline xmlns:wp="http://schemas.openxmlformats.org/drawingml/2006/wordprocessingDrawing" distT="0" distB="0" distL="0" distR="0">
                <wp:extent cx="2714628" cy="3836732"/>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66322" name=""/>
                        <pic:cNvPicPr>
                          <a:picLocks noChangeAspect="1"/>
                        </pic:cNvPicPr>
                        <pic:nvPr/>
                      </pic:nvPicPr>
                      <pic:blipFill rotWithShape="1">
                        <a:blip r:embed="rId27"/>
                        <a:stretch/>
                      </pic:blipFill>
                      <pic:spPr bwMode="auto">
                        <a:xfrm flipH="0" flipV="0">
                          <a:off x="0" y="0"/>
                          <a:ext cx="2714627" cy="38367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13.75pt;height:302.10pt;mso-wrap-distance-left:0.00pt;mso-wrap-distance-top:0.00pt;mso-wrap-distance-right:0.00pt;mso-wrap-distance-bottom:0.00pt;z-index:1;" stroked="false">
                <v:imagedata r:id="rId27" o:title=""/>
                <o:lock v:ext="edit" rotation="t"/>
              </v:shape>
            </w:pict>
          </mc:Fallback>
        </mc:AlternateContent>
      </w:r>
      <w:r>
        <w:rPr>
          <w:b/>
          <w:bCs/>
          <w:highlight w:val="none"/>
          <w:lang w:val="pt-BR" w:bidi="pt-BR"/>
        </w:rPr>
      </w:r>
      <w:r>
        <w:rPr>
          <w:b/>
          <w:bCs/>
          <w:highlight w:val="none"/>
          <w:lang w:val="pt-BR" w:bidi="pt-BR"/>
        </w:rPr>
      </w:r>
    </w:p>
    <w:p>
      <w:pPr>
        <w:pBdr/>
        <w:spacing w:after="200" w:line="276" w:lineRule="auto"/>
        <w:ind/>
        <w:jc w:val="center"/>
        <w:rPr>
          <w:bCs/>
          <w:i/>
          <w:lang w:val="pt-BR"/>
        </w:rPr>
      </w:pPr>
      <w:r>
        <w:rPr>
          <w:b/>
          <w:highlight w:val="none"/>
          <w:lang w:val="pt-BR" w:bidi="pt-BR"/>
        </w:rPr>
      </w:r>
      <w:r>
        <w:rPr>
          <w:bCs/>
          <w:i/>
          <w:lang w:val="pt-BR"/>
        </w:rPr>
      </w:r>
      <w:r>
        <w:rPr>
          <w:bCs/>
          <w:i/>
          <w:lang w:val="pt-BR"/>
        </w:rPr>
      </w:r>
    </w:p>
    <w:p>
      <w:pPr>
        <w:pBdr/>
        <w:spacing w:after="200" w:line="276" w:lineRule="auto"/>
        <w:ind/>
        <w:jc w:val="center"/>
        <w:rPr>
          <w:b/>
          <w:bCs/>
          <w:highlight w:val="none"/>
        </w:rPr>
      </w:pPr>
      <w:r>
        <w:rPr>
          <w:b/>
          <w:highlight w:val="none"/>
        </w:rPr>
      </w:r>
      <w:r>
        <w:rPr>
          <w:b/>
          <w:bCs/>
          <w:highlight w:val="none"/>
        </w:rPr>
      </w:r>
      <w:r>
        <w:rPr>
          <w:b/>
          <w:bCs/>
          <w:highlight w:val="none"/>
        </w:rP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b/>
          <w:bCs/>
          <w:highlight w:val="none"/>
        </w:rPr>
      </w:r>
      <w:r>
        <w:rPr>
          <w:b/>
          <w:bCs/>
          <w:highlight w:val="none"/>
        </w:rPr>
      </w:r>
    </w:p>
    <w:p>
      <w:pPr>
        <w:pBdr/>
        <w:spacing/>
        <w:ind/>
        <w:jc w:val="center"/>
        <w:rPr>
          <w:i/>
          <w:lang w:val="pt-BR"/>
        </w:rPr>
      </w:pPr>
      <w:r>
        <w:rPr>
          <w:i/>
          <w:lang w:val="pt-BR"/>
        </w:rPr>
        <w:t xml:space="preserve">(Kèm theo Báo cáo thẩm định số </w:t>
      </w:r>
      <w:r>
        <w:rPr>
          <w:i/>
        </w:rPr>
        <w:t xml:space="preserve">275/2026/0825/VFI-BC.44.A</w:t>
      </w:r>
      <w:r>
        <w:rPr>
          <w:i/>
          <w:lang w:val="pt-BR"/>
        </w:rPr>
        <w:t xml:space="preserve"> </w:t>
      </w:r>
      <w:r>
        <w:rPr>
          <w:i/>
          <w:lang w:val="pt-BR"/>
        </w:rPr>
        <w:t xml:space="preserve">ngày 01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0966528098</w:t>
            </w:r>
            <w:r>
              <w:rPr>
                <w:sz w:val="22"/>
                <w:szCs w:val="22"/>
              </w:rPr>
              <w:t xml:space="preserve"> </w:t>
            </w:r>
            <w:r>
              <w:rPr>
                <w:sz w:val="22"/>
                <w:szCs w:val="22"/>
              </w:rPr>
              <w:br/>
              <w:t xml:space="preserve">(Phương Linh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7.345.500.000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6.610.950.000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pPr>
            <w:r>
              <w:rPr>
                <w:color w:val="000000"/>
              </w:rPr>
              <w:t xml:space="preserve">Khu 4 phường Thành Đông thành phố Hải Phòng</w:t>
            </w:r>
            <w:r>
              <w:rPr>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125,4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9,54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206840" cy="2555760"/>
                      <wp:effectExtent l="0" t="0" r="0" b="0"/>
                      <wp:docPr id="17" name=""/>
                      <wp:cNvGraphicFramePr/>
                      <a:graphic xmlns:a="http://schemas.openxmlformats.org/drawingml/2006/main">
                        <a:graphicData uri="http://schemas.openxmlformats.org/drawingml/2006/picture">
                          <pic:pic xmlns:pic="http://schemas.openxmlformats.org/drawingml/2006/picture">
                            <pic:nvPicPr>
                              <pic:cNvPr id="1447066217" name="" descr=""/>
                              <pic:cNvPicPr/>
                              <pic:nvPr/>
                            </pic:nvPicPr>
                            <pic:blipFill rotWithShape="1">
                              <a:blip r:embed="rId28"/>
                              <a:stretch/>
                            </pic:blipFill>
                            <pic:spPr bwMode="auto">
                              <a:xfrm flipH="0" flipV="0">
                                <a:off x="0" y="0"/>
                                <a:ext cx="1206839" cy="25557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95.03pt;height:201.24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939933" cy="2555760"/>
                      <wp:effectExtent l="0" t="0" r="0" b="0"/>
                      <wp:docPr id="18" name=""/>
                      <wp:cNvGraphicFramePr/>
                      <a:graphic xmlns:a="http://schemas.openxmlformats.org/drawingml/2006/main">
                        <a:graphicData uri="http://schemas.openxmlformats.org/drawingml/2006/picture">
                          <pic:pic xmlns:pic="http://schemas.openxmlformats.org/drawingml/2006/picture">
                            <pic:nvPicPr>
                              <pic:cNvPr id="249361171" name="" descr=""/>
                              <pic:cNvPicPr/>
                              <pic:nvPr/>
                            </pic:nvPicPr>
                            <pic:blipFill rotWithShape="1">
                              <a:blip r:embed="rId29"/>
                              <a:stretch/>
                            </pic:blipFill>
                            <pic:spPr bwMode="auto">
                              <a:xfrm flipH="0" flipV="0">
                                <a:off x="0" y="0"/>
                                <a:ext cx="1939932" cy="25557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52.75pt;height:201.24pt;mso-wrap-distance-left:0.00pt;mso-wrap-distance-top:0.00pt;mso-wrap-distance-right:0.00pt;mso-wrap-distance-bottom:0.00pt;z-index:1;" stroked="false">
                      <v:imagedata r:id="rId29"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1952625" cy="2448350"/>
                      <wp:effectExtent l="0" t="0" r="0" b="0"/>
                      <wp:docPr id="19" name=""/>
                      <wp:cNvGraphicFramePr/>
                      <a:graphic xmlns:a="http://schemas.openxmlformats.org/drawingml/2006/main">
                        <a:graphicData uri="http://schemas.openxmlformats.org/drawingml/2006/picture">
                          <pic:pic xmlns:pic="http://schemas.openxmlformats.org/drawingml/2006/picture">
                            <pic:nvPicPr>
                              <pic:cNvPr id="770867987" name="" descr=""/>
                              <pic:cNvPicPr/>
                              <pic:nvPr/>
                            </pic:nvPicPr>
                            <pic:blipFill rotWithShape="1">
                              <a:blip r:embed="rId30"/>
                              <a:stretch/>
                            </pic:blipFill>
                            <pic:spPr bwMode="auto">
                              <a:xfrm flipH="0" flipV="0">
                                <a:off x="0" y="0"/>
                                <a:ext cx="1952624" cy="244834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53.75pt;height:192.78pt;mso-wrap-distance-left:0.00pt;mso-wrap-distance-top:0.00pt;mso-wrap-distance-right:0.00pt;mso-wrap-distance-bottom:0.00pt;z-index:1;" stroked="false">
                      <v:imagedata r:id="rId30"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0974460569</w:t>
            </w:r>
            <w:r>
              <w:rPr>
                <w:sz w:val="22"/>
                <w:szCs w:val="22"/>
              </w:rPr>
              <w:t xml:space="preserve"> </w:t>
            </w:r>
            <w:r>
              <w:rPr>
                <w:sz w:val="22"/>
                <w:szCs w:val="22"/>
              </w:rPr>
              <w:br/>
              <w:t xml:space="preserve">(Mạnh Thắng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4.810.000.000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4.329.000.000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pPr>
            <w:r>
              <w:rPr>
                <w:color w:val="000000"/>
              </w:rPr>
              <w:t xml:space="preserve">Khu 4 phường Thành Đông thành phố Hải Phòng</w:t>
            </w:r>
            <w:r>
              <w:rPr>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92,5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461297"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1591140778" name="" descr=""/>
                              <pic:cNvPicPr/>
                              <pic:nvPr/>
                            </pic:nvPicPr>
                            <pic:blipFill rotWithShape="1">
                              <a:blip r:embed="rId31"/>
                              <a:stretch/>
                            </pic:blipFill>
                            <pic:spPr bwMode="auto">
                              <a:xfrm>
                                <a:off x="0" y="0"/>
                                <a:ext cx="1461296"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15.06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61297"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1157694932" name="" descr=""/>
                              <pic:cNvPicPr/>
                              <pic:nvPr/>
                            </pic:nvPicPr>
                            <pic:blipFill rotWithShape="1">
                              <a:blip r:embed="rId32"/>
                              <a:stretch/>
                            </pic:blipFill>
                            <pic:spPr bwMode="auto">
                              <a:xfrm>
                                <a:off x="0" y="0"/>
                                <a:ext cx="1461296"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15.06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https://www.facebook.com/share/p/1D5SBudHZB/</w:t>
            </w:r>
            <w:r>
              <w:rPr>
                <w:color w:val="000000" w:themeColor="text1"/>
                <w:sz w:val="22"/>
                <w:szCs w:val="22"/>
              </w:rPr>
              <w:br/>
            </w:r>
            <w:r>
              <w:rPr>
                <w:sz w:val="22"/>
                <w:szCs w:val="22"/>
              </w:rPr>
              <w:t xml:space="preserve">SĐT: </w:t>
            </w:r>
            <w:r>
              <w:rPr>
                <w:color w:val="000000" w:themeColor="text1"/>
                <w:sz w:val="22"/>
                <w:szCs w:val="22"/>
              </w:rPr>
              <w:t xml:space="preserve">0987536788</w:t>
            </w:r>
            <w:r>
              <w:rPr>
                <w:sz w:val="22"/>
                <w:szCs w:val="22"/>
              </w:rPr>
              <w:t xml:space="preserve"> </w:t>
            </w:r>
            <w:r>
              <w:rPr>
                <w:sz w:val="22"/>
                <w:szCs w:val="22"/>
              </w:rPr>
              <w:br/>
              <w:t xml:space="preserve">(Đức Cảnh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7.950.000.000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7.155.000.000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33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pPr>
            <w:r>
              <w:rPr>
                <w:color w:val="000000"/>
              </w:rPr>
              <w:t xml:space="preserve">Khu 4 phường Thành Đông thành phố Hải Phòng</w:t>
            </w:r>
            <w:r>
              <w:rPr>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144,8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color w:val="000000"/>
                <w:sz w:val="22"/>
                <w:szCs w:val="22"/>
              </w:rPr>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702265" cy="2306803"/>
                      <wp:effectExtent l="0" t="0" r="0" b="0"/>
                      <wp:docPr id="22" name=""/>
                      <wp:cNvGraphicFramePr/>
                      <a:graphic xmlns:a="http://schemas.openxmlformats.org/drawingml/2006/main">
                        <a:graphicData uri="http://schemas.openxmlformats.org/drawingml/2006/picture">
                          <pic:pic xmlns:pic="http://schemas.openxmlformats.org/drawingml/2006/picture">
                            <pic:nvPicPr>
                              <pic:cNvPr id="405006620" name="" descr=""/>
                              <pic:cNvPicPr/>
                              <pic:nvPr/>
                            </pic:nvPicPr>
                            <pic:blipFill rotWithShape="1">
                              <a:blip r:embed="rId33"/>
                              <a:stretch/>
                            </pic:blipFill>
                            <pic:spPr bwMode="auto">
                              <a:xfrm flipH="0" flipV="0">
                                <a:off x="0" y="0"/>
                                <a:ext cx="2702264" cy="230680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12.78pt;height:181.64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902165" cy="2819940"/>
                      <wp:effectExtent l="0" t="0" r="0" b="0"/>
                      <wp:docPr id="23" name=""/>
                      <wp:cNvGraphicFramePr/>
                      <a:graphic xmlns:a="http://schemas.openxmlformats.org/drawingml/2006/main">
                        <a:graphicData uri="http://schemas.openxmlformats.org/drawingml/2006/picture">
                          <pic:pic xmlns:pic="http://schemas.openxmlformats.org/drawingml/2006/picture">
                            <pic:nvPicPr>
                              <pic:cNvPr id="293224382" name="" descr=""/>
                              <pic:cNvPicPr/>
                              <pic:nvPr/>
                            </pic:nvPicPr>
                            <pic:blipFill rotWithShape="1">
                              <a:blip r:embed="rId34"/>
                              <a:stretch/>
                            </pic:blipFill>
                            <pic:spPr bwMode="auto">
                              <a:xfrm flipH="0" flipV="0">
                                <a:off x="0" y="0"/>
                                <a:ext cx="1902164" cy="281993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49.78pt;height:222.04pt;mso-wrap-distance-left:0.00pt;mso-wrap-distance-top:0.00pt;mso-wrap-distance-right:0.00pt;mso-wrap-distance-bottom:0.00pt;z-index:1;" stroked="false">
                      <v:imagedata r:id="rId34"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Lê Đình Duy</w:t>
            </w:r>
            <w:r>
              <w:rPr>
                <w:highlight w:val="none"/>
              </w:rPr>
            </w:r>
            <w:r>
              <w:rPr>
                <w:highlight w:val="none"/>
              </w:rPr>
            </w:r>
          </w:p>
        </w:tc>
      </w:tr>
    </w:tbl>
    <w:p>
      <w:pPr>
        <w:pBdr/>
        <w:spacing w:after="200" w:line="276" w:lineRule="auto"/>
        <w:ind/>
        <w:jc w:val="center"/>
        <w:rPr>
          <w:b/>
          <w:bCs/>
          <w:iCs/>
          <w:highlight w:val="none"/>
          <w:lang w:val="pt-BR"/>
        </w:rPr>
      </w:pPr>
      <w:r>
        <w:rPr>
          <w:b/>
          <w:bCs/>
          <w:iCs/>
          <w:lang w:val="pt-BR"/>
        </w:rPr>
        <w:t xml:space="preserve">PHIẾU KHẢO SÁT</w:t>
      </w:r>
      <w:r>
        <w:rPr>
          <w:b/>
          <w:bCs/>
          <w:iCs/>
          <w:highlight w:val="none"/>
          <w:lang w:val="pt-BR"/>
        </w:rPr>
      </w:r>
      <w:r>
        <w:rPr>
          <w:b/>
          <w:bCs/>
          <w:iCs/>
          <w:highlight w:val="none"/>
          <w:lang w:val="pt-BR"/>
        </w:rPr>
      </w:r>
    </w:p>
    <w:p>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6001090" cy="8001453"/>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951682" name=""/>
                        <pic:cNvPicPr>
                          <a:picLocks noChangeAspect="1"/>
                        </pic:cNvPicPr>
                        <pic:nvPr/>
                      </pic:nvPicPr>
                      <pic:blipFill rotWithShape="1">
                        <a:blip r:embed="rId35"/>
                        <a:stretch/>
                      </pic:blipFill>
                      <pic:spPr bwMode="auto">
                        <a:xfrm flipH="0" flipV="0">
                          <a:off x="0" y="0"/>
                          <a:ext cx="6001089" cy="800145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72.53pt;height:630.04pt;mso-wrap-distance-left:0.00pt;mso-wrap-distance-top:0.00pt;mso-wrap-distance-right:0.00pt;mso-wrap-distance-bottom:0.00pt;z-index:1;" stroked="false">
                <v:imagedata r:id="rId35"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02C9FF83"/>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09E25C3C"/>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9">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0">
    <w:nsid w:val="62289073"/>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1">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7">
    <w:name w:val="Table Grid Light"/>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1"/>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2"/>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3"/>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4"/>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5"/>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w:basedOn w:val="101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w:basedOn w:val="101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1"/>
    <w:basedOn w:val="101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2"/>
    <w:basedOn w:val="101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3"/>
    <w:basedOn w:val="101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4"/>
    <w:basedOn w:val="101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5"/>
    <w:basedOn w:val="101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6"/>
    <w:basedOn w:val="101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1"/>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2"/>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3"/>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Accent 4"/>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5"/>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6"/>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9">
    <w:name w:val="Grid Table 6 Colorful - Accent 1"/>
    <w:basedOn w:val="101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0">
    <w:name w:val="Grid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1">
    <w:name w:val="Grid Table 6 Colorful - Accent 3"/>
    <w:basedOn w:val="101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2">
    <w:name w:val="Grid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3">
    <w:name w:val="Grid Table 6 Colorful - Accent 5"/>
    <w:basedOn w:val="101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6 Colorful - Accent 6"/>
    <w:basedOn w:val="101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7 Colorful"/>
    <w:basedOn w:val="101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1"/>
    <w:basedOn w:val="101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5"/>
    <w:basedOn w:val="101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6"/>
    <w:basedOn w:val="101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1"/>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2"/>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3"/>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4"/>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5"/>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6"/>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w:basedOn w:val="101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1"/>
    <w:basedOn w:val="101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2"/>
    <w:basedOn w:val="101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3"/>
    <w:basedOn w:val="101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4"/>
    <w:basedOn w:val="101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5"/>
    <w:basedOn w:val="101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6"/>
    <w:basedOn w:val="101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1"/>
    <w:basedOn w:val="101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3"/>
    <w:basedOn w:val="101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5"/>
    <w:basedOn w:val="101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6"/>
    <w:basedOn w:val="101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1"/>
    <w:basedOn w:val="101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2"/>
    <w:basedOn w:val="101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3"/>
    <w:basedOn w:val="101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4"/>
    <w:basedOn w:val="101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5"/>
    <w:basedOn w:val="101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6"/>
    <w:basedOn w:val="101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5 Dark"/>
    <w:basedOn w:val="101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1"/>
    <w:basedOn w:val="101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2"/>
    <w:basedOn w:val="101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3"/>
    <w:basedOn w:val="101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4"/>
    <w:basedOn w:val="101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5"/>
    <w:basedOn w:val="101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6"/>
    <w:basedOn w:val="101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1"/>
    <w:basedOn w:val="101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3"/>
    <w:basedOn w:val="101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5"/>
    <w:basedOn w:val="101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6"/>
    <w:basedOn w:val="101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7 Colorful"/>
    <w:basedOn w:val="101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5">
    <w:name w:val="List Table 7 Colorful - Accent 1"/>
    <w:basedOn w:val="101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6">
    <w:name w:val="List Table 7 Colorful - Accent 2"/>
    <w:basedOn w:val="101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7">
    <w:name w:val="List Table 7 Colorful - Accent 3"/>
    <w:basedOn w:val="101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8">
    <w:name w:val="List Table 7 Colorful - Accent 4"/>
    <w:basedOn w:val="101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9">
    <w:name w:val="List Table 7 Colorful - Accent 5"/>
    <w:basedOn w:val="101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0">
    <w:name w:val="List Table 7 Colorful - Accent 6"/>
    <w:basedOn w:val="101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1">
    <w:name w:val="Lined - Accent"/>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1"/>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2"/>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3"/>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4"/>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5"/>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6"/>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w:basedOn w:val="101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1"/>
    <w:basedOn w:val="101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2"/>
    <w:basedOn w:val="101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3"/>
    <w:basedOn w:val="101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4"/>
    <w:basedOn w:val="101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5"/>
    <w:basedOn w:val="101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6"/>
    <w:basedOn w:val="101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w:basedOn w:val="101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2">
    <w:name w:val="Heading 5"/>
    <w:basedOn w:val="1013"/>
    <w:next w:val="1013"/>
    <w:link w:val="97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3">
    <w:name w:val="Heading 6"/>
    <w:basedOn w:val="1013"/>
    <w:next w:val="1013"/>
    <w:link w:val="97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4">
    <w:name w:val="Heading 7"/>
    <w:basedOn w:val="1013"/>
    <w:next w:val="1013"/>
    <w:link w:val="97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5">
    <w:name w:val="Heading 8"/>
    <w:basedOn w:val="1013"/>
    <w:next w:val="1013"/>
    <w:link w:val="98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6">
    <w:name w:val="Heading 9"/>
    <w:basedOn w:val="1013"/>
    <w:next w:val="1013"/>
    <w:link w:val="98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7">
    <w:name w:val="Heading 5 Char"/>
    <w:basedOn w:val="1018"/>
    <w:link w:val="972"/>
    <w:uiPriority w:val="9"/>
    <w:pPr>
      <w:pBdr/>
      <w:spacing/>
      <w:ind/>
    </w:pPr>
    <w:rPr>
      <w:rFonts w:ascii="Arial" w:hAnsi="Arial" w:eastAsia="Arial" w:cs="Arial"/>
      <w:color w:val="0f4761" w:themeColor="accent1" w:themeShade="BF"/>
    </w:rPr>
  </w:style>
  <w:style w:type="character" w:styleId="978">
    <w:name w:val="Heading 6 Char"/>
    <w:basedOn w:val="1018"/>
    <w:link w:val="973"/>
    <w:uiPriority w:val="9"/>
    <w:pPr>
      <w:pBdr/>
      <w:spacing/>
      <w:ind/>
    </w:pPr>
    <w:rPr>
      <w:rFonts w:ascii="Arial" w:hAnsi="Arial" w:eastAsia="Arial" w:cs="Arial"/>
      <w:i/>
      <w:iCs/>
      <w:color w:val="595959" w:themeColor="text1" w:themeTint="A6"/>
    </w:rPr>
  </w:style>
  <w:style w:type="character" w:styleId="979">
    <w:name w:val="Heading 7 Char"/>
    <w:basedOn w:val="1018"/>
    <w:link w:val="974"/>
    <w:uiPriority w:val="9"/>
    <w:pPr>
      <w:pBdr/>
      <w:spacing/>
      <w:ind/>
    </w:pPr>
    <w:rPr>
      <w:rFonts w:ascii="Arial" w:hAnsi="Arial" w:eastAsia="Arial" w:cs="Arial"/>
      <w:color w:val="595959" w:themeColor="text1" w:themeTint="A6"/>
    </w:rPr>
  </w:style>
  <w:style w:type="character" w:styleId="980">
    <w:name w:val="Heading 8 Char"/>
    <w:basedOn w:val="1018"/>
    <w:link w:val="975"/>
    <w:uiPriority w:val="9"/>
    <w:pPr>
      <w:pBdr/>
      <w:spacing/>
      <w:ind/>
    </w:pPr>
    <w:rPr>
      <w:rFonts w:ascii="Arial" w:hAnsi="Arial" w:eastAsia="Arial" w:cs="Arial"/>
      <w:i/>
      <w:iCs/>
      <w:color w:val="272727" w:themeColor="text1" w:themeTint="D8"/>
    </w:rPr>
  </w:style>
  <w:style w:type="character" w:styleId="981">
    <w:name w:val="Heading 9 Char"/>
    <w:basedOn w:val="1018"/>
    <w:link w:val="976"/>
    <w:uiPriority w:val="9"/>
    <w:pPr>
      <w:pBdr/>
      <w:spacing/>
      <w:ind/>
    </w:pPr>
    <w:rPr>
      <w:rFonts w:ascii="Arial" w:hAnsi="Arial" w:eastAsia="Arial" w:cs="Arial"/>
      <w:i/>
      <w:iCs/>
      <w:color w:val="272727" w:themeColor="text1" w:themeTint="D8"/>
    </w:rPr>
  </w:style>
  <w:style w:type="paragraph" w:styleId="982">
    <w:name w:val="Subtitle"/>
    <w:basedOn w:val="1013"/>
    <w:next w:val="1013"/>
    <w:link w:val="983"/>
    <w:uiPriority w:val="11"/>
    <w:qFormat/>
    <w:pPr>
      <w:numPr>
        <w:ilvl w:val="1"/>
      </w:numPr>
      <w:pBdr/>
      <w:spacing/>
      <w:ind/>
    </w:pPr>
    <w:rPr>
      <w:color w:val="595959" w:themeColor="text1" w:themeTint="A6"/>
      <w:spacing w:val="15"/>
      <w:sz w:val="28"/>
      <w:szCs w:val="28"/>
    </w:rPr>
  </w:style>
  <w:style w:type="character" w:styleId="983">
    <w:name w:val="Subtitle Char"/>
    <w:basedOn w:val="1018"/>
    <w:link w:val="982"/>
    <w:uiPriority w:val="11"/>
    <w:pPr>
      <w:pBdr/>
      <w:spacing/>
      <w:ind/>
    </w:pPr>
    <w:rPr>
      <w:color w:val="595959" w:themeColor="text1" w:themeTint="A6"/>
      <w:spacing w:val="15"/>
      <w:sz w:val="28"/>
      <w:szCs w:val="28"/>
    </w:rPr>
  </w:style>
  <w:style w:type="paragraph" w:styleId="984">
    <w:name w:val="Quote"/>
    <w:basedOn w:val="1013"/>
    <w:next w:val="1013"/>
    <w:link w:val="985"/>
    <w:uiPriority w:val="29"/>
    <w:qFormat/>
    <w:pPr>
      <w:pBdr/>
      <w:spacing w:before="160"/>
      <w:ind/>
      <w:jc w:val="center"/>
    </w:pPr>
    <w:rPr>
      <w:i/>
      <w:iCs/>
      <w:color w:val="404040" w:themeColor="text1" w:themeTint="BF"/>
    </w:rPr>
  </w:style>
  <w:style w:type="character" w:styleId="985">
    <w:name w:val="Quote Char"/>
    <w:basedOn w:val="1018"/>
    <w:link w:val="984"/>
    <w:uiPriority w:val="29"/>
    <w:pPr>
      <w:pBdr/>
      <w:spacing/>
      <w:ind/>
    </w:pPr>
    <w:rPr>
      <w:i/>
      <w:iCs/>
      <w:color w:val="404040" w:themeColor="text1" w:themeTint="BF"/>
    </w:rPr>
  </w:style>
  <w:style w:type="character" w:styleId="986">
    <w:name w:val="Intense Emphasis"/>
    <w:basedOn w:val="1018"/>
    <w:uiPriority w:val="21"/>
    <w:qFormat/>
    <w:pPr>
      <w:pBdr/>
      <w:spacing/>
      <w:ind/>
    </w:pPr>
    <w:rPr>
      <w:i/>
      <w:iCs/>
      <w:color w:val="0f4761" w:themeColor="accent1" w:themeShade="BF"/>
    </w:rPr>
  </w:style>
  <w:style w:type="paragraph" w:styleId="987">
    <w:name w:val="Intense Quote"/>
    <w:basedOn w:val="1013"/>
    <w:next w:val="1013"/>
    <w:link w:val="98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8">
    <w:name w:val="Intense Quote Char"/>
    <w:basedOn w:val="1018"/>
    <w:link w:val="987"/>
    <w:uiPriority w:val="30"/>
    <w:pPr>
      <w:pBdr/>
      <w:spacing/>
      <w:ind/>
    </w:pPr>
    <w:rPr>
      <w:i/>
      <w:iCs/>
      <w:color w:val="0f4761" w:themeColor="accent1" w:themeShade="BF"/>
    </w:rPr>
  </w:style>
  <w:style w:type="character" w:styleId="989">
    <w:name w:val="Intense Reference"/>
    <w:basedOn w:val="1018"/>
    <w:uiPriority w:val="32"/>
    <w:qFormat/>
    <w:pPr>
      <w:pBdr/>
      <w:spacing/>
      <w:ind/>
    </w:pPr>
    <w:rPr>
      <w:b/>
      <w:bCs/>
      <w:smallCaps/>
      <w:color w:val="0f4761" w:themeColor="accent1" w:themeShade="BF"/>
      <w:spacing w:val="5"/>
    </w:rPr>
  </w:style>
  <w:style w:type="paragraph" w:styleId="990">
    <w:name w:val="No Spacing"/>
    <w:basedOn w:val="1013"/>
    <w:uiPriority w:val="1"/>
    <w:qFormat/>
    <w:pPr>
      <w:pBdr/>
      <w:spacing w:after="0" w:line="240" w:lineRule="auto"/>
      <w:ind/>
    </w:pPr>
  </w:style>
  <w:style w:type="character" w:styleId="991">
    <w:name w:val="Subtle Emphasis"/>
    <w:basedOn w:val="1018"/>
    <w:uiPriority w:val="19"/>
    <w:qFormat/>
    <w:pPr>
      <w:pBdr/>
      <w:spacing/>
      <w:ind/>
    </w:pPr>
    <w:rPr>
      <w:i/>
      <w:iCs/>
      <w:color w:val="404040" w:themeColor="text1" w:themeTint="BF"/>
    </w:rPr>
  </w:style>
  <w:style w:type="character" w:styleId="992">
    <w:name w:val="Subtle Reference"/>
    <w:basedOn w:val="1018"/>
    <w:uiPriority w:val="31"/>
    <w:qFormat/>
    <w:pPr>
      <w:pBdr/>
      <w:spacing/>
      <w:ind/>
    </w:pPr>
    <w:rPr>
      <w:smallCaps/>
      <w:color w:val="5a5a5a" w:themeColor="text1" w:themeTint="A5"/>
    </w:rPr>
  </w:style>
  <w:style w:type="character" w:styleId="993">
    <w:name w:val="Book Title"/>
    <w:basedOn w:val="1018"/>
    <w:uiPriority w:val="33"/>
    <w:qFormat/>
    <w:pPr>
      <w:pBdr/>
      <w:spacing/>
      <w:ind/>
    </w:pPr>
    <w:rPr>
      <w:b/>
      <w:bCs/>
      <w:i/>
      <w:iCs/>
      <w:spacing w:val="5"/>
    </w:rPr>
  </w:style>
  <w:style w:type="paragraph" w:styleId="994">
    <w:name w:val="Caption"/>
    <w:basedOn w:val="1013"/>
    <w:next w:val="1013"/>
    <w:uiPriority w:val="35"/>
    <w:unhideWhenUsed/>
    <w:qFormat/>
    <w:pPr>
      <w:pBdr/>
      <w:spacing w:after="200" w:line="240" w:lineRule="auto"/>
      <w:ind/>
    </w:pPr>
    <w:rPr>
      <w:i/>
      <w:iCs/>
      <w:color w:val="0e2841" w:themeColor="text2"/>
      <w:sz w:val="18"/>
      <w:szCs w:val="18"/>
    </w:rPr>
  </w:style>
  <w:style w:type="paragraph" w:styleId="995">
    <w:name w:val="footnote text"/>
    <w:basedOn w:val="1013"/>
    <w:link w:val="996"/>
    <w:uiPriority w:val="99"/>
    <w:semiHidden/>
    <w:unhideWhenUsed/>
    <w:pPr>
      <w:pBdr/>
      <w:spacing w:after="0" w:line="240" w:lineRule="auto"/>
      <w:ind/>
    </w:pPr>
    <w:rPr>
      <w:sz w:val="20"/>
      <w:szCs w:val="20"/>
    </w:rPr>
  </w:style>
  <w:style w:type="character" w:styleId="996">
    <w:name w:val="Footnote Text Char"/>
    <w:basedOn w:val="1018"/>
    <w:link w:val="995"/>
    <w:uiPriority w:val="99"/>
    <w:semiHidden/>
    <w:pPr>
      <w:pBdr/>
      <w:spacing/>
      <w:ind/>
    </w:pPr>
    <w:rPr>
      <w:sz w:val="20"/>
      <w:szCs w:val="20"/>
    </w:rPr>
  </w:style>
  <w:style w:type="character" w:styleId="997">
    <w:name w:val="footnote reference"/>
    <w:basedOn w:val="1018"/>
    <w:uiPriority w:val="99"/>
    <w:semiHidden/>
    <w:unhideWhenUsed/>
    <w:pPr>
      <w:pBdr/>
      <w:spacing/>
      <w:ind/>
    </w:pPr>
    <w:rPr>
      <w:vertAlign w:val="superscript"/>
    </w:rPr>
  </w:style>
  <w:style w:type="paragraph" w:styleId="998">
    <w:name w:val="endnote text"/>
    <w:basedOn w:val="1013"/>
    <w:link w:val="999"/>
    <w:uiPriority w:val="99"/>
    <w:semiHidden/>
    <w:unhideWhenUsed/>
    <w:pPr>
      <w:pBdr/>
      <w:spacing w:after="0" w:line="240" w:lineRule="auto"/>
      <w:ind/>
    </w:pPr>
    <w:rPr>
      <w:sz w:val="20"/>
      <w:szCs w:val="20"/>
    </w:rPr>
  </w:style>
  <w:style w:type="character" w:styleId="999">
    <w:name w:val="Endnote Text Char"/>
    <w:basedOn w:val="1018"/>
    <w:link w:val="998"/>
    <w:uiPriority w:val="99"/>
    <w:semiHidden/>
    <w:pPr>
      <w:pBdr/>
      <w:spacing/>
      <w:ind/>
    </w:pPr>
    <w:rPr>
      <w:sz w:val="20"/>
      <w:szCs w:val="20"/>
    </w:rPr>
  </w:style>
  <w:style w:type="character" w:styleId="1000">
    <w:name w:val="endnote reference"/>
    <w:basedOn w:val="1018"/>
    <w:uiPriority w:val="99"/>
    <w:semiHidden/>
    <w:unhideWhenUsed/>
    <w:pPr>
      <w:pBdr/>
      <w:spacing/>
      <w:ind/>
    </w:pPr>
    <w:rPr>
      <w:vertAlign w:val="superscript"/>
    </w:rPr>
  </w:style>
  <w:style w:type="paragraph" w:styleId="1001">
    <w:name w:val="toc 1"/>
    <w:basedOn w:val="1013"/>
    <w:next w:val="1013"/>
    <w:uiPriority w:val="39"/>
    <w:unhideWhenUsed/>
    <w:pPr>
      <w:pBdr/>
      <w:spacing w:after="100"/>
      <w:ind/>
    </w:pPr>
  </w:style>
  <w:style w:type="paragraph" w:styleId="1002">
    <w:name w:val="toc 2"/>
    <w:basedOn w:val="1013"/>
    <w:next w:val="1013"/>
    <w:uiPriority w:val="39"/>
    <w:unhideWhenUsed/>
    <w:pPr>
      <w:pBdr/>
      <w:spacing w:after="100"/>
      <w:ind w:left="220"/>
    </w:pPr>
  </w:style>
  <w:style w:type="paragraph" w:styleId="1003">
    <w:name w:val="toc 3"/>
    <w:basedOn w:val="1013"/>
    <w:next w:val="1013"/>
    <w:uiPriority w:val="39"/>
    <w:unhideWhenUsed/>
    <w:pPr>
      <w:pBdr/>
      <w:spacing w:after="100"/>
      <w:ind w:left="440"/>
    </w:pPr>
  </w:style>
  <w:style w:type="paragraph" w:styleId="1004">
    <w:name w:val="toc 4"/>
    <w:basedOn w:val="1013"/>
    <w:next w:val="1013"/>
    <w:uiPriority w:val="39"/>
    <w:unhideWhenUsed/>
    <w:pPr>
      <w:pBdr/>
      <w:spacing w:after="100"/>
      <w:ind w:left="660"/>
    </w:pPr>
  </w:style>
  <w:style w:type="paragraph" w:styleId="1005">
    <w:name w:val="toc 5"/>
    <w:basedOn w:val="1013"/>
    <w:next w:val="1013"/>
    <w:uiPriority w:val="39"/>
    <w:unhideWhenUsed/>
    <w:pPr>
      <w:pBdr/>
      <w:spacing w:after="100"/>
      <w:ind w:left="880"/>
    </w:pPr>
  </w:style>
  <w:style w:type="paragraph" w:styleId="1006">
    <w:name w:val="toc 6"/>
    <w:basedOn w:val="1013"/>
    <w:next w:val="1013"/>
    <w:uiPriority w:val="39"/>
    <w:unhideWhenUsed/>
    <w:pPr>
      <w:pBdr/>
      <w:spacing w:after="100"/>
      <w:ind w:left="1100"/>
    </w:pPr>
  </w:style>
  <w:style w:type="paragraph" w:styleId="1007">
    <w:name w:val="toc 7"/>
    <w:basedOn w:val="1013"/>
    <w:next w:val="1013"/>
    <w:uiPriority w:val="39"/>
    <w:unhideWhenUsed/>
    <w:pPr>
      <w:pBdr/>
      <w:spacing w:after="100"/>
      <w:ind w:left="1320"/>
    </w:pPr>
  </w:style>
  <w:style w:type="paragraph" w:styleId="1008">
    <w:name w:val="toc 8"/>
    <w:basedOn w:val="1013"/>
    <w:next w:val="1013"/>
    <w:uiPriority w:val="39"/>
    <w:unhideWhenUsed/>
    <w:pPr>
      <w:pBdr/>
      <w:spacing w:after="100"/>
      <w:ind w:left="1540"/>
    </w:pPr>
  </w:style>
  <w:style w:type="paragraph" w:styleId="1009">
    <w:name w:val="toc 9"/>
    <w:basedOn w:val="1013"/>
    <w:next w:val="1013"/>
    <w:uiPriority w:val="39"/>
    <w:unhideWhenUsed/>
    <w:pPr>
      <w:pBdr/>
      <w:spacing w:after="100"/>
      <w:ind w:left="1760"/>
    </w:pPr>
  </w:style>
  <w:style w:type="character" w:styleId="1010">
    <w:name w:val="Placeholder Text"/>
    <w:basedOn w:val="1018"/>
    <w:uiPriority w:val="99"/>
    <w:semiHidden/>
    <w:pPr>
      <w:pBdr/>
      <w:spacing/>
      <w:ind/>
    </w:pPr>
    <w:rPr>
      <w:color w:val="666666"/>
    </w:rPr>
  </w:style>
  <w:style w:type="paragraph" w:styleId="1011">
    <w:name w:val="TOC Heading"/>
    <w:uiPriority w:val="39"/>
    <w:unhideWhenUsed/>
    <w:pPr>
      <w:pBdr/>
      <w:spacing/>
      <w:ind/>
    </w:pPr>
  </w:style>
  <w:style w:type="paragraph" w:styleId="1012">
    <w:name w:val="table of figures"/>
    <w:basedOn w:val="1013"/>
    <w:next w:val="1013"/>
    <w:uiPriority w:val="99"/>
    <w:unhideWhenUsed/>
    <w:pPr>
      <w:pBdr/>
      <w:spacing w:after="0" w:afterAutospacing="0"/>
      <w:ind/>
    </w:pPr>
  </w:style>
  <w:style w:type="paragraph" w:styleId="1013" w:default="1">
    <w:name w:val="Normal"/>
    <w:qFormat/>
    <w:pPr>
      <w:pBdr/>
      <w:spacing w:after="0" w:line="240" w:lineRule="auto"/>
      <w:ind/>
    </w:pPr>
    <w:rPr>
      <w:rFonts w:ascii="Times New Roman" w:hAnsi="Times New Roman" w:eastAsia="Times New Roman" w:cs="Times New Roman"/>
      <w:sz w:val="24"/>
      <w:szCs w:val="24"/>
    </w:rPr>
  </w:style>
  <w:style w:type="paragraph" w:styleId="1014">
    <w:name w:val="Heading 1"/>
    <w:basedOn w:val="1013"/>
    <w:next w:val="1013"/>
    <w:link w:val="1021"/>
    <w:qFormat/>
    <w:pPr>
      <w:keepNext w:val="true"/>
      <w:pBdr/>
      <w:spacing w:after="120" w:before="120"/>
      <w:ind/>
      <w:jc w:val="center"/>
      <w:outlineLvl w:val="0"/>
    </w:pPr>
    <w:rPr>
      <w:b/>
      <w:bCs/>
      <w:sz w:val="27"/>
      <w:szCs w:val="27"/>
    </w:rPr>
  </w:style>
  <w:style w:type="paragraph" w:styleId="1015">
    <w:name w:val="Heading 2"/>
    <w:basedOn w:val="1013"/>
    <w:next w:val="1013"/>
    <w:link w:val="102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6">
    <w:name w:val="Heading 3"/>
    <w:basedOn w:val="1013"/>
    <w:next w:val="1013"/>
    <w:link w:val="1023"/>
    <w:qFormat/>
    <w:pPr>
      <w:keepNext w:val="true"/>
      <w:pBdr/>
      <w:spacing w:before="60"/>
      <w:ind/>
      <w:outlineLvl w:val="2"/>
    </w:pPr>
    <w:rPr>
      <w:sz w:val="28"/>
      <w:szCs w:val="28"/>
    </w:rPr>
  </w:style>
  <w:style w:type="paragraph" w:styleId="1017">
    <w:name w:val="Heading 4"/>
    <w:basedOn w:val="1013"/>
    <w:next w:val="1013"/>
    <w:link w:val="1024"/>
    <w:qFormat/>
    <w:pPr>
      <w:keepNext w:val="true"/>
      <w:pBdr/>
      <w:spacing/>
      <w:ind/>
      <w:jc w:val="center"/>
      <w:outlineLvl w:val="3"/>
    </w:pPr>
    <w:rPr>
      <w:b/>
      <w:bCs/>
    </w:rPr>
  </w:style>
  <w:style w:type="character" w:styleId="1018" w:default="1">
    <w:name w:val="Default Paragraph Font"/>
    <w:uiPriority w:val="1"/>
    <w:semiHidden/>
    <w:unhideWhenUsed/>
    <w:pPr>
      <w:pBdr/>
      <w:spacing/>
      <w:ind/>
    </w:pPr>
  </w:style>
  <w:style w:type="table" w:styleId="101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0" w:default="1">
    <w:name w:val="No List"/>
    <w:uiPriority w:val="99"/>
    <w:semiHidden/>
    <w:unhideWhenUsed/>
    <w:pPr>
      <w:pBdr/>
      <w:spacing/>
      <w:ind/>
    </w:pPr>
  </w:style>
  <w:style w:type="character" w:styleId="1021" w:customStyle="1">
    <w:name w:val="Heading 1 Char"/>
    <w:basedOn w:val="1018"/>
    <w:link w:val="1014"/>
    <w:pPr>
      <w:pBdr/>
      <w:spacing/>
      <w:ind/>
    </w:pPr>
    <w:rPr>
      <w:rFonts w:ascii="Times New Roman" w:hAnsi="Times New Roman" w:eastAsia="Times New Roman" w:cs="Times New Roman"/>
      <w:b/>
      <w:bCs/>
      <w:sz w:val="27"/>
      <w:szCs w:val="27"/>
    </w:rPr>
  </w:style>
  <w:style w:type="character" w:styleId="1022" w:customStyle="1">
    <w:name w:val="Heading 2 Char"/>
    <w:basedOn w:val="1018"/>
    <w:link w:val="1015"/>
    <w:uiPriority w:val="9"/>
    <w:pPr>
      <w:pBdr/>
      <w:spacing/>
      <w:ind/>
    </w:pPr>
    <w:rPr>
      <w:rFonts w:asciiTheme="majorHAnsi" w:hAnsiTheme="majorHAnsi" w:eastAsiaTheme="majorEastAsia" w:cstheme="majorBidi"/>
      <w:color w:val="365f91" w:themeColor="accent1" w:themeShade="BF"/>
      <w:sz w:val="26"/>
      <w:szCs w:val="26"/>
    </w:rPr>
  </w:style>
  <w:style w:type="character" w:styleId="1023" w:customStyle="1">
    <w:name w:val="Heading 3 Char"/>
    <w:basedOn w:val="1018"/>
    <w:link w:val="1016"/>
    <w:pPr>
      <w:pBdr/>
      <w:spacing/>
      <w:ind/>
    </w:pPr>
    <w:rPr>
      <w:rFonts w:ascii="Times New Roman" w:hAnsi="Times New Roman" w:eastAsia="Times New Roman" w:cs="Times New Roman"/>
      <w:sz w:val="28"/>
      <w:szCs w:val="28"/>
    </w:rPr>
  </w:style>
  <w:style w:type="character" w:styleId="1024" w:customStyle="1">
    <w:name w:val="Heading 4 Char"/>
    <w:basedOn w:val="1018"/>
    <w:link w:val="1017"/>
    <w:pPr>
      <w:pBdr/>
      <w:spacing/>
      <w:ind/>
    </w:pPr>
    <w:rPr>
      <w:rFonts w:ascii="Times New Roman" w:hAnsi="Times New Roman" w:eastAsia="Times New Roman" w:cs="Times New Roman"/>
      <w:b/>
      <w:bCs/>
      <w:sz w:val="24"/>
      <w:szCs w:val="24"/>
    </w:rPr>
  </w:style>
  <w:style w:type="character" w:styleId="1025">
    <w:name w:val="Hyperlink"/>
    <w:uiPriority w:val="99"/>
    <w:pPr>
      <w:pBdr/>
      <w:spacing/>
      <w:ind/>
    </w:pPr>
    <w:rPr>
      <w:color w:val="000000"/>
      <w:u w:val="single"/>
    </w:rPr>
  </w:style>
  <w:style w:type="character" w:styleId="1026">
    <w:name w:val="Strong"/>
    <w:uiPriority w:val="22"/>
    <w:qFormat/>
    <w:pPr>
      <w:pBdr/>
      <w:spacing/>
      <w:ind/>
    </w:pPr>
    <w:rPr>
      <w:b/>
      <w:bCs/>
    </w:rPr>
  </w:style>
  <w:style w:type="paragraph" w:styleId="1027">
    <w:name w:val="Balloon Text"/>
    <w:basedOn w:val="1013"/>
    <w:link w:val="1028"/>
    <w:uiPriority w:val="99"/>
    <w:semiHidden/>
    <w:unhideWhenUsed/>
    <w:pPr>
      <w:pBdr/>
      <w:spacing/>
      <w:ind/>
    </w:pPr>
    <w:rPr>
      <w:rFonts w:ascii="Tahoma" w:hAnsi="Tahoma" w:cs="Tahoma"/>
      <w:sz w:val="16"/>
      <w:szCs w:val="16"/>
    </w:rPr>
  </w:style>
  <w:style w:type="character" w:styleId="1028" w:customStyle="1">
    <w:name w:val="Balloon Text Char"/>
    <w:basedOn w:val="1018"/>
    <w:link w:val="1027"/>
    <w:uiPriority w:val="99"/>
    <w:semiHidden/>
    <w:pPr>
      <w:pBdr/>
      <w:spacing/>
      <w:ind/>
    </w:pPr>
    <w:rPr>
      <w:rFonts w:ascii="Tahoma" w:hAnsi="Tahoma" w:eastAsia="Times New Roman" w:cs="Tahoma"/>
      <w:sz w:val="16"/>
      <w:szCs w:val="16"/>
    </w:rPr>
  </w:style>
  <w:style w:type="paragraph" w:styleId="1029">
    <w:name w:val="Header"/>
    <w:basedOn w:val="1013"/>
    <w:link w:val="1030"/>
    <w:unhideWhenUsed/>
    <w:pPr>
      <w:pBdr/>
      <w:tabs>
        <w:tab w:val="center" w:leader="none" w:pos="4680"/>
        <w:tab w:val="right" w:leader="none" w:pos="9360"/>
      </w:tabs>
      <w:spacing/>
      <w:ind/>
    </w:pPr>
  </w:style>
  <w:style w:type="character" w:styleId="1030" w:customStyle="1">
    <w:name w:val="Header Char"/>
    <w:basedOn w:val="1018"/>
    <w:link w:val="1029"/>
    <w:pPr>
      <w:pBdr/>
      <w:spacing/>
      <w:ind/>
    </w:pPr>
    <w:rPr>
      <w:rFonts w:ascii="Times New Roman" w:hAnsi="Times New Roman" w:eastAsia="Times New Roman" w:cs="Times New Roman"/>
      <w:sz w:val="24"/>
      <w:szCs w:val="24"/>
    </w:rPr>
  </w:style>
  <w:style w:type="paragraph" w:styleId="1031">
    <w:name w:val="Footer"/>
    <w:basedOn w:val="1013"/>
    <w:link w:val="1032"/>
    <w:uiPriority w:val="99"/>
    <w:unhideWhenUsed/>
    <w:pPr>
      <w:pBdr/>
      <w:tabs>
        <w:tab w:val="center" w:leader="none" w:pos="4680"/>
        <w:tab w:val="right" w:leader="none" w:pos="9360"/>
      </w:tabs>
      <w:spacing/>
      <w:ind/>
    </w:pPr>
  </w:style>
  <w:style w:type="character" w:styleId="1032" w:customStyle="1">
    <w:name w:val="Footer Char"/>
    <w:basedOn w:val="1018"/>
    <w:link w:val="1031"/>
    <w:uiPriority w:val="99"/>
    <w:pPr>
      <w:pBdr/>
      <w:spacing/>
      <w:ind/>
    </w:pPr>
    <w:rPr>
      <w:rFonts w:ascii="Times New Roman" w:hAnsi="Times New Roman" w:eastAsia="Times New Roman" w:cs="Times New Roman"/>
      <w:sz w:val="24"/>
      <w:szCs w:val="24"/>
    </w:rPr>
  </w:style>
  <w:style w:type="character" w:styleId="1033" w:customStyle="1">
    <w:name w:val="normal-h1"/>
    <w:pPr>
      <w:pBdr/>
      <w:spacing/>
      <w:ind/>
    </w:pPr>
    <w:rPr>
      <w:rFonts w:hint="default" w:ascii=".VnTime" w:hAnsi=".VnTime"/>
      <w:color w:val="0000ff"/>
      <w:sz w:val="24"/>
      <w:szCs w:val="24"/>
    </w:rPr>
  </w:style>
  <w:style w:type="paragraph" w:styleId="1034" w:customStyle="1">
    <w:name w:val="normal-p"/>
    <w:basedOn w:val="1013"/>
    <w:pPr>
      <w:pBdr/>
      <w:spacing/>
      <w:ind/>
      <w:jc w:val="both"/>
    </w:pPr>
    <w:rPr>
      <w:sz w:val="20"/>
      <w:szCs w:val="20"/>
    </w:rPr>
  </w:style>
  <w:style w:type="paragraph" w:styleId="1035">
    <w:name w:val="List Paragraph"/>
    <w:basedOn w:val="1013"/>
    <w:link w:val="1122"/>
    <w:uiPriority w:val="34"/>
    <w:qFormat/>
    <w:pPr>
      <w:pBdr/>
      <w:spacing/>
      <w:ind w:left="720"/>
    </w:pPr>
  </w:style>
  <w:style w:type="paragraph" w:styleId="1036">
    <w:name w:val="Normal (Web)"/>
    <w:basedOn w:val="1013"/>
    <w:uiPriority w:val="99"/>
    <w:pPr>
      <w:pBdr/>
      <w:spacing w:after="100" w:afterAutospacing="1" w:before="100" w:beforeAutospacing="1"/>
      <w:ind/>
    </w:pPr>
  </w:style>
  <w:style w:type="paragraph" w:styleId="1037">
    <w:name w:val="Body Text"/>
    <w:basedOn w:val="1013"/>
    <w:link w:val="1038"/>
    <w:pPr>
      <w:pBdr/>
      <w:spacing w:after="120"/>
      <w:ind/>
      <w:jc w:val="both"/>
    </w:pPr>
  </w:style>
  <w:style w:type="character" w:styleId="1038" w:customStyle="1">
    <w:name w:val="Body Text Char"/>
    <w:basedOn w:val="1018"/>
    <w:link w:val="1037"/>
    <w:pPr>
      <w:pBdr/>
      <w:spacing/>
      <w:ind/>
    </w:pPr>
    <w:rPr>
      <w:rFonts w:ascii="Times New Roman" w:hAnsi="Times New Roman" w:eastAsia="Times New Roman" w:cs="Times New Roman"/>
      <w:sz w:val="24"/>
      <w:szCs w:val="24"/>
    </w:rPr>
  </w:style>
  <w:style w:type="table" w:styleId="1039">
    <w:name w:val="Table Grid"/>
    <w:basedOn w:val="101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1">
    <w:name w:val="annotation reference"/>
    <w:basedOn w:val="1018"/>
    <w:uiPriority w:val="99"/>
    <w:semiHidden/>
    <w:unhideWhenUsed/>
    <w:pPr>
      <w:pBdr/>
      <w:spacing/>
      <w:ind/>
    </w:pPr>
    <w:rPr>
      <w:sz w:val="16"/>
      <w:szCs w:val="16"/>
    </w:rPr>
  </w:style>
  <w:style w:type="paragraph" w:styleId="1042">
    <w:name w:val="annotation text"/>
    <w:basedOn w:val="1013"/>
    <w:link w:val="1043"/>
    <w:uiPriority w:val="99"/>
    <w:unhideWhenUsed/>
    <w:pPr>
      <w:pBdr/>
      <w:spacing/>
      <w:ind/>
    </w:pPr>
    <w:rPr>
      <w:sz w:val="20"/>
      <w:szCs w:val="20"/>
    </w:rPr>
  </w:style>
  <w:style w:type="character" w:styleId="1043" w:customStyle="1">
    <w:name w:val="Comment Text Char"/>
    <w:basedOn w:val="1018"/>
    <w:link w:val="1042"/>
    <w:uiPriority w:val="99"/>
    <w:pPr>
      <w:pBdr/>
      <w:spacing/>
      <w:ind/>
    </w:pPr>
    <w:rPr>
      <w:rFonts w:ascii="Times New Roman" w:hAnsi="Times New Roman" w:eastAsia="Times New Roman" w:cs="Times New Roman"/>
      <w:sz w:val="20"/>
      <w:szCs w:val="20"/>
    </w:rPr>
  </w:style>
  <w:style w:type="paragraph" w:styleId="1044">
    <w:name w:val="annotation subject"/>
    <w:basedOn w:val="1042"/>
    <w:next w:val="1042"/>
    <w:link w:val="1045"/>
    <w:uiPriority w:val="99"/>
    <w:semiHidden/>
    <w:unhideWhenUsed/>
    <w:pPr>
      <w:pBdr/>
      <w:spacing/>
      <w:ind/>
    </w:pPr>
    <w:rPr>
      <w:b/>
      <w:bCs/>
    </w:rPr>
  </w:style>
  <w:style w:type="character" w:styleId="1045" w:customStyle="1">
    <w:name w:val="Comment Subject Char"/>
    <w:basedOn w:val="1043"/>
    <w:link w:val="1044"/>
    <w:uiPriority w:val="99"/>
    <w:semiHidden/>
    <w:pPr>
      <w:pBdr/>
      <w:spacing/>
      <w:ind/>
    </w:pPr>
    <w:rPr>
      <w:rFonts w:ascii="Times New Roman" w:hAnsi="Times New Roman" w:eastAsia="Times New Roman" w:cs="Times New Roman"/>
      <w:b/>
      <w:bCs/>
      <w:sz w:val="20"/>
      <w:szCs w:val="20"/>
    </w:rPr>
  </w:style>
  <w:style w:type="paragraph" w:styleId="1046" w:customStyle="1">
    <w:name w:val="font5"/>
    <w:basedOn w:val="1013"/>
    <w:pPr>
      <w:pBdr/>
      <w:spacing w:after="100" w:afterAutospacing="1" w:before="100" w:beforeAutospacing="1"/>
      <w:ind/>
    </w:pPr>
    <w:rPr>
      <w:rFonts w:ascii="Tahoma" w:hAnsi="Tahoma" w:cs="Tahoma"/>
      <w:color w:val="000000"/>
      <w:sz w:val="18"/>
      <w:szCs w:val="18"/>
    </w:rPr>
  </w:style>
  <w:style w:type="paragraph" w:styleId="1047" w:customStyle="1">
    <w:name w:val="font6"/>
    <w:basedOn w:val="1013"/>
    <w:pPr>
      <w:pBdr/>
      <w:spacing w:after="100" w:afterAutospacing="1" w:before="100" w:beforeAutospacing="1"/>
      <w:ind/>
    </w:pPr>
    <w:rPr>
      <w:rFonts w:ascii="Tahoma" w:hAnsi="Tahoma" w:cs="Tahoma"/>
      <w:b/>
      <w:bCs/>
      <w:color w:val="000000"/>
      <w:sz w:val="18"/>
      <w:szCs w:val="18"/>
    </w:rPr>
  </w:style>
  <w:style w:type="paragraph" w:styleId="1048" w:customStyle="1">
    <w:name w:val="xl23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9" w:customStyle="1">
    <w:name w:val="xl234"/>
    <w:basedOn w:val="1013"/>
    <w:pPr>
      <w:pBdr/>
      <w:spacing w:after="100" w:afterAutospacing="1" w:before="100" w:beforeAutospacing="1"/>
      <w:ind/>
      <w:jc w:val="center"/>
    </w:pPr>
  </w:style>
  <w:style w:type="paragraph" w:styleId="1050" w:customStyle="1">
    <w:name w:val="xl235"/>
    <w:basedOn w:val="1013"/>
    <w:pPr>
      <w:pBdr/>
      <w:spacing w:after="100" w:afterAutospacing="1" w:before="100" w:beforeAutospacing="1"/>
      <w:ind/>
      <w:jc w:val="center"/>
    </w:pPr>
    <w:rPr>
      <w:b/>
      <w:bCs/>
    </w:rPr>
  </w:style>
  <w:style w:type="paragraph" w:styleId="1051" w:customStyle="1">
    <w:name w:val="xl236"/>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2" w:customStyle="1">
    <w:name w:val="xl23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38"/>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3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5" w:customStyle="1">
    <w:name w:val="xl240"/>
    <w:basedOn w:val="1013"/>
    <w:pPr>
      <w:pBdr/>
      <w:spacing w:after="100" w:afterAutospacing="1" w:before="100" w:beforeAutospacing="1"/>
      <w:ind/>
    </w:pPr>
  </w:style>
  <w:style w:type="paragraph" w:styleId="1056" w:customStyle="1">
    <w:name w:val="xl241"/>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42"/>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3"/>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44"/>
    <w:basedOn w:val="1013"/>
    <w:pPr>
      <w:pBdr/>
      <w:spacing w:after="100" w:afterAutospacing="1" w:before="100" w:beforeAutospacing="1"/>
      <w:ind/>
    </w:pPr>
    <w:rPr>
      <w:b/>
      <w:bCs/>
    </w:rPr>
  </w:style>
  <w:style w:type="paragraph" w:styleId="1060" w:customStyle="1">
    <w:name w:val="xl245"/>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4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47"/>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3" w:customStyle="1">
    <w:name w:val="xl24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4" w:customStyle="1">
    <w:name w:val="xl24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5" w:customStyle="1">
    <w:name w:val="xl25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5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3"/>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4"/>
    <w:basedOn w:val="101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55"/>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8"/>
    <w:basedOn w:val="101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0"/>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1"/>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2"/>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3"/>
    <w:basedOn w:val="1013"/>
    <w:pPr>
      <w:pBdr/>
      <w:shd w:val="clear" w:color="000000" w:fill="ffffff"/>
      <w:spacing w:after="100" w:afterAutospacing="1" w:before="100" w:beforeAutospacing="1"/>
      <w:ind/>
    </w:pPr>
  </w:style>
  <w:style w:type="paragraph" w:styleId="1079" w:customStyle="1">
    <w:name w:val="xl264"/>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65"/>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1" w:customStyle="1">
    <w:name w:val="xl26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2" w:customStyle="1">
    <w:name w:val="xl26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68"/>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9"/>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7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1"/>
    <w:basedOn w:val="101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7" w:customStyle="1">
    <w:name w:val="xl27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73"/>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9" w:customStyle="1">
    <w:name w:val="xl274"/>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5"/>
    <w:basedOn w:val="1013"/>
    <w:pPr>
      <w:pBdr/>
      <w:spacing w:after="100" w:afterAutospacing="1" w:before="100" w:beforeAutospacing="1"/>
      <w:ind/>
    </w:pPr>
  </w:style>
  <w:style w:type="paragraph" w:styleId="1091" w:customStyle="1">
    <w:name w:val="xl27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2" w:customStyle="1">
    <w:name w:val="xl277"/>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3" w:customStyle="1">
    <w:name w:val="xl27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7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8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7" w:customStyle="1">
    <w:name w:val="xl28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4"/>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5"/>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8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87"/>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8"/>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89"/>
    <w:basedOn w:val="1013"/>
    <w:pPr>
      <w:pBdr>
        <w:left w:val="single" w:color="000000" w:sz="4" w:space="0"/>
        <w:right w:val="single" w:color="000000" w:sz="4" w:space="0"/>
      </w:pBdr>
      <w:spacing w:after="100" w:afterAutospacing="1" w:before="100" w:beforeAutospacing="1"/>
      <w:ind/>
    </w:pPr>
    <w:rPr>
      <w:b/>
      <w:bCs/>
    </w:rPr>
  </w:style>
  <w:style w:type="paragraph" w:styleId="1105" w:customStyle="1">
    <w:name w:val="xl29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6" w:customStyle="1">
    <w:name w:val="xl291"/>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7" w:customStyle="1">
    <w:name w:val="xl292"/>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93"/>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94"/>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name w:val="Title"/>
    <w:basedOn w:val="1013"/>
    <w:link w:val="1111"/>
    <w:qFormat/>
    <w:pPr>
      <w:pBdr/>
      <w:spacing/>
      <w:ind/>
      <w:jc w:val="center"/>
    </w:pPr>
    <w:rPr>
      <w:b/>
      <w:bCs/>
      <w:sz w:val="32"/>
      <w:szCs w:val="26"/>
    </w:rPr>
  </w:style>
  <w:style w:type="character" w:styleId="1111" w:customStyle="1">
    <w:name w:val="Title Char"/>
    <w:basedOn w:val="1018"/>
    <w:link w:val="1110"/>
    <w:pPr>
      <w:pBdr/>
      <w:spacing/>
      <w:ind/>
    </w:pPr>
    <w:rPr>
      <w:rFonts w:ascii="Times New Roman" w:hAnsi="Times New Roman" w:eastAsia="Times New Roman" w:cs="Times New Roman"/>
      <w:b/>
      <w:bCs/>
      <w:sz w:val="32"/>
      <w:szCs w:val="26"/>
    </w:rPr>
  </w:style>
  <w:style w:type="character" w:styleId="1112" w:customStyle="1">
    <w:name w:val="Unresolved Mention1"/>
    <w:basedOn w:val="1018"/>
    <w:uiPriority w:val="99"/>
    <w:semiHidden/>
    <w:unhideWhenUsed/>
    <w:pPr>
      <w:pBdr/>
      <w:spacing/>
      <w:ind/>
    </w:pPr>
    <w:rPr>
      <w:color w:val="605e5c"/>
      <w:shd w:val="clear" w:color="auto" w:fill="e1dfdd"/>
    </w:rPr>
  </w:style>
  <w:style w:type="character" w:styleId="1113" w:customStyle="1">
    <w:name w:val="Body text (3)_"/>
    <w:link w:val="1114"/>
    <w:pPr>
      <w:pBdr/>
      <w:spacing/>
      <w:ind/>
    </w:pPr>
    <w:rPr>
      <w:rFonts w:ascii="Times New Roman" w:hAnsi="Times New Roman" w:cs="Times New Roman"/>
      <w:i/>
      <w:iCs/>
      <w:spacing w:val="4"/>
      <w:shd w:val="clear" w:color="auto" w:fill="ffffff"/>
    </w:rPr>
  </w:style>
  <w:style w:type="paragraph" w:styleId="1114" w:customStyle="1">
    <w:name w:val="Body text (3)1"/>
    <w:basedOn w:val="1013"/>
    <w:link w:val="111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5" w:customStyle="1">
    <w:name w:val="t-j"/>
    <w:basedOn w:val="1013"/>
    <w:pPr>
      <w:pBdr/>
      <w:spacing w:after="100" w:afterAutospacing="1" w:before="100" w:beforeAutospacing="1"/>
      <w:ind/>
    </w:pPr>
  </w:style>
  <w:style w:type="character" w:styleId="1116" w:customStyle="1">
    <w:name w:val="Unresolved Mention2"/>
    <w:basedOn w:val="1018"/>
    <w:uiPriority w:val="99"/>
    <w:semiHidden/>
    <w:unhideWhenUsed/>
    <w:pPr>
      <w:pBdr/>
      <w:spacing/>
      <w:ind/>
    </w:pPr>
    <w:rPr>
      <w:color w:val="605e5c"/>
      <w:shd w:val="clear" w:color="auto" w:fill="e1dfdd"/>
    </w:rPr>
  </w:style>
  <w:style w:type="character" w:styleId="1117">
    <w:name w:val="FollowedHyperlink"/>
    <w:basedOn w:val="1018"/>
    <w:uiPriority w:val="99"/>
    <w:semiHidden/>
    <w:unhideWhenUsed/>
    <w:pPr>
      <w:pBdr/>
      <w:spacing/>
      <w:ind/>
    </w:pPr>
    <w:rPr>
      <w:color w:val="800080" w:themeColor="followedHyperlink"/>
      <w:u w:val="single"/>
    </w:rPr>
  </w:style>
  <w:style w:type="character" w:styleId="1118" w:customStyle="1">
    <w:name w:val="text"/>
    <w:basedOn w:val="1018"/>
    <w:pPr>
      <w:pBdr/>
      <w:spacing/>
      <w:ind/>
    </w:pPr>
  </w:style>
  <w:style w:type="character" w:styleId="1119" w:customStyle="1">
    <w:name w:val="card-send-time__sendtime"/>
    <w:basedOn w:val="1018"/>
    <w:pPr>
      <w:pBdr/>
      <w:spacing/>
      <w:ind/>
    </w:pPr>
  </w:style>
  <w:style w:type="character" w:styleId="1120" w:customStyle="1">
    <w:name w:val="Đề cập Chưa giải quyết1"/>
    <w:basedOn w:val="1018"/>
    <w:uiPriority w:val="99"/>
    <w:semiHidden/>
    <w:unhideWhenUsed/>
    <w:pPr>
      <w:pBdr/>
      <w:spacing/>
      <w:ind/>
    </w:pPr>
    <w:rPr>
      <w:color w:val="605e5c"/>
      <w:shd w:val="clear" w:color="auto" w:fill="e1dfdd"/>
    </w:rPr>
  </w:style>
  <w:style w:type="paragraph" w:styleId="1121" w:customStyle="1">
    <w:name w:val="nqtitle"/>
    <w:basedOn w:val="1013"/>
    <w:pPr>
      <w:pBdr/>
      <w:spacing w:after="100" w:afterAutospacing="1" w:before="100" w:beforeAutospacing="1"/>
      <w:ind/>
    </w:pPr>
    <w:rPr>
      <w:lang w:val="vi-VN" w:eastAsia="vi-VN"/>
    </w:rPr>
  </w:style>
  <w:style w:type="character" w:styleId="1122" w:customStyle="1">
    <w:name w:val="List Paragraph Char"/>
    <w:link w:val="1035"/>
    <w:uiPriority w:val="34"/>
    <w:qFormat/>
    <w:pPr>
      <w:pBdr/>
      <w:spacing/>
      <w:ind/>
    </w:pPr>
    <w:rPr>
      <w:rFonts w:ascii="Times New Roman" w:hAnsi="Times New Roman" w:eastAsia="Times New Roman" w:cs="Times New Roman"/>
      <w:sz w:val="24"/>
      <w:szCs w:val="24"/>
    </w:rPr>
  </w:style>
  <w:style w:type="character" w:styleId="1123" w:customStyle="1">
    <w:name w:val="Đề cập Chưa giải quyết2"/>
    <w:basedOn w:val="1018"/>
    <w:uiPriority w:val="99"/>
    <w:semiHidden/>
    <w:unhideWhenUsed/>
    <w:pPr>
      <w:pBdr/>
      <w:spacing/>
      <w:ind/>
    </w:pPr>
    <w:rPr>
      <w:color w:val="605e5c"/>
      <w:shd w:val="clear" w:color="auto" w:fill="e1dfdd"/>
    </w:rPr>
  </w:style>
  <w:style w:type="character" w:styleId="1124" w:customStyle="1">
    <w:name w:val="Unresolved Mention3"/>
    <w:basedOn w:val="1018"/>
    <w:uiPriority w:val="99"/>
    <w:semiHidden/>
    <w:unhideWhenUsed/>
    <w:pPr>
      <w:pBdr/>
      <w:spacing/>
      <w:ind/>
    </w:pPr>
    <w:rPr>
      <w:color w:val="605e5c"/>
      <w:shd w:val="clear" w:color="auto" w:fill="e1dfdd"/>
    </w:rPr>
  </w:style>
  <w:style w:type="character" w:styleId="1125" w:customStyle="1">
    <w:name w:val="copy"/>
    <w:basedOn w:val="1018"/>
    <w:pPr>
      <w:pBdr/>
      <w:spacing/>
      <w:ind/>
    </w:pPr>
  </w:style>
  <w:style w:type="paragraph" w:styleId="1126" w:customStyle="1">
    <w:name w:val="align-justify"/>
    <w:basedOn w:val="1013"/>
    <w:pPr>
      <w:pBdr/>
      <w:spacing w:after="100" w:afterAutospacing="1" w:before="100" w:beforeAutospacing="1"/>
      <w:ind/>
    </w:pPr>
  </w:style>
  <w:style w:type="character" w:styleId="1127" w:customStyle="1">
    <w:name w:val="btn"/>
    <w:basedOn w:val="1018"/>
    <w:pPr>
      <w:pBdr/>
      <w:spacing/>
      <w:ind/>
    </w:pPr>
  </w:style>
  <w:style w:type="character" w:styleId="1128" w:customStyle="1">
    <w:name w:val="hide_mobile"/>
    <w:basedOn w:val="1018"/>
    <w:pPr>
      <w:pBdr/>
      <w:spacing/>
      <w:ind/>
    </w:pPr>
  </w:style>
  <w:style w:type="character" w:styleId="1129">
    <w:name w:val="Emphasis"/>
    <w:basedOn w:val="1018"/>
    <w:uiPriority w:val="20"/>
    <w:qFormat/>
    <w:pPr>
      <w:pBdr/>
      <w:spacing/>
      <w:ind/>
    </w:pPr>
    <w:rPr>
      <w:i/>
      <w:iCs/>
    </w:rPr>
  </w:style>
  <w:style w:type="character" w:styleId="1130" w:customStyle="1">
    <w:name w:val="t1"/>
    <w:basedOn w:val="1018"/>
    <w:pPr>
      <w:pBdr/>
      <w:spacing/>
      <w:ind/>
    </w:pPr>
  </w:style>
  <w:style w:type="character" w:styleId="1131" w:customStyle="1">
    <w:name w:val="Unresolved Mention4"/>
    <w:basedOn w:val="1018"/>
    <w:uiPriority w:val="99"/>
    <w:semiHidden/>
    <w:unhideWhenUsed/>
    <w:pPr>
      <w:pBdr/>
      <w:spacing/>
      <w:ind/>
    </w:pPr>
    <w:rPr>
      <w:color w:val="605e5c"/>
      <w:shd w:val="clear" w:color="auto" w:fill="e1dfdd"/>
    </w:rPr>
  </w:style>
  <w:style w:type="character" w:styleId="1132">
    <w:name w:val="Unresolved Mention"/>
    <w:basedOn w:val="101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Đình Duy</cp:lastModifiedBy>
  <cp:revision>282</cp:revision>
  <dcterms:created xsi:type="dcterms:W3CDTF">2025-09-15T09:58:00Z</dcterms:created>
  <dcterms:modified xsi:type="dcterms:W3CDTF">2026-06-02T03:49:54Z</dcterms:modified>
</cp:coreProperties>
</file>