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4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4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275/2026/0723/VFI-CT.63.A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Đồng Thanh Đăng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 tờ bản đồ số: 02, có địa chỉ: Thôn Đồng Hải, xã Đồng Tiến, huyện Cô Tô, tỉnh Quảng Ninh (nay là Đ</w:t>
                            </w:r>
                            <w:r>
                              <w:rPr>
                                <w:color w:val="000000"/>
                              </w:rPr>
                              <w:t xml:space="preserve">ặc khu Cô Tô</w:t>
                            </w:r>
                            <w:r>
                              <w:rPr>
                                <w:color w:val="000000"/>
                              </w:rPr>
                              <w:t xml:space="preserve">, tỉnh Quảng N</w:t>
                            </w:r>
                            <w:r>
                              <w:rPr>
                                <w:color w:val="000000"/>
                              </w:rPr>
                              <w:t xml:space="preserve">inh) theo Giấy chứng nhận quyền sử dụng đất, quyền sở hữu tài sản khác gắn liền với đất số: AA 01462804, Số vào sổ cấp GCN: CN 00059 do Chi nhánh Văn phòng Đăng ký Đất đai Huyện Cô Tô cấp ngày 06/6/2025; chủ sử dụng đất là Ông Đồng Thanh Đăng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275/2026/0723/VFI-CT.63.A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Đồng Thanh Đăng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3, tờ bản đồ số: 02, có địa chỉ: Thôn Đồng Hải, xã Đồng Tiến, huyện Cô Tô, tỉnh Quảng Ninh (nay là Đ</w:t>
                      </w:r>
                      <w:r>
                        <w:rPr>
                          <w:color w:val="000000"/>
                        </w:rPr>
                        <w:t xml:space="preserve">ặc khu Cô Tô</w:t>
                      </w:r>
                      <w:r>
                        <w:rPr>
                          <w:color w:val="000000"/>
                        </w:rPr>
                        <w:t xml:space="preserve">, tỉnh Quảng N</w:t>
                      </w:r>
                      <w:r>
                        <w:rPr>
                          <w:color w:val="000000"/>
                        </w:rPr>
                        <w:t xml:space="preserve">inh) theo Giấy chứng nhận quyền sử dụng đất, quyền sở hữu tài sản khác gắn liền với đất số: AA 01462804, Số vào sổ cấp GCN: CN 00059 do Chi nhánh Văn phòng Đăng ký Đất đai Huyện Cô Tô cấp ngày 06/6/2025; chủ sử dụng đất là Ông Đồng Thanh Đăng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 lục 1: Thông tin hiện trạng,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29-30</w:t>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31-38</w:t>
            </w:r>
            <w:r>
              <w:rPr>
                <w:b/>
                <w:bCs/>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275/2026/0723/VFI-CT.63.A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46"/>
        <w:pBdr/>
        <w:spacing w:after="120" w:before="200" w:line="288" w:lineRule="auto"/>
        <w:ind/>
        <w:jc w:val="center"/>
        <w:rPr>
          <w:rStyle w:val="1045"/>
          <w:rFonts w:ascii="Times New Roman" w:hAnsi="Times New Roman"/>
          <w:b/>
          <w:bCs/>
          <w:color w:val="auto"/>
          <w:sz w:val="30"/>
          <w:szCs w:val="30"/>
          <w:lang w:val="vi-VN"/>
        </w:rPr>
      </w:pPr>
      <w:r>
        <w:rPr>
          <w:rStyle w:val="1045"/>
          <w:rFonts w:ascii="Times New Roman" w:hAnsi="Times New Roman"/>
          <w:b/>
          <w:bCs/>
          <w:color w:val="auto"/>
          <w:sz w:val="30"/>
          <w:szCs w:val="30"/>
          <w:lang w:val="vi-VN"/>
        </w:rPr>
        <w:t xml:space="preserve">CHỨNG THƯ THẨM ĐỊNH GIÁ</w:t>
      </w:r>
      <w:r>
        <w:rPr>
          <w:rStyle w:val="1045"/>
          <w:rFonts w:ascii="Times New Roman" w:hAnsi="Times New Roman"/>
          <w:b/>
          <w:bCs/>
          <w:color w:val="auto"/>
          <w:sz w:val="30"/>
          <w:szCs w:val="30"/>
          <w:lang w:val="vi-VN"/>
        </w:rPr>
      </w:r>
      <w:r>
        <w:rPr>
          <w:rStyle w:val="104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Đồng Thanh Đăng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275/2026/0723/VFI-HĐTĐ.63.A</w:t>
      </w:r>
      <w:r>
        <w:rPr>
          <w:spacing w:val="-4"/>
          <w:lang w:val="vi-VN"/>
        </w:rPr>
        <w:t xml:space="preserve"> ký ngày </w:t>
      </w:r>
      <w:r>
        <w:rPr>
          <w:color w:val="000000" w:themeColor="text1"/>
          <w:spacing w:val="-4"/>
        </w:rPr>
        <w:t xml:space="preserve">1 tháng 5 năm 2026</w:t>
      </w:r>
      <w:r>
        <w:rPr>
          <w:spacing w:val="-4"/>
          <w:lang w:val="vi-VN"/>
        </w:rPr>
        <w:t xml:space="preserve"> </w:t>
      </w:r>
      <w:r>
        <w:rPr>
          <w:spacing w:val="-4"/>
          <w:lang w:val="vi-VN"/>
        </w:rPr>
        <w:t xml:space="preserve">giữa </w:t>
      </w:r>
      <w:r>
        <w:rPr>
          <w:color w:val="000000" w:themeColor="text1"/>
          <w:spacing w:val="-4"/>
        </w:rPr>
        <w:t xml:space="preserve">Ông Đồng Thanh Đăng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275/2026/0723/VFI-BC.63.A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ĐỒNG THANH ĐĂNG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1989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022089000709</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3, tờ bản đồ số: 02, có địa chỉ: Thôn Đồng Hải, xã Đồng Tiến, huyện Cô Tô, tỉnh Quảng Ninh (nay là Đặc khu Cô Tô</w:t>
      </w:r>
      <w:r>
        <w:rPr>
          <w:color w:val="000000" w:themeColor="text1"/>
        </w:rPr>
        <w:t xml:space="preserve">, tỉnh Quảng Ninh) theo Giấy chứng nhận quyền sử dụng đất, quyền sở hữu tài sản khác gắn liền với đất số: AA 01462804, Số vào sổ cấp GCN: CN 00059 do Chi nhánh Văn phòng Đăng ký Đất đai Huyện Cô Tô cấp ngày 06/6/2025; chủ sử dụng đất là Ông Đồng Thanh Đăng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703"/>
        <w:gridCol w:w="55324"/>
        <w:gridCol w:w="19542"/>
        <w:gridCol w:w="24918"/>
        <w:gridCol w:w="3370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53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9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88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997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3, tờ bản đồ số: 02, có địa chỉ: Thôn Đồng Hải, xã Đồng Tiến, huyện Cô Tô, tỉnh Quảng Ninh (nay là Đặc khu Cô Tô, tỉnh Quảng Ninh) theo Giấy chứng nhận quyền sử dụng đất, quyền sở hữu tài sản k</w:t>
            </w:r>
            <w:r>
              <w:rPr>
                <w:rFonts w:ascii="Times New Roman" w:hAnsi="Times New Roman" w:eastAsia="Times New Roman" w:cs="Times New Roman"/>
                <w:color w:val="000000"/>
                <w:sz w:val="24"/>
              </w:rPr>
              <w:t xml:space="preserve">hác gắn liền với đất số: AA 01462804, Số vào sổ cấp GCN: CN 00059 do Chi nhánh Văn phòng Đăng ký Đất đai Huyện Cô Tô cấp ngày 06/6/2025; chủ sử dụng đất là Ông Đồng Thanh Đăng.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3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3.200.000.000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3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cây lâu năm: 3.626m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Đất trồng cây hàng năm: 12.145,5m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15.771,5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70.971.750.000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3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Công trình trên đất</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13.766.000.000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87.937.750.000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87.938.000.000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mươi bảy tỷ chín trăm ba mươi tám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275/2026/0723/VFI-</w:t>
            </w:r>
            <w:r>
              <w:rPr>
                <w:rStyle w:val="1045"/>
                <w:rFonts w:ascii="Times New Roman" w:hAnsi="Times New Roman"/>
                <w:color w:val="000000" w:themeColor="text1"/>
                <w:lang w:val="pt-BR"/>
              </w:rPr>
              <w:t xml:space="preserve">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6"/>
              <w:pBdr/>
              <w:spacing w:after="60"/>
              <w:ind/>
              <w:rPr>
                <w:rStyle w:val="1045"/>
                <w:rFonts w:ascii="Times New Roman" w:hAnsi="Times New Roman"/>
                <w:color w:val="000000" w:themeColor="text1"/>
                <w:lang w:val="pt-BR"/>
              </w:rPr>
            </w:pPr>
            <w:r>
              <w:rPr>
                <w:rStyle w:val="1045"/>
                <w:rFonts w:ascii="Times New Roman" w:hAnsi="Times New Roman"/>
                <w:color w:val="000000" w:themeColor="text1"/>
                <w:lang w:val="pt-BR"/>
              </w:rPr>
            </w:r>
            <w:r>
              <w:rPr>
                <w:rStyle w:val="1045"/>
                <w:rFonts w:ascii="Times New Roman" w:hAnsi="Times New Roman"/>
                <w:color w:val="000000" w:themeColor="text1"/>
                <w:lang w:val="pt-BR"/>
              </w:rPr>
            </w:r>
            <w:r>
              <w:rPr>
                <w:rStyle w:val="104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6"/>
              <w:pBdr/>
              <w:spacing w:after="60"/>
              <w:ind w:right="-56"/>
              <w:rPr>
                <w:rStyle w:val="1045"/>
                <w:rFonts w:ascii="Times New Roman" w:hAnsi="Times New Roman"/>
                <w:i/>
                <w:color w:val="auto"/>
              </w:rPr>
            </w:pPr>
            <w:r>
              <w:rPr>
                <w:rFonts w:ascii="Times New Roman" w:hAnsi="Times New Roman"/>
                <w:i/>
                <w:color w:val="auto"/>
              </w:rPr>
            </w:r>
            <w:r>
              <w:rPr>
                <w:rStyle w:val="1045"/>
                <w:rFonts w:ascii="Times New Roman" w:hAnsi="Times New Roman"/>
                <w:i/>
                <w:color w:val="auto"/>
              </w:rPr>
            </w:r>
            <w:r>
              <w:rPr>
                <w:rStyle w:val="1045"/>
                <w:rFonts w:ascii="Times New Roman" w:hAnsi="Times New Roman"/>
                <w:i/>
                <w:color w:val="auto"/>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275/2026/0723/VFI-CT.63.A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ĐỒNG THANH ĐĂNG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1989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022089000709</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3, tờ bản đồ số: 02, có địa chỉ: Thôn Đồng Hải, xã Đồng Tiến, huyện Cô Tô, tỉnh Quảng Ninh (nay là Đặc khu Cô Tô</w:t>
            </w:r>
            <w:r>
              <w:rPr>
                <w:bCs/>
                <w:color w:val="000000" w:themeColor="text1"/>
                <w:lang w:val="pt-BR"/>
              </w:rPr>
              <w:t xml:space="preserve">, tỉnh Quảng Ninh) theo Giấy chứng nhận quyền sử dụng đất, quyền sở hữu tài sản khác gắn liền với đất số: AA 01462804, Số vào sổ cấp GCN: CN 00059 do Chi nhánh Văn phòng Đăng ký Đất đai Huyện Cô Tô cấp ngày 06/6/2025; chủ sử dụng đất là Ông Đồng Thanh Đăng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Hồng Hải, </w:t>
            </w:r>
            <w:r>
              <w:rPr>
                <w:rFonts w:ascii="Times New Roman" w:hAnsi="Times New Roman" w:eastAsia="Times New Roman" w:cs="Times New Roman"/>
                <w:color w:val="000000"/>
                <w:sz w:val="24"/>
              </w:rPr>
              <w:t xml:space="preserve">đặc khu Cô Tô</w:t>
            </w:r>
            <w:r>
              <w:rPr>
                <w:color w:val="000000" w:themeColor="text1"/>
                <w:lang w:val="pt-BR"/>
              </w:rPr>
              <w:t xml:space="preserve">,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20.991298, 107.7764335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rFonts w:ascii="Times New Roman" w:hAnsi="Times New Roman" w:eastAsia="Times New Roman" w:cs="Times New Roman"/>
                <w:color w:val="000000"/>
                <w:sz w:val="24"/>
              </w:rPr>
              <w:t xml:space="preserve">Ngày 14/05/2026.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 ngày 31/3/2026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4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khác gắn liền với đất số: AA 01462804, Số vào sổ cấp GCN: CN 00059 do Chi nhánh Văn phòng Đăng ký Đất đai Huyện Cô Tô cấp ngày 06/6/2025; chủ sử dụng đất là Ông Đồng Thanh Đăng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275/2026/0723/VFI-HĐTĐ.63.A  ngày 05/05/2026 giữa Ông Đồng Thanh Đăng với Công ty Cổ phần Thẩm định và Đầu tư Tài chính Hoa Sen.</w:t>
      </w:r>
      <w:r>
        <w:rPr>
          <w:b/>
          <w:lang w:val="pt-BR"/>
        </w:rPr>
      </w:r>
      <w:r>
        <w:rPr>
          <w:b/>
          <w:lang w:val="pt-BR"/>
        </w:rPr>
      </w:r>
    </w:p>
    <w:p>
      <w:pPr>
        <w:pStyle w:val="104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Đây là khu vự</w:t>
      </w:r>
      <w:r>
        <w:rPr>
          <w:shd w:val="clear" w:color="auto" w:fill="ffffff"/>
        </w:rPr>
        <w:t xml:space="preserve">c nằm ở phía Đông Bắc tỉnh Quảng Ninh, thuộc vùng vịnh Bắc Bộ và gồm hơn 50 đảo lớn nhỏ. Nhờ nằm gần các tuyến hàng hải quốc tế và gần những trung tâm kinh tế như Hải Phòng hay Móng Cái, Cô Tô có lợi thế lớn trong việc phát triển kinh tế biển, du lịch và g</w:t>
      </w:r>
      <w:r>
        <w:rPr>
          <w:shd w:val="clear" w:color="auto" w:fill="ffffff"/>
        </w:rPr>
        <w:t xml:space="preserve">iao thương. Đảo Cô Tô lớn hiện là trung tâm hành chính, du lịch và hạ tầng của toàn huyện. Theo bài viết, vị trí này không chỉ tạo điều kiện thu hút khách du lịch mà còn giúp gia tăng giá trị bất động sản trong tương lai.</w:t>
        <w:br/>
        <w:t xml:space="preserve">Một yếu tố quan trọng khác được nh</w:t>
      </w:r>
      <w:r>
        <w:rPr>
          <w:shd w:val="clear" w:color="auto" w:fill="ffffff"/>
        </w:rPr>
        <w:t xml:space="preserve">ấn mạnh là sự phát triển nhanh chóng của cơ sở hạ tầng. Trong những năm gần đây, hệ thống giao thông của huyện đảo đã được cải thiện đáng kể. Tuyến tàu cao tốc từ cảng Cái Rồng thuộc huyện Vân Đồn ra Cô Tô chỉ mất khoảng 90 phút, giúp việc di chuyển thuận </w:t>
      </w:r>
      <w:r>
        <w:rPr>
          <w:shd w:val="clear" w:color="auto" w:fill="ffffff"/>
        </w:rPr>
        <w:t xml:space="preserve">tiện hơn trước rất nhiều. Ngoài ra, hệ thống đường nội đảo, bến cảng và các công trình phục vụ dân sinh cũng được nâng cấp liên tục nhằm đáp ứng nhu cầu du lịch ngày càng tăng. Song song với hạ tầng giao thông, các dịch vụ như khách sạn, homestay, resort, </w:t>
      </w:r>
      <w:r>
        <w:rPr>
          <w:shd w:val="clear" w:color="auto" w:fill="ffffff"/>
        </w:rPr>
        <w:t xml:space="preserve">nhà hàng và khu vui chơi giải trí cũng phát triển mạnh. Điều này tạo nên sức hút lớn cho thị trường bất động sản nghỉ dưỡng tại địa phương.</w:t>
        <w:br/>
        <w:t xml:space="preserve">Sự bùng nổ của ngành du lịch là động lực chính thúc đẩy bất động sản Cô Tô phát triển. Với lợi thế sở hữu nhiều bãi </w:t>
      </w:r>
      <w:r>
        <w:rPr>
          <w:shd w:val="clear" w:color="auto" w:fill="ffffff"/>
        </w:rPr>
        <w:t xml:space="preserve">biển đẹp, nước biển trong xanh và hệ sinh thái tự nhiên phong phú, Cô Tô ngày càng thu hút lượng lớn du khách trong và ngoài nước. Theo thống kê được đề cập trong bài, năm 2023 huyện đảo đã đón hơn 300.000 lượt khách du lịch và dự kiến con số này sẽ tiếp t</w:t>
      </w:r>
      <w:r>
        <w:rPr>
          <w:shd w:val="clear" w:color="auto" w:fill="ffffff"/>
        </w:rPr>
        <w:t xml:space="preserve">ục tăng trong các năm tới. Khi lượng khách tăng, nhu cầu về lưu trú, nghỉ dưỡng, dịch vụ thương mại và vui chơi giải trí cũng tăng theo, kéo theo giá trị bất động sản đi lên. Đây được xem là cơ hội lớn cho các nhà đầu tư muốn đón đầu xu hướng phát triển du</w:t>
      </w:r>
      <w:r>
        <w:rPr>
          <w:shd w:val="clear" w:color="auto" w:fill="ffffff"/>
        </w:rPr>
        <w:t xml:space="preserve"> lịch biển đảo tại Việt Nam.</w:t>
        <w:br/>
        <w:t xml:space="preserve">Về giá bất động sản, mặt bằng giá tại Cô Tô đang có xu hướng tăng nhưng vẫn còn nhiều dư địa phát triển. Ở khu vực trung tâm huyện hoặc gần các điểm du lịch nổi tiếng như bãi biển Hồng Vàn hay bãi đá Cầu Mỵ, giá đất dao động kh</w:t>
      </w:r>
      <w:r>
        <w:rPr>
          <w:shd w:val="clear" w:color="auto" w:fill="ffffff"/>
        </w:rPr>
        <w:t xml:space="preserve">oảng 20–30 triệu đồng/m². Đối với những khu vực xa trung tâm hơn như xã Đồng Tiến hoặc Thanh Lân, giá mềm hơn, khoảng 10–15 triệu đồng/m², phù hợp với các nhà đầu tư dài hạn. Trong khi đó, đất ven biển có vị trí đẹp và tiềm năng khai thác du lịch cao có th</w:t>
      </w:r>
      <w:r>
        <w:rPr>
          <w:shd w:val="clear" w:color="auto" w:fill="ffffff"/>
        </w:rPr>
        <w:t xml:space="preserve">ể đạt mức 30–50 triệu đồng/m². Theo bài viết, dù mức giá hiện tại chưa cao bằng các khu vực phát triển mạnh như Hạ Long hay Vân Đồn, nhưng tiềm năng tăng giá trong tương lai được đánh giá khá lớn nhờ sự phát triển của du lịch và hạ tầng.</w:t>
        <w:br/>
        <w:t xml:space="preserve">Tuy nhiên, thị trư</w:t>
      </w:r>
      <w:r>
        <w:rPr>
          <w:shd w:val="clear" w:color="auto" w:fill="ffffff"/>
        </w:rPr>
        <w:t xml:space="preserve">ờng bất động sản Cô Tô vẫn tồn tại không ít thách thức. Thứ nhất là hệ thống hạ tầng dù đã được cải thiện nhưng chưa thật sự đồng bộ để đáp ứng tốc độ tăng trưởng mạnh của du lịch và dân cư. Thứ hai là vấn đề bảo vệ môi trường biển đảo. Vì Cô Tô sở hữu hệ </w:t>
      </w:r>
      <w:r>
        <w:rPr>
          <w:shd w:val="clear" w:color="auto" w:fill="ffffff"/>
        </w:rPr>
        <w:t xml:space="preserve">sinh thái tự nhiên quý giá nên việc phát triển bất động sản cần đi đôi với bảo tồn thiên nhiên và phát triển bền vững. Nếu khai thác quá mức có thể ảnh hưởng đến cảnh quan và sức hút du lịch của địa phương.</w:t>
        <w:br/>
        <w:t xml:space="preserve">Tóm lại, huyện đảo Cô Tô là một thị trường bất độ</w:t>
      </w:r>
      <w:r>
        <w:rPr>
          <w:shd w:val="clear" w:color="auto" w:fill="ffffff"/>
        </w:rPr>
        <w:t xml:space="preserve">ng sản giàu tiềm năng nhờ hội tụ nhiều yếu tố thuận lợi như vị trí chiến lược, cảnh quan thiên nhiên đẹp, sự phát triển mạnh của du lịch và hạ tầng giao thông ngày càng hoàn thiện. Dù vẫn tồn tại những thách thức nhất định về hạ tầng, môi trường và thanh k</w:t>
      </w:r>
      <w:r>
        <w:rPr>
          <w:shd w:val="clear" w:color="auto" w:fill="ffffff"/>
        </w:rPr>
        <w:t xml:space="preserve">hoản, nhưng với định hướng phát triển dài hạn của tỉnh Quảng Ninh cùng sự tham gia của nhiều tập đoàn lớn, Cô Tô được kỳ vọng sẽ trở thành một trong những điểm đến đầu tư hấp dẫn của khu vực Đông Bắc trong những năm tới. Đây có thể là cơ hội đáng cân nhắc </w:t>
      </w:r>
      <w:r>
        <w:rPr>
          <w:shd w:val="clear" w:color="auto" w:fill="ffffff"/>
        </w:rPr>
        <w:t xml:space="preserve">cho những nhà đầu tư muốn tìm kiếm thị trường mới có tiềm năng tăng trưởng dài hạn và gắn liền với xu hướng phát triển du lịch nghỉ dưỡng biển đảo tại Việt Nam.</w:t>
        <w:br/>
        <w:t xml:space="preserve">(Nguồn: https://onehousing.vn/blog/tiem-nang-bat-dong-san-khu-vuc-huyen-co-to-quang-ninh-n17t).</w:t>
      </w:r>
      <w:r>
        <w:rPr>
          <w:i/>
          <w:iCs/>
          <w:lang w:val="pt-BR"/>
        </w:rPr>
      </w:r>
      <w:r>
        <w:rPr>
          <w:i/>
          <w:iCs/>
          <w:lang w:val="pt-BR"/>
        </w:rPr>
      </w:r>
    </w:p>
    <w:p>
      <w:pPr>
        <w:pStyle w:val="104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3, tờ bản đồ số: 02, có địa chỉ: Thôn Đồng Hải, xã Đồng Tiến, huyện Cô Tô, tỉnh Quảng Ninh (nay là Đặc khu Cô Tô, tỉnh Quảng Ninh) theo Giấy chứng nhận quyền sử dụng đất, quyền sở hữu tài sản k</w:t>
            </w:r>
            <w:r>
              <w:rPr>
                <w:rFonts w:ascii="Times New Roman" w:hAnsi="Times New Roman" w:eastAsia="Times New Roman" w:cs="Times New Roman"/>
                <w:b/>
                <w:color w:val="000000"/>
                <w:sz w:val="24"/>
              </w:rPr>
              <w:t xml:space="preserve">hác gắn liền với đất số: AA 01462804, số vào sổ cấp GCN: CN 00059 do Chi nhánh Văn phòng Đăng ký Đất đai Huyện Cô Tô cấp ngày 06/6/2025; chủ sử dụng đất là Ông Đồng Thanh Đăng.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Đồng Hải, xã Đồng Tiến, huyện Cô Tô, tỉnh Quảng Ninh (nay là Đặc khu Cô Tô, tỉnh Quảng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16171,5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400m2</w:t>
              <w:br/>
              <w:t xml:space="preserve"> Đất trồng cây lâu năm: 3.626m2</w:t>
              <w:br/>
              <w:t xml:space="preserve"> Đất trồng cây hàng năm: 12.145,5m2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Lâu dài</w:t>
              <w:br/>
              <w:t xml:space="preserve"> Đất trồng cây lâu năm: Đến ngày 14/10/2043</w:t>
              <w:br/>
              <w:t xml:space="preserve"> Đất trồng cây hàng năm: 15/10/2063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Cấp đổi GCN QSDĐ, QSH nhà ở và tài sản khác gắn liền với đất số seri CĐ 186191, cấp ngày 23/10/2017, số vào sổ cấp GCN: CH 1367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đường Hồng Vàn khoảng 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đường bê tông</w:t>
              <w:br/>
              <w:t xml:space="preserve"> Hướng Tây: tiếp giáp bờ biển </w:t>
              <w:br/>
              <w:t xml:space="preserve"> 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(20,991298, 107,7764335)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4305300" cy="20955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48069" name=""/>
                              <pic:cNvPicPr>
                                <a:picLocks noChangeAspect="1"/>
                              </pic:cNvPicPr>
                              <pic:nvPr/>
                            </pic:nvPicPr>
                            <pic:blipFill rotWithShape="1">
                              <a:blip r:embed="rId17"/>
                              <a:stretch/>
                            </pic:blipFill>
                            <pic:spPr bwMode="auto">
                              <a:xfrm>
                                <a:off x="0" y="0"/>
                                <a:ext cx="4305299"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9.00pt;height:165.00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16171,5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tiếp giáp đường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 Đông Bắc: tiếp giáp đường bê tông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 Tây: tiếp giáp bờ biển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bl>
    <w:p>
      <w:pPr>
        <w:pBdr/>
        <w:spacing w:line="235" w:lineRule="auto"/>
        <w:ind w:left="646"/>
        <w:jc w:val="both"/>
        <w:rPr>
          <w:u w:val="single"/>
        </w:rPr>
      </w:pPr>
      <w:r>
        <w:rPr>
          <w:u w:val="single"/>
        </w:rPr>
      </w:r>
      <w:r>
        <w:rPr>
          <w:u w:val="single"/>
        </w:rPr>
      </w:r>
      <w:r>
        <w:rPr>
          <w:u w:val="single"/>
        </w:rPr>
      </w:r>
    </w:p>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rPr>
        <w:t xml:space="preserve">Thông tin công trình trên đất:</w:t>
      </w:r>
      <w:r/>
    </w:p>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rPr>
        <w:t xml:space="preserve"> </w:t>
      </w:r>
      <w:r/>
    </w:p>
    <w:tbl>
      <w:tblPr>
        <w:tblStyle w:val="1051"/>
        <w:tblInd w:w="0" w:type="dxa"/>
        <w:tblW w:w="5029"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3685"/>
        <w:gridCol w:w="3402"/>
        <w:gridCol w:w="1418"/>
        <w:gridCol w:w="57"/>
      </w:tblGrid>
      <w:tr>
        <w:trPr>
          <w:trHeight w:val="51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68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Kết cấu</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Tổng diện tích sàn (m</w:t>
            </w:r>
            <w:r>
              <w:rPr>
                <w:rFonts w:ascii="Times New Roman" w:hAnsi="Times New Roman" w:eastAsia="Times New Roman" w:cs="Times New Roman"/>
                <w:b/>
                <w:color w:val="000000"/>
                <w:sz w:val="18"/>
                <w:vertAlign w:val="superscript"/>
              </w:rPr>
              <w:t xml:space="preserve">2</w:t>
            </w:r>
            <w:r>
              <w:rPr>
                <w:rFonts w:ascii="Times New Roman" w:hAnsi="Times New Roman" w:eastAsia="Times New Roman" w:cs="Times New Roman"/>
                <w:b/>
                <w:color w:val="000000"/>
                <w:sz w:val="22"/>
              </w:rPr>
              <w:t xml:space="preserve">)</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23 căn bungalow gỗ vệ sinh khép kín, 28m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Khung thép ốp gỗ thông, phòng vệ sinh tường bê tông, ốp lát gạch, mái tôn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644</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 căn bungalow gỗ vệ sinh khép kín, 35m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Khung thép ốp gỗ thông, phòng vệ sinh tường bê tông, ốp lát gạch, mái tôn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10 căn bungalow nhôm kính vệ sinh khép kín, 26m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Tường gạch mái tôn, bọc nhôm kính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7 căn bugalow vip diện tích, 45m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Khung thép mái tôn cách nhiệt và dán nhựa chống nóng, ốp gỗ</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lễ tân và hệ thống nhà hàng, 2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thép kết cấu ốp gỗ toàn phần, cột gỗ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9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ở nhân viên, kho hàng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Khung xương thép ốp tôn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bl>
    <w:p>
      <w:pPr>
        <w:pBdr/>
        <w:spacing w:line="235" w:lineRule="auto"/>
        <w:ind w:left="646"/>
        <w:jc w:val="both"/>
        <w:rPr>
          <w:u w:val="single"/>
        </w:rPr>
      </w:pPr>
      <w:r>
        <w:rPr>
          <w:u w:val="single"/>
        </w:rPr>
      </w:r>
      <w:r>
        <w:rPr>
          <w:u w:val="single"/>
        </w:rPr>
      </w:r>
      <w:r>
        <w:rPr>
          <w:u w:val="single"/>
        </w:rPr>
      </w:r>
    </w:p>
    <w:p>
      <w:pPr>
        <w:pStyle w:val="104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color w:val="000000" w:themeColor="text1"/>
        </w:rPr>
      </w:pPr>
      <w:r>
        <w:rPr>
          <w:rFonts w:ascii="Times New Roman" w:hAnsi="Times New Roman" w:eastAsia="Times New Roman" w:cs="Times New Roman"/>
          <w:color w:val="000000" w:themeColor="text1"/>
          <w:sz w:val="24"/>
        </w:rPr>
        <w:t xml:space="preserve">Tổ thẩm định thực hiện ước tính giá trị quyền sử dụng ở với diện tích 400m2, do sơ đồ thửa đất không thể hiện vị trí phần đất ở, tổ thẩm định giả định phần diện tích này có mặt tiền 5m, hình dáng tương đối vuông vức, không tiếp giáp biển.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0"/>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51"/>
        <w:tblInd w:w="0" w:type="dxa"/>
        <w:tblW w:w="5193"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1559"/>
        <w:gridCol w:w="1701"/>
        <w:gridCol w:w="1843"/>
        <w:gridCol w:w="57"/>
        <w:gridCol w:w="1928"/>
        <w:gridCol w:w="152"/>
        <w:gridCol w:w="1691"/>
        <w:gridCol w:w="367"/>
      </w:tblGrid>
      <w:tr>
        <w:trPr>
          <w:gridAfter w:val="1"/>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hanging="198" w:left="0"/>
              <w:jc w:val="center"/>
              <w:rPr/>
            </w:pPr>
            <w:r>
              <w:rPr>
                <w:rFonts w:ascii="Times New Roman" w:hAnsi="Times New Roman" w:eastAsia="Times New Roman" w:cs="Times New Roman"/>
                <w:b/>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Thanh Lân, đặc khu Cô Tô, tỉnh Quảng Ninh</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Thanh Lân, đặc khu Cô Tô, tỉnh Quảng Ninh</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https://batdongsan.com.vn/ban-dat-xa-dong-tien-12/can-ban-at-full-tho-cu-mat-doc-tuyen-uong-bai-bien-tinh-yeu-pr45693778?gidzl=wDzw6h_HHI7Wn78QkSP78EF9SHYZn4PthffpIlQK5t6gctCUzfT5TgxA8Hpqmnzq_C5zGJTkEmOCij5B90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t xml:space="preserve">L</w:t>
            </w:r>
            <w:hyperlink r:id="rId18" w:tooltip="https://alonhadat.com.vn/can-ban-gap-102m-dat-tho-cu-ha-huy-tap-gia-lam-o-to-tranh-ngo-thong-16272398.html" w:history="1">
              <w:r>
                <w:rPr>
                  <w:rStyle w:val="1037"/>
                  <w:rFonts w:ascii="Times New Roman" w:hAnsi="Times New Roman" w:eastAsia="Times New Roman" w:cs="Times New Roman"/>
                  <w:color w:val="000000"/>
                  <w:sz w:val="22"/>
                  <w:u w:val="none"/>
                </w:rPr>
                <w:t xml:space="preserve">iên hệ trực tiếp</w:t>
              </w:r>
            </w:hyperlink>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t xml:space="preserve">L</w:t>
            </w:r>
            <w:hyperlink r:id="rId19" w:tooltip="https://alonhadat.com.vn/can-ban-gap-102m-dat-tho-cu-ha-huy-tap-gia-lam-o-to-tranh-ngo-thong-16272398.html" w:history="1">
              <w:r>
                <w:rPr>
                  <w:rStyle w:val="1037"/>
                  <w:rFonts w:ascii="Times New Roman" w:hAnsi="Times New Roman" w:eastAsia="Times New Roman" w:cs="Times New Roman"/>
                  <w:color w:val="000000"/>
                  <w:sz w:val="22"/>
                  <w:u w:val="none"/>
                </w:rPr>
                <w:t xml:space="preserve">iên hệ trực tiếp</w:t>
              </w:r>
            </w:hyperlink>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0969628579</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0969663889</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0969663889</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5/2026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5/2026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5/2026</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nhánh đường Hồng Vàn, đường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19/5</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nhánh của đường Lê Lợi, đường thông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nhánh của đường Lê Lợi, đường thông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5m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 1 bên – rộng 8m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có vỉa hè 2 bên – rộng 5m</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có vỉa hè 2 bên – rộng 5m</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125,98</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313,5</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13,31</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mặt tiền/diện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0,04</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gridAfter w:val="1"/>
          <w:trHeight w:val="3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r>
            <w:r>
              <w:rPr>
                <w:rFonts w:ascii="Times New Roman" w:hAnsi="Times New Roman" w:eastAsia="Times New Roman" w:cs="Times New Roman"/>
                <w:color w:val="000000" w:themeColor="text1"/>
                <w:sz w:val="22"/>
                <w:highlight w:val="white"/>
              </w:rPr>
              <w:t xml:space="preserve">16</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nhìn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nhìn biển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Nhìn biển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Nhìn biển</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1</w:t>
            </w:r>
            <w:r>
              <w:rPr>
                <w:rFonts w:ascii="Times New Roman" w:hAnsi="Times New Roman" w:eastAsia="Times New Roman" w:cs="Times New Roman"/>
                <w:color w:val="000000" w:themeColor="text1"/>
                <w:sz w:val="22"/>
                <w:highlight w:val="none"/>
              </w:rPr>
              <w:t xml:space="preserve">7</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none"/>
              </w:rPr>
              <w:t xml:space="preserve">18</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none"/>
              </w:rPr>
              <w:t xml:space="preserve">19</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4.422.000.000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2.519.600.000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6.270.000.000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none"/>
              </w:rPr>
              <w:t xml:space="preserve">20</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w:t>
            </w:r>
            <w:r>
              <w:rPr>
                <w:rFonts w:ascii="Times New Roman" w:hAnsi="Times New Roman" w:eastAsia="Times New Roman" w:cs="Times New Roman"/>
                <w:color w:val="000000" w:themeColor="text1"/>
                <w:sz w:val="22"/>
                <w:highlight w:val="none"/>
              </w:rPr>
              <w:t xml:space="preserve">1</w:t>
            </w:r>
            <w:r>
              <w:rPr>
                <w:color w:val="000000" w:themeColor="text1"/>
                <w:highlight w:val="white"/>
              </w:rPr>
            </w:r>
            <w:r>
              <w:rPr>
                <w:color w:val="000000" w:themeColor="text1"/>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3.980.000,000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2.270.000.000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5.640.000.000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3.980.000,000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2.270.000.000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5.640.000.000</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19.800.995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18.018.733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17.990.431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0"/>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1059"/>
        <w:gridCol w:w="23753"/>
        <w:gridCol w:w="19602"/>
        <w:gridCol w:w="22230"/>
        <w:gridCol w:w="24052"/>
        <w:gridCol w:w="23753"/>
        <w:gridCol w:w="23276"/>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5.640.000.000</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19.800.995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17.990.431</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207"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4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19.800.995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17.990.431 </w:t>
            </w:r>
            <w:r/>
          </w:p>
        </w:tc>
      </w:tr>
      <w:tr>
        <w:trPr>
          <w:trHeight w:val="65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r>
      <w:tr>
        <w:trPr>
          <w:trHeight w:val="47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7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19.800.995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17.990.431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r>
      <w:tr>
        <w:trPr>
          <w:trHeight w:val="58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47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4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19.800.995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17.990.431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nhánh đường Hồng Vàn, đường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19/5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nhánh của đường Lê Lợi, đường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nhánh của đường Lê Lợi, đường thông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-3.960.199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-2.702.810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-2.698.565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15.840.796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15.315.923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15.291.866 </w:t>
            </w:r>
            <w:r/>
          </w:p>
        </w:tc>
      </w:tr>
      <w:tr>
        <w:trPr>
          <w:trHeight w:val="10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Đường bê tông 5m (Không có vỉa hè)</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Đường nhựa có vỉa hè 1 bên – rộng 8m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Đường bê tông có vỉa hè 2 bên – rộng 5m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Đường bê tông có vỉa hè 2 bên – rộng 5m</w:t>
            </w:r>
            <w:r>
              <w:rPr>
                <w:b/>
                <w:bCs/>
              </w:rPr>
            </w:r>
            <w:r>
              <w:rPr>
                <w:b/>
                <w:bCs/>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-2.970.149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-1.441.499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-1.439.234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12.870.647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13.874.425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13.852.632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313,50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-2.162.248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-1.439.234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10.890.547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11.712.177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12.413.397 </w:t>
            </w:r>
            <w:r/>
          </w:p>
        </w:tc>
      </w:tr>
      <w:tr>
        <w:trPr>
          <w:trHeight w:val="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mặt tiền/diện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0,04</w:t>
            </w:r>
            <w:r/>
          </w:p>
        </w:tc>
      </w:tr>
      <w:tr>
        <w:trPr>
          <w:trHeight w:val="34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35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-1.980.100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-1.801.873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-1.799.043 </w:t>
            </w:r>
            <w:r/>
          </w:p>
        </w:tc>
      </w:tr>
      <w:tr>
        <w:trPr>
          <w:trHeight w:val="34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8.910.448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9.910.303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10.614.354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8.910.448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9.910.303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10.614.354 </w:t>
            </w:r>
            <w:r/>
          </w:p>
        </w:tc>
      </w:tr>
      <w:tr>
        <w:trPr>
          <w:trHeight w:val="6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Tương đối vuông vức</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Hình chữ nhật</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Vuông vức</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Tương đối vuông vức</w:t>
            </w:r>
            <w:r>
              <w:rPr>
                <w:b/>
                <w:bCs/>
              </w:rPr>
            </w:r>
            <w:r>
              <w:rPr>
                <w:b/>
                <w:bCs/>
              </w:rP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8.910.448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9.910.303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10.614.354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nhìn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nhìn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Nhìn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Nhìn biển</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-2.702.810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-2.698.565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8.910.448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7.207.493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7.915.789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8.910.448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7.207.493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7.915.789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0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8.011.243</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10.890.547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10.811.240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10.074.641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0%-15%</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10.890.547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10.811.240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10.074.641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-10,0% đến 11,2%,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highlight w:val="none"/>
        </w:rPr>
      </w:r>
      <w:r>
        <w:rPr>
          <w:rFonts w:ascii="Times New Roman" w:hAnsi="Times New Roman" w:eastAsia="Times New Roman" w:cs="Times New Roman"/>
          <w:i/>
          <w:color w:val="000000"/>
          <w:sz w:val="24"/>
          <w:highlight w:val="none"/>
        </w:rPr>
      </w:r>
      <w:r/>
    </w:p>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highlight w:val="none"/>
        </w:rPr>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Đơn vị tính: Đồng/m²</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389"/>
        <w:gridCol w:w="37791"/>
        <w:gridCol w:w="24201"/>
        <w:gridCol w:w="36417"/>
        <w:gridCol w:w="36388"/>
      </w:tblGrid>
      <w:tr>
        <w:trPr>
          <w:trHeight w:val="8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8.910.448</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2.969.852</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7.207.493</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2.402.258</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7.915.789</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2.638.333</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8.010.442</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8.000.000 đồng/m².</w:t>
      </w:r>
      <w:r>
        <w:rPr>
          <w:rFonts w:ascii="Times New Roman" w:hAnsi="Times New Roman" w:eastAsia="Times New Roman" w:cs="Times New Roman"/>
          <w:sz w:val="24"/>
        </w:rPr>
      </w:r>
      <w:r/>
    </w:p>
    <w:p>
      <w:pPr>
        <w:pStyle w:val="1047"/>
        <w:numPr>
          <w:ilvl w:val="0"/>
          <w:numId w:val="26"/>
        </w:numPr>
        <w:pBdr/>
        <w:spacing w:after="120" w:before="120" w:line="276" w:lineRule="auto"/>
        <w:ind w:hanging="357" w:left="357"/>
        <w:jc w:val="both"/>
        <w:rPr>
          <w:b/>
          <w:bCs/>
        </w:rPr>
      </w:pPr>
      <w:r>
        <w:rPr>
          <w:b/>
          <w:bCs/>
        </w:rPr>
        <w:t xml:space="preserve">Xác định đơn giá đất hỗn hợp</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 </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935"/>
        <w:gridCol w:w="1502"/>
        <w:gridCol w:w="1701"/>
        <w:gridCol w:w="1843"/>
        <w:gridCol w:w="1843"/>
        <w:gridCol w:w="1702"/>
      </w:tblGrid>
      <w:tr>
        <w:trPr>
          <w:trHeight w:val="3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TSSS4</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TSSS5</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TSSS6</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115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w:t>
            </w:r>
            <w:r/>
          </w:p>
        </w:tc>
      </w:tr>
      <w:tr>
        <w:trPr>
          <w:trHeight w:val="2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https://alonhadat.com.vn/chuyen-nhuong-khu-resort-2-mat-bien-o-bai-vung-tien-co-to-qn-gia-re-119-ty--17360198.html</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https://batdongsan.com.vn/ban-trang-trai-khu-nghi-duong-xa-dong-tien-12/khong-co-ieu-kien-quan-ly-nen-chu-nha-can-ban-cao-lh-anh-thuy-pr45707671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t xml:space="preserve">https://alonhadat.com.vn/chuyen-nhuong-khu-resort-2-mat-bien-o-bai-vung-tien-co-to-qn-gia-re-119-ty--17360198.html</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0936.324.898</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Kiểm Lê)</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0933226688</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Anh Thủy)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0936.324.898</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Kiểm Lê)</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2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400m, Đất CLN: 3626m, Đất cây hàng năm: 12145,5m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lâu năm (4770,4m²), Đất ở nông thôn (400m²)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(350m²), Đất trồng cây lâu năm (5376,1m²)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trồng cây hàng năm khác (2949,8m²)</w:t>
            </w:r>
            <w:r/>
          </w:p>
        </w:tc>
      </w:tr>
      <w:tr>
        <w:trPr>
          <w:trHeight w:val="71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cách biển Bắc Vàn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Vũng Tiên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Vàn Chảy</w:t>
            </w:r>
            <w:r/>
          </w:p>
        </w:tc>
      </w:tr>
      <w:tr>
        <w:trPr>
          <w:trHeight w:val="8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  khoảng 4m</w:t>
            </w:r>
            <w:r/>
          </w:p>
        </w:tc>
      </w:tr>
      <w:tr>
        <w:trPr>
          <w:trHeight w:val="49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5170,4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5726,1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2949,8</w:t>
            </w:r>
            <w:r/>
          </w:p>
        </w:tc>
      </w:tr>
      <w:tr>
        <w:trPr>
          <w:trHeight w:val="49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49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đất ở/tổng diện tích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w:t>
            </w:r>
            <w:r/>
          </w:p>
        </w:tc>
      </w:tr>
      <w:tr>
        <w:trPr>
          <w:trHeight w:val="28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tiếp giáp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Khoảng 65m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Khoảng 50m</w:t>
            </w:r>
            <w:r/>
          </w:p>
        </w:tc>
      </w:tr>
      <w:tr>
        <w:trPr>
          <w:trHeight w:val="28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tiếp giáp biển</w:t>
            </w:r>
            <w:r/>
          </w:p>
        </w:tc>
      </w:tr>
      <w:tr>
        <w:trPr>
          <w:trHeight w:val="52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Điều chỉnh cho đất trống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 phải đầu tư để có thể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Trên đất đã có sẵn hạ tầng nhà cửa để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 phải đầu tư để có thể kinh doanh</w:t>
            </w:r>
            <w:r>
              <w:rPr>
                <w:color w:val="000000" w:themeColor="text1"/>
              </w:rPr>
            </w:r>
            <w:r>
              <w:rPr>
                <w:color w:val="000000" w:themeColor="text1"/>
              </w:rP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57.261.000.000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38.000.000.000</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26.600.000.000</w:t>
            </w:r>
            <w:r/>
          </w:p>
        </w:tc>
      </w:tr>
      <w:tr>
        <w:trPr>
          <w:trHeight w:val="34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26.600.000.000</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4.351.694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9.017.561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tiếp giáp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đất ở/tổng diện tích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000"/>
        <w:gridCol w:w="26620"/>
        <w:gridCol w:w="19542"/>
        <w:gridCol w:w="22379"/>
        <w:gridCol w:w="23753"/>
        <w:gridCol w:w="22379"/>
        <w:gridCol w:w="22052"/>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26.600.000.000</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4.351.694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9.017.561</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4.351.694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9.017.561</w:t>
            </w:r>
            <w:r/>
          </w:p>
        </w:tc>
      </w:tr>
      <w:tr>
        <w:trPr>
          <w:trHeight w:val="12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cách biển Bắc Vàn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Vũng Tiên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Đảo Cô Tô, đặc khu Cô Tô, tỉnh Quảng Ninh, tiếp giáp biển Vàn Chảy</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4.351.694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9.017.561</w:t>
            </w:r>
            <w:r/>
          </w:p>
        </w:tc>
      </w:tr>
      <w:tr>
        <w:trPr>
          <w:trHeight w:val="10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rộng 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 khoảng 4m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4.351.694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9.017.561</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16171,50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5170,40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5726,10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2949.80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-870.339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-1.799.829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-3.607.024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3.481.355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7.199.315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5.410.536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tiếp giáp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50m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-348.136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-899.914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-721.405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3.133.220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6.299.401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4.689.131 </w:t>
            </w:r>
            <w:r/>
          </w:p>
        </w:tc>
      </w:tr>
      <w:tr>
        <w:trPr>
          <w:trHeight w:val="1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tiếp giáp biển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tiếp giáp biển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4.438.728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6.299.401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4.689.131 </w:t>
            </w:r>
            <w:r/>
          </w:p>
        </w:tc>
      </w:tr>
      <w:tr>
        <w:trPr>
          <w:trHeight w:val="6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4.438.728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6.299.401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4.689.131 </w:t>
            </w:r>
            <w:r/>
          </w:p>
        </w:tc>
      </w:tr>
      <w:tr>
        <w:trPr>
          <w:trHeight w:val="8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Yến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Điều chỉnh cho đất trống</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Đất trống phải đầu tư để có thể kinh doanh</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Trên đất đã có sẵn hạ tầng nhà cửa để kinh doanh</w:t>
            </w:r>
            <w:r>
              <w:rPr>
                <w:b/>
                <w:bCs/>
                <w:color w:val="000000" w:themeColor="text1"/>
              </w:rPr>
            </w:r>
            <w:r>
              <w:rPr>
                <w:b/>
                <w:bCs/>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Đất trống phải đầu tư để có thể kinh doanh</w:t>
            </w:r>
            <w:r>
              <w:rPr>
                <w:b/>
                <w:bCs/>
              </w:rPr>
            </w:r>
            <w:r>
              <w:rPr>
                <w:b/>
                <w:bCs/>
              </w:rP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-1.349.872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4.438.728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4.949.529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4.689.131</w:t>
            </w:r>
            <w:r/>
          </w:p>
        </w:tc>
      </w:tr>
      <w:tr>
        <w:trPr>
          <w:trHeight w:val="6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ở/tổng diện tích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-217.585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-449.957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450.878 </w:t>
            </w:r>
            <w:r/>
          </w:p>
        </w:tc>
      </w:tr>
      <w:tr>
        <w:trPr>
          <w:trHeight w:val="28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4.221.143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4.499.572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5.140.009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4.221.143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4.499.572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5.140.009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4.620.242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2.741.567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4.499.572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4.779.307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r>
      <w:tr>
        <w:trPr>
          <w:trHeight w:val="2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0%-40%</w:t>
            </w:r>
            <w:r/>
          </w:p>
        </w:tc>
      </w:tr>
      <w:tr>
        <w:trPr>
          <w:trHeight w:val="5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130.551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4.499.572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5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3.877.551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-8,6% đến 11,2%,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389"/>
        <w:gridCol w:w="37791"/>
        <w:gridCol w:w="24201"/>
        <w:gridCol w:w="36417"/>
        <w:gridCol w:w="36388"/>
      </w:tblGrid>
      <w:tr>
        <w:trPr>
          <w:trHeight w:val="8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4.221.143 </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1.407.048</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4.499.572 </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1.499.857</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13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77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42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5.140.009 </w:t>
            </w:r>
            <w:r/>
          </w:p>
        </w:tc>
        <w:tc>
          <w:tcPr>
            <w:tcBorders>
              <w:bottom w:val="single" w:color="000000" w:sz="8" w:space="0"/>
              <w:right w:val="single" w:color="000000" w:sz="8" w:space="0"/>
            </w:tcBorders>
            <w:tcMar>
              <w:left w:w="108" w:type="dxa"/>
              <w:top w:w="0" w:type="dxa"/>
              <w:right w:w="108" w:type="dxa"/>
              <w:bottom w:w="0" w:type="dxa"/>
            </w:tcMar>
            <w:tcW w:w="36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1.713.336</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4.620.242</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108" w:type="dxa"/>
              <w:top w:w="0" w:type="dxa"/>
              <w:right w:w="108" w:type="dxa"/>
              <w:bottom w:w="0" w:type="dxa"/>
            </w:tcMar>
            <w:tcW w:w="363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4.600.000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4.600.000 đồng/m².</w:t>
      </w:r>
      <w:r/>
    </w:p>
    <w:p>
      <w:pPr>
        <w:pStyle w:val="1047"/>
        <w:numPr>
          <w:ilvl w:val="0"/>
          <w:numId w:val="26"/>
        </w:numPr>
        <w:pBdr/>
        <w:spacing w:after="120" w:before="120" w:line="276" w:lineRule="auto"/>
        <w:ind w:hanging="357" w:left="357"/>
        <w:jc w:val="both"/>
        <w:rPr>
          <w:b/>
          <w:bCs/>
          <w:lang w:val="pt-BR"/>
          <w14:ligatures w14:val="none"/>
        </w:rPr>
      </w:pPr>
      <w:r>
        <w:rPr>
          <w:b/>
          <w:bCs/>
          <w:lang w:val="pt-BR"/>
        </w:rPr>
        <w:t xml:space="preserve">Xác định đơn giá đất trồng cây: </w:t>
      </w:r>
      <w:r>
        <w:rPr>
          <w:b/>
          <w:bCs/>
          <w:lang w:val="pt-BR"/>
          <w14:ligatures w14:val="none"/>
        </w:rPr>
      </w:r>
      <w:r>
        <w:rPr>
          <w:b/>
          <w:bCs/>
          <w:lang w:val="pt-BR"/>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Sau khi xác định đơn giá đất ở và đất hỗn hợp của thửa đất, ta có:</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Tổng giá trị đất ở của thửa đất là</w:t>
      </w:r>
      <w:r>
        <w:rPr>
          <w:rFonts w:ascii="Times New Roman" w:hAnsi="Times New Roman" w:eastAsia="Times New Roman" w:cs="Times New Roman"/>
          <w:b/>
          <w:color w:val="000000"/>
          <w:sz w:val="24"/>
        </w:rPr>
        <w:t xml:space="preserve">: 8.000.000 x 400 = 3.200.000.000 đồng.</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Tổng giá trị của thửa đất là: </w:t>
      </w:r>
      <w:r>
        <w:rPr>
          <w:rFonts w:ascii="Times New Roman" w:hAnsi="Times New Roman" w:eastAsia="Times New Roman" w:cs="Times New Roman"/>
          <w:b/>
          <w:color w:val="000000"/>
          <w:sz w:val="24"/>
        </w:rPr>
        <w:t xml:space="preserve">4.600.000 x 16171,5 = 74.388.900.000 đồng.</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Tổng giá trị của phần đất trồng cây là: Tổng giá trị của thửa đất – Tổng giá trị đất ở của thửa đất = </w:t>
      </w:r>
      <w:r>
        <w:rPr>
          <w:rFonts w:ascii="Times New Roman" w:hAnsi="Times New Roman" w:eastAsia="Times New Roman" w:cs="Times New Roman"/>
          <w:b/>
          <w:color w:val="000000"/>
          <w:sz w:val="24"/>
        </w:rPr>
        <w:t xml:space="preserve">71.188.900.000 đồng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Suy ra, đơn giá đất trồng cây của 15711,5m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còn lại là: </w:t>
      </w:r>
      <w:r>
        <w:rPr>
          <w:rFonts w:ascii="Times New Roman" w:hAnsi="Times New Roman" w:eastAsia="Times New Roman" w:cs="Times New Roman"/>
          <w:b/>
          <w:color w:val="000000"/>
          <w:sz w:val="24"/>
        </w:rPr>
        <w:t xml:space="preserve">4.513.769</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w:t>
      </w:r>
      <w:r>
        <w:rPr>
          <w:rFonts w:ascii="Times New Roman" w:hAnsi="Times New Roman" w:eastAsia="Times New Roman" w:cs="Times New Roman"/>
          <w:b/>
          <w:color w:val="000000"/>
          <w:sz w:val="20"/>
          <w:vertAlign w:val="superscript"/>
        </w:rPr>
        <w:t xml:space="preserve">2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rFonts w:ascii="Times New Roman" w:hAnsi="Times New Roman" w:eastAsia="Times New Roman" w:cs="Times New Roman"/>
          <w:b/>
          <w:bCs/>
          <w:color w:val="000000"/>
          <w:sz w:val="20"/>
          <w:szCs w:val="20"/>
          <w:highlight w:val="none"/>
          <w:vertAlign w:val="superscript"/>
        </w:rPr>
      </w:pPr>
      <w:r>
        <w:rPr>
          <w:rFonts w:ascii="Times New Roman" w:hAnsi="Times New Roman" w:eastAsia="Times New Roman" w:cs="Times New Roman"/>
          <w:color w:val="000000"/>
          <w:sz w:val="24"/>
        </w:rPr>
        <w:t xml:space="preserve">Làm tròn: </w:t>
      </w:r>
      <w:r>
        <w:rPr>
          <w:rFonts w:ascii="Times New Roman" w:hAnsi="Times New Roman" w:eastAsia="Times New Roman" w:cs="Times New Roman"/>
          <w:b/>
          <w:color w:val="000000"/>
          <w:sz w:val="24"/>
        </w:rPr>
        <w:t xml:space="preserve">4.500.000 đồng/m</w:t>
      </w:r>
      <w:r>
        <w:rPr>
          <w:rFonts w:ascii="Times New Roman" w:hAnsi="Times New Roman" w:eastAsia="Times New Roman" w:cs="Times New Roman"/>
          <w:b/>
          <w:color w:val="000000"/>
          <w:sz w:val="20"/>
          <w:vertAlign w:val="superscript"/>
        </w:rPr>
        <w:t xml:space="preserve">2 </w:t>
      </w:r>
      <w:r>
        <w:rPr>
          <w:rFonts w:ascii="Times New Roman" w:hAnsi="Times New Roman" w:eastAsia="Times New Roman" w:cs="Times New Roman"/>
          <w:b/>
          <w:bCs/>
          <w:color w:val="000000"/>
          <w:sz w:val="20"/>
          <w:szCs w:val="20"/>
          <w:highlight w:val="none"/>
          <w:vertAlign w:val="superscript"/>
        </w:rPr>
      </w:r>
      <w:r>
        <w:rPr>
          <w:rFonts w:ascii="Times New Roman" w:hAnsi="Times New Roman" w:eastAsia="Times New Roman" w:cs="Times New Roman"/>
          <w:b/>
          <w:bCs/>
          <w:color w:val="000000"/>
          <w:sz w:val="20"/>
          <w:szCs w:val="20"/>
          <w:highlight w:val="none"/>
          <w:vertAlign w:val="superscript"/>
        </w:rPr>
      </w:r>
    </w:p>
    <w:p>
      <w:pPr>
        <w:pStyle w:val="1047"/>
        <w:numPr>
          <w:ilvl w:val="0"/>
          <w:numId w:val="26"/>
        </w:numPr>
        <w:pBdr>
          <w:top w:val="none" w:color="000000" w:sz="4" w:space="0"/>
          <w:left w:val="none" w:color="000000" w:sz="4" w:space="0"/>
          <w:bottom w:val="none" w:color="000000" w:sz="4" w:space="0"/>
          <w:right w:val="none" w:color="000000" w:sz="4" w:space="0"/>
        </w:pBdr>
        <w:spacing w:after="120" w:before="120" w:line="276" w:lineRule="auto"/>
        <w:ind w:hanging="357" w:left="357"/>
        <w:jc w:val="both"/>
        <w:rPr>
          <w:b/>
          <w:bCs/>
          <w:lang w:val="pt-BR"/>
          <w14:ligatures w14:val="none"/>
        </w:rPr>
      </w:pPr>
      <w:r>
        <w:rPr>
          <w:b/>
          <w:bCs/>
          <w:lang w:val="pt-BR"/>
        </w:rPr>
        <w:t xml:space="preserve">Xác định giá trị công trình trên đất</w:t>
      </w:r>
      <w:r>
        <w:rPr>
          <w:b/>
          <w:bCs/>
          <w:lang w:val="pt-BR"/>
          <w14:ligatures w14:val="none"/>
        </w:rPr>
      </w:r>
      <w:r>
        <w:rPr>
          <w:b/>
          <w:bCs/>
          <w:lang w:val="pt-BR"/>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Trên cơ sở tham khảo và phân tích tài sản, thẩm định viên lựa chọn phương pháp chi phí thay thế để tính giá trị công trình xây dựng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z w:val="24"/>
        </w:rPr>
        <w:t xml:space="preserve">Theo phương pháp chi phí thay thế/chi phí tái tạo đã được đề cập ở trên, giá trị tài sản được tính theo công thức: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b/>
          <w:i/>
          <w:color w:val="000000"/>
          <w:sz w:val="24"/>
        </w:rPr>
        <w:t xml:space="preserve">Giá trị tài sản = Chi phí thay thế - Tổng giá trị hao mòn = Chi phí thay thế x (1- tỷ lệ hao mòn)= Chi phí thay thế x Tỷ lệ chất lượng còn lại</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chi phí thay thế của các căn Bungalow:</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60"/>
        <w:jc w:val="both"/>
        <w:rPr/>
      </w:pPr>
      <w:r>
        <w:rPr>
          <w:rFonts w:ascii="Times New Roman" w:hAnsi="Times New Roman" w:eastAsia="Times New Roman" w:cs="Times New Roman"/>
          <w:color w:val="000000"/>
          <w:sz w:val="24"/>
        </w:rPr>
        <w:t xml:space="preserve">Qua tham khảo trên thị trường, mức giá để xây dựng nhà mái vòm diện tích 13,5m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- 20m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và nhà kiểu kim cương diện tích 23,5m</w:t>
      </w:r>
      <w:r>
        <w:rPr>
          <w:rFonts w:ascii="Times New Roman" w:hAnsi="Times New Roman" w:eastAsia="Times New Roman" w:cs="Times New Roman"/>
          <w:color w:val="000000"/>
          <w:sz w:val="20"/>
          <w:vertAlign w:val="superscript"/>
        </w:rPr>
        <w:t xml:space="preserve">2 </w:t>
      </w:r>
      <w:r>
        <w:rPr>
          <w:rFonts w:ascii="Times New Roman" w:hAnsi="Times New Roman" w:eastAsia="Times New Roman" w:cs="Times New Roman"/>
          <w:color w:val="000000"/>
          <w:sz w:val="24"/>
        </w:rPr>
        <w:t xml:space="preserve">- 30m</w:t>
      </w:r>
      <w:r>
        <w:rPr>
          <w:rFonts w:ascii="Times New Roman" w:hAnsi="Times New Roman" w:eastAsia="Times New Roman" w:cs="Times New Roman"/>
          <w:color w:val="000000"/>
          <w:sz w:val="20"/>
          <w:vertAlign w:val="superscript"/>
        </w:rPr>
        <w:t xml:space="preserve">2 </w:t>
      </w:r>
      <w:r>
        <w:rPr>
          <w:rFonts w:ascii="Times New Roman" w:hAnsi="Times New Roman" w:eastAsia="Times New Roman" w:cs="Times New Roman"/>
          <w:color w:val="000000"/>
          <w:sz w:val="24"/>
        </w:rPr>
        <w:t xml:space="preserve">ta có bảng sau: </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Bungalow mái vòm</w:t>
      </w:r>
      <w:r/>
    </w:p>
    <w:tbl>
      <w:tblPr>
        <w:tblStyle w:val="1051"/>
        <w:tblInd w:w="-18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10"/>
        <w:gridCol w:w="1530"/>
        <w:gridCol w:w="1440"/>
        <w:gridCol w:w="1530"/>
        <w:gridCol w:w="1440"/>
        <w:gridCol w:w="1710"/>
        <w:gridCol w:w="1440"/>
      </w:tblGrid>
      <w:tr>
        <w:trPr>
          <w:trHeight w:val="125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Nguồn</w:t>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297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https://dsdhome.vn/tin-tuc/bao-gia-thi-cong-bungalow-mau-nha-bungalow-dep-gia-re.html</w:t>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297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https://ikina.vn/blogs/bao-gia-thiet-ke/bao-gia-chi-phi-xay-nha-kieu-bungalow-dang-thinh-hanh-dep-van-nguoi-me</w:t>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315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https://vintagedecor.vn/thi-cong-nha-bungalow-dep-gia-re-tai-ha-noi/</w:t>
            </w:r>
            <w:r>
              <w:rPr>
                <w:rFonts w:ascii="Times New Roman" w:hAnsi="Times New Roman" w:eastAsia="Times New Roman" w:cs="Times New Roman"/>
                <w:sz w:val="22"/>
                <w:szCs w:val="22"/>
              </w:rPr>
            </w:r>
            <w:r>
              <w:rPr>
                <w:rFonts w:ascii="Times New Roman" w:hAnsi="Times New Roman" w:cs="Times New Roman"/>
                <w:sz w:val="22"/>
                <w:szCs w:val="22"/>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Diện tích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phí xây dựng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190.000.000</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xây dựng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10.370.370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10.370.370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11.111.111</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9.500.000</w:t>
            </w:r>
            <w:r>
              <w:rPr>
                <w:rFonts w:ascii="Times New Roman" w:hAnsi="Times New Roman" w:eastAsia="Times New Roman" w:cs="Times New Roman"/>
                <w:sz w:val="22"/>
                <w:szCs w:val="22"/>
              </w:rPr>
            </w:r>
            <w:r>
              <w:rPr>
                <w:rFonts w:ascii="Times New Roman" w:hAnsi="Times New Roman" w:cs="Times New Roman"/>
                <w:sz w:val="22"/>
                <w:szCs w:val="22"/>
              </w:rPr>
            </w:r>
          </w:p>
        </w:tc>
      </w:tr>
    </w:tbl>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Bungalow kim cương</w:t>
      </w:r>
      <w:r/>
    </w:p>
    <w:tbl>
      <w:tblPr>
        <w:tblStyle w:val="1051"/>
        <w:tblInd w:w="-185" w:type="dxa"/>
        <w:tblW w:w="5171"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63"/>
        <w:gridCol w:w="1330"/>
        <w:gridCol w:w="1080"/>
        <w:gridCol w:w="992"/>
        <w:gridCol w:w="992"/>
        <w:gridCol w:w="1134"/>
        <w:gridCol w:w="1134"/>
        <w:gridCol w:w="992"/>
        <w:gridCol w:w="1134"/>
      </w:tblGrid>
      <w:tr>
        <w:trPr>
          <w:trHeight w:val="1273"/>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Nguồn</w:t>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2410" w:type="dxa"/>
            <w:vAlign w:val="top"/>
            <w:textDirection w:val="lrTb"/>
            <w:noWrap w:val="false"/>
          </w:tcPr>
          <w:p>
            <w:pPr>
              <w:pBdr>
                <w:top w:val="none" w:color="000000" w:sz="4" w:space="0"/>
                <w:left w:val="none" w:color="000000" w:sz="4" w:space="0"/>
                <w:bottom w:val="none" w:color="000000" w:sz="4" w:space="0"/>
                <w:right w:val="none" w:color="000000" w:sz="4" w:space="0"/>
              </w:pBdr>
              <w:tabs>
                <w:tab w:val="center" w:leader="none" w:pos="1097"/>
              </w:tabs>
              <w:spacing/>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r>
            <w:hyperlink r:id="rId20" w:tooltip="https://dsdhome.vn/tin-tuc/bao-gia-thi-cong-bungalow-mau-nha-bungalow-dep-gia-re.html" w:history="1">
              <w:r>
                <w:rPr>
                  <w:rStyle w:val="1037"/>
                  <w:rFonts w:ascii="Times New Roman" w:hAnsi="Times New Roman" w:eastAsia="Times New Roman" w:cs="Times New Roman"/>
                  <w:sz w:val="22"/>
                  <w:szCs w:val="22"/>
                </w:rPr>
                <w:t xml:space="preserve">https://dsdhome.vn/tin-tuc/bao-gia-thi-cong-bungalow-mau-nha-bungalow-dep-gia-re.html</w:t>
              </w:r>
              <w:r>
                <w:rPr>
                  <w:rStyle w:val="1037"/>
                  <w:rFonts w:ascii="Times New Roman" w:hAnsi="Times New Roman" w:eastAsia="Times New Roman" w:cs="Times New Roman"/>
                  <w:sz w:val="22"/>
                  <w:szCs w:val="22"/>
                </w:rPr>
              </w:r>
            </w:hyperlink>
            <w:r>
              <w:rPr>
                <w:rFonts w:ascii="Times New Roman" w:hAnsi="Times New Roman" w:eastAsia="Times New Roman" w:cs="Times New Roman"/>
                <w:sz w:val="22"/>
                <w:szCs w:val="22"/>
              </w:rPr>
              <w:tab/>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3"/>
            <w:tcBorders>
              <w:top w:val="single" w:color="000000" w:sz="8" w:space="0"/>
              <w:bottom w:val="single" w:color="000000" w:sz="8" w:space="0"/>
              <w:right w:val="single" w:color="000000" w:sz="8" w:space="0"/>
            </w:tcBorders>
            <w:tcMar>
              <w:left w:w="108" w:type="dxa"/>
              <w:top w:w="0" w:type="dxa"/>
              <w:right w:w="108" w:type="dxa"/>
              <w:bottom w:w="0" w:type="dxa"/>
            </w:tcMar>
            <w:tcW w:w="311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https://ikina.vn/blogs/bao-gia-thiet-ke/bao-gia-chi-phi-xay-nha-kieu-bungalow-dang-thinh-hanh-dep-van-nguoi-me</w:t>
            </w:r>
            <w:r>
              <w:rPr>
                <w:rFonts w:ascii="Times New Roman" w:hAnsi="Times New Roman" w:eastAsia="Times New Roman" w:cs="Times New Roman"/>
                <w:sz w:val="22"/>
                <w:szCs w:val="22"/>
              </w:rPr>
            </w:r>
            <w:r>
              <w:rPr>
                <w:rFonts w:ascii="Times New Roman" w:hAnsi="Times New Roman" w:cs="Times New Roman"/>
                <w:sz w:val="22"/>
                <w:szCs w:val="22"/>
              </w:rPr>
            </w:r>
          </w:p>
        </w:tc>
        <w:tc>
          <w:tcPr>
            <w:gridSpan w:val="3"/>
            <w:tcBorders>
              <w:top w:val="single" w:color="000000" w:sz="8" w:space="0"/>
              <w:bottom w:val="single" w:color="000000" w:sz="8" w:space="0"/>
              <w:right w:val="single" w:color="000000" w:sz="8" w:space="0"/>
            </w:tcBorders>
            <w:tcMar>
              <w:left w:w="108" w:type="dxa"/>
              <w:top w:w="0" w:type="dxa"/>
              <w:right w:w="108" w:type="dxa"/>
              <w:bottom w:w="0" w:type="dxa"/>
            </w:tcMar>
            <w:tcW w:w="3260" w:type="dxa"/>
            <w:vAlign w:val="top"/>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https://vintagedecor.vn/thi-cong-nha-bungalow-dep-gia-re-tai-ha-noi/</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0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Diện tích</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3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0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23,5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0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phí xây dựng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3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165.000.000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0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165.000.000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200.000.000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245.000.000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175.000.000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205.000.000</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255.000.000</w:t>
            </w:r>
            <w:r>
              <w:rPr>
                <w:rFonts w:ascii="Times New Roman" w:hAnsi="Times New Roman" w:eastAsia="Times New Roman" w:cs="Times New Roman"/>
                <w:sz w:val="22"/>
                <w:szCs w:val="22"/>
              </w:rPr>
            </w:r>
            <w:r>
              <w:rPr>
                <w:rFonts w:ascii="Times New Roman" w:hAnsi="Times New Roman" w:cs="Times New Roman"/>
                <w:sz w:val="22"/>
                <w:szCs w:val="22"/>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0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xây dựng</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3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7.021.276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8.333.333</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7.021.276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7.692.307</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8.166.666</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7.446.808</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7.884.615</w:t>
            </w:r>
            <w:r>
              <w:rPr>
                <w:rFonts w:ascii="Times New Roman" w:hAnsi="Times New Roman" w:eastAsia="Times New Roman" w:cs="Times New Roman"/>
                <w:sz w:val="22"/>
                <w:szCs w:val="22"/>
              </w:rPr>
            </w:r>
            <w:r>
              <w:rPr>
                <w:rFonts w:ascii="Times New Roman" w:hAnsi="Times New Roman" w:cs="Times New Roman"/>
                <w:sz w:val="22"/>
                <w:szCs w:val="22"/>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8.500.000</w:t>
            </w:r>
            <w:r>
              <w:rPr>
                <w:rFonts w:ascii="Times New Roman" w:hAnsi="Times New Roman" w:eastAsia="Times New Roman" w:cs="Times New Roman"/>
                <w:sz w:val="22"/>
                <w:szCs w:val="22"/>
              </w:rPr>
            </w:r>
            <w:r>
              <w:rPr>
                <w:rFonts w:ascii="Times New Roman" w:hAnsi="Times New Roman" w:cs="Times New Roman"/>
                <w:sz w:val="22"/>
                <w:szCs w:val="22"/>
              </w:rPr>
            </w:r>
          </w:p>
        </w:tc>
      </w:tr>
    </w:tbl>
    <w:p>
      <w:pPr>
        <w:pBdr>
          <w:top w:val="none" w:color="000000" w:sz="4" w:space="0"/>
          <w:left w:val="none" w:color="000000" w:sz="4" w:space="0"/>
          <w:bottom w:val="none" w:color="000000" w:sz="4" w:space="0"/>
          <w:right w:val="none" w:color="000000" w:sz="4" w:space="0"/>
        </w:pBdr>
        <w:spacing w:after="120" w:before="120" w:line="276" w:lineRule="auto"/>
        <w:ind w:right="0" w:hanging="720" w:left="1080"/>
        <w:jc w:val="both"/>
        <w:rPr/>
      </w:pPr>
      <w:r>
        <w:rPr>
          <w:rFonts w:ascii="Times New Roman" w:hAnsi="Times New Roman" w:eastAsia="Times New Roman" w:cs="Times New Roman"/>
          <w:color w:val="000000"/>
          <w:sz w:val="24"/>
        </w:rPr>
        <w:t xml:space="preserve">Đơn giá thấp nhất của Bungalow mái vòm: </w:t>
      </w:r>
      <w:r>
        <w:rPr>
          <w:rFonts w:ascii="Times New Roman" w:hAnsi="Times New Roman" w:eastAsia="Times New Roman" w:cs="Times New Roman"/>
          <w:b/>
          <w:color w:val="000000"/>
          <w:sz w:val="24"/>
        </w:rPr>
        <w:t xml:space="preserve">9.000.000 đồng/m</w:t>
      </w:r>
      <w:r>
        <w:rPr>
          <w:rFonts w:ascii="Times New Roman" w:hAnsi="Times New Roman" w:eastAsia="Times New Roman" w:cs="Times New Roman"/>
          <w:b/>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Đơn giá thấp nhất của Bungalow kim cương: </w:t>
      </w:r>
      <w:r>
        <w:rPr>
          <w:rFonts w:ascii="Times New Roman" w:hAnsi="Times New Roman" w:eastAsia="Times New Roman" w:cs="Times New Roman"/>
          <w:color w:val="000000"/>
          <w:sz w:val="24"/>
          <w:highlight w:val="white"/>
        </w:rPr>
        <w:t xml:space="preserve">≈</w:t>
      </w:r>
      <w:r>
        <w:rPr>
          <w:rFonts w:ascii="Arial" w:hAnsi="Arial" w:eastAsia="Arial" w:cs="Arial"/>
          <w:color w:val="494949"/>
          <w:sz w:val="23"/>
          <w:highlight w:val="white"/>
        </w:rPr>
        <w:t xml:space="preserve"> </w:t>
      </w:r>
      <w:r>
        <w:rPr>
          <w:rFonts w:ascii="Times New Roman" w:hAnsi="Times New Roman" w:eastAsia="Times New Roman" w:cs="Times New Roman"/>
          <w:b/>
          <w:color w:val="000000"/>
          <w:sz w:val="24"/>
        </w:rPr>
        <w:t xml:space="preserve">7.000.000 đồng/m2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60"/>
        <w:jc w:val="both"/>
        <w:rPr/>
      </w:pPr>
      <w:r>
        <w:rPr>
          <w:rFonts w:ascii="Times New Roman" w:hAnsi="Times New Roman" w:eastAsia="Times New Roman" w:cs="Times New Roman"/>
          <w:color w:val="000000"/>
          <w:sz w:val="24"/>
        </w:rPr>
        <w:t xml:space="preserve">Do diện tích các căn </w:t>
      </w:r>
      <w:r>
        <w:rPr>
          <w:rFonts w:ascii="Times New Roman" w:hAnsi="Times New Roman" w:eastAsia="Times New Roman" w:cs="Times New Roman"/>
          <w:color w:val="000000"/>
          <w:sz w:val="24"/>
        </w:rPr>
        <w:t xml:space="preserve">Bungalow</w:t>
      </w:r>
      <w:r>
        <w:rPr>
          <w:rFonts w:ascii="Times New Roman" w:hAnsi="Times New Roman" w:eastAsia="Times New Roman" w:cs="Times New Roman"/>
          <w:color w:val="000000"/>
          <w:sz w:val="24"/>
        </w:rPr>
        <w:t xml:space="preserve"> của TSTĐ lớn hơn diện tích các căn so sánh, Tổ thẩm định xác định dùng đơn giá nhỏ nhất để tính toán: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60"/>
        <w:jc w:val="both"/>
        <w:rPr/>
      </w:pPr>
      <w:r>
        <w:rPr>
          <w:rFonts w:ascii="Times New Roman" w:hAnsi="Times New Roman" w:eastAsia="Times New Roman" w:cs="Times New Roman"/>
          <w:color w:val="000000"/>
          <w:sz w:val="24"/>
        </w:rPr>
        <w:t xml:space="preserve">- Các căn Bungalow mái vòm: </w:t>
      </w:r>
      <w:r>
        <w:rPr>
          <w:rFonts w:ascii="Times New Roman" w:hAnsi="Times New Roman" w:eastAsia="Times New Roman" w:cs="Times New Roman"/>
          <w:b/>
          <w:color w:val="000000"/>
          <w:sz w:val="24"/>
        </w:rPr>
        <w:t xml:space="preserve">9.000.000 đồng/m</w:t>
      </w:r>
      <w:r>
        <w:rPr>
          <w:rFonts w:ascii="Times New Roman" w:hAnsi="Times New Roman" w:eastAsia="Times New Roman" w:cs="Times New Roman"/>
          <w:b/>
          <w:color w:val="000000"/>
          <w:sz w:val="20"/>
          <w:vertAlign w:val="superscript"/>
        </w:rPr>
        <w:t xml:space="preserve">2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36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Các căn Bungalow kim cương: </w:t>
      </w:r>
      <w:r>
        <w:rPr>
          <w:rFonts w:ascii="Times New Roman" w:hAnsi="Times New Roman" w:eastAsia="Times New Roman" w:cs="Times New Roman"/>
          <w:b/>
          <w:color w:val="000000"/>
          <w:sz w:val="24"/>
        </w:rPr>
        <w:t xml:space="preserve">7.000.000 đồng/m</w:t>
      </w:r>
      <w:r>
        <w:rPr>
          <w:rFonts w:ascii="Times New Roman" w:hAnsi="Times New Roman" w:eastAsia="Times New Roman" w:cs="Times New Roman"/>
          <w:b/>
          <w:color w:val="000000"/>
          <w:sz w:val="20"/>
          <w:vertAlign w:val="superscript"/>
        </w:rPr>
        <w:t xml:space="preserve">2</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chi phí thay thế của Nhà lễ tân + hệ thống nhà hàng, nhà ở nhân viên + kho hàng:</w:t>
      </w:r>
      <w:r/>
    </w:p>
    <w:p>
      <w:pPr>
        <w:pBdr>
          <w:top w:val="none" w:color="000000" w:sz="4" w:space="0"/>
          <w:left w:val="none" w:color="000000" w:sz="4" w:space="0"/>
          <w:bottom w:val="none" w:color="000000" w:sz="4" w:space="0"/>
          <w:right w:val="none" w:color="000000" w:sz="4" w:space="0"/>
        </w:pBdr>
        <w:spacing w:after="60" w:before="60" w:line="276" w:lineRule="auto"/>
        <w:ind w:right="0" w:firstLine="0" w:left="1077"/>
        <w:rPr/>
      </w:pPr>
      <w:r>
        <w:rPr>
          <w:rFonts w:ascii="Times New Roman" w:hAnsi="Times New Roman" w:eastAsia="Times New Roman" w:cs="Times New Roman"/>
          <w:b/>
          <w:i/>
          <w:color w:val="000000"/>
          <w:sz w:val="24"/>
        </w:rPr>
        <w:t xml:space="preserve">Chi phí thay thế = Diện tích sàn x Đơn giá xây dựng x Hệ số vùng/(1+ Thuế suất thuế GTGT).</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Đơn giá xây dựng được áp dụng theo Quyết định số 425/QĐ-BXD, ngày 31/03/2026 của Bộ Xây dựng về việc Công bố suất vốn đầu tư xây dựng và giá xây dựng tổng hợp bộ phận kết cấu năm 2025.</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Cụ thể như sau: </w:t>
      </w:r>
      <w:r/>
    </w:p>
    <w:tbl>
      <w:tblPr>
        <w:tblStyle w:val="1051"/>
        <w:tblInd w:w="0" w:type="dxa"/>
        <w:tblW w:w="475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28"/>
        <w:gridCol w:w="3510"/>
        <w:gridCol w:w="2362"/>
        <w:gridCol w:w="2360"/>
      </w:tblGrid>
      <w:tr>
        <w:trPr>
          <w:trHeight w:val="809"/>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Hạng mục</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xây dựng không bao gồm thuế GTGT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1"/>
              </w:rPr>
              <w:t xml:space="preserve">Ghi chú đơn giá áp dụng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Nhà lễ tân + hệ thống nhà hàng</w:t>
            </w:r>
            <w:r/>
          </w:p>
        </w:tc>
        <w:tc>
          <w:tcPr>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5.679.091</w:t>
            </w:r>
            <w:r/>
          </w:p>
        </w:tc>
        <w:tc>
          <w:tcPr>
            <w:tcBorders>
              <w:bottom w:val="single" w:color="000000" w:sz="8" w:space="0"/>
              <w:right w:val="single" w:color="000000" w:sz="8" w:space="0"/>
            </w:tcBorders>
            <w:tcMar>
              <w:left w:w="108" w:type="dxa"/>
              <w:top w:w="0" w:type="dxa"/>
              <w:right w:w="108" w:type="dxa"/>
              <w:bottom w:w="0" w:type="dxa"/>
            </w:tcMar>
            <w:tcW w:w="23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Bảng số 2, mã 11120.01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5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ở nhân viên + kho hàng </w:t>
            </w:r>
            <w:r/>
          </w:p>
        </w:tc>
        <w:tc>
          <w:tcPr>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5.679.091</w:t>
            </w:r>
            <w:r/>
          </w:p>
        </w:tc>
        <w:tc>
          <w:tcPr>
            <w:tcBorders>
              <w:bottom w:val="single" w:color="000000" w:sz="8" w:space="0"/>
              <w:right w:val="single" w:color="000000" w:sz="8" w:space="0"/>
            </w:tcBorders>
            <w:tcMar>
              <w:left w:w="108" w:type="dxa"/>
              <w:top w:w="0" w:type="dxa"/>
              <w:right w:w="108" w:type="dxa"/>
              <w:bottom w:w="0" w:type="dxa"/>
            </w:tcMar>
            <w:tcW w:w="23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Bảng số 2, mã 11120.01</w:t>
            </w:r>
            <w:r/>
          </w:p>
        </w:tc>
      </w:tr>
    </w:tbl>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60" w:before="60" w:line="300" w:lineRule="auto"/>
        <w:ind/>
        <w:jc w:val="both"/>
        <w:rPr/>
      </w:pPr>
      <w:r>
        <w:rPr>
          <w:rFonts w:ascii="Times New Roman" w:hAnsi="Times New Roman" w:eastAsia="Times New Roman" w:cs="Times New Roman"/>
          <w:b/>
          <w:i/>
          <w:color w:val="000000"/>
          <w:sz w:val="24"/>
        </w:rPr>
        <w:t xml:space="preserve">Tỷ lệ chất lượng còn lại của tài sản</w:t>
      </w:r>
      <w:r>
        <w:rPr>
          <w:rFonts w:ascii="Times New Roman" w:hAnsi="Times New Roman" w:eastAsia="Times New Roman" w:cs="Times New Roman"/>
          <w:color w:val="000000"/>
          <w:sz w:val="24"/>
        </w:rPr>
        <w:t xml:space="preserve"> được xác định căn cứ vào thực trạng của tài sản; niên hạn sử dụng và thời gian đã sử dụng của công trình xây dựng. Ngoài ra, Tổ thẩm định căn cứ vào hiện trạng sử dụng của tài sản và quá trình cải tạo, nâng cấp để xác định tỷ lệ chất lượng còn lại của tài</w:t>
      </w:r>
      <w:r>
        <w:rPr>
          <w:rFonts w:ascii="Times New Roman" w:hAnsi="Times New Roman" w:eastAsia="Times New Roman" w:cs="Times New Roman"/>
          <w:color w:val="000000"/>
          <w:sz w:val="24"/>
        </w:rPr>
        <w:t xml:space="preserve"> sản cho phù hợp với thực tế. Căn cứ theo đặc thù và hiện trạng sử dụng của tài sản, tổ thẩm định sử dụng phương pháp tuổi đời và phương pháp chuyên gia để xác định tỷ lệ chất lượng còn lại của tài sản với công thức như sau:</w:t>
      </w:r>
      <w:r/>
    </w:p>
    <w:p>
      <w:pPr>
        <w:pBdr>
          <w:top w:val="none" w:color="000000" w:sz="4" w:space="0"/>
          <w:left w:val="none" w:color="000000" w:sz="4" w:space="0"/>
          <w:bottom w:val="none" w:color="000000" w:sz="4" w:space="0"/>
          <w:right w:val="none" w:color="000000" w:sz="4" w:space="0"/>
        </w:pBdr>
        <w:tabs>
          <w:tab w:val="left" w:leader="none" w:pos="142"/>
          <w:tab w:val="left" w:leader="none" w:pos="9360"/>
        </w:tabs>
        <w:spacing w:after="120" w:before="120" w:line="276" w:lineRule="auto"/>
        <w:ind w:right="145" w:firstLine="0" w:left="720"/>
        <w:jc w:val="center"/>
        <w:rPr/>
      </w:pPr>
      <w:r>
        <w:rPr>
          <w:rFonts w:ascii="Times New Roman" w:hAnsi="Times New Roman" w:eastAsia="Times New Roman" w:cs="Times New Roman"/>
          <w:b/>
          <w:i/>
          <w:color w:val="000000"/>
          <w:sz w:val="24"/>
        </w:rPr>
        <w:t xml:space="preserve">Tỷ lệ chất lượng còn lại = (Tỷ lệ CLCL theo PP tuổi đời + Tỷ lệ CLCL theo PP tổng cộng)/ 2</w:t>
      </w:r>
      <w:r/>
    </w:p>
    <w:p>
      <w:pPr>
        <w:numPr>
          <w:ilvl w:val="0"/>
          <w:numId w:val="47"/>
        </w:numPr>
        <w:pBdr>
          <w:top w:val="none" w:color="000000" w:sz="4" w:space="0"/>
          <w:left w:val="none" w:color="000000" w:sz="4" w:space="0"/>
          <w:bottom w:val="none" w:color="000000" w:sz="4" w:space="0"/>
          <w:right w:val="none" w:color="000000" w:sz="4" w:space="0"/>
        </w:pBdr>
        <w:tabs>
          <w:tab w:val="left" w:leader="none" w:pos="851"/>
        </w:tabs>
        <w:spacing w:after="120" w:before="120" w:line="300" w:lineRule="auto"/>
        <w:ind/>
        <w:jc w:val="both"/>
        <w:rPr/>
      </w:pPr>
      <w:r>
        <w:rPr>
          <w:rFonts w:ascii="Times New Roman" w:hAnsi="Times New Roman" w:eastAsia="Times New Roman" w:cs="Times New Roman"/>
          <w:b/>
          <w:i/>
          <w:color w:val="000000"/>
          <w:sz w:val="24"/>
        </w:rPr>
        <w:t xml:space="preserve">Xác định chất lượng còn lại theo phương pháp tuổi đời: </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00" w:lineRule="auto"/>
        <w:ind w:right="0" w:firstLine="0" w:left="284"/>
        <w:jc w:val="both"/>
        <w:rPr/>
      </w:pPr>
      <w:r>
        <w:rPr>
          <w:rFonts w:ascii="Times New Roman" w:hAnsi="Times New Roman" w:eastAsia="Times New Roman" w:cs="Times New Roman"/>
          <w:color w:val="000000"/>
          <w:sz w:val="24"/>
        </w:rPr>
        <w:t xml:space="preserve">Theo phương pháp tuổi đời, tỷ lệ chất lượng còn lại của tài sản được tính theo công thức: </w:t>
      </w:r>
      <w:r/>
    </w:p>
    <w:p>
      <w:pPr>
        <w:pBdr>
          <w:top w:val="none" w:color="000000" w:sz="4" w:space="0"/>
          <w:left w:val="none" w:color="000000" w:sz="4" w:space="0"/>
          <w:bottom w:val="none" w:color="000000" w:sz="4" w:space="0"/>
          <w:right w:val="none" w:color="000000" w:sz="4" w:space="0"/>
        </w:pBdr>
        <w:tabs>
          <w:tab w:val="left" w:leader="none" w:pos="142"/>
          <w:tab w:val="left" w:leader="none" w:pos="9360"/>
        </w:tabs>
        <w:spacing w:after="120" w:before="120" w:line="276" w:lineRule="auto"/>
        <w:ind w:right="145" w:firstLine="0" w:left="720"/>
        <w:jc w:val="center"/>
        <w:rPr/>
      </w:pPr>
      <w:r>
        <w:rPr>
          <w:rFonts w:ascii="Times New Roman" w:hAnsi="Times New Roman" w:eastAsia="Times New Roman" w:cs="Times New Roman"/>
          <w:b/>
          <w:i/>
          <w:color w:val="000000"/>
          <w:sz w:val="24"/>
        </w:rPr>
        <w:t xml:space="preserve">Tỷ lệ chất lượng còn lại = 1 – (Tuổi đời hiệu quả/ Tuổi đời kinh tế)</w:t>
      </w:r>
      <w:r/>
    </w:p>
    <w:p>
      <w:pPr>
        <w:pBdr>
          <w:top w:val="none" w:color="000000" w:sz="4" w:space="0"/>
          <w:left w:val="none" w:color="000000" w:sz="4" w:space="0"/>
          <w:bottom w:val="none" w:color="000000" w:sz="4" w:space="0"/>
          <w:right w:val="none" w:color="000000" w:sz="4" w:space="0"/>
        </w:pBdr>
        <w:tabs>
          <w:tab w:val="left" w:leader="none" w:pos="284"/>
        </w:tabs>
        <w:spacing w:after="60" w:before="60" w:line="276" w:lineRule="auto"/>
        <w:ind w:right="0" w:firstLine="0" w:left="284"/>
        <w:jc w:val="both"/>
        <w:rPr/>
      </w:pPr>
      <w:r>
        <w:rPr>
          <w:rFonts w:ascii="Times New Roman" w:hAnsi="Times New Roman" w:eastAsia="Times New Roman" w:cs="Times New Roman"/>
          <w:color w:val="000000"/>
          <w:sz w:val="24"/>
        </w:rPr>
        <w:t xml:space="preserve">Tuổi đời kinh tế (T): Vận dụng thời gian khấu hao của công trình xây dựng tại Thông tư số 45/2013/TT-BTC ngày 24/5/2013 của Bộ Tài chính về việc hướng dẫn chế độ quản lý, sử dụng và trích khấu hao tài sản cố định.</w:t>
      </w:r>
      <w:r/>
    </w:p>
    <w:p>
      <w:pPr>
        <w:pBdr>
          <w:top w:val="none" w:color="000000" w:sz="4" w:space="0"/>
          <w:left w:val="none" w:color="000000" w:sz="4" w:space="0"/>
          <w:bottom w:val="none" w:color="000000" w:sz="4" w:space="0"/>
          <w:right w:val="none" w:color="000000" w:sz="4" w:space="0"/>
        </w:pBdr>
        <w:tabs>
          <w:tab w:val="left" w:leader="none" w:pos="284"/>
        </w:tabs>
        <w:spacing w:after="60" w:before="60" w:line="276" w:lineRule="auto"/>
        <w:ind w:right="0" w:firstLine="0" w:left="284"/>
        <w:jc w:val="both"/>
        <w:rPr/>
      </w:pPr>
      <w:r>
        <w:rPr>
          <w:rFonts w:ascii="Times New Roman" w:hAnsi="Times New Roman" w:eastAsia="Times New Roman" w:cs="Times New Roman"/>
          <w:color w:val="000000"/>
          <w:sz w:val="24"/>
        </w:rPr>
        <w:t xml:space="preserve">Tuổi đời hiệu quả là khoảng thời gian tính từ lúc công trình xây dựng được bàn giao đưa vào sử dụng đến thời điểm thầm định Tháng 5/2026 (t). </w:t>
      </w:r>
      <w:r/>
    </w:p>
    <w:p>
      <w:pPr>
        <w:numPr>
          <w:ilvl w:val="0"/>
          <w:numId w:val="47"/>
        </w:numPr>
        <w:pBdr>
          <w:top w:val="none" w:color="000000" w:sz="4" w:space="0"/>
          <w:left w:val="none" w:color="000000" w:sz="4" w:space="0"/>
          <w:bottom w:val="none" w:color="000000" w:sz="4" w:space="0"/>
          <w:right w:val="none" w:color="000000" w:sz="4" w:space="0"/>
        </w:pBdr>
        <w:tabs>
          <w:tab w:val="left" w:leader="none" w:pos="851"/>
        </w:tabs>
        <w:spacing w:after="60" w:before="60" w:line="300" w:lineRule="auto"/>
        <w:ind/>
        <w:jc w:val="both"/>
        <w:rPr/>
      </w:pPr>
      <w:r>
        <w:rPr>
          <w:rFonts w:ascii="Times New Roman" w:hAnsi="Times New Roman" w:eastAsia="Times New Roman" w:cs="Times New Roman"/>
          <w:b/>
          <w:i/>
          <w:color w:val="000000"/>
          <w:sz w:val="24"/>
        </w:rPr>
        <w:t xml:space="preserve">Xác định chất lượng còn lại theo phương pháp tổng cộng: </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Tổ thẩm định tiến hành xác định tỷ lệ CLCL của tài sản thẩm định dựa theo hiện trạng ngoại quan, tình trạng hoạt động, tình trạng cải tạo sửa chữa,..... kèm theo đó là vận dụng các thông tư hướng dẫn của các sở ban ngành liên quan. Từ đó tiến hành xác định</w:t>
      </w:r>
      <w:r>
        <w:rPr>
          <w:rFonts w:ascii="Times New Roman" w:hAnsi="Times New Roman" w:eastAsia="Times New Roman" w:cs="Times New Roman"/>
          <w:color w:val="000000"/>
          <w:sz w:val="24"/>
        </w:rPr>
        <w:t xml:space="preserve"> tỷ lệ CLCL của từng tài sản.</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w:t>
        <w:tab/>
        <w:t xml:space="preserve">Tổng giá trị hao mòn của công trình xây dựng được xác định bằng kỹ thuật tổng cộng</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w:t>
        <w:tab/>
        <w:t xml:space="preserve">Kỹ thuật tổng cộng: 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w:t>
      </w:r>
      <w:r>
        <w:rPr>
          <w:rFonts w:ascii="Times New Roman" w:hAnsi="Times New Roman" w:eastAsia="Times New Roman" w:cs="Times New Roman"/>
          <w:color w:val="000000"/>
          <w:sz w:val="24"/>
        </w:rPr>
        <w:t xml:space="preserve">ản, mức độ hư hỏng, chất lượng còn lại của từng kết cấu chính; từ đó, xác định tỷ lệ % giá trị hao mòn vật lý của tài sản thẩm định giá theo công thức sau:</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2095500" cy="12096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2589" name=""/>
                        <pic:cNvPicPr>
                          <a:picLocks noChangeAspect="1"/>
                        </pic:cNvPicPr>
                        <pic:nvPr/>
                      </pic:nvPicPr>
                      <pic:blipFill rotWithShape="1">
                        <a:blip r:embed="rId21"/>
                        <a:stretch/>
                      </pic:blipFill>
                      <pic:spPr bwMode="auto">
                        <a:xfrm>
                          <a:off x="0" y="0"/>
                          <a:ext cx="2095499" cy="120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5.00pt;height:95.2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 Trong đó:</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H: Tỷ lệ hao mòn vật lý của tài sản thẩm định giá tính theo tỷ lệ %;</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Hi: Hao mòn vật lý của kết cấu chính thứ i tính theo tỷ lệ %;</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Ti: Tỷ trọng của kết cấu chính thứ i trong tổng giá trị tài sản thẩm định giá;</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n: Tổng số kết cấu chính của tài sản thẩm định giá;</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i: kết cấu chính thứ i.</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both"/>
        <w:rPr/>
      </w:pPr>
      <w:r>
        <w:rPr>
          <w:rFonts w:ascii="Times New Roman" w:hAnsi="Times New Roman" w:eastAsia="Times New Roman" w:cs="Times New Roman"/>
          <w:color w:val="000000"/>
          <w:sz w:val="24"/>
        </w:rPr>
        <w:t xml:space="preserve">Vận dụng Công văn số 1326/BXD-QLN của Bộ Xây dựng ngày 08/8/2011 về việc hướng dẫn kiểm kê, đánh giá lại giá trị tài sản cố định là nhà, vật kiến trúc. Tỷ lệ hao mòn của tài sản được xác định như sau:</w:t>
      </w:r>
      <w:r/>
    </w:p>
    <w:p>
      <w:pPr>
        <w:numPr>
          <w:ilvl w:val="0"/>
          <w:numId w:val="48"/>
        </w:num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jc w:val="both"/>
        <w:rPr/>
      </w:pPr>
      <w:r>
        <w:rPr>
          <w:rFonts w:ascii="Times New Roman" w:hAnsi="Times New Roman" w:eastAsia="Times New Roman" w:cs="Times New Roman"/>
          <w:color w:val="000000"/>
          <w:sz w:val="24"/>
        </w:rPr>
        <w:t xml:space="preserve">Nhà lễ tân + hệ thống nhà hàng 2 tầng:</w:t>
      </w:r>
      <w:r/>
    </w:p>
    <w:tbl>
      <w:tblPr>
        <w:tblStyle w:val="1051"/>
        <w:tblInd w:w="0" w:type="dxa"/>
        <w:tblW w:w="448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18"/>
        <w:gridCol w:w="1905"/>
        <w:gridCol w:w="1905"/>
        <w:gridCol w:w="1905"/>
        <w:gridCol w:w="1905"/>
      </w:tblGrid>
      <w:tr>
        <w:trPr>
          <w:trHeight w:val="9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9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95%</w:t>
            </w:r>
            <w:r/>
          </w:p>
        </w:tc>
      </w:tr>
    </w:tbl>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1080"/>
        <w:jc w:val="both"/>
        <w:rPr/>
      </w:pPr>
      <w:r>
        <w:rPr>
          <w:rFonts w:ascii="Times New Roman" w:hAnsi="Times New Roman" w:eastAsia="Times New Roman" w:cs="Times New Roman"/>
          <w:color w:val="000000"/>
          <w:sz w:val="24"/>
        </w:rPr>
        <w:t xml:space="preserve"> </w:t>
      </w:r>
      <w:r/>
    </w:p>
    <w:p>
      <w:pPr>
        <w:numPr>
          <w:ilvl w:val="0"/>
          <w:numId w:val="48"/>
        </w:num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jc w:val="both"/>
        <w:rPr/>
      </w:pPr>
      <w:r>
        <w:rPr>
          <w:rFonts w:ascii="Times New Roman" w:hAnsi="Times New Roman" w:eastAsia="Times New Roman" w:cs="Times New Roman"/>
          <w:color w:val="000000"/>
          <w:sz w:val="24"/>
        </w:rPr>
        <w:t xml:space="preserve">Nhà ở nhân viên + nhà kho:</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90%</w:t>
            </w:r>
            <w:r/>
          </w:p>
        </w:tc>
      </w:tr>
    </w:tbl>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0"/>
        <w:jc w:val="both"/>
        <w:rPr/>
      </w:pPr>
      <w:r>
        <w:rPr>
          <w:rFonts w:ascii="Times New Roman" w:hAnsi="Times New Roman" w:eastAsia="Times New Roman" w:cs="Times New Roman"/>
          <w:color w:val="000000"/>
          <w:sz w:val="24"/>
        </w:rPr>
        <w:t xml:space="preserve"> </w:t>
      </w:r>
      <w:r/>
    </w:p>
    <w:p>
      <w:pPr>
        <w:numPr>
          <w:ilvl w:val="0"/>
          <w:numId w:val="48"/>
        </w:num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jc w:val="both"/>
        <w:rPr/>
      </w:pPr>
      <w:r>
        <w:rPr>
          <w:rFonts w:ascii="Times New Roman" w:hAnsi="Times New Roman" w:eastAsia="Times New Roman" w:cs="Times New Roman"/>
          <w:color w:val="000000"/>
          <w:sz w:val="24"/>
        </w:rPr>
        <w:t xml:space="preserve">Đối với những căn Bungalow, qua khảo sát thực tế, Tổ thẩm định đánh giá ngoại quan và CLCL của công trình như sau:</w:t>
      </w:r>
      <w:r/>
    </w:p>
    <w:p>
      <w:pPr>
        <w:numPr>
          <w:ilvl w:val="0"/>
          <w:numId w:val="4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jc w:val="both"/>
        <w:rPr/>
      </w:pPr>
      <w:r>
        <w:rPr>
          <w:rFonts w:ascii="Times New Roman" w:hAnsi="Times New Roman" w:eastAsia="Times New Roman" w:cs="Times New Roman"/>
          <w:color w:val="000000"/>
          <w:sz w:val="24"/>
        </w:rPr>
        <w:t xml:space="preserve">23 căn bungalow 28m2/căn: 70%</w:t>
      </w:r>
      <w:r/>
    </w:p>
    <w:p>
      <w:pPr>
        <w:numPr>
          <w:ilvl w:val="0"/>
          <w:numId w:val="49"/>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color w:val="000000"/>
          <w:sz w:val="24"/>
        </w:rPr>
        <w:t xml:space="preserve">2 căn bungalow 35m2/căn: 70%</w:t>
      </w:r>
      <w:r/>
    </w:p>
    <w:p>
      <w:pPr>
        <w:numPr>
          <w:ilvl w:val="0"/>
          <w:numId w:val="49"/>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color w:val="000000"/>
          <w:sz w:val="24"/>
        </w:rPr>
        <w:t xml:space="preserve">10 căn bungalow 26m2/căn: 90%</w:t>
      </w:r>
      <w:r/>
    </w:p>
    <w:p>
      <w:pPr>
        <w:numPr>
          <w:ilvl w:val="0"/>
          <w:numId w:val="49"/>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color w:val="000000"/>
          <w:sz w:val="24"/>
        </w:rPr>
        <w:t xml:space="preserve">7 căn vip diện tích, 45m2/căn: 95% </w:t>
      </w:r>
      <w:r/>
    </w:p>
    <w:p>
      <w:pPr>
        <w:pBdr>
          <w:top w:val="none" w:color="000000" w:sz="4" w:space="0"/>
          <w:left w:val="none" w:color="000000" w:sz="4" w:space="0"/>
          <w:bottom w:val="none" w:color="000000" w:sz="4" w:space="0"/>
          <w:right w:val="none" w:color="000000" w:sz="4" w:space="0"/>
        </w:pBdr>
        <w:spacing w:line="300" w:lineRule="auto"/>
        <w:ind w:right="0" w:firstLine="0" w:left="0"/>
        <w:rPr/>
      </w:pP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center"/>
        <w:rPr/>
      </w:pPr>
      <w:r>
        <w:rPr>
          <w:rFonts w:ascii="Times New Roman" w:hAnsi="Times New Roman" w:eastAsia="Times New Roman" w:cs="Times New Roman"/>
          <w:b/>
          <w:color w:val="000000"/>
          <w:sz w:val="24"/>
        </w:rPr>
        <w:t xml:space="preserve">GIÁ TRỊ CÔNG TRÌNH XÂY DỰNG  </w:t>
      </w:r>
      <w:r/>
    </w:p>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360"/>
        <w:jc w:val="center"/>
        <w:rPr/>
      </w:pPr>
      <w:r>
        <w:rPr>
          <w:rFonts w:ascii="Times New Roman" w:hAnsi="Times New Roman" w:eastAsia="Times New Roman" w:cs="Times New Roman"/>
          <w:b/>
          <w:color w:val="000000"/>
          <w:sz w:val="24"/>
        </w:rPr>
        <w:t xml:space="preserve">Thời điểm thẩm định giá: Tháng 05/2026</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60"/>
        <w:gridCol w:w="943"/>
        <w:gridCol w:w="850"/>
        <w:gridCol w:w="502"/>
        <w:gridCol w:w="588"/>
        <w:gridCol w:w="1024"/>
        <w:gridCol w:w="574"/>
        <w:gridCol w:w="638"/>
        <w:gridCol w:w="651"/>
        <w:gridCol w:w="441"/>
        <w:gridCol w:w="345"/>
        <w:gridCol w:w="665"/>
        <w:gridCol w:w="749"/>
        <w:gridCol w:w="1094"/>
      </w:tblGrid>
      <w:tr>
        <w:trPr>
          <w:trHeight w:val="855"/>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xây dựng mới (đồng/m2)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0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Tổng diện tích sàn (m2)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8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Hệ số vùng 2 Quảng Ninh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2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Nguyên giá xác định lại</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7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điểm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63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Phương pháp tổng cộng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Phương pháp tuổi đời</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74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Tỷ lệ chất lượng còn lại bình quân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thẩm định</w:t>
            </w:r>
            <w:r/>
          </w:p>
        </w:tc>
      </w:tr>
      <w:tr>
        <w:trPr>
          <w:trHeight w:val="56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Tỷ lệ CLCL</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0"/>
              </w:rPr>
              <w:t xml:space="preserve">CLCL</w:t>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r>
      <w:tr>
        <w:trPr>
          <w:trHeight w:val="12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 căn bungalow 28m2/căn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5.798.800.000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4.194.359.419</w:t>
            </w:r>
            <w:r/>
          </w:p>
        </w:tc>
      </w:tr>
      <w:tr>
        <w:trPr>
          <w:trHeight w:val="109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 căn bungalow 35m2/căn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633.500.000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458.220.096</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 căn bungalow 26m2/căn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1.822.600.000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1.683.033.781</w:t>
            </w:r>
            <w:r/>
          </w:p>
        </w:tc>
      </w:tr>
      <w:tr>
        <w:trPr>
          <w:trHeight w:val="7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 căn vip diện tích, 45m2/căn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2.209.500.000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2.139.734.281</w:t>
            </w:r>
            <w:r/>
          </w:p>
        </w:tc>
      </w:tr>
      <w:tr>
        <w:trPr>
          <w:trHeight w:val="6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lễ tân và hệ thống nhà hàng, 2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5.679.091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4.307.022.545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3.977.210.819</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0"/>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ở nhân viên, kho hàng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5.679.091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1.615.133.455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6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w:t>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1.313.700.877</w:t>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460" w:type="dxa"/>
            <w:vAlign w:val="center"/>
            <w:textDirection w:val="lrTb"/>
            <w:noWrap/>
          </w:tcPr>
          <w:p>
            <w:pPr>
              <w:pBdr/>
              <w:spacing w:after="0" w:before="0" w:line="240" w:lineRule="auto"/>
              <w:ind/>
              <w:rPr/>
            </w:pPr>
            <w:r/>
            <w:r/>
          </w:p>
        </w:tc>
        <w:tc>
          <w:tcPr>
            <w:gridSpan w:val="11"/>
            <w:tcBorders>
              <w:bottom w:val="single" w:color="000000" w:sz="8" w:space="0"/>
              <w:right w:val="single" w:color="000000" w:sz="8" w:space="0"/>
            </w:tcBorders>
            <w:tcMar>
              <w:left w:w="108" w:type="dxa"/>
              <w:top w:w="0" w:type="dxa"/>
              <w:right w:w="108" w:type="dxa"/>
              <w:bottom w:w="0" w:type="dxa"/>
            </w:tcMar>
            <w:tcW w:w="722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74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0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13.766.259.272</w:t>
            </w:r>
            <w:r/>
          </w:p>
        </w:tc>
      </w:tr>
    </w:tbl>
    <w:p>
      <w:pPr>
        <w:pBdr>
          <w:top w:val="none" w:color="000000" w:sz="4" w:space="0"/>
          <w:left w:val="none" w:color="000000" w:sz="4" w:space="0"/>
          <w:bottom w:val="none" w:color="000000" w:sz="4" w:space="0"/>
          <w:right w:val="none" w:color="000000" w:sz="4" w:space="0"/>
        </w:pBdr>
        <w:tabs>
          <w:tab w:val="left" w:leader="none" w:pos="360"/>
        </w:tabs>
        <w:spacing w:after="60" w:before="60" w:line="300" w:lineRule="auto"/>
        <w:ind w:right="0" w:firstLine="0" w:left="0"/>
        <w:jc w:val="both"/>
        <w:rPr/>
      </w:pPr>
      <w:r>
        <w:rPr>
          <w:b/>
          <w:bCs/>
          <w:lang w:val="pt-BR"/>
          <w14:ligatures w14:val="none"/>
        </w:rPr>
      </w:r>
      <w:r>
        <w:rPr>
          <w:b/>
          <w:bCs/>
          <w:lang w:val="pt-BR"/>
          <w14:ligatures w14:val="none"/>
        </w:rPr>
      </w:r>
      <w:r/>
    </w:p>
    <w:p>
      <w:pPr>
        <w:pStyle w:val="104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703"/>
        <w:gridCol w:w="58161"/>
        <w:gridCol w:w="19542"/>
        <w:gridCol w:w="22081"/>
        <w:gridCol w:w="3370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8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88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997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3, tờ bản đồ số: 02, có địa chỉ: Thôn Đồng Hải, xã Đồng Tiến, huyện Cô Tô, tỉnh Quảng Ninh (nay là Đặc khu Cô Tô, tỉnh Quảng Ninh) theo Giấy chứng nhận quyền sử dụng đất, quyền sở hữu tài sản k</w:t>
            </w:r>
            <w:r>
              <w:rPr>
                <w:rFonts w:ascii="Times New Roman" w:hAnsi="Times New Roman" w:eastAsia="Times New Roman" w:cs="Times New Roman"/>
                <w:color w:val="000000"/>
                <w:sz w:val="24"/>
              </w:rPr>
              <w:t xml:space="preserve">hác gắn liền với đất số: AA 01462804, Số vào sổ cấp GCN: CN 00059 do Chi nhánh Văn phòng Đăng ký Đất đai Huyện Cô Tô cấp ngày 06/6/2025; chủ sử dụng đất là Ông Đồng Thanh Đăng.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3.200.000.000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trồng cây lâu năm: 3.626m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 Đất trồng cây hàng năm: 12.145,5m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15.771,5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70.971.750.000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8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Công trình trên đất</w:t>
            </w:r>
            <w:r/>
          </w:p>
        </w:tc>
        <w:tc>
          <w:tcPr>
            <w:tcBorders>
              <w:bottom w:val="single" w:color="000000" w:sz="8" w:space="0"/>
              <w:right w:val="single" w:color="000000" w:sz="8" w:space="0"/>
            </w:tcBorders>
            <w:tcMar>
              <w:left w:w="108" w:type="dxa"/>
              <w:top w:w="0" w:type="dxa"/>
              <w:right w:w="108" w:type="dxa"/>
              <w:bottom w:w="0" w:type="dxa"/>
            </w:tcMar>
            <w:tcW w:w="1954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0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13.766.000.000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87.937.750.000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48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7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87.938.000.000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mươi bảy tỷ chín trăm ba mươi tám triệu đồng./.)</w:t>
            </w:r>
            <w:r/>
          </w:p>
        </w:tc>
      </w:tr>
    </w:tbl>
    <w:p>
      <w:pPr>
        <w:pStyle w:val="104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7"/>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275/2026/0723/VFI-CT.63.A</w:t>
      </w:r>
      <w:r>
        <w:rPr>
          <w:color w:val="ff0000"/>
          <w:lang w:val="vi-VN"/>
        </w:rPr>
        <w:t xml:space="preserve"> </w:t>
      </w:r>
      <w:r>
        <w:rPr>
          <w:color w:val="000000" w:themeColor="text1"/>
        </w:rPr>
        <w:t xml:space="preserve">ngày 14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275/2026/0723/VFI-BC.63</w:t>
      </w:r>
      <w:r>
        <w:rPr>
          <w:i/>
        </w:rPr>
        <w:t xml:space="preserve">.A</w:t>
      </w:r>
      <w:r>
        <w:rPr>
          <w:i/>
          <w:lang w:val="pt-BR"/>
        </w:rPr>
        <w:t xml:space="preserve"> </w:t>
      </w:r>
      <w:r>
        <w:rPr>
          <w:i/>
          <w:lang w:val="pt-BR"/>
        </w:rPr>
        <w:t xml:space="preserve">ngày 14 t</w:t>
      </w:r>
      <w:r>
        <w:rPr>
          <w:i/>
          <w:lang w:val="pt-BR"/>
        </w:rPr>
        <w:t xml:space="preserve">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7"/>
        <w:gridCol w:w="4758"/>
      </w:tblGrid>
      <w:tr>
        <w:trPr>
          <w:trHeight w:val="4181"/>
        </w:trPr>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3076575" cy="23050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00133" name=""/>
                              <pic:cNvPicPr>
                                <a:picLocks noChangeAspect="1"/>
                              </pic:cNvPicPr>
                              <pic:nvPr/>
                            </pic:nvPicPr>
                            <pic:blipFill rotWithShape="1">
                              <a:blip r:embed="rId22"/>
                              <a:stretch/>
                            </pic:blipFill>
                            <pic:spPr bwMode="auto">
                              <a:xfrm>
                                <a:off x="0" y="0"/>
                                <a:ext cx="3076574"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2.25pt;height:181.5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1876425" cy="25050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96677" name=""/>
                              <pic:cNvPicPr>
                                <a:picLocks noChangeAspect="1"/>
                              </pic:cNvPicPr>
                              <pic:nvPr/>
                            </pic:nvPicPr>
                            <pic:blipFill rotWithShape="1">
                              <a:blip r:embed="rId23"/>
                              <a:stretch/>
                            </pic:blipFill>
                            <pic:spPr bwMode="auto">
                              <a:xfrm>
                                <a:off x="0" y="0"/>
                                <a:ext cx="1876424" cy="2505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7.75pt;height:197.25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24"/>
              </w:rPr>
            </w:r>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r>
      <w:tr>
        <w:trPr/>
        <w:tc>
          <w:tcPr>
            <w:tcBorders/>
            <w:tcMar>
              <w:left w:w="108" w:type="dxa"/>
              <w:top w:w="0" w:type="dxa"/>
              <w:right w:w="108" w:type="dxa"/>
              <w:bottom w:w="0" w:type="dxa"/>
            </w:tcMar>
            <w:tcW w:w="4757" w:type="dxa"/>
            <w:vAlign w:val="center"/>
            <w:textDirection w:val="lrTb"/>
            <w:noWrap w:val="false"/>
          </w:tcPr>
          <w:p>
            <w:pPr>
              <w:pBdr/>
              <w:spacing w:after="0" w:before="0" w:line="240" w:lineRule="auto"/>
              <w:ind/>
              <w:rPr/>
            </w:pPr>
            <w:r/>
            <w:r>
              <mc:AlternateContent>
                <mc:Choice Requires="wpg">
                  <w:drawing>
                    <wp:inline xmlns:wp="http://schemas.openxmlformats.org/drawingml/2006/wordprocessingDrawing" distT="0" distB="0" distL="0" distR="0">
                      <wp:extent cx="3076575" cy="23050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42632" name=""/>
                              <pic:cNvPicPr>
                                <a:picLocks noChangeAspect="1"/>
                              </pic:cNvPicPr>
                              <pic:nvPr/>
                            </pic:nvPicPr>
                            <pic:blipFill rotWithShape="1">
                              <a:blip r:embed="rId24"/>
                              <a:stretch/>
                            </pic:blipFill>
                            <pic:spPr bwMode="auto">
                              <a:xfrm>
                                <a:off x="0" y="0"/>
                                <a:ext cx="3076574"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2.25pt;height:181.50pt;mso-wrap-distance-left:0.00pt;mso-wrap-distance-top:0.00pt;mso-wrap-distance-right:0.00pt;mso-wrap-distance-bottom:0.00pt;z-index:1;" stroked="false">
                      <v:imagedata r:id="rId24" o:title=""/>
                      <o:lock v:ext="edit" rotation="t"/>
                    </v:shape>
                  </w:pict>
                </mc:Fallback>
              </mc:AlternateContent>
            </w:r>
            <w:r/>
            <w:r/>
          </w:p>
        </w:tc>
        <w:tc>
          <w:tcPr>
            <w:tcBorders/>
            <w:tcMar>
              <w:left w:w="108" w:type="dxa"/>
              <w:top w:w="0" w:type="dxa"/>
              <w:right w:w="108" w:type="dxa"/>
              <w:bottom w:w="0" w:type="dxa"/>
            </w:tcMar>
            <w:tcW w:w="4758" w:type="dxa"/>
            <w:vAlign w:val="center"/>
            <w:textDirection w:val="lrTb"/>
            <w:noWrap w:val="false"/>
          </w:tcPr>
          <w:p>
            <w:pPr>
              <w:pBdr/>
              <w:spacing w:after="0" w:before="0" w:line="240" w:lineRule="auto"/>
              <w:ind/>
              <w:rPr/>
            </w:pPr>
            <w:r/>
            <w:r>
              <mc:AlternateContent>
                <mc:Choice Requires="wpg">
                  <w:drawing>
                    <wp:inline xmlns:wp="http://schemas.openxmlformats.org/drawingml/2006/wordprocessingDrawing" distT="0" distB="0" distL="0" distR="0">
                      <wp:extent cx="3048000" cy="2286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84061" name=""/>
                              <pic:cNvPicPr>
                                <a:picLocks noChangeAspect="1"/>
                              </pic:cNvPicPr>
                              <pic:nvPr/>
                            </pic:nvPicPr>
                            <pic:blipFill rotWithShape="1">
                              <a:blip r:embed="rId25"/>
                              <a:stretch/>
                            </pic:blipFill>
                            <pic:spPr bwMode="auto">
                              <a:xfrm>
                                <a:off x="0" y="0"/>
                                <a:ext cx="3047999"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00pt;height:180.00pt;mso-wrap-distance-left:0.00pt;mso-wrap-distance-top:0.00pt;mso-wrap-distance-right:0.00pt;mso-wrap-distance-bottom:0.00pt;z-index:1;" stroked="false">
                      <v:imagedata r:id="rId25" o:title=""/>
                      <o:lock v:ext="edit" rotation="t"/>
                    </v:shape>
                  </w:pict>
                </mc:Fallback>
              </mc:AlternateContent>
            </w:r>
            <w:r/>
            <w:r/>
          </w:p>
        </w:tc>
      </w:tr>
      <w:tr>
        <w:trPr/>
        <w:tc>
          <w:tcPr>
            <w:tcBorders>
              <w:bottom w:val="single" w:color="9bbb59"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w:r>
              <mc:AlternateContent>
                <mc:Choice Requires="wpg">
                  <w:drawing>
                    <wp:inline xmlns:wp="http://schemas.openxmlformats.org/drawingml/2006/wordprocessingDrawing" distT="0" distB="0" distL="0" distR="0">
                      <wp:extent cx="3048000" cy="2286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65764" name=""/>
                              <pic:cNvPicPr>
                                <a:picLocks noChangeAspect="1"/>
                              </pic:cNvPicPr>
                              <pic:nvPr/>
                            </pic:nvPicPr>
                            <pic:blipFill rotWithShape="1">
                              <a:blip r:embed="rId26"/>
                              <a:stretch/>
                            </pic:blipFill>
                            <pic:spPr bwMode="auto">
                              <a:xfrm>
                                <a:off x="0" y="0"/>
                                <a:ext cx="3047999"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0.00pt;height:180.00pt;mso-wrap-distance-left:0.00pt;mso-wrap-distance-top:0.00pt;mso-wrap-distance-right:0.00pt;mso-wrap-distance-bottom:0.00pt;z-index:1;" stroked="false">
                      <v:imagedata r:id="rId26" o:title=""/>
                      <o:lock v:ext="edit" rotation="t"/>
                    </v:shape>
                  </w:pict>
                </mc:Fallback>
              </mc:AlternateContent>
            </w:r>
            <w:r/>
            <w:r/>
          </w:p>
        </w:tc>
        <w:tc>
          <w:tcPr>
            <w:tcBorders>
              <w:bottom w:val="single" w:color="9bbb59"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w:r>
              <mc:AlternateContent>
                <mc:Choice Requires="wpg">
                  <w:drawing>
                    <wp:inline xmlns:wp="http://schemas.openxmlformats.org/drawingml/2006/wordprocessingDrawing" distT="0" distB="0" distL="0" distR="0">
                      <wp:extent cx="1924050" cy="21907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29803" name=""/>
                              <pic:cNvPicPr>
                                <a:picLocks noChangeAspect="1"/>
                              </pic:cNvPicPr>
                              <pic:nvPr/>
                            </pic:nvPicPr>
                            <pic:blipFill rotWithShape="1">
                              <a:blip r:embed="rId27"/>
                              <a:stretch/>
                            </pic:blipFill>
                            <pic:spPr bwMode="auto">
                              <a:xfrm>
                                <a:off x="0" y="0"/>
                                <a:ext cx="1924049"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1.50pt;height:172.50pt;mso-wrap-distance-left:0.00pt;mso-wrap-distance-top:0.00pt;mso-wrap-distance-right:0.00pt;mso-wrap-distance-bottom:0.00pt;z-index:1;" stroked="false">
                      <v:imagedata r:id="rId27" o:title=""/>
                      <o:lock v:ext="edit" rotation="t"/>
                    </v:shape>
                  </w:pict>
                </mc:Fallback>
              </mc:AlternateContent>
            </w:r>
            <w:r/>
            <w:r/>
          </w:p>
        </w:tc>
      </w:tr>
    </w:tbl>
    <w:p>
      <w:pPr>
        <w:pBdr/>
        <w:spacing/>
        <w:ind/>
        <w:rPr/>
      </w:pPr>
      <w:r/>
      <w:r/>
    </w:p>
    <w:p>
      <w:pPr>
        <w:pBdr/>
        <w:spacing w:after="200" w:line="276" w:lineRule="auto"/>
        <w:ind/>
        <w:rPr>
          <w:highlight w:val="none"/>
        </w:rPr>
      </w:pPr>
      <w:r>
        <w:br w:type="page" w:clear="all"/>
      </w:r>
      <w: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209925" cy="42862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12086" name=""/>
                        <pic:cNvPicPr>
                          <a:picLocks noChangeAspect="1"/>
                        </pic:cNvPicPr>
                        <pic:nvPr/>
                      </pic:nvPicPr>
                      <pic:blipFill rotWithShape="1">
                        <a:blip r:embed="rId28"/>
                        <a:stretch/>
                      </pic:blipFill>
                      <pic:spPr bwMode="auto">
                        <a:xfrm>
                          <a:off x="0" y="0"/>
                          <a:ext cx="3209924" cy="4286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2.75pt;height:337.50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r/>
    </w:p>
    <w:p>
      <w:pPr>
        <w:pBdr/>
        <w:spacing w:after="200" w:line="276" w:lineRule="auto"/>
        <w:ind/>
        <w:jc w:val="center"/>
        <w:rPr>
          <w:highlight w:val="none"/>
        </w:rPr>
      </w:pPr>
      <w:r>
        <w:rPr>
          <w:highlight w:val="none"/>
        </w:rPr>
      </w:r>
      <w:r/>
      <w:r>
        <mc:AlternateContent>
          <mc:Choice Requires="wpg">
            <w:drawing>
              <wp:inline xmlns:wp="http://schemas.openxmlformats.org/drawingml/2006/wordprocessingDrawing" distT="0" distB="0" distL="0" distR="0">
                <wp:extent cx="3190875" cy="42481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02059" name=""/>
                        <pic:cNvPicPr>
                          <a:picLocks noChangeAspect="1"/>
                        </pic:cNvPicPr>
                        <pic:nvPr/>
                      </pic:nvPicPr>
                      <pic:blipFill rotWithShape="1">
                        <a:blip r:embed="rId29"/>
                        <a:stretch/>
                      </pic:blipFill>
                      <pic:spPr bwMode="auto">
                        <a:xfrm>
                          <a:off x="0" y="0"/>
                          <a:ext cx="3190874" cy="424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1.25pt;height:334.50pt;mso-wrap-distance-left:0.00pt;mso-wrap-distance-top:0.00pt;mso-wrap-distance-right:0.00pt;mso-wrap-distance-bottom:0.00pt;z-index:1;" stroked="false">
                <v:imagedata r:id="rId29" o:title=""/>
                <o:lock v:ext="edit" rotation="t"/>
              </v:shape>
            </w:pict>
          </mc:Fallback>
        </mc:AlternateContent>
      </w:r>
      <w:r/>
      <w:r>
        <w:rPr>
          <w:highlight w:val="none"/>
        </w:rPr>
      </w:r>
      <w:r>
        <w:rPr>
          <w:highlight w:val="none"/>
        </w:rPr>
      </w:r>
      <w:r/>
    </w:p>
    <w:p>
      <w:pPr>
        <w:pBdr/>
        <w:spacing w:after="200" w:line="276" w:lineRule="auto"/>
        <w:ind/>
        <w:jc w:val="center"/>
        <w:rPr/>
      </w:pPr>
      <w:r>
        <w:rPr>
          <w:highlight w:val="none"/>
        </w:rPr>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w:t>
      </w:r>
      <w:r>
        <w:rPr>
          <w:b/>
          <w:lang w:val="vi-VN"/>
        </w:rPr>
        <w:t xml:space="preserve">TIN THU THẬ</w:t>
      </w:r>
      <w:r>
        <w:rPr>
          <w:b/>
          <w:lang w:val="vi-VN"/>
        </w:rPr>
        <w:t xml:space="preserve">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275/2026/0723/VFI-BC.63</w:t>
      </w:r>
      <w:r>
        <w:rPr>
          <w:i/>
        </w:rPr>
        <w:t xml:space="preserve">.A</w:t>
      </w:r>
      <w:r>
        <w:rPr>
          <w:i/>
          <w:lang w:val="pt-BR"/>
        </w:rPr>
        <w:t xml:space="preserve"> ngày </w:t>
      </w:r>
      <w:r>
        <w:rPr>
          <w:i/>
          <w:lang w:val="pt-BR"/>
        </w:rPr>
        <w:t xml:space="preserve">14 t</w:t>
      </w:r>
      <w:r>
        <w:rPr>
          <w:i/>
          <w:lang w:val="pt-BR"/>
        </w:rPr>
        <w:t xml:space="preserve">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https://alonhadat.com.vn/chuyen-nhuong-khu-resort-2-mat-bien-o-bai-vung-tien-co-to-qn-gia-re-119-ty--17360198.html</w:t>
              <w:br/>
              <w:t xml:space="preserve"> 0936.324.898</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Kiểm Lê)</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25.000.000.000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trồng cây lâu năm (4770.4m²), Đất ở nông thôn (400m²)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trồng cây lâu năm – Có thời hạn, 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Đảo Cô Tô, đặc khu Cô Tô, tỉnh Quảnh Ninh, cách biển Bắc Vàn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5170,4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tiếp giáp đường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45,73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 tiếp giáp biển </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tiếp giáp biển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880072" cy="193964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63314" name=""/>
                              <pic:cNvPicPr>
                                <a:picLocks noChangeAspect="1"/>
                              </pic:cNvPicPr>
                              <pic:nvPr/>
                            </pic:nvPicPr>
                            <pic:blipFill rotWithShape="1">
                              <a:blip r:embed="rId30"/>
                              <a:stretch/>
                            </pic:blipFill>
                            <pic:spPr bwMode="auto">
                              <a:xfrm flipH="0" flipV="0">
                                <a:off x="0" y="0"/>
                                <a:ext cx="2880071" cy="1939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78pt;height:152.73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1390650" cy="308327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9645" name=""/>
                              <pic:cNvPicPr>
                                <a:picLocks noChangeAspect="1"/>
                              </pic:cNvPicPr>
                              <pic:nvPr/>
                            </pic:nvPicPr>
                            <pic:blipFill rotWithShape="1">
                              <a:blip r:embed="rId31"/>
                              <a:stretch/>
                            </pic:blipFill>
                            <pic:spPr bwMode="auto">
                              <a:xfrm flipH="0" flipV="0">
                                <a:off x="0" y="0"/>
                                <a:ext cx="1390649" cy="3083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9.50pt;height:242.78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3117725" cy="232547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32212" name=""/>
                              <pic:cNvPicPr>
                                <a:picLocks noChangeAspect="1"/>
                              </pic:cNvPicPr>
                              <pic:nvPr/>
                            </pic:nvPicPr>
                            <pic:blipFill rotWithShape="1">
                              <a:blip r:embed="rId32"/>
                              <a:stretch/>
                            </pic:blipFill>
                            <pic:spPr bwMode="auto">
                              <a:xfrm flipH="0" flipV="0">
                                <a:off x="0" y="0"/>
                                <a:ext cx="3117725" cy="23254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5.49pt;height:183.11pt;mso-wrap-distance-left:0.00pt;mso-wrap-distance-top:0.00pt;mso-wrap-distance-right:0.00pt;mso-wrap-distance-bottom:0.00pt;z-index:1;" stroked="false">
                      <v:imagedata r:id="rId32" o:title=""/>
                      <o:lock v:ext="edit" rotation="t"/>
                    </v:shape>
                  </w:pict>
                </mc:Fallback>
              </mc:AlternateContent>
            </w:r>
            <w:r/>
            <w:r/>
            <w:r>
              <w:rPr>
                <w:rFonts w:ascii="Times New Roman" w:hAnsi="Times New Roman" w:eastAsia="Times New Roman" w:cs="Times New Roman"/>
                <w:color w:val="000000"/>
                <w:sz w:val="24"/>
              </w:rPr>
            </w:r>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https://batdongsan.com.vn/ban-trang-trai-khu-nghi-duong-xa-dong-tien-12/khong-co-ieu-kien-quan-ly-nen-chu-nha-can-ban-cao-lh-anh-thuy-pr45707671</w:t>
              <w:br/>
              <w:t xml:space="preserve"> 0933226688</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Anh Thủy)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57.261.000.000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51.534.900.000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(350m²), Đất trồng cây lâu năm (5376.1m²)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Đảo Cô Tô, đặc khu Cô Tô, tỉnh Quảnh Ninh, cách biển Bắc Vàn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5726,1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tiếp giáp đường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Khoảng 65m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 tiếp giáp biển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tiếp giáp biển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295650" cy="16192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98441" name=""/>
                              <pic:cNvPicPr>
                                <a:picLocks noChangeAspect="1"/>
                              </pic:cNvPicPr>
                              <pic:nvPr/>
                            </pic:nvPicPr>
                            <pic:blipFill rotWithShape="1">
                              <a:blip r:embed="rId33"/>
                              <a:stretch/>
                            </pic:blipFill>
                            <pic:spPr bwMode="auto">
                              <a:xfrm>
                                <a:off x="0" y="0"/>
                                <a:ext cx="3295649" cy="1619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59.50pt;height:127.50pt;mso-wrap-distance-left:0.00pt;mso-wrap-distance-top:0.00pt;mso-wrap-distance-right:0.00pt;mso-wrap-distance-bottom:0.00pt;z-index:1;" stroked="false">
                      <v:imagedata r:id="rId33" o:title=""/>
                      <o:lock v:ext="edit" rotation="t"/>
                    </v:shape>
                  </w:pict>
                </mc:Fallback>
              </mc:AlternateContent>
              <w:t xml:space="preserve"> </w:t>
            </w:r>
            <w:r>
              <mc:AlternateContent>
                <mc:Choice Requires="wpg">
                  <w:drawing>
                    <wp:inline xmlns:wp="http://schemas.openxmlformats.org/drawingml/2006/wordprocessingDrawing" distT="0" distB="0" distL="0" distR="0">
                      <wp:extent cx="1123950" cy="24288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6914" name=""/>
                              <pic:cNvPicPr>
                                <a:picLocks noChangeAspect="1"/>
                              </pic:cNvPicPr>
                              <pic:nvPr/>
                            </pic:nvPicPr>
                            <pic:blipFill rotWithShape="1">
                              <a:blip r:embed="rId34"/>
                              <a:stretch/>
                            </pic:blipFill>
                            <pic:spPr bwMode="auto">
                              <a:xfrm>
                                <a:off x="0" y="0"/>
                                <a:ext cx="1123949" cy="242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88.50pt;height:191.25pt;mso-wrap-distance-left:0.00pt;mso-wrap-distance-top:0.00pt;mso-wrap-distance-right:0.00pt;mso-wrap-distance-bottom:0.00pt;z-index:1;" stroked="false">
                      <v:imagedata r:id="rId34" o:title=""/>
                      <o:lock v:ext="edit" rotation="t"/>
                    </v:shape>
                  </w:pict>
                </mc:Fallback>
              </mc:AlternateContent>
            </w:r>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https://alonhadat.com.vn/chuyen-nhuong-khu-resort-2-mat-bien-o-bai-vung-tien-co-to-qn-gia-re-119-ty--17360198.html SĐT: 0936.324.898</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Kiểm Lê)</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38.000.000.000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34.200.000.000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trồng cây hàng năm khác (2949.8m²)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Đảo Cô Tô, đặc khu Cô Tô, tỉnh Quảnh Ninh, cách biển Bắc Vàn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2949,8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tiếp giáp đường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Khoảng 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 tiếp giáp biển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tiếp giáp biển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3248025" cy="15621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4410" name=""/>
                              <pic:cNvPicPr>
                                <a:picLocks noChangeAspect="1"/>
                              </pic:cNvPicPr>
                              <pic:nvPr/>
                            </pic:nvPicPr>
                            <pic:blipFill rotWithShape="1">
                              <a:blip r:embed="rId35"/>
                              <a:stretch/>
                            </pic:blipFill>
                            <pic:spPr bwMode="auto">
                              <a:xfrm>
                                <a:off x="0" y="0"/>
                                <a:ext cx="3248024" cy="1562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55.75pt;height:123.0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1685925" cy="20669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89390" name=""/>
                              <pic:cNvPicPr>
                                <a:picLocks noChangeAspect="1"/>
                              </pic:cNvPicPr>
                              <pic:nvPr/>
                            </pic:nvPicPr>
                            <pic:blipFill rotWithShape="1">
                              <a:blip r:embed="rId36"/>
                              <a:stretch/>
                            </pic:blipFill>
                            <pic:spPr bwMode="auto">
                              <a:xfrm>
                                <a:off x="0" y="0"/>
                                <a:ext cx="1685925" cy="2066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2.75pt;height:162.75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4</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4"/>
        <w:gridCol w:w="5051"/>
        <w:gridCol w:w="3969"/>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https://batdongsan.com.vn/ban-dat-xa-dong-tien-12/can-ban-at-full-tho-cu-mat-doc-tuyen-uong-bai-bien-tinh-yeu-pr45693778?gidzl=wDzw6h_HHI7Wn78QkSP78EF9SHYZn4PthffpIlQK5t6gctCUzfT5TgxA8Hpqmnzq_C5zGJTkEmOCij5B90 SĐT: 0969628579</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Duy)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4.422.000.000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3.980.000.000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19/5, đảo Cô Tô, đặc khu Cô Tô, tỉnh Quảnh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vỉa hè 1 bên -8m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505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90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4"/>
              </w:rPr>
              <w:t xml:space="preserve"> </w:t>
            </w:r>
            <w:r/>
            <w:r>
              <mc:AlternateContent>
                <mc:Choice Requires="wpg">
                  <w:drawing>
                    <wp:inline xmlns:wp="http://schemas.openxmlformats.org/drawingml/2006/wordprocessingDrawing" distT="0" distB="0" distL="0" distR="0">
                      <wp:extent cx="4358047" cy="213702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600" name=""/>
                              <pic:cNvPicPr>
                                <a:picLocks noChangeAspect="1"/>
                              </pic:cNvPicPr>
                              <pic:nvPr/>
                            </pic:nvPicPr>
                            <pic:blipFill rotWithShape="1">
                              <a:blip r:embed="rId37"/>
                              <a:stretch/>
                            </pic:blipFill>
                            <pic:spPr bwMode="auto">
                              <a:xfrm flipH="0" flipV="0">
                                <a:off x="0" y="0"/>
                                <a:ext cx="4358046" cy="2137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43.15pt;height:168.27pt;mso-wrap-distance-left:0.00pt;mso-wrap-distance-top:0.00pt;mso-wrap-distance-right:0.00pt;mso-wrap-distance-bottom:0.00pt;z-index:1;" stroked="false">
                      <v:imagedata r:id="rId37" o:title=""/>
                      <o:lock v:ext="edit" rotation="t"/>
                    </v:shape>
                  </w:pict>
                </mc:Fallback>
              </mc:AlternateContent>
            </w:r>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2133600" cy="22479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92336" name=""/>
                              <pic:cNvPicPr>
                                <a:picLocks noChangeAspect="1"/>
                              </pic:cNvPicPr>
                              <pic:nvPr/>
                            </pic:nvPicPr>
                            <pic:blipFill rotWithShape="1">
                              <a:blip r:embed="rId38"/>
                              <a:stretch/>
                            </pic:blipFill>
                            <pic:spPr bwMode="auto">
                              <a:xfrm>
                                <a:off x="0" y="0"/>
                                <a:ext cx="2133599"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8.00pt;height:177.00pt;mso-wrap-distance-left:0.00pt;mso-wrap-distance-top:0.00pt;mso-wrap-distance-right:0.00pt;mso-wrap-distance-bottom:0.00pt;z-index:1;" stroked="false">
                      <v:imagedata r:id="rId38" o:title=""/>
                      <o:lock v:ext="edit" rotation="t"/>
                    </v:shape>
                  </w:pict>
                </mc:Fallback>
              </mc:AlternateContent>
            </w:r>
            <w:r>
              <mc:AlternateContent>
                <mc:Choice Requires="wpg">
                  <w:drawing>
                    <wp:inline xmlns:wp="http://schemas.openxmlformats.org/drawingml/2006/wordprocessingDrawing" distT="0" distB="0" distL="0" distR="0">
                      <wp:extent cx="3286125" cy="20478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40586" name=""/>
                              <pic:cNvPicPr>
                                <a:picLocks noChangeAspect="1"/>
                              </pic:cNvPicPr>
                              <pic:nvPr/>
                            </pic:nvPicPr>
                            <pic:blipFill rotWithShape="1">
                              <a:blip r:embed="rId39"/>
                              <a:stretch/>
                            </pic:blipFill>
                            <pic:spPr bwMode="auto">
                              <a:xfrm>
                                <a:off x="0" y="0"/>
                                <a:ext cx="3286125"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8.75pt;height:161.25pt;mso-wrap-distance-left:0.00pt;mso-wrap-distance-top:0.00pt;mso-wrap-distance-right:0.00pt;mso-wrap-distance-bottom:0.00pt;z-index:1;" stroked="false">
                      <v:imagedata r:id="rId39" o:title=""/>
                      <o:lock v:ext="edit" rotation="t"/>
                    </v:shape>
                  </w:pict>
                </mc:Fallback>
              </mc:AlternateContent>
            </w:r>
            <w:r/>
            <w:r>
              <w:rPr>
                <w:rFonts w:ascii="Times New Roman" w:hAnsi="Times New Roman" w:eastAsia="Times New Roman" w:cs="Times New Roman"/>
                <w:color w:val="000000"/>
                <w:sz w:val="22"/>
              </w:rPr>
            </w:r>
            <w:r/>
            <w:r/>
            <w:r/>
            <w:r/>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5</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SĐT: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0969663889</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2.519.600.000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nhánh của đường Lê Lợi, đảo Thanh Lân, đặc khu Cô Tô, tỉnh Quảnh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 có vỉa hè 2 bên – 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125,98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162425" cy="26193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9072" name=""/>
                              <pic:cNvPicPr>
                                <a:picLocks noChangeAspect="1"/>
                              </pic:cNvPicPr>
                              <pic:nvPr/>
                            </pic:nvPicPr>
                            <pic:blipFill rotWithShape="1">
                              <a:blip r:embed="rId40"/>
                              <a:stretch/>
                            </pic:blipFill>
                            <pic:spPr bwMode="auto">
                              <a:xfrm>
                                <a:off x="0" y="0"/>
                                <a:ext cx="4162424"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27.75pt;height:206.25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color w:val="000000"/>
                <w:sz w:val="22"/>
              </w:rPr>
            </w:r>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1905000" cy="25431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57997" name=""/>
                              <pic:cNvPicPr>
                                <a:picLocks noChangeAspect="1"/>
                              </pic:cNvPicPr>
                              <pic:nvPr/>
                            </pic:nvPicPr>
                            <pic:blipFill rotWithShape="1">
                              <a:blip r:embed="rId41"/>
                              <a:stretch/>
                            </pic:blipFill>
                            <pic:spPr bwMode="auto">
                              <a:xfrm>
                                <a:off x="0" y="0"/>
                                <a:ext cx="190499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0.00pt;height:200.25pt;mso-wrap-distance-left:0.00pt;mso-wrap-distance-top:0.00pt;mso-wrap-distance-right:0.00pt;mso-wrap-distance-bottom:0.00pt;z-index:1;" stroked="false">
                      <v:imagedata r:id="rId41" o:title=""/>
                      <o:lock v:ext="edit" rotation="t"/>
                    </v:shape>
                  </w:pict>
                </mc:Fallback>
              </mc:AlternateContent>
            </w:r>
            <w:r>
              <mc:AlternateContent>
                <mc:Choice Requires="wpg">
                  <w:drawing>
                    <wp:inline xmlns:wp="http://schemas.openxmlformats.org/drawingml/2006/wordprocessingDrawing" distT="0" distB="0" distL="0" distR="0">
                      <wp:extent cx="3038475" cy="28098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67459" name=""/>
                              <pic:cNvPicPr>
                                <a:picLocks noChangeAspect="1"/>
                              </pic:cNvPicPr>
                              <pic:nvPr/>
                            </pic:nvPicPr>
                            <pic:blipFill rotWithShape="1">
                              <a:blip r:embed="rId42"/>
                              <a:stretch/>
                            </pic:blipFill>
                            <pic:spPr bwMode="auto">
                              <a:xfrm>
                                <a:off x="0" y="0"/>
                                <a:ext cx="3038474" cy="2809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9.25pt;height:221.25pt;mso-wrap-distance-left:0.00pt;mso-wrap-distance-top:0.00pt;mso-wrap-distance-right:0.00pt;mso-wrap-distance-bottom:0.00pt;z-index:1;" stroked="false">
                      <v:imagedata r:id="rId42" o:title=""/>
                      <o:lock v:ext="edit" rotation="t"/>
                    </v:shape>
                  </w:pict>
                </mc:Fallback>
              </mc:AlternateContent>
            </w:r>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6</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SĐT: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0969663889</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(Sale 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6.270.000.000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5.640.000.000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nhánh của đường Lê Lợi, đảo Thanh Lân, đặc khu Cô Tô, tỉnh Quảnh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 có vỉa hè 2 bên – 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313,5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4162425" cy="26193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87692" name=""/>
                              <pic:cNvPicPr>
                                <a:picLocks noChangeAspect="1"/>
                              </pic:cNvPicPr>
                              <pic:nvPr/>
                            </pic:nvPicPr>
                            <pic:blipFill rotWithShape="1">
                              <a:blip r:embed="rId43"/>
                              <a:stretch/>
                            </pic:blipFill>
                            <pic:spPr bwMode="auto">
                              <a:xfrm>
                                <a:off x="0" y="0"/>
                                <a:ext cx="4162424" cy="2619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27.75pt;height:206.25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eastAsia="Times New Roman" w:cs="Times New Roman"/>
                <w:b/>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4419600" cy="252412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35600" name=""/>
                              <pic:cNvPicPr>
                                <a:picLocks noChangeAspect="1"/>
                              </pic:cNvPicPr>
                              <pic:nvPr/>
                            </pic:nvPicPr>
                            <pic:blipFill rotWithShape="1">
                              <a:blip r:embed="rId44"/>
                              <a:stretch/>
                            </pic:blipFill>
                            <pic:spPr bwMode="auto">
                              <a:xfrm>
                                <a:off x="0" y="0"/>
                                <a:ext cx="4419599" cy="2524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48.00pt;height:198.75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51"/>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Chu Thế Hiển</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PHIẾU KHẢO SÁT</w:t>
      </w: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991225" cy="78581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56491" name=""/>
                        <pic:cNvPicPr>
                          <a:picLocks noChangeAspect="1"/>
                        </pic:cNvPicPr>
                        <pic:nvPr/>
                      </pic:nvPicPr>
                      <pic:blipFill rotWithShape="1">
                        <a:blip r:embed="rId45"/>
                        <a:stretch/>
                      </pic:blipFill>
                      <pic:spPr bwMode="auto">
                        <a:xfrm>
                          <a:off x="0" y="0"/>
                          <a:ext cx="5991224" cy="7858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1.75pt;height:618.75pt;mso-wrap-distance-left:0.00pt;mso-wrap-distance-top:0.00pt;mso-wrap-distance-right:0.00pt;mso-wrap-distance-bottom:0.00pt;z-index:1;" stroked="false">
                <v:imagedata r:id="rId45"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478C1C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1A88A2C"/>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9">
    <w:nsid w:val="63BB0190"/>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0">
    <w:nsid w:val="1A66DA5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30F0BE5"/>
    <w:lvl w:ilvl="0">
      <w:isLgl w:val="false"/>
      <w:lvlJc w:val="left"/>
      <w:lvlText w:val=""/>
      <w:numFmt w:val="bullet"/>
      <w:pPr>
        <w:pBdr/>
        <w:spacing/>
        <w:ind w:hanging="360" w:left="1077"/>
      </w:pPr>
      <w:rPr>
        <w:rFonts w:hint="default" w:ascii="Symbol" w:hAnsi="Symbol" w:eastAsia="Symbol" w:cs="Symbol"/>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abstractNum w:abstractNumId="42">
    <w:nsid w:val="754AC32D"/>
    <w:lvl w:ilvl="0">
      <w:isLgl w:val="false"/>
      <w:lvlJc w:val="left"/>
      <w:lvlText w:val=""/>
      <w:numFmt w:val="bullet"/>
      <w:pPr>
        <w:pBdr/>
        <w:spacing/>
        <w:ind w:hanging="360" w:left="1077"/>
      </w:pPr>
      <w:rPr>
        <w:rFonts w:hint="default" w:ascii="Symbol" w:hAnsi="Symbol" w:eastAsia="Symbol" w:cs="Symbol"/>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abstractNum w:abstractNumId="43">
    <w:nsid w:val="5A74E49B"/>
    <w:lvl w:ilvl="0">
      <w:isLgl w:val="false"/>
      <w:lvlJc w:val="left"/>
      <w:lvlText w:val="o"/>
      <w:numFmt w:val="bullet"/>
      <w:pPr>
        <w:pBdr/>
        <w:spacing/>
        <w:ind w:hanging="360" w:left="1080"/>
      </w:pPr>
      <w:rPr>
        <w:rFonts w:hint="default" w:ascii="Courier New" w:hAnsi="Courier New" w:eastAsia="Courier New" w:cs="Courier New"/>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4">
    <w:nsid w:val="4CB250CA"/>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5">
    <w:nsid w:val="18DAD5C4"/>
    <w:lvl w:ilvl="0">
      <w:isLgl w:val="false"/>
      <w:lvlJc w:val="left"/>
      <w:lvlText w:val="o"/>
      <w:numFmt w:val="bullet"/>
      <w:pPr>
        <w:pBdr/>
        <w:spacing/>
        <w:ind w:hanging="360" w:left="783"/>
      </w:pPr>
      <w:rPr>
        <w:rFonts w:hint="default" w:ascii="Courier New" w:hAnsi="Courier New" w:eastAsia="Courier New" w:cs="Courier New"/>
      </w:rPr>
      <w:start w:val="1"/>
      <w:suff w:val="tab"/>
    </w:lvl>
    <w:lvl w:ilvl="1">
      <w:isLgl w:val="false"/>
      <w:lvlJc w:val="left"/>
      <w:lvlText w:val="o"/>
      <w:numFmt w:val="bullet"/>
      <w:pPr>
        <w:pBdr/>
        <w:spacing/>
        <w:ind w:hanging="360" w:left="1503"/>
      </w:pPr>
      <w:rPr>
        <w:rFonts w:hint="default" w:ascii="Courier New" w:hAnsi="Courier New" w:eastAsia="Courier New" w:cs="Courier New"/>
      </w:rPr>
      <w:start w:val="1"/>
      <w:suff w:val="tab"/>
    </w:lvl>
    <w:lvl w:ilvl="2">
      <w:isLgl w:val="false"/>
      <w:lvlJc w:val="left"/>
      <w:lvlText w:val=""/>
      <w:numFmt w:val="bullet"/>
      <w:pPr>
        <w:pBdr/>
        <w:spacing/>
        <w:ind w:hanging="360" w:left="2223"/>
      </w:pPr>
      <w:rPr>
        <w:rFonts w:hint="default" w:ascii="Wingdings" w:hAnsi="Wingdings" w:eastAsia="Wingdings" w:cs="Wingdings"/>
      </w:rPr>
      <w:start w:val="1"/>
      <w:suff w:val="tab"/>
    </w:lvl>
    <w:lvl w:ilvl="3">
      <w:isLgl w:val="false"/>
      <w:lvlJc w:val="left"/>
      <w:lvlText w:val=""/>
      <w:numFmt w:val="bullet"/>
      <w:pPr>
        <w:pBdr/>
        <w:spacing/>
        <w:ind w:hanging="360" w:left="2943"/>
      </w:pPr>
      <w:rPr>
        <w:rFonts w:hint="default" w:ascii="Symbol" w:hAnsi="Symbol" w:eastAsia="Symbol" w:cs="Symbol"/>
      </w:rPr>
      <w:start w:val="1"/>
      <w:suff w:val="tab"/>
    </w:lvl>
    <w:lvl w:ilvl="4">
      <w:isLgl w:val="false"/>
      <w:lvlJc w:val="left"/>
      <w:lvlText w:val="o"/>
      <w:numFmt w:val="bullet"/>
      <w:pPr>
        <w:pBdr/>
        <w:spacing/>
        <w:ind w:hanging="360" w:left="3663"/>
      </w:pPr>
      <w:rPr>
        <w:rFonts w:hint="default" w:ascii="Courier New" w:hAnsi="Courier New" w:eastAsia="Courier New" w:cs="Courier New"/>
      </w:rPr>
      <w:start w:val="1"/>
      <w:suff w:val="tab"/>
    </w:lvl>
    <w:lvl w:ilvl="5">
      <w:isLgl w:val="false"/>
      <w:lvlJc w:val="left"/>
      <w:lvlText w:val=""/>
      <w:numFmt w:val="bullet"/>
      <w:pPr>
        <w:pBdr/>
        <w:spacing/>
        <w:ind w:hanging="360" w:left="4383"/>
      </w:pPr>
      <w:rPr>
        <w:rFonts w:hint="default" w:ascii="Wingdings" w:hAnsi="Wingdings" w:eastAsia="Wingdings" w:cs="Wingdings"/>
      </w:rPr>
      <w:start w:val="1"/>
      <w:suff w:val="tab"/>
    </w:lvl>
    <w:lvl w:ilvl="6">
      <w:isLgl w:val="false"/>
      <w:lvlJc w:val="left"/>
      <w:lvlText w:val=""/>
      <w:numFmt w:val="bullet"/>
      <w:pPr>
        <w:pBdr/>
        <w:spacing/>
        <w:ind w:hanging="360" w:left="5103"/>
      </w:pPr>
      <w:rPr>
        <w:rFonts w:hint="default" w:ascii="Symbol" w:hAnsi="Symbol" w:eastAsia="Symbol" w:cs="Symbol"/>
      </w:rPr>
      <w:start w:val="1"/>
      <w:suff w:val="tab"/>
    </w:lvl>
    <w:lvl w:ilvl="7">
      <w:isLgl w:val="false"/>
      <w:lvlJc w:val="left"/>
      <w:lvlText w:val="o"/>
      <w:numFmt w:val="bullet"/>
      <w:pPr>
        <w:pBdr/>
        <w:spacing/>
        <w:ind w:hanging="360" w:left="5823"/>
      </w:pPr>
      <w:rPr>
        <w:rFonts w:hint="default" w:ascii="Courier New" w:hAnsi="Courier New" w:eastAsia="Courier New" w:cs="Courier New"/>
      </w:rPr>
      <w:start w:val="1"/>
      <w:suff w:val="tab"/>
    </w:lvl>
    <w:lvl w:ilvl="8">
      <w:isLgl w:val="false"/>
      <w:lvlJc w:val="left"/>
      <w:lvlText w:val=""/>
      <w:numFmt w:val="bullet"/>
      <w:pPr>
        <w:pBdr/>
        <w:spacing/>
        <w:ind w:hanging="360" w:left="6543"/>
      </w:pPr>
      <w:rPr>
        <w:rFonts w:hint="default" w:ascii="Wingdings" w:hAnsi="Wingdings" w:eastAsia="Wingdings" w:cs="Wingdings"/>
      </w:rPr>
      <w:start w:val="1"/>
      <w:suff w:val="tab"/>
    </w:lvl>
  </w:abstractNum>
  <w:abstractNum w:abstractNumId="46">
    <w:nsid w:val="56F4BD09"/>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7">
    <w:nsid w:val="2D586365"/>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alonhadat.com.vn/can-ban-gap-102m-dat-tho-cu-ha-huy-tap-gia-lam-o-to-tranh-ngo-thong-16272398.html" TargetMode="External"/><Relationship Id="rId19" Type="http://schemas.openxmlformats.org/officeDocument/2006/relationships/hyperlink" Target="https://alonhadat.com.vn/can-ban-gap-102m-dat-tho-cu-ha-huy-tap-gia-lam-o-to-tranh-ngo-thong-16272398.html" TargetMode="External"/><Relationship Id="rId20" Type="http://schemas.openxmlformats.org/officeDocument/2006/relationships/hyperlink" Target="https://dsdhome.vn/tin-tuc/bao-gia-thi-cong-bungalow-mau-nha-bungalow-dep-gia-re.html"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285</cp:revision>
  <dcterms:created xsi:type="dcterms:W3CDTF">2025-09-15T09:58:00Z</dcterms:created>
  <dcterms:modified xsi:type="dcterms:W3CDTF">2026-05-27T08:32:04Z</dcterms:modified>
</cp:coreProperties>
</file>