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op w:val="none" w:color="000000" w:sz="4" w:space="0"/>
          <w:left w:val="none" w:color="000000" w:sz="4" w:space="0"/>
          <w:bottom w:val="none" w:color="000000" w:sz="4" w:space="0"/>
          <w:right w:val="none" w:color="000000" w:sz="4" w:space="0"/>
        </w:pBdr>
        <w:spacing/>
        <w:ind w:right="-1" w:firstLine="0" w:left="0"/>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8"/>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1" w:firstLine="0" w:left="0"/>
        <w:jc w:val="center"/>
        <w:rPr>
          <w:rFonts w:ascii="Times New Roman" w:hAnsi="Times New Roman" w:cs="Times New Roman"/>
        </w:rPr>
      </w:pPr>
      <w:r>
        <w:rPr>
          <w:rFonts w:ascii="Times New Roman" w:hAnsi="Times New Roman" w:eastAsia="Times New Roman" w:cs="Times New Roman"/>
          <w:b/>
          <w:color w:val="000000"/>
          <w:sz w:val="28"/>
        </w:rPr>
        <w:t xml:space="preserve">MỤC LỤC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bl>
      <w:tblPr>
        <w:tblStyle w:val="986"/>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rFonts w:ascii="Times New Roman" w:hAnsi="Times New Roman" w:cs="Times New Roman"/>
              </w:rPr>
            </w:pPr>
            <w:r>
              <w:rPr>
                <w:rFonts w:ascii="Times New Roman" w:hAnsi="Times New Roman" w:eastAsia="Times New Roman" w:cs="Times New Roman"/>
                <w:b/>
                <w:color w:val="000000"/>
                <w:sz w:val="24"/>
                <w:u w:val="single"/>
              </w:rPr>
              <w:t xml:space="preserve">NỘI DUNG</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rFonts w:ascii="Times New Roman" w:hAnsi="Times New Roman" w:cs="Times New Roman"/>
              </w:rPr>
            </w:pPr>
            <w:r>
              <w:rPr>
                <w:rFonts w:ascii="Times New Roman" w:hAnsi="Times New Roman" w:eastAsia="Times New Roman" w:cs="Times New Roman"/>
                <w:b/>
                <w:color w:val="000000"/>
                <w:sz w:val="24"/>
                <w:u w:val="single"/>
              </w:rPr>
              <w:t xml:space="preserve">TRANG</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Chứng thư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rFonts w:ascii="Times New Roman" w:hAnsi="Times New Roman" w:cs="Times New Roman"/>
              </w:rPr>
            </w:pPr>
            <w:r>
              <w:rPr>
                <w:rFonts w:ascii="Times New Roman" w:hAnsi="Times New Roman" w:eastAsia="Times New Roman" w:cs="Times New Roman"/>
                <w:b/>
                <w:color w:val="000000"/>
                <w:sz w:val="24"/>
              </w:rPr>
              <w:t xml:space="preserve">1-3</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rFonts w:ascii="Times New Roman" w:hAnsi="Times New Roman" w:cs="Times New Roman"/>
              </w:rPr>
            </w:pPr>
            <w:r>
              <w:rPr>
                <w:rFonts w:ascii="Times New Roman" w:hAnsi="Times New Roman" w:eastAsia="Times New Roman" w:cs="Times New Roman"/>
                <w:b/>
                <w:color w:val="000000"/>
                <w:sz w:val="24"/>
              </w:rPr>
              <w:t xml:space="preserve">Báo cáo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rFonts w:ascii="Times New Roman" w:hAnsi="Times New Roman" w:cs="Times New Roman"/>
              </w:rPr>
            </w:pPr>
            <w:r>
              <w:rPr>
                <w:rFonts w:ascii="Times New Roman" w:hAnsi="Times New Roman" w:eastAsia="Times New Roman" w:cs="Times New Roman"/>
                <w:b/>
                <w:color w:val="000000"/>
                <w:sz w:val="24"/>
              </w:rPr>
              <w:t xml:space="preserve">4-29</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Các phụ lục chi tiết kèm theo</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Phụ lục 1: Thông tin hiện trạng</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rFonts w:ascii="Times New Roman" w:hAnsi="Times New Roman" w:cs="Times New Roman"/>
              </w:rPr>
            </w:pPr>
            <w:r>
              <w:rPr>
                <w:rFonts w:ascii="Times New Roman" w:hAnsi="Times New Roman" w:eastAsia="Times New Roman" w:cs="Times New Roman"/>
                <w:b/>
                <w:color w:val="000000"/>
                <w:sz w:val="24"/>
              </w:rPr>
              <w:t xml:space="preserve">30-33</w:t>
            </w:r>
            <w:r>
              <w:rPr>
                <w:rFonts w:ascii="Times New Roman" w:hAnsi="Times New Roman" w:eastAsia="Times New Roman" w:cs="Times New Roman"/>
              </w:rPr>
            </w:r>
            <w:r>
              <w:rPr>
                <w:rFonts w:ascii="Times New Roman" w:hAnsi="Times New Roman" w:cs="Times New Roman"/>
              </w:rP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Phụ lục 2: Thông tin thu thập thị trường</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rFonts w:ascii="Times New Roman" w:hAnsi="Times New Roman" w:cs="Times New Roman"/>
              </w:rPr>
            </w:pPr>
            <w:r>
              <w:rPr>
                <w:rFonts w:ascii="Times New Roman" w:hAnsi="Times New Roman" w:eastAsia="Times New Roman" w:cs="Times New Roman"/>
                <w:b/>
                <w:color w:val="000000"/>
                <w:sz w:val="24"/>
              </w:rPr>
              <w:t xml:space="preserve">34-49</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rPr>
        <w:br w:type="page" w:clear="all"/>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cs="Times New Roman"/>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rPr>
      </w:r>
      <w:r>
        <w:rPr>
          <w:rFonts w:ascii="Times New Roman" w:hAnsi="Times New Roman" w:cs="Times New Roman"/>
        </w:rPr>
      </w:r>
    </w:p>
    <w:tbl>
      <w:tblPr>
        <w:tblStyle w:val="98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970"/>
        <w:gridCol w:w="5952"/>
      </w:tblGrid>
      <w:tr>
        <w:trPr>
          <w:trHeight w:val="1152"/>
        </w:trPr>
        <w:tc>
          <w:tcPr>
            <w:tcBorders/>
            <w:tcMar>
              <w:left w:w="108" w:type="dxa"/>
              <w:top w:w="0" w:type="dxa"/>
              <w:right w:w="108" w:type="dxa"/>
              <w:bottom w:w="0" w:type="dxa"/>
            </w:tcMar>
            <w:tcW w:w="3970"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mc:AlternateContent>
                <mc:Choice Requires="wpg">
                  <w:drawing>
                    <wp:inline xmlns:wp="http://schemas.openxmlformats.org/drawingml/2006/wordprocessingDrawing" distT="0" distB="0" distL="0" distR="0">
                      <wp:extent cx="762000" cy="69532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71411" name=""/>
                              <pic:cNvPicPr>
                                <a:picLocks noChangeAspect="1"/>
                              </pic:cNvPicPr>
                              <pic:nvPr/>
                            </pic:nvPicPr>
                            <pic:blipFill rotWithShape="1">
                              <a:blip r:embed="rId11"/>
                              <a:stretch/>
                            </pic:blipFill>
                            <pic:spPr bwMode="auto">
                              <a:xfrm>
                                <a:off x="0" y="0"/>
                                <a:ext cx="761998" cy="6953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60.00pt;height:54.75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5952"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Trụ sở: BT5 - 23, Khu đô thị mới Văn Phú, Phường Kiến Hưng, Thành phố Hà Nội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Điện thoại:  085 329 3333/ 024 2264 4333</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Email: </w:t>
              <w:tab/>
            </w:r>
            <w:hyperlink r:id="rId12" w:tooltip="mailto:ilotus.contact@gmail.com" w:history="1">
              <w:r>
                <w:rPr>
                  <w:rStyle w:val="97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rPr>
                <w:rFonts w:ascii="Times New Roman" w:hAnsi="Times New Roman" w:eastAsia="Times New Roman" w:cs="Times New Roman"/>
              </w:rPr>
            </w:r>
            <w:r>
              <w:rPr>
                <w:rFonts w:ascii="Times New Roman" w:hAnsi="Times New Roman" w:cs="Times New Roman"/>
              </w:rPr>
            </w:r>
          </w:p>
        </w:tc>
      </w:tr>
      <w:tr>
        <w:trPr>
          <w:trHeight w:val="482"/>
        </w:trPr>
        <w:tc>
          <w:tcPr>
            <w:tcBorders/>
            <w:tcMar>
              <w:left w:w="108" w:type="dxa"/>
              <w:top w:w="0" w:type="dxa"/>
              <w:right w:w="108" w:type="dxa"/>
              <w:bottom w:w="0" w:type="dxa"/>
            </w:tcMar>
            <w:tcW w:w="3970"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Số: 275/2026/0751/VFI-CT.69.A</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595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rPr>
            </w:pPr>
            <w:r>
              <w:rPr>
                <w:rFonts w:ascii="Times New Roman" w:hAnsi="Times New Roman" w:eastAsia="Times New Roman" w:cs="Times New Roman"/>
                <w:i/>
                <w:color w:val="000000"/>
                <w:sz w:val="24"/>
              </w:rPr>
              <w:t xml:space="preserve">TP. Hà Nội, ngày 18 tháng 5 năm 2026</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30"/>
        </w:rPr>
        <w:t xml:space="preserve">CHỨNG THƯ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CÔNG TY TNHH SẢN XUẤT THƯƠNG MẠI NHÔM C&amp;T</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rFonts w:ascii="Times New Roman" w:hAnsi="Times New Roman" w:cs="Times New Roman"/>
        </w:rPr>
      </w:pPr>
      <w:r>
        <w:rPr>
          <w:rFonts w:ascii="Times New Roman" w:hAnsi="Times New Roman" w:eastAsia="Times New Roman" w:cs="Times New Roman"/>
          <w:color w:val="000000"/>
          <w:spacing w:val="-4"/>
          <w:sz w:val="24"/>
        </w:rPr>
        <w:tab/>
        <w:t xml:space="preserve">Căn cứ Hợp đồng dịch vụ thẩm định giá số: </w:t>
      </w:r>
      <w:r>
        <w:rPr>
          <w:rFonts w:ascii="Times New Roman" w:hAnsi="Times New Roman" w:eastAsia="Times New Roman" w:cs="Times New Roman"/>
          <w:color w:val="000000"/>
          <w:spacing w:val="3"/>
          <w:sz w:val="23"/>
          <w:highlight w:val="white"/>
        </w:rPr>
        <w:t xml:space="preserve">275/2026/0751/VFI-HĐTĐ.69.A</w:t>
      </w:r>
      <w:r>
        <w:rPr>
          <w:rFonts w:ascii="Times New Roman" w:hAnsi="Times New Roman" w:eastAsia="Times New Roman" w:cs="Times New Roman"/>
          <w:color w:val="000000"/>
          <w:spacing w:val="-4"/>
          <w:sz w:val="24"/>
        </w:rPr>
        <w:t xml:space="preserve"> ký ngày 16 tháng 5 năm 2026 giữa Công ty TNHH Sản xuất Thương mại Nhôm C&amp;T</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rFonts w:ascii="Times New Roman" w:hAnsi="Times New Roman" w:cs="Times New Roman"/>
        </w:rPr>
      </w:pPr>
      <w:r>
        <w:rPr>
          <w:rFonts w:ascii="Times New Roman" w:hAnsi="Times New Roman" w:eastAsia="Times New Roman" w:cs="Times New Roman"/>
          <w:color w:val="000000"/>
          <w:spacing w:val="-2"/>
          <w:sz w:val="24"/>
        </w:rPr>
        <w:t xml:space="preserve">Căn cứ Báo cáo thẩm định giá số 275/2026/0751/VFI-BC.69.A ngày 18 tháng 5 năm 2026 của 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rFonts w:ascii="Times New Roman" w:hAnsi="Times New Roman" w:cs="Times New Roman"/>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1. Khách hàng yêu cầu thẩm định giá:</w:t>
      </w:r>
      <w:r>
        <w:rPr>
          <w:rFonts w:ascii="Times New Roman" w:hAnsi="Times New Roman" w:eastAsia="Times New Roman" w:cs="Times New Roman"/>
        </w:rPr>
      </w:r>
      <w:r>
        <w:rPr>
          <w:rFonts w:ascii="Times New Roman" w:hAnsi="Times New Roman" w:cs="Times New Roman"/>
        </w:rPr>
      </w:r>
    </w:p>
    <w:tbl>
      <w:tblPr>
        <w:tblStyle w:val="98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26"/>
        <w:gridCol w:w="283"/>
        <w:gridCol w:w="6946"/>
      </w:tblGrid>
      <w:tr>
        <w:trPr>
          <w:trHeight w:val="20"/>
        </w:trPr>
        <w:tc>
          <w:tcPr>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CÔNG TY TNHH SẢN XUẤT THƯƠNG MẠI NHÔM C&amp;T</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3702291348</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Thửa đất số 223, 249, 795, 1, tờ bản đồ số 8, khu phố Phước Hải, phường Tân Khánh, Thành phố Hồ Chí Minh. </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Bà Phan Thị Oanh – Chức vụ: Chủ tịch Công ty kiêm Giám đốc</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2. Thông tin về doanh nghiệp thẩm định giá:</w:t>
      </w:r>
      <w:r>
        <w:rPr>
          <w:rFonts w:ascii="Times New Roman" w:hAnsi="Times New Roman" w:eastAsia="Times New Roman" w:cs="Times New Roman"/>
        </w:rPr>
      </w:r>
      <w:r>
        <w:rPr>
          <w:rFonts w:ascii="Times New Roman" w:hAnsi="Times New Roman" w:cs="Times New Roman"/>
        </w:rPr>
      </w:r>
    </w:p>
    <w:tbl>
      <w:tblPr>
        <w:tblStyle w:val="98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Đơn vị thẩm định</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b/>
                <w:color w:val="000000"/>
                <w:spacing w:val="-4"/>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pacing w:val="-2"/>
                <w:sz w:val="24"/>
              </w:rPr>
              <w:t xml:space="preserve">BT5 - 23, Khu đô thị mới Văn Phú, Phường Kiến Hưng, Thành phố Hà Nội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Điện thoại</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024 2264 4333</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0102708994</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GCN đủ điều kiện hành nghề</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275/TĐG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Thông báo</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cs="Times New Roman"/>
              </w:rPr>
            </w:pPr>
            <w:r>
              <w:rPr>
                <w:rFonts w:ascii="Times New Roman" w:hAnsi="Times New Roman" w:eastAsia="Times New Roman" w:cs="Times New Roman"/>
                <w:color w:val="292a2e"/>
                <w:sz w:val="24"/>
              </w:rPr>
              <w:t xml:space="preserve">Số 1294/TB-BTC ngày 25/12/2025</w:t>
            </w:r>
            <w:r>
              <w:rPr>
                <w:rFonts w:ascii="Times New Roman" w:hAnsi="Times New Roman" w:eastAsia="Times New Roman" w:cs="Times New Roman"/>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khoản số</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pacing w:val="-4"/>
                <w:sz w:val="24"/>
              </w:rPr>
              <w:t xml:space="preserve">1505112366666 tại Agribank Chi nhánh Hà Nội II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1, tờ bản đồ số 8 theo Giấy chứng nhận quyền sử dụng đất quyền sở hữu nhà ở và tài sản khác gắn liền với đất số BĐ 119682, số vào sổ cấp GCN: CH 00934,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02: </w:t>
      </w:r>
      <w:r>
        <w:rPr>
          <w:rFonts w:ascii="Times New Roman" w:hAnsi="Times New Roman" w:eastAsia="Times New Roman" w:cs="Times New Roman"/>
          <w:color w:val="000000"/>
          <w:sz w:val="24"/>
        </w:rPr>
        <w:t xml:space="preserve">Quyền sử dụng đất tại thửa đất số 2, tờ bản đồ số 8 theo Giấy chứng nhận quyền sử dụng đất quyền sở hữu nhà ở và tài sản khác gắn liền với đất số BE 695373, số vào sổ cấp GCN: CH 01255,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249, tờ bản đồ số 8 theo Giấy chứng nhận quyền sử dụng đất quyền sở hữu nhà ở và tài sản khác gắn liền với đất số BT 798255, số vào sổ cấp GCN: CH 03477,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04: </w:t>
      </w:r>
      <w:r>
        <w:rPr>
          <w:rFonts w:ascii="Times New Roman" w:hAnsi="Times New Roman" w:eastAsia="Times New Roman" w:cs="Times New Roman"/>
          <w:color w:val="000000"/>
          <w:sz w:val="24"/>
        </w:rPr>
        <w:t xml:space="preserve">Quyền sử dụng đất tại thửa đất số 795, tờ bản đồ số 8 theo Giấy chứng nhận quyền sử dụng đất quyền sở hữu nhà ở và tài sản khác gắn liền với đất số CB 038766, số vào sổ cấp GCN: CS 04365,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05: </w:t>
      </w:r>
      <w:r>
        <w:rPr>
          <w:rFonts w:ascii="Times New Roman" w:hAnsi="Times New Roman" w:eastAsia="Times New Roman" w:cs="Times New Roman"/>
          <w:color w:val="000000"/>
          <w:sz w:val="24"/>
        </w:rPr>
        <w:t xml:space="preserve">Quyền sử dụng đất và công trình xây dựng tại thửa đất số 223, tờ bản đồ số 8 theo Giấy chứng nhận quyền sử dụng đất quyền sở hữu nhà ở và tài sản khác gắn liền với đất số CD 720649, số vào sổ cấp GCN: CH 04944, có địa chỉ: Thị trấn Thái Hoà, huyện Tân Uyên</w:t>
      </w:r>
      <w:r>
        <w:rPr>
          <w:rFonts w:ascii="Times New Roman" w:hAnsi="Times New Roman" w:eastAsia="Times New Roman" w:cs="Times New Roman"/>
          <w:color w:val="000000"/>
          <w:sz w:val="24"/>
        </w:rPr>
        <w:t xml:space="preserve">,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05/2026.</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6. Cơ sở giá trị của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rFonts w:ascii="Times New Roman" w:hAnsi="Times New Roman" w:cs="Times New Roman"/>
        </w:rPr>
      </w:pPr>
      <w:r>
        <w:rPr>
          <w:rFonts w:ascii="Times New Roman" w:hAnsi="Times New Roman" w:eastAsia="Times New Roman" w:cs="Times New Roman"/>
          <w:i/>
          <w:color w:val="000000"/>
          <w:sz w:val="24"/>
        </w:rPr>
        <w:t xml:space="preserve">Chi tiết như Báo cáo kèm theo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7. Giả thiết và giả thiết đặc biệt:</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rFonts w:ascii="Times New Roman" w:hAnsi="Times New Roman" w:cs="Times New Roman"/>
        </w:rPr>
      </w:pPr>
      <w:r>
        <w:rPr>
          <w:rFonts w:ascii="Times New Roman" w:hAnsi="Times New Roman" w:eastAsia="Times New Roman" w:cs="Times New Roman"/>
          <w:i/>
          <w:color w:val="000000"/>
          <w:sz w:val="24"/>
        </w:rPr>
        <w:t xml:space="preserve">Chi tiết như Báo cáo kèm theo</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8. Cách tiếp cận và phương pháp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rFonts w:ascii="Times New Roman" w:hAnsi="Times New Roman" w:cs="Times New Roman"/>
        </w:rPr>
      </w:pPr>
      <w:r>
        <w:rPr>
          <w:rFonts w:ascii="Times New Roman" w:hAnsi="Times New Roman" w:eastAsia="Times New Roman" w:cs="Times New Roman"/>
          <w:i/>
          <w:color w:val="000000"/>
          <w:sz w:val="24"/>
        </w:rPr>
        <w:t xml:space="preserve">Chi tiết như Báo cáo kèm theo</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9. Giá trị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05/2026 ước tính như sau:</w:t>
      </w:r>
      <w:r>
        <w:rPr>
          <w:rFonts w:ascii="Times New Roman" w:hAnsi="Times New Roman" w:eastAsia="Times New Roman" w:cs="Times New Roman"/>
        </w:rPr>
      </w:r>
      <w:r>
        <w:rPr>
          <w:rFonts w:ascii="Times New Roman" w:hAnsi="Times New Roman" w:cs="Times New Roman"/>
        </w:rPr>
      </w:r>
    </w:p>
    <w:tbl>
      <w:tblPr>
        <w:tblStyle w:val="98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2977"/>
        <w:gridCol w:w="1280"/>
        <w:gridCol w:w="1440"/>
        <w:gridCol w:w="991"/>
        <w:gridCol w:w="1912"/>
      </w:tblGrid>
      <w:tr>
        <w:trPr>
          <w:trHeight w:val="10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Diện tích </w:t>
              <w:br/>
              <w:t xml:space="preserve"> (m²)</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Đơn giá </w:t>
              <w:br/>
              <w:t xml:space="preserve"> (đồng/m²)</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99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CLCL </w:t>
              <w:br/>
              <w:t xml:space="preserve"> (%)</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Thành tiền </w:t>
              <w:br/>
              <w:t xml:space="preserve"> (đồng)</w:t>
            </w:r>
            <w:r>
              <w:rPr>
                <w:rFonts w:ascii="Times New Roman" w:hAnsi="Times New Roman" w:eastAsia="Times New Roman" w:cs="Times New Roman"/>
              </w:rPr>
            </w:r>
            <w:r>
              <w:rPr>
                <w:rFonts w:ascii="Times New Roman" w:hAnsi="Times New Roman" w:cs="Times New Roman"/>
              </w:rPr>
            </w:r>
          </w:p>
        </w:tc>
      </w:tr>
      <w:tr>
        <w:trPr>
          <w:trHeight w:val="238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1, tờ bản đồ số 8 theo Giấy chứng nhận quyền sử dụng đất quyền sở hữu nhà ở và tài sản khác gắn liền với đất số BĐ 119682, số vào sổ cấp GCN: CH 00934, có địa chỉ: Thị trấn Thái Hoà, huyện Tân Uyên, tỉnh Bình Dương (Nay là</w:t>
            </w:r>
            <w:r>
              <w:rPr>
                <w:rFonts w:ascii="Times New Roman" w:hAnsi="Times New Roman" w:eastAsia="Times New Roman" w:cs="Times New Roman"/>
                <w:b/>
                <w:color w:val="000000"/>
                <w:sz w:val="24"/>
              </w:rPr>
              <w:t xml:space="preserve"> phường Tân Khánh, Thành phố Hồ Chí Minh)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5.463,0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8.120.000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44.359.560.000</w:t>
            </w:r>
            <w:r>
              <w:rPr>
                <w:rFonts w:ascii="Times New Roman" w:hAnsi="Times New Roman" w:eastAsia="Times New Roman" w:cs="Times New Roman"/>
              </w:rPr>
            </w:r>
            <w:r>
              <w:rPr>
                <w:rFonts w:ascii="Times New Roman" w:hAnsi="Times New Roman" w:cs="Times New Roman"/>
              </w:rPr>
            </w:r>
          </w:p>
        </w:tc>
      </w:tr>
      <w:tr>
        <w:trPr>
          <w:trHeight w:val="68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cơ sở sản xuất phi nông nghiệp</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3.510.000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3.510.000.000</w:t>
            </w:r>
            <w:r>
              <w:rPr>
                <w:rFonts w:ascii="Times New Roman" w:hAnsi="Times New Roman" w:eastAsia="Times New Roman" w:cs="Times New Roman"/>
              </w:rPr>
            </w:r>
            <w:r>
              <w:rPr>
                <w:rFonts w:ascii="Times New Roman" w:hAnsi="Times New Roman" w:cs="Times New Roman"/>
              </w:rPr>
            </w:r>
          </w:p>
        </w:tc>
      </w:tr>
      <w:tr>
        <w:trPr>
          <w:trHeight w:val="2258"/>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2, tờ bản đồ số 8 theo Giấy chứng nhận quyền sử dụng đất quyền sở hữu nhà ở và tài sản khác gắn liền với đất số BE 695373, số vào sổ cấp GCN: CH 01255, có địa chỉ: Thị trấn Thái Hoà, huyện Tân Uyên, tỉnh Bình Dương (Nay là</w:t>
            </w:r>
            <w:r>
              <w:rPr>
                <w:rFonts w:ascii="Times New Roman" w:hAnsi="Times New Roman" w:eastAsia="Times New Roman" w:cs="Times New Roman"/>
                <w:b/>
                <w:color w:val="000000"/>
                <w:sz w:val="24"/>
              </w:rPr>
              <w:t xml:space="preserve"> phường Tân Khánh, Thành phố Hồ Chí Minh)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ở tại đô thị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232,54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32.000.000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7.441.280.000</w:t>
            </w:r>
            <w:r>
              <w:rPr>
                <w:rFonts w:ascii="Times New Roman" w:hAnsi="Times New Roman" w:eastAsia="Times New Roman" w:cs="Times New Roman"/>
              </w:rPr>
            </w:r>
            <w:r>
              <w:rPr>
                <w:rFonts w:ascii="Times New Roman" w:hAnsi="Times New Roman" w:cs="Times New Roman"/>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lâu năm trong quy hoạch 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124,80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840.000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104.832.000</w:t>
            </w:r>
            <w:r>
              <w:rPr>
                <w:rFonts w:ascii="Times New Roman" w:hAnsi="Times New Roman" w:eastAsia="Times New Roman" w:cs="Times New Roman"/>
              </w:rPr>
            </w:r>
            <w:r>
              <w:rPr>
                <w:rFonts w:ascii="Times New Roman" w:hAnsi="Times New Roman" w:cs="Times New Roman"/>
              </w:rPr>
            </w:r>
          </w:p>
        </w:tc>
      </w:tr>
      <w:tr>
        <w:trPr>
          <w:trHeight w:val="80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ở tại đô thị trong quy hoạch 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30,06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14.000.000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420.840.000</w:t>
            </w:r>
            <w:r>
              <w:rPr>
                <w:rFonts w:ascii="Times New Roman" w:hAnsi="Times New Roman" w:eastAsia="Times New Roman" w:cs="Times New Roman"/>
              </w:rPr>
            </w:r>
            <w:r>
              <w:rPr>
                <w:rFonts w:ascii="Times New Roman" w:hAnsi="Times New Roman" w:cs="Times New Roman"/>
              </w:rPr>
            </w:r>
          </w:p>
        </w:tc>
      </w:tr>
      <w:tr>
        <w:trPr>
          <w:trHeight w:val="2133"/>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249, tờ bản đồ số 8 theo Giấy chứng nhận quyền sử dụng đất quyền sở hữu nhà ở và tài sản khác gắn liền với đất số BT 798255, số vào sổ cấp GCN: CH 03477, có địa chỉ: Thị trấn Thái Hoà, huyện Tân Uyên, tỉnh Bình Dương (Nay </w:t>
            </w:r>
            <w:r>
              <w:rPr>
                <w:rFonts w:ascii="Times New Roman" w:hAnsi="Times New Roman" w:eastAsia="Times New Roman" w:cs="Times New Roman"/>
                <w:b/>
                <w:color w:val="000000"/>
                <w:sz w:val="24"/>
              </w:rPr>
              <w:t xml:space="preserve">là phường Tân Khánh, Thành phố Hồ Chí Minh)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ở tại đô thị ngoài quy hoạch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1.500,00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15.016.506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22.524.758.822</w:t>
            </w:r>
            <w:r>
              <w:rPr>
                <w:rFonts w:ascii="Times New Roman" w:hAnsi="Times New Roman" w:eastAsia="Times New Roman" w:cs="Times New Roman"/>
              </w:rPr>
            </w:r>
            <w:r>
              <w:rPr>
                <w:rFonts w:ascii="Times New Roman" w:hAnsi="Times New Roman" w:cs="Times New Roman"/>
              </w:rP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ngoài quy hoạch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1.744,08</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8.686.506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15.149.961.178</w:t>
            </w:r>
            <w:r>
              <w:rPr>
                <w:rFonts w:ascii="Times New Roman" w:hAnsi="Times New Roman" w:eastAsia="Times New Roman" w:cs="Times New Roman"/>
              </w:rPr>
            </w:r>
            <w:r>
              <w:rPr>
                <w:rFonts w:ascii="Times New Roman" w:hAnsi="Times New Roman" w:cs="Times New Roman"/>
              </w:rPr>
            </w:r>
          </w:p>
        </w:tc>
      </w:tr>
      <w:tr>
        <w:trPr>
          <w:trHeight w:val="76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trong quy hoạch 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244,32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560.000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136.819.200</w:t>
            </w:r>
            <w:r>
              <w:rPr>
                <w:rFonts w:ascii="Times New Roman" w:hAnsi="Times New Roman" w:eastAsia="Times New Roman" w:cs="Times New Roman"/>
              </w:rPr>
            </w:r>
            <w:r>
              <w:rPr>
                <w:rFonts w:ascii="Times New Roman" w:hAnsi="Times New Roman" w:cs="Times New Roman"/>
              </w:rPr>
            </w:r>
          </w:p>
        </w:tc>
      </w:tr>
      <w:tr>
        <w:trPr>
          <w:trHeight w:val="24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4</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795, tờ bản đồ số 8 theo Giấy chứng nhận quyền sử dụng đất quyền sở hữu nhà ở và tài sản khác gắn liền với đất số CB 038766, số vào sổ cấp GCN: CS 04365, có địa chỉ: Thị trấn Thái Hoà, huyện Tân Uyên, tỉnh Bình Dương (Nay </w:t>
            </w:r>
            <w:r>
              <w:rPr>
                <w:rFonts w:ascii="Times New Roman" w:hAnsi="Times New Roman" w:eastAsia="Times New Roman" w:cs="Times New Roman"/>
                <w:b/>
                <w:color w:val="000000"/>
                <w:sz w:val="24"/>
              </w:rPr>
              <w:t xml:space="preserve">là phường Tân Khánh, Thành phố Hồ Chí Minh)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lâu năm ngoài quy hoạch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187,43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12.000.000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2.249.160.000</w:t>
            </w:r>
            <w:r>
              <w:rPr>
                <w:rFonts w:ascii="Times New Roman" w:hAnsi="Times New Roman" w:eastAsia="Times New Roman" w:cs="Times New Roman"/>
              </w:rPr>
            </w:r>
            <w:r>
              <w:rPr>
                <w:rFonts w:ascii="Times New Roman" w:hAnsi="Times New Roman" w:cs="Times New Roman"/>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cơ sở sản xuất phi nông nghiệp ngoài quy hoạch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1.600,0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5.670.000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9.072.000.000</w:t>
            </w:r>
            <w:r>
              <w:rPr>
                <w:rFonts w:ascii="Times New Roman" w:hAnsi="Times New Roman" w:eastAsia="Times New Roman" w:cs="Times New Roman"/>
              </w:rPr>
            </w:r>
            <w:r>
              <w:rPr>
                <w:rFonts w:ascii="Times New Roman" w:hAnsi="Times New Roman" w:cs="Times New Roman"/>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ở tại đô thị trong quy hoạch 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38,80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14.000.000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543.200.000</w:t>
            </w:r>
            <w:r>
              <w:rPr>
                <w:rFonts w:ascii="Times New Roman" w:hAnsi="Times New Roman" w:eastAsia="Times New Roman" w:cs="Times New Roman"/>
              </w:rPr>
            </w:r>
            <w:r>
              <w:rPr>
                <w:rFonts w:ascii="Times New Roman" w:hAnsi="Times New Roman" w:cs="Times New Roman"/>
              </w:rP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lâu năm trong quy hoạch 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73,47</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840.000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61.714.800</w:t>
            </w:r>
            <w:r>
              <w:rPr>
                <w:rFonts w:ascii="Times New Roman" w:hAnsi="Times New Roman" w:eastAsia="Times New Roman" w:cs="Times New Roman"/>
              </w:rPr>
            </w:r>
            <w:r>
              <w:rPr>
                <w:rFonts w:ascii="Times New Roman" w:hAnsi="Times New Roman" w:cs="Times New Roman"/>
              </w:rPr>
            </w:r>
          </w:p>
        </w:tc>
      </w:tr>
      <w:tr>
        <w:trPr>
          <w:trHeight w:val="235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5</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68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và công trình xây dựng tại thửa đất số 223, tờ bản đồ số 8 theo Giấy chứng nhận quyền sử dụng đất quyền sở hữu nhà ở và tài sản khác gắn liền với đất số CD 720649, số vào sổ cấp GCN: CH 04944, có địa chỉ: Thị trấn Thái Hoà, huyện Tân Uyên</w:t>
            </w:r>
            <w:r>
              <w:rPr>
                <w:rFonts w:ascii="Times New Roman" w:hAnsi="Times New Roman" w:eastAsia="Times New Roman" w:cs="Times New Roman"/>
                <w:b/>
                <w:color w:val="000000"/>
                <w:sz w:val="24"/>
              </w:rPr>
              <w:t xml:space="preserve">, tỉnh Bình Dương (Nay là phường Tân Khánh, Thành phố Hồ Chí Minh)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74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ngoài quy hoạch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1.175,99</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11.600.000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13.641.484.000</w:t>
            </w:r>
            <w:r>
              <w:rPr>
                <w:rFonts w:ascii="Times New Roman" w:hAnsi="Times New Roman" w:eastAsia="Times New Roman" w:cs="Times New Roman"/>
              </w:rPr>
            </w:r>
            <w:r>
              <w:rPr>
                <w:rFonts w:ascii="Times New Roman" w:hAnsi="Times New Roman" w:cs="Times New Roman"/>
              </w:rPr>
            </w:r>
          </w:p>
        </w:tc>
      </w:tr>
      <w:tr>
        <w:trPr>
          <w:trHeight w:val="74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cơ sở sản xuất phi nông nghiệp ngoài quy hoạch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5.504,5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5.400.000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29.724.300.000</w:t>
            </w:r>
            <w:r>
              <w:rPr>
                <w:rFonts w:ascii="Times New Roman" w:hAnsi="Times New Roman" w:eastAsia="Times New Roman" w:cs="Times New Roman"/>
              </w:rPr>
            </w:r>
            <w:r>
              <w:rPr>
                <w:rFonts w:ascii="Times New Roman" w:hAnsi="Times New Roman" w:cs="Times New Roman"/>
              </w:rPr>
            </w:r>
          </w:p>
        </w:tc>
      </w:tr>
      <w:tr>
        <w:trPr>
          <w:trHeight w:val="74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trong quy hoạch 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100,11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700.000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70.077.000</w:t>
            </w:r>
            <w:r>
              <w:rPr>
                <w:rFonts w:ascii="Times New Roman" w:hAnsi="Times New Roman" w:eastAsia="Times New Roman" w:cs="Times New Roman"/>
              </w:rPr>
            </w:r>
            <w:r>
              <w:rPr>
                <w:rFonts w:ascii="Times New Roman" w:hAnsi="Times New Roman" w:cs="Times New Roman"/>
              </w:rP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9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Nhà xưởng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28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4.512,0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4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4.906.023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99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70%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color w:val="000000"/>
                <w:sz w:val="24"/>
              </w:rPr>
              <w:t xml:space="preserve">15.495.182.182</w:t>
            </w:r>
            <w:r>
              <w:rPr>
                <w:rFonts w:ascii="Times New Roman" w:hAnsi="Times New Roman" w:eastAsia="Times New Roman" w:cs="Times New Roman"/>
              </w:rPr>
            </w:r>
            <w:r>
              <w:rPr>
                <w:rFonts w:ascii="Times New Roman" w:hAnsi="Times New Roman" w:cs="Times New Roman"/>
              </w:rPr>
            </w:r>
          </w:p>
        </w:tc>
      </w:tr>
      <w:tr>
        <w:trPr>
          <w:trHeight w:val="44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68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b/>
                <w:color w:val="000000"/>
                <w:sz w:val="24"/>
              </w:rPr>
              <w:t xml:space="preserve">164.505.169.182</w:t>
            </w:r>
            <w:r>
              <w:rPr>
                <w:rFonts w:ascii="Times New Roman" w:hAnsi="Times New Roman" w:eastAsia="Times New Roman" w:cs="Times New Roman"/>
              </w:rPr>
            </w:r>
            <w:r>
              <w:rPr>
                <w:rFonts w:ascii="Times New Roman" w:hAnsi="Times New Roman" w:cs="Times New Roman"/>
              </w:rP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668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91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cs="Times New Roman"/>
              </w:rPr>
            </w:pPr>
            <w:r>
              <w:rPr>
                <w:rFonts w:ascii="Times New Roman" w:hAnsi="Times New Roman" w:eastAsia="Times New Roman" w:cs="Times New Roman"/>
                <w:b/>
                <w:color w:val="000000"/>
                <w:sz w:val="24"/>
              </w:rPr>
              <w:t xml:space="preserve">164.505.000.000</w:t>
            </w:r>
            <w:r>
              <w:rPr>
                <w:rFonts w:ascii="Times New Roman" w:hAnsi="Times New Roman" w:eastAsia="Times New Roman" w:cs="Times New Roman"/>
              </w:rPr>
            </w:r>
            <w:r>
              <w:rPr>
                <w:rFonts w:ascii="Times New Roman" w:hAnsi="Times New Roman" w:cs="Times New Roman"/>
              </w:rPr>
            </w:r>
          </w:p>
        </w:tc>
      </w:tr>
      <w:tr>
        <w:trPr>
          <w:trHeight w:val="465"/>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5"/>
            <w:tcBorders>
              <w:bottom w:val="single" w:color="000000" w:sz="8" w:space="0"/>
              <w:right w:val="single" w:color="000000" w:sz="8" w:space="0"/>
            </w:tcBorders>
            <w:tcMar>
              <w:left w:w="108" w:type="dxa"/>
              <w:top w:w="0" w:type="dxa"/>
              <w:right w:w="108" w:type="dxa"/>
              <w:bottom w:w="0" w:type="dxa"/>
            </w:tcMar>
            <w:tcW w:w="8600" w:type="dxa"/>
            <w:vAlign w:val="bottom"/>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i/>
                <w:color w:val="000000"/>
                <w:sz w:val="24"/>
              </w:rPr>
              <w:t xml:space="preserve">Bằng chữ: Một trăm sáu mươi tư tỷ năm trăm linh năm triệu đồng./.</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10. Thời hạn hiệu lực của kết quả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rFonts w:ascii="Times New Roman" w:hAnsi="Times New Roman" w:cs="Times New Roman"/>
        </w:rPr>
      </w:pPr>
      <w:r>
        <w:rPr>
          <w:rFonts w:ascii="Times New Roman" w:hAnsi="Times New Roman" w:eastAsia="Times New Roman" w:cs="Times New Roman"/>
          <w:color w:val="000000"/>
          <w:sz w:val="24"/>
        </w:rPr>
        <w:t xml:space="preserve">- Tối đa 06 (sáu) tháng tính từ ngày ký đối với tài sản là Bất động sản.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11. Những điều khoản loại trừ và hạn chế của kết quả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rFonts w:ascii="Times New Roman" w:hAnsi="Times New Roman" w:cs="Times New Roman"/>
        </w:rPr>
      </w:pPr>
      <w:r>
        <w:rPr>
          <w:rFonts w:ascii="Times New Roman" w:hAnsi="Times New Roman" w:eastAsia="Times New Roman" w:cs="Times New Roman"/>
          <w:color w:val="000000"/>
          <w:sz w:val="24"/>
        </w:rPr>
        <w:t xml:space="preserve">- Chi tiết như Báo cáo kèm theo.</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rFonts w:ascii="Times New Roman" w:hAnsi="Times New Roman" w:cs="Times New Roman"/>
        </w:rPr>
      </w:pPr>
      <w:r>
        <w:rPr>
          <w:rFonts w:ascii="Times New Roman" w:hAnsi="Times New Roman" w:eastAsia="Times New Roman" w:cs="Times New Roman"/>
          <w:b/>
          <w:color w:val="000000"/>
          <w:spacing w:val="-4"/>
          <w:sz w:val="24"/>
        </w:rPr>
        <w:t xml:space="preserve">12. Các tài liệu kèm theo:</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rFonts w:ascii="Times New Roman" w:hAnsi="Times New Roman" w:cs="Times New Roman"/>
        </w:rPr>
      </w:pPr>
      <w:r>
        <w:rPr>
          <w:rFonts w:ascii="Times New Roman" w:hAnsi="Times New Roman" w:eastAsia="Times New Roman" w:cs="Times New Roman"/>
          <w:color w:val="000000"/>
          <w:spacing w:val="-6"/>
          <w:sz w:val="24"/>
        </w:rPr>
        <w:t xml:space="preserve">- Báo cáo kết quả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rFonts w:ascii="Times New Roman" w:hAnsi="Times New Roman" w:cs="Times New Roman"/>
        </w:rPr>
      </w:pPr>
      <w:r>
        <w:rPr>
          <w:rFonts w:ascii="Times New Roman" w:hAnsi="Times New Roman" w:eastAsia="Times New Roman" w:cs="Times New Roman"/>
          <w:color w:val="000000"/>
          <w:spacing w:val="-6"/>
          <w:sz w:val="24"/>
        </w:rPr>
        <w:t xml:space="preserve">- Các phụ lục chi tiết kèm theo.</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rFonts w:ascii="Times New Roman" w:hAnsi="Times New Roman" w:cs="Times New Roman"/>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rFonts w:ascii="Times New Roman" w:hAnsi="Times New Roman" w:cs="Times New Roman"/>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rPr>
          <w:rFonts w:ascii="Times New Roman" w:hAnsi="Times New Roman" w:eastAsia="Times New Roman" w:cs="Times New Roman"/>
        </w:rPr>
      </w:r>
      <w:r>
        <w:rPr>
          <w:rFonts w:ascii="Times New Roman" w:hAnsi="Times New Roman" w:cs="Times New Roman"/>
        </w:rPr>
      </w:r>
    </w:p>
    <w:tbl>
      <w:tblPr>
        <w:tblStyle w:val="986"/>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7"/>
      </w:tblGrid>
      <w:tr>
        <w:trPr>
          <w:trHeight w:val="20"/>
        </w:trPr>
        <w:tc>
          <w:tcPr>
            <w:tcBorders/>
            <w:tcMar>
              <w:left w:w="108" w:type="dxa"/>
              <w:top w:w="0" w:type="dxa"/>
              <w:right w:w="108" w:type="dxa"/>
              <w:bottom w:w="0" w:type="dxa"/>
            </w:tcMar>
            <w:tcW w:w="4677"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THẨM ĐỊNH VIÊN VỀ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677"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CHỦ TỊCH HĐQT KIÊM TỔNG GIÁM ĐỐC</w:t>
            </w:r>
            <w:r>
              <w:rPr>
                <w:rFonts w:ascii="Times New Roman" w:hAnsi="Times New Roman" w:eastAsia="Times New Roman" w:cs="Times New Roman"/>
              </w:rPr>
            </w:r>
            <w:r>
              <w:rPr>
                <w:rFonts w:ascii="Times New Roman" w:hAnsi="Times New Roman" w:cs="Times New Roman"/>
              </w:rPr>
            </w:r>
          </w:p>
        </w:tc>
      </w:tr>
      <w:tr>
        <w:trPr>
          <w:trHeight w:val="1430"/>
        </w:trPr>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677"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Đỗ Thanh Thảo</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Số thẻ thẩm định viên về giá: XV23.2485</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4677"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Vũ Văn Quân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Số thẻ thẩm định viên về giá: XII17.1825</w:t>
            </w:r>
            <w:r>
              <w:rPr>
                <w:rFonts w:ascii="Times New Roman" w:hAnsi="Times New Roman" w:eastAsia="Times New Roman" w:cs="Times New Roman"/>
              </w:rPr>
            </w:r>
            <w:r>
              <w:rPr>
                <w:rFonts w:ascii="Times New Roman" w:hAnsi="Times New Roman" w:cs="Times New Roman"/>
              </w:rPr>
            </w:r>
          </w:p>
        </w:tc>
      </w:tr>
    </w:tbl>
    <w:p>
      <w:pPr>
        <w:pBdr/>
        <w:shd w:val="nil" w:color="auto"/>
        <w:spacing/>
        <w:ind/>
        <w:rPr>
          <w:rFonts w:ascii="Times New Roman" w:hAnsi="Times New Roman" w:cs="Times New Roman"/>
          <w:highlight w:val="none"/>
        </w:rPr>
      </w:pPr>
      <w:r>
        <w:rPr>
          <w:rFonts w:ascii="Times New Roman" w:hAnsi="Times New Roman" w:eastAsia="Times New Roman" w:cs="Times New Roman"/>
        </w:rPr>
        <w:br w:type="page" w:clear="all"/>
      </w:r>
      <w:r>
        <w:rPr>
          <w:rFonts w:ascii="Times New Roman" w:hAnsi="Times New Roman" w:eastAsia="Times New Roman" w:cs="Times New Roman"/>
        </w:rPr>
      </w:r>
      <w:r>
        <w:rPr>
          <w:rFonts w:ascii="Times New Roman" w:hAnsi="Times New Roman" w:cs="Times New Roman"/>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bl>
      <w:tblPr>
        <w:tblStyle w:val="986"/>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714"/>
        <w:gridCol w:w="6378"/>
      </w:tblGrid>
      <w:tr>
        <w:trPr>
          <w:trHeight w:val="1843"/>
        </w:trPr>
        <w:tc>
          <w:tcPr>
            <w:tcBorders/>
            <w:tcMar>
              <w:left w:w="108" w:type="dxa"/>
              <w:top w:w="0" w:type="dxa"/>
              <w:right w:w="108" w:type="dxa"/>
              <w:bottom w:w="0" w:type="dxa"/>
            </w:tcMar>
            <w:tcW w:w="3714"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762000" cy="6953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10020" name=""/>
                              <pic:cNvPicPr>
                                <a:picLocks noChangeAspect="1"/>
                              </pic:cNvPicPr>
                              <pic:nvPr/>
                            </pic:nvPicPr>
                            <pic:blipFill rotWithShape="1">
                              <a:blip r:embed="rId11"/>
                              <a:stretch/>
                            </pic:blipFill>
                            <pic:spPr bwMode="auto">
                              <a:xfrm>
                                <a:off x="0" y="0"/>
                                <a:ext cx="761999" cy="6953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60.00pt;height:54.75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378"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Trụ sở: BT5 - 23, Khu đô thị mới Văn Phú, Phường Kiến Hưng, Thành phố Hà Nội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Điện thoại:  085 329 3333/ 024 2264 4333</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Email: </w:t>
              <w:tab/>
            </w:r>
            <w:hyperlink r:id="rId13" w:tooltip="mailto:ilotus.contact@gmail.com" w:history="1">
              <w:r>
                <w:rPr>
                  <w:rStyle w:val="972"/>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rPr>
                <w:rFonts w:ascii="Times New Roman" w:hAnsi="Times New Roman" w:eastAsia="Times New Roman" w:cs="Times New Roman"/>
              </w:rPr>
            </w:r>
            <w:r>
              <w:rPr>
                <w:rFonts w:ascii="Times New Roman" w:hAnsi="Times New Roman" w:cs="Times New Roman"/>
              </w:rPr>
            </w:r>
          </w:p>
        </w:tc>
      </w:tr>
      <w:tr>
        <w:trPr>
          <w:trHeight w:val="84"/>
        </w:trPr>
        <w:tc>
          <w:tcPr>
            <w:tcBorders/>
            <w:tcMar>
              <w:left w:w="108" w:type="dxa"/>
              <w:top w:w="0" w:type="dxa"/>
              <w:right w:w="108" w:type="dxa"/>
              <w:bottom w:w="0" w:type="dxa"/>
            </w:tcMar>
            <w:tcW w:w="3714"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Số: 275/2026/0751/VFI-BC.69.A</w:t>
            </w:r>
            <w:r>
              <w:rPr>
                <w:rFonts w:ascii="Times New Roman" w:hAnsi="Times New Roman" w:eastAsia="Times New Roman" w:cs="Times New Roman"/>
                <w:sz w:val="24"/>
                <w:szCs w:val="24"/>
              </w:rPr>
            </w:r>
            <w:r>
              <w:rPr>
                <w:rFonts w:ascii="Times New Roman" w:hAnsi="Times New Roman" w:cs="Times New Roman"/>
                <w:sz w:val="24"/>
                <w:szCs w:val="24"/>
              </w:rPr>
            </w:r>
          </w:p>
        </w:tc>
        <w:tc>
          <w:tcPr>
            <w:tcBorders/>
            <w:tcMar>
              <w:left w:w="108" w:type="dxa"/>
              <w:top w:w="0" w:type="dxa"/>
              <w:right w:w="108" w:type="dxa"/>
              <w:bottom w:w="0" w:type="dxa"/>
            </w:tcMar>
            <w:tcW w:w="6378"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rPr>
            </w:pPr>
            <w:r>
              <w:rPr>
                <w:rFonts w:ascii="Times New Roman" w:hAnsi="Times New Roman" w:eastAsia="Times New Roman" w:cs="Times New Roman"/>
                <w:i/>
                <w:color w:val="000000"/>
                <w:sz w:val="24"/>
              </w:rPr>
              <w:t xml:space="preserve">TP. Hà Nội, ngày 18 tháng 5 năm 2026</w:t>
            </w:r>
            <w:r>
              <w:rPr>
                <w:rFonts w:ascii="Times New Roman" w:hAnsi="Times New Roman" w:eastAsia="Times New Roman" w:cs="Times New Roman"/>
              </w:rPr>
            </w:r>
            <w:r>
              <w:rPr>
                <w:rFonts w:ascii="Times New Roman" w:hAnsi="Times New Roman" w:cs="Times New Roman"/>
              </w:rPr>
            </w:r>
          </w:p>
        </w:tc>
      </w:tr>
      <w:tr>
        <w:trPr>
          <w:trHeight w:val="84"/>
        </w:trPr>
        <w:tc>
          <w:tcPr>
            <w:tcBorders/>
            <w:tcMar>
              <w:left w:w="108" w:type="dxa"/>
              <w:top w:w="0" w:type="dxa"/>
              <w:right w:w="108" w:type="dxa"/>
              <w:bottom w:w="0" w:type="dxa"/>
            </w:tcMar>
            <w:tcW w:w="3714"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378"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rFonts w:ascii="Times New Roman" w:hAnsi="Times New Roman" w:cs="Times New Roman"/>
              </w:rPr>
            </w:pPr>
            <w:r>
              <w:rPr>
                <w:rFonts w:ascii="Times New Roman" w:hAnsi="Times New Roman" w:eastAsia="Times New Roman" w:cs="Times New Roman"/>
                <w:i/>
                <w:color w:val="000000"/>
                <w:sz w:val="24"/>
              </w:rPr>
              <w:t xml:space="preserve"> </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rFonts w:ascii="Times New Roman" w:hAnsi="Times New Roman" w:cs="Times New Roman"/>
        </w:rPr>
      </w:pPr>
      <w:r>
        <w:rPr>
          <w:rFonts w:ascii="Times New Roman" w:hAnsi="Times New Roman" w:eastAsia="Times New Roman" w:cs="Times New Roman"/>
          <w:b/>
          <w:color w:val="000000"/>
          <w:sz w:val="30"/>
        </w:rPr>
        <w:t xml:space="preserve">BÁO CÁO KẾT QUẢ THẨM ĐỊNH GIÁ</w:t>
      </w:r>
      <w:r>
        <w:rPr>
          <w:rFonts w:ascii="Times New Roman" w:hAnsi="Times New Roman" w:eastAsia="Times New Roman" w:cs="Times New Roman"/>
        </w:rPr>
      </w:r>
      <w:r>
        <w:rPr>
          <w:rFonts w:ascii="Times New Roman" w:hAnsi="Times New Roman" w:cs="Times New Roman"/>
        </w:rPr>
      </w:r>
    </w:p>
    <w:p>
      <w:pPr>
        <w:pStyle w:val="961"/>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rFonts w:ascii="Times New Roman" w:hAnsi="Times New Roman" w:cs="Times New Roman"/>
          <w:b w:val="0"/>
          <w:bCs w:val="0"/>
          <w:i/>
        </w:rPr>
      </w:pPr>
      <w:r>
        <w:rPr>
          <w:rFonts w:ascii="Times New Roman" w:hAnsi="Times New Roman" w:eastAsia="Times New Roman" w:cs="Times New Roman"/>
          <w:b w:val="0"/>
          <w:bCs w:val="0"/>
          <w:i/>
          <w:iCs/>
          <w:color w:val="000000"/>
          <w:spacing w:val="-6"/>
          <w:sz w:val="24"/>
        </w:rPr>
        <w:t xml:space="preserve">(Kèm theo Chứng thư thẩm định giá số: 275/2026/0751/VFI-CT.69.A ngày 18 tháng 5 năm 2026)</w:t>
      </w:r>
      <w:r>
        <w:rPr>
          <w:rFonts w:ascii="Times New Roman" w:hAnsi="Times New Roman" w:eastAsia="Times New Roman" w:cs="Times New Roman"/>
          <w:b w:val="0"/>
          <w:bCs w:val="0"/>
          <w:i/>
          <w:iCs/>
        </w:rPr>
      </w:r>
      <w:r>
        <w:rPr>
          <w:rFonts w:ascii="Times New Roman" w:hAnsi="Times New Roman" w:cs="Times New Roman"/>
          <w:b w:val="0"/>
          <w:bCs w:val="0"/>
          <w:i/>
        </w:rPr>
      </w:r>
    </w:p>
    <w:p>
      <w:pPr>
        <w:pStyle w:val="961"/>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I. THÔNG TIN VỀ DOANH NGHIỆP THẨM ĐỊNH GIÁ </w:t>
      </w:r>
      <w:r>
        <w:rPr>
          <w:rFonts w:ascii="Times New Roman" w:hAnsi="Times New Roman" w:eastAsia="Times New Roman" w:cs="Times New Roman"/>
        </w:rPr>
      </w:r>
      <w:r>
        <w:rPr>
          <w:rFonts w:ascii="Times New Roman" w:hAnsi="Times New Roman" w:cs="Times New Roman"/>
        </w:rPr>
      </w:r>
    </w:p>
    <w:tbl>
      <w:tblPr>
        <w:tblStyle w:val="986"/>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Đơn vị thẩm định</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pacing w:val="-4"/>
                <w:sz w:val="24"/>
              </w:rPr>
              <w:t xml:space="preserve">CÔNG TY CỔ PHẦN THẨM ĐỊNH VÀ ĐẦU TƯ TÀI CHÍNH HOA SEN</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pacing w:val="-2"/>
                <w:sz w:val="24"/>
              </w:rPr>
              <w:t xml:space="preserve">BT5 - 23, Khu đô thị mới Văn Phú, Phường Kiến Hưng, Thành phố Hà Nội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Điện thoại</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024 2264 4333</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0102708994</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GCN đủ điều kiện hành nghề</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275/TĐG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khoản số</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4"/>
                <w:sz w:val="24"/>
              </w:rPr>
              <w:t xml:space="preserve">1505112366666 tại Agribank Chi nhánh Hà Nội II</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II. THÔNG TIN CƠ BẢN VỀ CUỘC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1. Thông tin cơ bản về cuộc thẩm định giá:</w:t>
      </w:r>
      <w:r>
        <w:rPr>
          <w:rFonts w:ascii="Times New Roman" w:hAnsi="Times New Roman" w:eastAsia="Times New Roman" w:cs="Times New Roman"/>
        </w:rPr>
      </w:r>
      <w:r>
        <w:rPr>
          <w:rFonts w:ascii="Times New Roman" w:hAnsi="Times New Roman" w:cs="Times New Roman"/>
        </w:rPr>
      </w:r>
    </w:p>
    <w:tbl>
      <w:tblPr>
        <w:tblStyle w:val="98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CÔNG TY TNHH SẢN XUẤT THƯƠNG MẠI NHÔM C&amp;T</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3702291348</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Thửa đất số 223, 249, 795, 1, tờ bản đồ số 8, khu phố Phước Hải, phường Tân Khánh, Thành phố Hồ Chí Minh.</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Người đại diện</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b/>
                <w:color w:val="000000"/>
                <w:sz w:val="24"/>
              </w:rPr>
              <w:t xml:space="preserve">Bà Phan Thị Oanh – Chức vụ: Chủ tịch Công ty kiêm Giám đốc</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01:</w:t>
            </w:r>
            <w:r>
              <w:rPr>
                <w:rFonts w:ascii="Times New Roman" w:hAnsi="Times New Roman" w:eastAsia="Times New Roman" w:cs="Times New Roman"/>
                <w:color w:val="000000"/>
                <w:sz w:val="24"/>
              </w:rPr>
              <w:t xml:space="preserve"> Quyền sử dụng đất tại thửa đất số 1, tờ bản đồ số 8 theo Giấy chứng nhận quyền sử dụng đất quyền sở hữu nhà ở và tài sản khác gắn liền với đất số BĐ 119682, số vào sổ cấp GCN: CH 00934,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02: </w:t>
            </w:r>
            <w:r>
              <w:rPr>
                <w:rFonts w:ascii="Times New Roman" w:hAnsi="Times New Roman" w:eastAsia="Times New Roman" w:cs="Times New Roman"/>
                <w:color w:val="000000"/>
                <w:sz w:val="24"/>
              </w:rPr>
              <w:t xml:space="preserve">Quyền sử dụng đất tại thửa đất số 2, tờ bản đồ số 8 theo Giấy chứng nhận quyền sử dụng đất quyền sở hữu nhà ở và tài sản khác gắn liền với đất số BE 695373, số vào sổ cấp GCN: CH 01255,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03: </w:t>
            </w:r>
            <w:r>
              <w:rPr>
                <w:rFonts w:ascii="Times New Roman" w:hAnsi="Times New Roman" w:eastAsia="Times New Roman" w:cs="Times New Roman"/>
                <w:color w:val="000000"/>
                <w:sz w:val="24"/>
              </w:rPr>
              <w:t xml:space="preserve">Quyền sử dụng đất tại thửa đất số 249, tờ bản đồ số 8 theo Giấy chứng nhận quyền sử dụng đất quyền sở hữu nhà ở và tài sản khác gắn liền với đất số BT 798255, số vào sổ cấp GCN: CH 03477,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04: </w:t>
            </w:r>
            <w:r>
              <w:rPr>
                <w:rFonts w:ascii="Times New Roman" w:hAnsi="Times New Roman" w:eastAsia="Times New Roman" w:cs="Times New Roman"/>
                <w:color w:val="000000"/>
                <w:sz w:val="24"/>
              </w:rPr>
              <w:t xml:space="preserve">Quyền sử dụng đất tại thửa đất số 795, tờ bản đồ số 8 theo Giấy chứng nhận quyền sử dụng đất quyền sở hữu nhà ở và tài sản khác gắn liền với đất số CB 038766, số vào sổ cấp GCN: CS 04365,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line="36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05: </w:t>
            </w:r>
            <w:r>
              <w:rPr>
                <w:rFonts w:ascii="Times New Roman" w:hAnsi="Times New Roman" w:eastAsia="Times New Roman" w:cs="Times New Roman"/>
                <w:color w:val="000000"/>
                <w:sz w:val="24"/>
              </w:rPr>
              <w:t xml:space="preserve">Quyền sử dụng đất và công trình xây dựng tại thửa đất số 223, tờ bản đồ số 8 theo Giấy chứng nhận quyền sử dụng đất quyền sở hữu nhà ở và tài sản khác gắn liền với đất số CD 720649, số vào sổ cấp GCN: CH 04944, có địa chỉ: Thị trấn Thái Hoà, huyện Tân Uyên</w:t>
            </w:r>
            <w:r>
              <w:rPr>
                <w:rFonts w:ascii="Times New Roman" w:hAnsi="Times New Roman" w:eastAsia="Times New Roman" w:cs="Times New Roman"/>
                <w:color w:val="000000"/>
                <w:sz w:val="24"/>
              </w:rPr>
              <w:t xml:space="preserve">,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Mục đích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12"/>
                <w:sz w:val="24"/>
              </w:rPr>
              <w:t xml:space="preserve">Cơ sở giá trị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pacing w:val="-4"/>
                <w:sz w:val="24"/>
              </w:rPr>
              <w:t xml:space="preserve">Giá trị thị trường.</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6"/>
                <w:sz w:val="24"/>
              </w:rPr>
              <w:t xml:space="preserve">Thời điểm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Tháng 05/2026.</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6"/>
                <w:sz w:val="24"/>
              </w:rPr>
              <w:t xml:space="preserve">Địa điểm thẩm định giá</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Đường DT747B, Phường Tân Khánh, Thành phố Hồ Chí Minh) </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6"/>
                <w:sz w:val="24"/>
              </w:rPr>
              <w:t xml:space="preserve">Vị trí tài sản thẩm định </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sản 1: Thửa số 1, tờ bản đồ 8 (10.99428, 106.74212)</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sản 2: Thửa số 2, tờ bản đồ 8 (10.99447, 106.74278)</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sản 3: Thửa số 249, tờ bản đồ 8 (10.99308, 106.74153)</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sản 4: Thửa 795, tờ bản đồ 8 (10.99317, 106.74266)</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Tài sản 5: Thửa 223, tờ bản đồ 8 (10.99374, 106.74236) </w:t>
            </w:r>
            <w:r>
              <w:rPr>
                <w:rFonts w:ascii="Times New Roman" w:hAnsi="Times New Roman" w:eastAsia="Times New Roman" w:cs="Times New Roman"/>
              </w:rPr>
            </w:r>
            <w:r>
              <w:rPr>
                <w:rFonts w:ascii="Times New Roman" w:hAnsi="Times New Roman" w:cs="Times New Roman"/>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pacing w:val="-6"/>
                <w:sz w:val="24"/>
              </w:rPr>
              <w:t xml:space="preserve">Thời điểm khảo sát</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Tháng 05/2026.</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cs="Times New Roman"/>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 Căn cứ pháp lý</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3.1. Văn bản quy phạm pháp luật:</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    Luật Giá số 16/2023/QH15 ngày 19/6/2023;</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rFonts w:ascii="Times New Roman" w:hAnsi="Times New Roman" w:cs="Times New Roman"/>
        </w:rPr>
      </w:pPr>
      <w:r>
        <w:rPr>
          <w:rFonts w:ascii="Times New Roman" w:hAnsi="Times New Roman" w:eastAsia="Times New Roman" w:cs="Times New Roman"/>
          <w:color w:val="000000"/>
          <w:sz w:val="24"/>
        </w:rPr>
        <w:t xml:space="preserve">Nghị định số 71/2024/NĐ-CP ngày 27/6/2024 của Chính phủ Quy định về giá đất.</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pacing w:val="-4"/>
          <w:sz w:val="24"/>
        </w:rPr>
        <w:t xml:space="preserve">Quyết định số 425/QĐ-BXD ngày 31/02/2026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rPr>
      </w:r>
      <w:r>
        <w:rPr>
          <w:rFonts w:ascii="Times New Roman" w:hAnsi="Times New Roman" w:cs="Times New Roma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rPr>
          <w:rFonts w:ascii="Times New Roman" w:hAnsi="Times New Roman" w:eastAsia="Times New Roman" w:cs="Times New Roman"/>
        </w:rPr>
      </w:r>
      <w:r>
        <w:rPr>
          <w:rFonts w:ascii="Times New Roman" w:hAnsi="Times New Roman" w:cs="Times New Roman"/>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Và các văn bản pháp luật có liên quan khác.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3.2. Các văn bản liên quan khác: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a. Hồ sơ pháp lý của tài sản: </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BĐ 119682, số vào sổ cấp GCN: CH 00934,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spacing w:after="120" w:line="360" w:lineRule="atLeast"/>
        <w:ind/>
        <w:jc w:val="both"/>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BE 695373, số vào sổ cấp GCN: CH 01255,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spacing w:after="120" w:line="360" w:lineRule="atLeast"/>
        <w:ind/>
        <w:jc w:val="both"/>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BT 798255, số vào sổ cấp GCN: CH 03477,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spacing w:after="120" w:line="360" w:lineRule="atLeast"/>
        <w:ind/>
        <w:jc w:val="both"/>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CB 038766, số vào sổ cấp GCN: CS 04365,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numPr>
          <w:ilvl w:val="0"/>
          <w:numId w:val="41"/>
        </w:numPr>
        <w:pBdr>
          <w:top w:val="none" w:color="000000" w:sz="4" w:space="0"/>
          <w:left w:val="none" w:color="000000" w:sz="4" w:space="0"/>
          <w:bottom w:val="none" w:color="000000" w:sz="4" w:space="0"/>
          <w:right w:val="none" w:color="000000" w:sz="4" w:space="0"/>
        </w:pBdr>
        <w:spacing w:after="120" w:line="360" w:lineRule="atLeast"/>
        <w:ind/>
        <w:jc w:val="both"/>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CD 720649, số vào sổ cấp GCN: CH 04944, có địa chỉ: Thị trấn Thái Hoà, huyện Tân Uyên, tỉnh Bình Dương </w:t>
      </w:r>
      <w:r>
        <w:rPr>
          <w:rFonts w:ascii="Times New Roman" w:hAnsi="Times New Roman" w:eastAsia="Times New Roman" w:cs="Times New Roman"/>
          <w:i/>
          <w:color w:val="000000"/>
          <w:sz w:val="24"/>
        </w:rPr>
        <w:t xml:space="preserve">(Nay là phường Tân Khánh, Thành phố Hồ Chí Minh)</w:t>
      </w:r>
      <w:r>
        <w:rPr>
          <w:rFonts w:ascii="Times New Roman" w:hAnsi="Times New Roman" w:eastAsia="Times New Roman" w:cs="Times New Roman"/>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b. Hồ sơ khác:</w:t>
      </w:r>
      <w:r>
        <w:rPr>
          <w:rFonts w:ascii="Times New Roman" w:hAnsi="Times New Roman" w:eastAsia="Times New Roman" w:cs="Times New Roman"/>
        </w:rPr>
      </w:r>
      <w:r>
        <w:rPr>
          <w:rFonts w:ascii="Times New Roman" w:hAnsi="Times New Roman" w:cs="Times New Roman"/>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Hợp đồng số 275/2026/0751/VFI-HĐTĐ.69.A ký ngày 26/05/2026 giữa Công ty TNHH Sản xuất Thương mại Nhôm C&amp;Tvới Công ty Cổ phần Thẩm định và Đầu tư Tài chính Hoa Sen.</w:t>
      </w:r>
      <w:r>
        <w:rPr>
          <w:rFonts w:ascii="Times New Roman" w:hAnsi="Times New Roman" w:eastAsia="Times New Roman" w:cs="Times New Roman"/>
        </w:rPr>
      </w:r>
      <w:r>
        <w:rPr>
          <w:rFonts w:ascii="Times New Roman" w:hAnsi="Times New Roman" w:cs="Times New Roman"/>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cs="Times New Roman"/>
        </w:rPr>
      </w:pP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III. TỔNG QUAN VỀ THỊ TRƯỜNG CỦA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highlight w:val="white"/>
        </w:rPr>
        <w:t xml:space="preserve">Bất động sản Bình Dương bước vào chu kỳ tăng trưởng mới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Từ một tỉnh công nghiệp phát triển theo mô hình truyền thống, Bình Dương bước vào giai đoạn chuyển đổi sang hệ sinh thái công nghệ cao, logistics và dịch vụ hiện đại.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Bất động sản Bình Dương bước vào chu kỳ tăng trưởng mới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Trọng tâm của chiến lược này là dịch chuyển các nhà máy, khu sản xuất và cụm công nghiệp từ khu vực phía Nam lên phía Bắc nhằm tái lập cân bằng phát triển đô thị. Không chỉ tác động đến hoạt động sản xuất, làn sóng dịch chuyển còn mở ra một trật tự giá trị</w:t>
      </w:r>
      <w:r>
        <w:rPr>
          <w:rFonts w:ascii="Times New Roman" w:hAnsi="Times New Roman" w:eastAsia="Times New Roman" w:cs="Times New Roman"/>
          <w:color w:val="000000"/>
          <w:sz w:val="24"/>
          <w:highlight w:val="white"/>
        </w:rPr>
        <w:t xml:space="preserve"> hoàn toàn mới cho thị trường bất động sản.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Từ áp lực đô thị đến yêu cầu tái cấu trúc</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Trong hơn hai mươi năm qua, Thuận An và Dĩ An là động lực công nghiệp lớn nhất Bình Dương. Tuy nhiên, tốc độ đô thị hóa nhanh khiến nhiều khu công nghiệp đời đầu rơi vào tình trạng xen cài trong khu dân cư, gây áp lực giao thông và hạ tầng xã hội. Mô hình </w:t>
      </w:r>
      <w:r>
        <w:rPr>
          <w:rFonts w:ascii="Times New Roman" w:hAnsi="Times New Roman" w:eastAsia="Times New Roman" w:cs="Times New Roman"/>
          <w:color w:val="000000"/>
          <w:sz w:val="24"/>
          <w:highlight w:val="white"/>
        </w:rPr>
        <w:t xml:space="preserve">sản xuất thâm dụng lao động cũng bộc lộ giới hạn khi chi phí nhân công tăng mạnh và sức cạnh tranh giảm dần. Bình Dương vì vậy phải chuyển sang mô hình công nghiệp có giá trị gia tăng cao hơn. Theo định hướng mới, khu vực phía Nam sẽ phát triển thành trung</w:t>
      </w:r>
      <w:r>
        <w:rPr>
          <w:rFonts w:ascii="Times New Roman" w:hAnsi="Times New Roman" w:eastAsia="Times New Roman" w:cs="Times New Roman"/>
          <w:color w:val="000000"/>
          <w:sz w:val="24"/>
          <w:highlight w:val="white"/>
        </w:rPr>
        <w:t xml:space="preserve"> tâm thương mại, tài chính và dịch vụ chất lượng cao. Trong khi đó, phía Bắc được quy hoạch thành thủ phủ công nghiệp công nghệ cao, tập trung thu hút doanh nghiệp sản xuất chip bán dẫn, điện tử, tự động hóa và logistics. Đây được xem là bước chuyển mang t</w:t>
      </w:r>
      <w:r>
        <w:rPr>
          <w:rFonts w:ascii="Times New Roman" w:hAnsi="Times New Roman" w:eastAsia="Times New Roman" w:cs="Times New Roman"/>
          <w:color w:val="000000"/>
          <w:sz w:val="24"/>
          <w:highlight w:val="white"/>
        </w:rPr>
        <w:t xml:space="preserve">ính chiến lược nhằm định hình lại vai trò của Bình Dương trong vùng kinh tế trọng điểm phía Nam.</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Hạ tầng mở đường cho dòng dịch chuyển mới</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Sau quá trình sáp nhập địa giới với TP.HCM, chiến lược tái cấu trúc công nghiệp được thúc đẩy nhanh hơn nhằm hoàn thành mục tiêu phát triển đến năm 2030. Chính quyền địa phương triển khai phương thức di dời cuốn chiếu, ưu tiên các cơ sở nằm ngoài khu và cụ</w:t>
      </w:r>
      <w:r>
        <w:rPr>
          <w:rFonts w:ascii="Times New Roman" w:hAnsi="Times New Roman" w:eastAsia="Times New Roman" w:cs="Times New Roman"/>
          <w:color w:val="000000"/>
          <w:sz w:val="24"/>
          <w:highlight w:val="white"/>
        </w:rPr>
        <w:t xml:space="preserve">m công nghiệp. Đồng thời, nhiều chính sách hỗ trợ về quỹ đất, tài chính và đào tạo lao động được áp dụng để khuyến khích doanh nghiệp chuyển dịch lên phía Bắc. Động lực lớn nhất của cuộc dịch chuyển nằm ở hệ thống hạ tầng liên vùng đang dần hoàn thiện. Cao</w:t>
      </w:r>
      <w:r>
        <w:rPr>
          <w:rFonts w:ascii="Times New Roman" w:hAnsi="Times New Roman" w:eastAsia="Times New Roman" w:cs="Times New Roman"/>
          <w:color w:val="000000"/>
          <w:sz w:val="24"/>
          <w:highlight w:val="white"/>
        </w:rPr>
        <w:t xml:space="preserve"> tốc TP.HCM - Thủ Dầu Một - Chơn Thành, Vành đai 3, Vành đai 4 cùng trục ĐT741 tạo nên mạng lưới kết nối giữa các khu công nghiệp mới với cảng biển và sân bay quốc tế Long Thành.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Nhờ hạ tầng đồng bộ, "Bắc TP.HCM" đang dần trở thành trung tâm sản xuất mới của vùng Đông Nam Bộ, giúp doanh nghiệp FDI tăng tốc dịch chuyển lên phía Bắc Bình Dương. Khu đô thị Bắc Sài Gòn đón đầu tâm điểm công nghiệp. Làn sóng công nghiệp dịch chuyển đang</w:t>
      </w:r>
      <w:r>
        <w:rPr>
          <w:rFonts w:ascii="Times New Roman" w:hAnsi="Times New Roman" w:eastAsia="Times New Roman" w:cs="Times New Roman"/>
          <w:color w:val="000000"/>
          <w:sz w:val="24"/>
          <w:highlight w:val="white"/>
        </w:rPr>
        <w:t xml:space="preserve"> tạo ra sự phân hóa mạnh trên thị trường bất động sản. Nếu khu vực phía Nam tập trung vào căn hộ, thương mại và dịch vụ cao cấp thì phía Bắc nổi lên như tâm điểm của dòng vốn công nghiệp và đô thị vệ tinh.</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Hiện khu vực Bắc Tân Uyên, Phước Hòa và Bàu Bàng đang sở hữu quỹ đất công nghiệp quy mô lớn với tổng diện tích hơn 18.600 ha. Nhiều khu công nghiệp thế hệ mới liên tiếp hình thành như VSIP III rộng khoảng 1.000 ha, KCN Tân Bình hơn 1.000 ha, KCN Đất Cuốc h</w:t>
      </w:r>
      <w:r>
        <w:rPr>
          <w:rFonts w:ascii="Times New Roman" w:hAnsi="Times New Roman" w:eastAsia="Times New Roman" w:cs="Times New Roman"/>
          <w:color w:val="000000"/>
          <w:sz w:val="24"/>
          <w:highlight w:val="white"/>
        </w:rPr>
        <w:t xml:space="preserve">ơn 523 ha hay KCN Tân Lập khoảng 400 ha.</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Phước Hòa được xem là quỹ đất chiến lược khi quy hoạch nhiều khu và cụm công nghiệp quy mô lớn như KCN Vĩnh Lập và chuỗi cụm công nghiệp Tam Lập. Sự xuất hiện của hàng loạt khu công nghiệp mới đồng nghĩa với việc hàng trăm nghìn chuyên gia, kỹ sư và lao độ</w:t>
      </w:r>
      <w:r>
        <w:rPr>
          <w:rFonts w:ascii="Times New Roman" w:hAnsi="Times New Roman" w:eastAsia="Times New Roman" w:cs="Times New Roman"/>
          <w:color w:val="000000"/>
          <w:sz w:val="24"/>
          <w:highlight w:val="white"/>
        </w:rPr>
        <w:t xml:space="preserve">ng kỹ thuật cao sẽ dịch chuyển về phía Bắc sinh sống và làm việc. Đây chính là nền tảng thúc đẩy nhu cầu nhà ở, thương mại và dịch vụ tăng trưởng mạnh trong nhiều năm tới.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Theo các chuyên gia, những dự án đô thị được quy hoạch đồng bộ quanh các khu công nghiệp sẽ hưởng lợi lớn nhất. Các phân khúc đất nền, nhà phố thương mại, căn hộ dịch vụ và bất động sản khai thác dòng tiền được dự báo tiếp tục tăng sức hút nhờ khả năng cho</w:t>
      </w:r>
      <w:r>
        <w:rPr>
          <w:rFonts w:ascii="Times New Roman" w:hAnsi="Times New Roman" w:eastAsia="Times New Roman" w:cs="Times New Roman"/>
          <w:color w:val="000000"/>
          <w:sz w:val="24"/>
          <w:highlight w:val="white"/>
        </w:rPr>
        <w:t xml:space="preserve"> thuê ổn định. Trong bối cảnh đó, Khu đô thị Bắc Sài Gòn (tên pháp lý: Khu nhà ở Phương Trường An 6) của Tập đoàn Phương Trường An nổi lên như một điểm đến đáng chú ý khi nằm giữa trung tâm thủ phủ công nghiệp mới phía Bắc. Dự án tọa lạc tại khu vực tiếp g</w:t>
      </w:r>
      <w:r>
        <w:rPr>
          <w:rFonts w:ascii="Times New Roman" w:hAnsi="Times New Roman" w:eastAsia="Times New Roman" w:cs="Times New Roman"/>
          <w:color w:val="000000"/>
          <w:sz w:val="24"/>
          <w:highlight w:val="white"/>
        </w:rPr>
        <w:t xml:space="preserve">iáp Bắc Tân Uyên và Phước Hòa, đồng thời liền kề KCN Tân Bình quy mô khoảng 1.000 ha.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color w:val="000000"/>
          <w:sz w:val="24"/>
          <w:highlight w:val="white"/>
        </w:rPr>
        <w:t xml:space="preserve">Từ dự án, cư dân chỉ mất khoảng 5 đến 15 phút để kết nối với chuỗi khu công nghiệp lớn như VSIP II, VSIP III, VSIP IV, Bàu Bàng hay Bình Mỹ. Lợi thế vị trí giúp khu đô thị này có tiềm năng đón dòng chuyên gia và lao động chất lượng cao đến sinh sống lâu dà</w:t>
      </w:r>
      <w:r>
        <w:rPr>
          <w:rFonts w:ascii="Times New Roman" w:hAnsi="Times New Roman" w:eastAsia="Times New Roman" w:cs="Times New Roman"/>
          <w:color w:val="000000"/>
          <w:sz w:val="24"/>
          <w:highlight w:val="white"/>
        </w:rPr>
        <w:t xml:space="preserve">i. Dự án được quy hoạch theo mô hình compound khép kín với hệ thống tiện ích đồng bộ như công viên trung tâm, hồ bơi, khu thể thao và trường học. Trong bối cảnh hạ tầng và công nghiệp tăng tốc, Bắc Sài Gòn được kỳ vọng hưởng lợi lớn từ làn sóng dịch chuyển</w:t>
      </w:r>
      <w:r>
        <w:rPr>
          <w:rFonts w:ascii="Times New Roman" w:hAnsi="Times New Roman" w:eastAsia="Times New Roman" w:cs="Times New Roman"/>
          <w:color w:val="000000"/>
          <w:sz w:val="24"/>
          <w:highlight w:val="white"/>
        </w:rPr>
        <w:t xml:space="preserve"> dân cư và dòng vốn đầu tư.</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rFonts w:ascii="Times New Roman" w:hAnsi="Times New Roman" w:cs="Times New Roman"/>
        </w:rPr>
      </w:pPr>
      <w:r>
        <w:rPr>
          <w:rFonts w:ascii="Times New Roman" w:hAnsi="Times New Roman" w:eastAsia="Times New Roman" w:cs="Times New Roman"/>
          <w:i/>
          <w:color w:val="000000"/>
          <w:sz w:val="24"/>
          <w:highlight w:val="white"/>
        </w:rPr>
        <w:t xml:space="preserve">(Nguồn tham khảo: https://tuoitre.vn/bat-dong-san-binh-duong-buoc-vao-chu-ky-tang-truong-moi-20260520105848607.html)</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IV. THÔNG TIN VỀ TÀI SẢN THẨM ĐỊNH GIÁ</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rPr>
      </w:r>
      <w:r>
        <w:rPr>
          <w:rFonts w:ascii="Times New Roman" w:hAnsi="Times New Roman" w:cs="Times New Roman"/>
        </w:rPr>
      </w:r>
    </w:p>
    <w:tbl>
      <w:tblPr>
        <w:tblStyle w:val="98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1513"/>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Tên tài sản</w:t>
            </w:r>
            <w:r>
              <w:rPr>
                <w:rFonts w:ascii="Times New Roman" w:hAnsi="Times New Roman" w:eastAsia="Times New Roman" w:cs="Times New Roman"/>
              </w:rPr>
            </w:r>
            <w:r>
              <w:rPr>
                <w:rFonts w:ascii="Times New Roman" w:hAnsi="Times New Roman" w:cs="Times New Roman"/>
              </w:rP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Quyền sử dụng đất tại thửa đất số 1, tờ bản đồ số 8 theo Giấy chứng nhận quyền sử dụng đất quyền sở hữu nhà ở và tài sản khác gắn liền với đất số BĐ 119682, số vào sổ cấp GCN: CH 00934, có địa chỉ: Thị trấn Thái Hoà, huyện Tân Uyên, tỉnh Bình Dương </w:t>
            </w:r>
            <w:r>
              <w:rPr>
                <w:rFonts w:ascii="Times New Roman" w:hAnsi="Times New Roman" w:eastAsia="Times New Roman" w:cs="Times New Roman"/>
                <w:b/>
                <w:i/>
                <w:color w:val="000000"/>
                <w:sz w:val="24"/>
              </w:rPr>
              <w:t xml:space="preserve">(Nay là phường Tân Khánh, Thành phố Hồ Chí Minh)</w:t>
            </w:r>
            <w:r>
              <w:rPr>
                <w:rFonts w:ascii="Times New Roman" w:hAnsi="Times New Roman" w:eastAsia="Times New Roman" w:cs="Times New Roman"/>
                <w:b/>
                <w:color w:val="000000"/>
                <w:sz w:val="24"/>
              </w:rPr>
              <w:t xml:space="preserve"> do Uỷ ban nhân dân huyện Tân Uyên cấp ngày 13/04/2011; chủ sử dụng đất là Bà Phan Thị Oanh.</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1.</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Nội dung Thửa đất theo Hồ sơ pháp lý</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Thửa đất số:</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Tờ bản đồ số:</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8</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Thị trấn Thái Hoà, huyện Tân Uyên, Tỉnh Bình Dương (Nay là phường Tân Khánh, thành phố Hồ Chí Minh)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6.463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Hình thức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Sử dụng riêng: 6.463 m²</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Mục đích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(5.463  m²), Đất cơ sở sản xuất phi nông nghiệp (1.000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Thời hạn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BHK: Đến tháng 6/2070; SKC: Đến ngày 01/01/2030</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Nguồn gốc sử dụng đất:</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Công nhận QSDĐ như giao đất không thu tiền sử dụng đất.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Thông tin quy hoạch:</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Tổ thẩm định tra cứu thông tin website Meeymap và nhận thấy tài sản nằm trong quy hoạch đất ở đô thị.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2876550" cy="14954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59665" name=""/>
                              <pic:cNvPicPr>
                                <a:picLocks noChangeAspect="1"/>
                              </pic:cNvPicPr>
                              <pic:nvPr/>
                            </pic:nvPicPr>
                            <pic:blipFill rotWithShape="1">
                              <a:blip r:embed="rId11"/>
                              <a:stretch/>
                            </pic:blipFill>
                            <pic:spPr bwMode="auto">
                              <a:xfrm>
                                <a:off x="0" y="0"/>
                                <a:ext cx="2876549" cy="1495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26.50pt;height:117.75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Về đất:</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2.1</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Vị trí; Giao thông;</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Đường tiếp giáp chính: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Thửa đất không tiếp giáp đường giao thông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Số mặt tiền:</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Mặt cắt đường/ngõ trước mặt tài sản thẩm định giá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Khoảng cách đến trục đường chính (m):</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Tài sản không tiếp giáp đường giao thông.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Các hướng tiếp giáp:</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Các hướng đều tiếp giáp các thửa đất khác.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before="60" w:line="298" w:lineRule="atLeast"/>
              <w:ind w:right="0" w:firstLine="0" w:left="0"/>
              <w:rPr>
                <w:rFonts w:ascii="Times New Roman" w:hAnsi="Times New Roman" w:cs="Times New Roman"/>
              </w:rPr>
            </w:pPr>
            <w:r>
              <w:rPr>
                <w:rFonts w:ascii="Times New Roman" w:hAnsi="Times New Roman" w:eastAsia="Times New Roman" w:cs="Times New Roman"/>
                <w:color w:val="000000"/>
                <w:sz w:val="24"/>
              </w:rPr>
              <w:t xml:space="preserve">Vị trí trên bản đồ vệ tinh: (10.99428, 106.74212)</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rPr>
              <mc:AlternateContent>
                <mc:Choice Requires="wpg">
                  <w:drawing>
                    <wp:inline xmlns:wp="http://schemas.openxmlformats.org/drawingml/2006/wordprocessingDrawing" distT="0" distB="0" distL="0" distR="0">
                      <wp:extent cx="4076700" cy="22193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5299" name=""/>
                              <pic:cNvPicPr>
                                <a:picLocks noChangeAspect="1"/>
                              </pic:cNvPicPr>
                              <pic:nvPr/>
                            </pic:nvPicPr>
                            <pic:blipFill rotWithShape="1">
                              <a:blip r:embed="rId11"/>
                              <a:stretch/>
                            </pic:blipFill>
                            <pic:spPr bwMode="auto">
                              <a:xfrm>
                                <a:off x="0" y="0"/>
                                <a:ext cx="4076699" cy="2219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21.00pt;height:174.75pt;mso-wrap-distance-left:0.00pt;mso-wrap-distance-top:0.00pt;mso-wrap-distance-right:0.00pt;mso-wrap-distance-bottom:0.00pt;z-index:1;" stroked="false">
                      <v:imagedata r:id="rId11" o:title=""/>
                      <o:lock v:ext="edit" rotation="t"/>
                    </v:shape>
                  </w:pict>
                </mc:Fallback>
              </mc:AlternateConten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2.2.</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Diện tích; Kích thước; Hình dáng</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sử dụng riêng thực tế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6463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Diện tích sử dụng chung thực tế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Mặt tiền (m):</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Chiều sâu (m):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Hình dáng: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Tương đối vuông vức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Hướng: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Đông</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2.3.</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Điều kiện kinh doanh; Hạ tầng nội bộ; Hạ tầng xung quanh</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nội bộ:</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xung quanh:</w:t>
            </w:r>
            <w:r>
              <w:rPr>
                <w:rFonts w:ascii="Times New Roman" w:hAnsi="Times New Roman" w:eastAsia="Times New Roman" w:cs="Times New Roman"/>
              </w:rPr>
            </w:r>
            <w:r>
              <w:rPr>
                <w:rFonts w:ascii="Times New Roman" w:hAnsi="Times New Roman" w:cs="Times New Roman"/>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Hạ tầng khu dân cư thông thường </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Mật độ dân cư:</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Cao/đông đúc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Đời sống dân cư:</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Cao</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Lợi thế kinh doanh: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Tốt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Khả năng chuyển nhượng: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Tốt</w:t>
            </w:r>
            <w:r>
              <w:rPr>
                <w:rFonts w:ascii="Times New Roman" w:hAnsi="Times New Roman" w:eastAsia="Times New Roman" w:cs="Times New Roman"/>
              </w:rPr>
            </w:r>
            <w:r>
              <w:rPr>
                <w:rFonts w:ascii="Times New Roman" w:hAnsi="Times New Roman" w:cs="Times New Roman"/>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3.</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rPr>
              <w:t xml:space="preserve">Tài sản gắn liền với đất</w:t>
            </w:r>
            <w:r>
              <w:rPr>
                <w:rFonts w:ascii="Times New Roman" w:hAnsi="Times New Roman" w:eastAsia="Times New Roman" w:cs="Times New Roman"/>
              </w:rPr>
            </w:r>
            <w:r>
              <w:rPr>
                <w:rFonts w:ascii="Times New Roman" w:hAnsi="Times New Roman" w:cs="Times New Roman"/>
              </w:rPr>
            </w:r>
          </w:p>
        </w:tc>
      </w:tr>
      <w:tr>
        <w:trPr>
          <w:trHeight w:val="714"/>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rPr>
            </w:pPr>
            <w:r>
              <w:rPr>
                <w:rFonts w:ascii="Times New Roman" w:hAnsi="Times New Roman" w:eastAsia="Times New Roman" w:cs="Times New Roman"/>
                <w:color w:val="000000"/>
                <w:sz w:val="24"/>
              </w:rPr>
              <w:t xml:space="preserve">+ Tại thời điểm khảo sát, dưới sự hướng dẫn của Khách hàng, công trình xây dựng trên đất là Nhà biệt thự 4 tầng, đang được sử dụng để ở và làm văn phòng công ty.</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rFonts w:ascii="Times New Roman" w:hAnsi="Times New Roman" w:cs="Times New Roman"/>
        </w:rPr>
      </w:pPr>
      <w:r>
        <w:rPr>
          <w:rFonts w:ascii="Times New Roman" w:hAnsi="Times New Roman" w:eastAsia="Times New Roman" w:cs="Times New Roman"/>
          <w:color w:val="000000"/>
          <w:sz w:val="24"/>
          <w:u w:val="none"/>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line="233" w:lineRule="auto"/>
        <w:ind w:right="0" w:firstLine="0" w:left="646"/>
        <w:jc w:val="both"/>
        <w:rPr>
          <w:rFonts w:ascii="Times New Roman" w:hAnsi="Times New Roman" w:cs="Times New Roman"/>
        </w:rPr>
      </w:pPr>
      <w:r>
        <w:rPr>
          <w:rFonts w:ascii="Times New Roman" w:hAnsi="Times New Roman" w:eastAsia="Times New Roman" w:cs="Times New Roman"/>
          <w:color w:val="000000"/>
          <w:sz w:val="24"/>
          <w:u w:val="none"/>
        </w:rPr>
        <w:t xml:space="preserve">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b/>
          <w:color w:val="000000"/>
          <w:sz w:val="24"/>
          <w:highlight w:val="white"/>
        </w:rPr>
        <w:t xml:space="preserve"> </w:t>
      </w:r>
      <w:r>
        <w:rPr>
          <w:rFonts w:ascii="Times New Roman" w:hAnsi="Times New Roman" w:eastAsia="Times New Roman" w:cs="Times New Roman"/>
        </w:rPr>
      </w:r>
      <w:r>
        <w:rPr>
          <w:rFonts w:ascii="Times New Roman" w:hAnsi="Times New Roman" w:cs="Times New Roman"/>
        </w:rPr>
      </w:r>
    </w:p>
    <w:tbl>
      <w:tblPr>
        <w:tblStyle w:val="98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67"/>
        <w:gridCol w:w="1663"/>
        <w:gridCol w:w="1560"/>
        <w:gridCol w:w="1605"/>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STT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Các yếu tố</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Thông tin TSTĐ</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Thông tin khảo sát</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Chênh lệch</w:t>
            </w:r>
            <w:r>
              <w:rPr>
                <w:rFonts w:ascii="Times New Roman" w:hAnsi="Times New Roman" w:eastAsia="Times New Roman" w:cs="Times New Roman"/>
              </w:rPr>
            </w:r>
            <w:r>
              <w:rPr>
                <w:rFonts w:ascii="Times New Roman" w:hAnsi="Times New Roman" w:cs="Times New Roman"/>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b/>
                <w:color w:val="000000"/>
                <w:sz w:val="24"/>
              </w:rPr>
              <w:t xml:space="preserve">Nguyên nhân</w:t>
            </w:r>
            <w:r>
              <w:rPr>
                <w:rFonts w:ascii="Times New Roman" w:hAnsi="Times New Roman" w:eastAsia="Times New Roman" w:cs="Times New Roman"/>
              </w:rPr>
            </w:r>
            <w:r>
              <w:rPr>
                <w:rFonts w:ascii="Times New Roman" w:hAnsi="Times New Roman" w:cs="Times New Roman"/>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Địa chỉ trên sổ</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Thị trấn Thái Hoà, huyện Tân Uyên, tỉnh Bình Dương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Phường Tân Khánh, Thành phố Hồ Chí Minh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Có</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Sáp nhập địa giới hành chính</w:t>
            </w:r>
            <w:r>
              <w:rPr>
                <w:rFonts w:ascii="Times New Roman" w:hAnsi="Times New Roman" w:eastAsia="Times New Roman" w:cs="Times New Roman"/>
              </w:rPr>
            </w:r>
            <w:r>
              <w:rPr>
                <w:rFonts w:ascii="Times New Roman" w:hAnsi="Times New Roman" w:cs="Times New Roman"/>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Pháp lý</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3</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Loại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(5.463  m²), Đất cơ sở sản xuất phi nông nghiệp (1.000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Đất trồng cây hàng năm khác (5.463  m²), Đất cơ sở sản xuất phi nông nghiệp (1.000 m²)</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4</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Thời hạn sử dụng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BHK: Đến tháng 6/2070; SKC: Đến ngày 01/01/2030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BHK: Đến tháng 6/2070; SKC: Đến ngày 01/01/2030✔</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5</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Diện tích</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6.463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6.463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0</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6</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Hình dạng thửa đất</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Tương đối vuông vức</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Tương đối vuông vức ✔</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Không</w:t>
            </w:r>
            <w:r>
              <w:rPr>
                <w:rFonts w:ascii="Times New Roman" w:hAnsi="Times New Roman" w:eastAsia="Times New Roman" w:cs="Times New Roman"/>
              </w:rPr>
            </w:r>
            <w:r>
              <w:rPr>
                <w:rFonts w:ascii="Times New Roman" w:hAnsi="Times New Roman" w:cs="Times New Roman"/>
              </w:rP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rPr>
            </w:r>
            <w:r>
              <w:rPr>
                <w:rFonts w:ascii="Times New Roman" w:hAnsi="Times New Roman" w:cs="Times New Roman"/>
              </w:rP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cs="Times New Roman"/>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rPr>
      </w:r>
      <w:r>
        <w:rPr>
          <w:rFonts w:ascii="Times New Roman" w:hAnsi="Times New Roman" w:cs="Times New Roman"/>
        </w:rPr>
      </w:r>
    </w:p>
    <w:p>
      <w:pPr>
        <w:pBdr/>
        <w:shd w:val="nil" w:color="000000"/>
        <w:spacing/>
        <w:ind/>
        <w:rPr>
          <w:rFonts w:ascii="Times New Roman" w:hAnsi="Times New Roman" w:cs="Times New Roman"/>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cs="Times New Roman"/>
        </w:rPr>
      </w:r>
    </w:p>
    <w:p>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cs="Times New Roman"/>
        </w:rPr>
      </w:r>
    </w:p>
    <w:sectPr>
      <w:footerReference w:type="first" r:id="rId9"/>
      <w:footnotePr/>
      <w:endnotePr/>
      <w:type w:val="nextPage"/>
      <w:pgSz w:h="16838" w:orient="portrait" w:w="11906"/>
      <w:pgMar w:top="1134" w:right="850" w:bottom="1134" w:left="1701" w:header="709" w:footer="709"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11CCF7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E9AF73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548CC2E"/>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599DFC5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94">
    <w:name w:val="Table Grid Light"/>
    <w:basedOn w:val="96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Plain Table 1"/>
    <w:basedOn w:val="96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Plain Table 2"/>
    <w:basedOn w:val="96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Plain Table 3"/>
    <w:basedOn w:val="9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Plain Table 4"/>
    <w:basedOn w:val="9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5"/>
    <w:basedOn w:val="96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1 Light"/>
    <w:basedOn w:val="96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1 Light - Accent 1"/>
    <w:basedOn w:val="9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1 Light - Accent 2"/>
    <w:basedOn w:val="9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1 Light - Accent 3"/>
    <w:basedOn w:val="9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1 Light - Accent 4"/>
    <w:basedOn w:val="9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1 Light - Accent 5"/>
    <w:basedOn w:val="9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 Accent 6"/>
    <w:basedOn w:val="9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2"/>
    <w:basedOn w:val="9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2 - Accent 1"/>
    <w:basedOn w:val="9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2 - Accent 2"/>
    <w:basedOn w:val="9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2 - Accent 3"/>
    <w:basedOn w:val="9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2 - Accent 4"/>
    <w:basedOn w:val="9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2 - Accent 5"/>
    <w:basedOn w:val="9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 Accent 6"/>
    <w:basedOn w:val="9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3"/>
    <w:basedOn w:val="96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3 - Accent 1"/>
    <w:basedOn w:val="96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3 - Accent 2"/>
    <w:basedOn w:val="96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3 - Accent 3"/>
    <w:basedOn w:val="96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3 - Accent 4"/>
    <w:basedOn w:val="96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3 - Accent 5"/>
    <w:basedOn w:val="96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 Accent 6"/>
    <w:basedOn w:val="96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4"/>
    <w:basedOn w:val="96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4 - Accent 1"/>
    <w:basedOn w:val="96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4 - Accent 2"/>
    <w:basedOn w:val="96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4 - Accent 3"/>
    <w:basedOn w:val="96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4 - Accent 4"/>
    <w:basedOn w:val="96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4 - Accent 5"/>
    <w:basedOn w:val="96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 Accent 6"/>
    <w:basedOn w:val="96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5 Dark"/>
    <w:basedOn w:val="9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5 Dark- Accent 1"/>
    <w:basedOn w:val="9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5 Dark - Accent 2"/>
    <w:basedOn w:val="9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5 Dark - Accent 3"/>
    <w:basedOn w:val="9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5 Dark- Accent 4"/>
    <w:basedOn w:val="9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5 Dark - Accent 5"/>
    <w:basedOn w:val="9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 Accent 6"/>
    <w:basedOn w:val="96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6 Colorful"/>
    <w:basedOn w:val="96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36">
    <w:name w:val="Grid Table 6 Colorful - Accent 1"/>
    <w:basedOn w:val="96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37">
    <w:name w:val="Grid Table 6 Colorful - Accent 2"/>
    <w:basedOn w:val="9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38">
    <w:name w:val="Grid Table 6 Colorful - Accent 3"/>
    <w:basedOn w:val="96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39">
    <w:name w:val="Grid Table 6 Colorful - Accent 4"/>
    <w:basedOn w:val="9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0">
    <w:name w:val="Grid Table 6 Colorful - Accent 5"/>
    <w:basedOn w:val="96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1">
    <w:name w:val="Grid Table 6 Colorful - Accent 6"/>
    <w:basedOn w:val="96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2">
    <w:name w:val="Grid Table 7 Colorful"/>
    <w:basedOn w:val="96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7 Colorful - Accent 1"/>
    <w:basedOn w:val="96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7 Colorful - Accent 2"/>
    <w:basedOn w:val="96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7 Colorful - Accent 3"/>
    <w:basedOn w:val="96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7 Colorful - Accent 4"/>
    <w:basedOn w:val="96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 Accent 5"/>
    <w:basedOn w:val="96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 Accent 6"/>
    <w:basedOn w:val="96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1 Light"/>
    <w:basedOn w:val="9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1 Light - Accent 1"/>
    <w:basedOn w:val="9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 Accent 2"/>
    <w:basedOn w:val="9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1 Light - Accent 3"/>
    <w:basedOn w:val="9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 Accent 4"/>
    <w:basedOn w:val="9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 Accent 5"/>
    <w:basedOn w:val="9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 Accent 6"/>
    <w:basedOn w:val="96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2"/>
    <w:basedOn w:val="96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2 - Accent 1"/>
    <w:basedOn w:val="96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 Accent 2"/>
    <w:basedOn w:val="96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2 - Accent 3"/>
    <w:basedOn w:val="96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 Accent 4"/>
    <w:basedOn w:val="96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 Accent 5"/>
    <w:basedOn w:val="96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 Accent 6"/>
    <w:basedOn w:val="96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3"/>
    <w:basedOn w:val="9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3 - Accent 1"/>
    <w:basedOn w:val="96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 Accent 2"/>
    <w:basedOn w:val="96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3 - Accent 3"/>
    <w:basedOn w:val="96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 Accent 4"/>
    <w:basedOn w:val="96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3 - Accent 5"/>
    <w:basedOn w:val="96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 Accent 6"/>
    <w:basedOn w:val="96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4"/>
    <w:basedOn w:val="96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4 - Accent 1"/>
    <w:basedOn w:val="96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 Accent 2"/>
    <w:basedOn w:val="96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4 - Accent 3"/>
    <w:basedOn w:val="96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4 - Accent 4"/>
    <w:basedOn w:val="96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4 - Accent 5"/>
    <w:basedOn w:val="96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 Accent 6"/>
    <w:basedOn w:val="96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5 Dark"/>
    <w:basedOn w:val="96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8">
    <w:name w:val="List Table 5 Dark - Accent 1"/>
    <w:basedOn w:val="96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9">
    <w:name w:val="List Table 5 Dark - Accent 2"/>
    <w:basedOn w:val="96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0">
    <w:name w:val="List Table 5 Dark - Accent 3"/>
    <w:basedOn w:val="96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1">
    <w:name w:val="List Table 5 Dark - Accent 4"/>
    <w:basedOn w:val="96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2">
    <w:name w:val="List Table 5 Dark - Accent 5"/>
    <w:basedOn w:val="96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3">
    <w:name w:val="List Table 5 Dark - Accent 6"/>
    <w:basedOn w:val="96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4">
    <w:name w:val="List Table 6 Colorful"/>
    <w:basedOn w:val="96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6 Colorful - Accent 1"/>
    <w:basedOn w:val="96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6 Colorful - Accent 2"/>
    <w:basedOn w:val="96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6 Colorful - Accent 3"/>
    <w:basedOn w:val="96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6 Colorful - Accent 4"/>
    <w:basedOn w:val="96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6 Colorful - Accent 5"/>
    <w:basedOn w:val="96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6 Colorful - Accent 6"/>
    <w:basedOn w:val="96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7 Colorful"/>
    <w:basedOn w:val="96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92">
    <w:name w:val="List Table 7 Colorful - Accent 1"/>
    <w:basedOn w:val="96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93">
    <w:name w:val="List Table 7 Colorful - Accent 2"/>
    <w:basedOn w:val="96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94">
    <w:name w:val="List Table 7 Colorful - Accent 3"/>
    <w:basedOn w:val="96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95">
    <w:name w:val="List Table 7 Colorful - Accent 4"/>
    <w:basedOn w:val="96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96">
    <w:name w:val="List Table 7 Colorful - Accent 5"/>
    <w:basedOn w:val="96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97">
    <w:name w:val="List Table 7 Colorful - Accent 6"/>
    <w:basedOn w:val="96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98">
    <w:name w:val="Lined - Accent"/>
    <w:basedOn w:val="9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ned - Accent 1"/>
    <w:basedOn w:val="9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ned - Accent 2"/>
    <w:basedOn w:val="9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ned - Accent 3"/>
    <w:basedOn w:val="9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ned - Accent 4"/>
    <w:basedOn w:val="9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ned - Accent 5"/>
    <w:basedOn w:val="9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ned - Accent 6"/>
    <w:basedOn w:val="96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Bordered &amp; Lined - Accent"/>
    <w:basedOn w:val="96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Bordered &amp; Lined - Accent 1"/>
    <w:basedOn w:val="96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amp; Lined - Accent 2"/>
    <w:basedOn w:val="96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amp; Lined - Accent 3"/>
    <w:basedOn w:val="96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amp; Lined - Accent 4"/>
    <w:basedOn w:val="96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amp; Lined - Accent 5"/>
    <w:basedOn w:val="96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6"/>
    <w:basedOn w:val="96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w:basedOn w:val="96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 Accent 1"/>
    <w:basedOn w:val="96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 Accent 2"/>
    <w:basedOn w:val="96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 Accent 3"/>
    <w:basedOn w:val="96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 Accent 4"/>
    <w:basedOn w:val="96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 Accent 5"/>
    <w:basedOn w:val="96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 Accent 6"/>
    <w:basedOn w:val="96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9">
    <w:name w:val="Heading 5"/>
    <w:basedOn w:val="960"/>
    <w:next w:val="960"/>
    <w:link w:val="92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20">
    <w:name w:val="Heading 6"/>
    <w:basedOn w:val="960"/>
    <w:next w:val="960"/>
    <w:link w:val="92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21">
    <w:name w:val="Heading 7"/>
    <w:basedOn w:val="960"/>
    <w:next w:val="960"/>
    <w:link w:val="92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22">
    <w:name w:val="Heading 8"/>
    <w:basedOn w:val="960"/>
    <w:next w:val="960"/>
    <w:link w:val="92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23">
    <w:name w:val="Heading 9"/>
    <w:basedOn w:val="960"/>
    <w:next w:val="960"/>
    <w:link w:val="92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24">
    <w:name w:val="Heading 5 Char"/>
    <w:basedOn w:val="965"/>
    <w:link w:val="919"/>
    <w:uiPriority w:val="9"/>
    <w:pPr>
      <w:pBdr/>
      <w:spacing/>
      <w:ind/>
    </w:pPr>
    <w:rPr>
      <w:rFonts w:ascii="Arial" w:hAnsi="Arial" w:eastAsia="Arial" w:cs="Arial"/>
      <w:color w:val="0f4761" w:themeColor="accent1" w:themeShade="BF"/>
    </w:rPr>
  </w:style>
  <w:style w:type="character" w:styleId="925">
    <w:name w:val="Heading 6 Char"/>
    <w:basedOn w:val="965"/>
    <w:link w:val="920"/>
    <w:uiPriority w:val="9"/>
    <w:pPr>
      <w:pBdr/>
      <w:spacing/>
      <w:ind/>
    </w:pPr>
    <w:rPr>
      <w:rFonts w:ascii="Arial" w:hAnsi="Arial" w:eastAsia="Arial" w:cs="Arial"/>
      <w:i/>
      <w:iCs/>
      <w:color w:val="595959" w:themeColor="text1" w:themeTint="A6"/>
    </w:rPr>
  </w:style>
  <w:style w:type="character" w:styleId="926">
    <w:name w:val="Heading 7 Char"/>
    <w:basedOn w:val="965"/>
    <w:link w:val="921"/>
    <w:uiPriority w:val="9"/>
    <w:pPr>
      <w:pBdr/>
      <w:spacing/>
      <w:ind/>
    </w:pPr>
    <w:rPr>
      <w:rFonts w:ascii="Arial" w:hAnsi="Arial" w:eastAsia="Arial" w:cs="Arial"/>
      <w:color w:val="595959" w:themeColor="text1" w:themeTint="A6"/>
    </w:rPr>
  </w:style>
  <w:style w:type="character" w:styleId="927">
    <w:name w:val="Heading 8 Char"/>
    <w:basedOn w:val="965"/>
    <w:link w:val="922"/>
    <w:uiPriority w:val="9"/>
    <w:pPr>
      <w:pBdr/>
      <w:spacing/>
      <w:ind/>
    </w:pPr>
    <w:rPr>
      <w:rFonts w:ascii="Arial" w:hAnsi="Arial" w:eastAsia="Arial" w:cs="Arial"/>
      <w:i/>
      <w:iCs/>
      <w:color w:val="272727" w:themeColor="text1" w:themeTint="D8"/>
    </w:rPr>
  </w:style>
  <w:style w:type="character" w:styleId="928">
    <w:name w:val="Heading 9 Char"/>
    <w:basedOn w:val="965"/>
    <w:link w:val="923"/>
    <w:uiPriority w:val="9"/>
    <w:pPr>
      <w:pBdr/>
      <w:spacing/>
      <w:ind/>
    </w:pPr>
    <w:rPr>
      <w:rFonts w:ascii="Arial" w:hAnsi="Arial" w:eastAsia="Arial" w:cs="Arial"/>
      <w:i/>
      <w:iCs/>
      <w:color w:val="272727" w:themeColor="text1" w:themeTint="D8"/>
    </w:rPr>
  </w:style>
  <w:style w:type="paragraph" w:styleId="929">
    <w:name w:val="Subtitle"/>
    <w:basedOn w:val="960"/>
    <w:next w:val="960"/>
    <w:link w:val="930"/>
    <w:uiPriority w:val="11"/>
    <w:qFormat/>
    <w:pPr>
      <w:numPr>
        <w:ilvl w:val="1"/>
      </w:numPr>
      <w:pBdr/>
      <w:spacing/>
      <w:ind/>
    </w:pPr>
    <w:rPr>
      <w:color w:val="595959" w:themeColor="text1" w:themeTint="A6"/>
      <w:spacing w:val="15"/>
      <w:sz w:val="28"/>
      <w:szCs w:val="28"/>
    </w:rPr>
  </w:style>
  <w:style w:type="character" w:styleId="930">
    <w:name w:val="Subtitle Char"/>
    <w:basedOn w:val="965"/>
    <w:link w:val="929"/>
    <w:uiPriority w:val="11"/>
    <w:pPr>
      <w:pBdr/>
      <w:spacing/>
      <w:ind/>
    </w:pPr>
    <w:rPr>
      <w:color w:val="595959" w:themeColor="text1" w:themeTint="A6"/>
      <w:spacing w:val="15"/>
      <w:sz w:val="28"/>
      <w:szCs w:val="28"/>
    </w:rPr>
  </w:style>
  <w:style w:type="paragraph" w:styleId="931">
    <w:name w:val="Quote"/>
    <w:basedOn w:val="960"/>
    <w:next w:val="960"/>
    <w:link w:val="932"/>
    <w:uiPriority w:val="29"/>
    <w:qFormat/>
    <w:pPr>
      <w:pBdr/>
      <w:spacing w:before="160"/>
      <w:ind/>
      <w:jc w:val="center"/>
    </w:pPr>
    <w:rPr>
      <w:i/>
      <w:iCs/>
      <w:color w:val="404040" w:themeColor="text1" w:themeTint="BF"/>
    </w:rPr>
  </w:style>
  <w:style w:type="character" w:styleId="932">
    <w:name w:val="Quote Char"/>
    <w:basedOn w:val="965"/>
    <w:link w:val="931"/>
    <w:uiPriority w:val="29"/>
    <w:pPr>
      <w:pBdr/>
      <w:spacing/>
      <w:ind/>
    </w:pPr>
    <w:rPr>
      <w:i/>
      <w:iCs/>
      <w:color w:val="404040" w:themeColor="text1" w:themeTint="BF"/>
    </w:rPr>
  </w:style>
  <w:style w:type="character" w:styleId="933">
    <w:name w:val="Intense Emphasis"/>
    <w:basedOn w:val="965"/>
    <w:uiPriority w:val="21"/>
    <w:qFormat/>
    <w:pPr>
      <w:pBdr/>
      <w:spacing/>
      <w:ind/>
    </w:pPr>
    <w:rPr>
      <w:i/>
      <w:iCs/>
      <w:color w:val="0f4761" w:themeColor="accent1" w:themeShade="BF"/>
    </w:rPr>
  </w:style>
  <w:style w:type="paragraph" w:styleId="934">
    <w:name w:val="Intense Quote"/>
    <w:basedOn w:val="960"/>
    <w:next w:val="960"/>
    <w:link w:val="93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5">
    <w:name w:val="Intense Quote Char"/>
    <w:basedOn w:val="965"/>
    <w:link w:val="934"/>
    <w:uiPriority w:val="30"/>
    <w:pPr>
      <w:pBdr/>
      <w:spacing/>
      <w:ind/>
    </w:pPr>
    <w:rPr>
      <w:i/>
      <w:iCs/>
      <w:color w:val="0f4761" w:themeColor="accent1" w:themeShade="BF"/>
    </w:rPr>
  </w:style>
  <w:style w:type="character" w:styleId="936">
    <w:name w:val="Intense Reference"/>
    <w:basedOn w:val="965"/>
    <w:uiPriority w:val="32"/>
    <w:qFormat/>
    <w:pPr>
      <w:pBdr/>
      <w:spacing/>
      <w:ind/>
    </w:pPr>
    <w:rPr>
      <w:b/>
      <w:bCs/>
      <w:smallCaps/>
      <w:color w:val="0f4761" w:themeColor="accent1" w:themeShade="BF"/>
      <w:spacing w:val="5"/>
    </w:rPr>
  </w:style>
  <w:style w:type="paragraph" w:styleId="937">
    <w:name w:val="No Spacing"/>
    <w:basedOn w:val="960"/>
    <w:uiPriority w:val="1"/>
    <w:qFormat/>
    <w:pPr>
      <w:pBdr/>
      <w:spacing w:after="0" w:line="240" w:lineRule="auto"/>
      <w:ind/>
    </w:pPr>
  </w:style>
  <w:style w:type="character" w:styleId="938">
    <w:name w:val="Subtle Emphasis"/>
    <w:basedOn w:val="965"/>
    <w:uiPriority w:val="19"/>
    <w:qFormat/>
    <w:pPr>
      <w:pBdr/>
      <w:spacing/>
      <w:ind/>
    </w:pPr>
    <w:rPr>
      <w:i/>
      <w:iCs/>
      <w:color w:val="404040" w:themeColor="text1" w:themeTint="BF"/>
    </w:rPr>
  </w:style>
  <w:style w:type="character" w:styleId="939">
    <w:name w:val="Subtle Reference"/>
    <w:basedOn w:val="965"/>
    <w:uiPriority w:val="31"/>
    <w:qFormat/>
    <w:pPr>
      <w:pBdr/>
      <w:spacing/>
      <w:ind/>
    </w:pPr>
    <w:rPr>
      <w:smallCaps/>
      <w:color w:val="5a5a5a" w:themeColor="text1" w:themeTint="A5"/>
    </w:rPr>
  </w:style>
  <w:style w:type="character" w:styleId="940">
    <w:name w:val="Book Title"/>
    <w:basedOn w:val="965"/>
    <w:uiPriority w:val="33"/>
    <w:qFormat/>
    <w:pPr>
      <w:pBdr/>
      <w:spacing/>
      <w:ind/>
    </w:pPr>
    <w:rPr>
      <w:b/>
      <w:bCs/>
      <w:i/>
      <w:iCs/>
      <w:spacing w:val="5"/>
    </w:rPr>
  </w:style>
  <w:style w:type="paragraph" w:styleId="941">
    <w:name w:val="Caption"/>
    <w:basedOn w:val="960"/>
    <w:next w:val="960"/>
    <w:uiPriority w:val="35"/>
    <w:unhideWhenUsed/>
    <w:qFormat/>
    <w:pPr>
      <w:pBdr/>
      <w:spacing w:after="200" w:line="240" w:lineRule="auto"/>
      <w:ind/>
    </w:pPr>
    <w:rPr>
      <w:i/>
      <w:iCs/>
      <w:color w:val="0e2841" w:themeColor="text2"/>
      <w:sz w:val="18"/>
      <w:szCs w:val="18"/>
    </w:rPr>
  </w:style>
  <w:style w:type="paragraph" w:styleId="942">
    <w:name w:val="footnote text"/>
    <w:basedOn w:val="960"/>
    <w:link w:val="943"/>
    <w:uiPriority w:val="99"/>
    <w:semiHidden/>
    <w:unhideWhenUsed/>
    <w:pPr>
      <w:pBdr/>
      <w:spacing w:after="0" w:line="240" w:lineRule="auto"/>
      <w:ind/>
    </w:pPr>
    <w:rPr>
      <w:sz w:val="20"/>
      <w:szCs w:val="20"/>
    </w:rPr>
  </w:style>
  <w:style w:type="character" w:styleId="943">
    <w:name w:val="Footnote Text Char"/>
    <w:basedOn w:val="965"/>
    <w:link w:val="942"/>
    <w:uiPriority w:val="99"/>
    <w:semiHidden/>
    <w:pPr>
      <w:pBdr/>
      <w:spacing/>
      <w:ind/>
    </w:pPr>
    <w:rPr>
      <w:sz w:val="20"/>
      <w:szCs w:val="20"/>
    </w:rPr>
  </w:style>
  <w:style w:type="character" w:styleId="944">
    <w:name w:val="footnote reference"/>
    <w:basedOn w:val="965"/>
    <w:uiPriority w:val="99"/>
    <w:semiHidden/>
    <w:unhideWhenUsed/>
    <w:pPr>
      <w:pBdr/>
      <w:spacing/>
      <w:ind/>
    </w:pPr>
    <w:rPr>
      <w:vertAlign w:val="superscript"/>
    </w:rPr>
  </w:style>
  <w:style w:type="paragraph" w:styleId="945">
    <w:name w:val="endnote text"/>
    <w:basedOn w:val="960"/>
    <w:link w:val="946"/>
    <w:uiPriority w:val="99"/>
    <w:semiHidden/>
    <w:unhideWhenUsed/>
    <w:pPr>
      <w:pBdr/>
      <w:spacing w:after="0" w:line="240" w:lineRule="auto"/>
      <w:ind/>
    </w:pPr>
    <w:rPr>
      <w:sz w:val="20"/>
      <w:szCs w:val="20"/>
    </w:rPr>
  </w:style>
  <w:style w:type="character" w:styleId="946">
    <w:name w:val="Endnote Text Char"/>
    <w:basedOn w:val="965"/>
    <w:link w:val="945"/>
    <w:uiPriority w:val="99"/>
    <w:semiHidden/>
    <w:pPr>
      <w:pBdr/>
      <w:spacing/>
      <w:ind/>
    </w:pPr>
    <w:rPr>
      <w:sz w:val="20"/>
      <w:szCs w:val="20"/>
    </w:rPr>
  </w:style>
  <w:style w:type="character" w:styleId="947">
    <w:name w:val="endnote reference"/>
    <w:basedOn w:val="965"/>
    <w:uiPriority w:val="99"/>
    <w:semiHidden/>
    <w:unhideWhenUsed/>
    <w:pPr>
      <w:pBdr/>
      <w:spacing/>
      <w:ind/>
    </w:pPr>
    <w:rPr>
      <w:vertAlign w:val="superscript"/>
    </w:rPr>
  </w:style>
  <w:style w:type="paragraph" w:styleId="948">
    <w:name w:val="toc 1"/>
    <w:basedOn w:val="960"/>
    <w:next w:val="960"/>
    <w:uiPriority w:val="39"/>
    <w:unhideWhenUsed/>
    <w:pPr>
      <w:pBdr/>
      <w:spacing w:after="100"/>
      <w:ind/>
    </w:pPr>
  </w:style>
  <w:style w:type="paragraph" w:styleId="949">
    <w:name w:val="toc 2"/>
    <w:basedOn w:val="960"/>
    <w:next w:val="960"/>
    <w:uiPriority w:val="39"/>
    <w:unhideWhenUsed/>
    <w:pPr>
      <w:pBdr/>
      <w:spacing w:after="100"/>
      <w:ind w:left="220"/>
    </w:pPr>
  </w:style>
  <w:style w:type="paragraph" w:styleId="950">
    <w:name w:val="toc 3"/>
    <w:basedOn w:val="960"/>
    <w:next w:val="960"/>
    <w:uiPriority w:val="39"/>
    <w:unhideWhenUsed/>
    <w:pPr>
      <w:pBdr/>
      <w:spacing w:after="100"/>
      <w:ind w:left="440"/>
    </w:pPr>
  </w:style>
  <w:style w:type="paragraph" w:styleId="951">
    <w:name w:val="toc 4"/>
    <w:basedOn w:val="960"/>
    <w:next w:val="960"/>
    <w:uiPriority w:val="39"/>
    <w:unhideWhenUsed/>
    <w:pPr>
      <w:pBdr/>
      <w:spacing w:after="100"/>
      <w:ind w:left="660"/>
    </w:pPr>
  </w:style>
  <w:style w:type="paragraph" w:styleId="952">
    <w:name w:val="toc 5"/>
    <w:basedOn w:val="960"/>
    <w:next w:val="960"/>
    <w:uiPriority w:val="39"/>
    <w:unhideWhenUsed/>
    <w:pPr>
      <w:pBdr/>
      <w:spacing w:after="100"/>
      <w:ind w:left="880"/>
    </w:pPr>
  </w:style>
  <w:style w:type="paragraph" w:styleId="953">
    <w:name w:val="toc 6"/>
    <w:basedOn w:val="960"/>
    <w:next w:val="960"/>
    <w:uiPriority w:val="39"/>
    <w:unhideWhenUsed/>
    <w:pPr>
      <w:pBdr/>
      <w:spacing w:after="100"/>
      <w:ind w:left="1100"/>
    </w:pPr>
  </w:style>
  <w:style w:type="paragraph" w:styleId="954">
    <w:name w:val="toc 7"/>
    <w:basedOn w:val="960"/>
    <w:next w:val="960"/>
    <w:uiPriority w:val="39"/>
    <w:unhideWhenUsed/>
    <w:pPr>
      <w:pBdr/>
      <w:spacing w:after="100"/>
      <w:ind w:left="1320"/>
    </w:pPr>
  </w:style>
  <w:style w:type="paragraph" w:styleId="955">
    <w:name w:val="toc 8"/>
    <w:basedOn w:val="960"/>
    <w:next w:val="960"/>
    <w:uiPriority w:val="39"/>
    <w:unhideWhenUsed/>
    <w:pPr>
      <w:pBdr/>
      <w:spacing w:after="100"/>
      <w:ind w:left="1540"/>
    </w:pPr>
  </w:style>
  <w:style w:type="paragraph" w:styleId="956">
    <w:name w:val="toc 9"/>
    <w:basedOn w:val="960"/>
    <w:next w:val="960"/>
    <w:uiPriority w:val="39"/>
    <w:unhideWhenUsed/>
    <w:pPr>
      <w:pBdr/>
      <w:spacing w:after="100"/>
      <w:ind w:left="1760"/>
    </w:pPr>
  </w:style>
  <w:style w:type="character" w:styleId="957">
    <w:name w:val="Placeholder Text"/>
    <w:basedOn w:val="965"/>
    <w:uiPriority w:val="99"/>
    <w:semiHidden/>
    <w:pPr>
      <w:pBdr/>
      <w:spacing/>
      <w:ind/>
    </w:pPr>
    <w:rPr>
      <w:color w:val="666666"/>
    </w:rPr>
  </w:style>
  <w:style w:type="paragraph" w:styleId="958">
    <w:name w:val="TOC Heading"/>
    <w:uiPriority w:val="39"/>
    <w:unhideWhenUsed/>
    <w:pPr>
      <w:pBdr/>
      <w:spacing/>
      <w:ind/>
    </w:pPr>
  </w:style>
  <w:style w:type="paragraph" w:styleId="959">
    <w:name w:val="table of figures"/>
    <w:basedOn w:val="960"/>
    <w:next w:val="960"/>
    <w:uiPriority w:val="99"/>
    <w:unhideWhenUsed/>
    <w:pPr>
      <w:pBdr/>
      <w:spacing w:after="0" w:afterAutospacing="0"/>
      <w:ind/>
    </w:pPr>
  </w:style>
  <w:style w:type="paragraph" w:styleId="960" w:default="1">
    <w:name w:val="Normal"/>
    <w:qFormat/>
    <w:pPr>
      <w:pBdr/>
      <w:spacing w:after="0" w:line="240" w:lineRule="auto"/>
      <w:ind/>
    </w:pPr>
    <w:rPr>
      <w:rFonts w:ascii="Times New Roman" w:hAnsi="Times New Roman" w:eastAsia="Times New Roman" w:cs="Times New Roman"/>
      <w:sz w:val="24"/>
      <w:szCs w:val="24"/>
    </w:rPr>
  </w:style>
  <w:style w:type="paragraph" w:styleId="961">
    <w:name w:val="Heading 1"/>
    <w:basedOn w:val="960"/>
    <w:next w:val="960"/>
    <w:link w:val="968"/>
    <w:qFormat/>
    <w:pPr>
      <w:keepNext w:val="true"/>
      <w:pBdr/>
      <w:spacing w:after="120" w:before="120"/>
      <w:ind/>
      <w:jc w:val="center"/>
      <w:outlineLvl w:val="0"/>
    </w:pPr>
    <w:rPr>
      <w:b/>
      <w:bCs/>
      <w:sz w:val="27"/>
      <w:szCs w:val="27"/>
    </w:rPr>
  </w:style>
  <w:style w:type="paragraph" w:styleId="962">
    <w:name w:val="Heading 2"/>
    <w:basedOn w:val="960"/>
    <w:next w:val="960"/>
    <w:link w:val="96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63">
    <w:name w:val="Heading 3"/>
    <w:basedOn w:val="960"/>
    <w:next w:val="960"/>
    <w:link w:val="970"/>
    <w:qFormat/>
    <w:pPr>
      <w:keepNext w:val="true"/>
      <w:pBdr/>
      <w:spacing w:before="60"/>
      <w:ind/>
      <w:outlineLvl w:val="2"/>
    </w:pPr>
    <w:rPr>
      <w:sz w:val="28"/>
      <w:szCs w:val="28"/>
    </w:rPr>
  </w:style>
  <w:style w:type="paragraph" w:styleId="964">
    <w:name w:val="Heading 4"/>
    <w:basedOn w:val="960"/>
    <w:next w:val="960"/>
    <w:link w:val="971"/>
    <w:qFormat/>
    <w:pPr>
      <w:keepNext w:val="true"/>
      <w:pBdr/>
      <w:spacing/>
      <w:ind/>
      <w:jc w:val="center"/>
      <w:outlineLvl w:val="3"/>
    </w:pPr>
    <w:rPr>
      <w:b/>
      <w:bCs/>
    </w:rPr>
  </w:style>
  <w:style w:type="character" w:styleId="965" w:default="1">
    <w:name w:val="Default Paragraph Font"/>
    <w:uiPriority w:val="1"/>
    <w:semiHidden/>
    <w:unhideWhenUsed/>
    <w:pPr>
      <w:pBdr/>
      <w:spacing/>
      <w:ind/>
    </w:pPr>
  </w:style>
  <w:style w:type="table" w:styleId="96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7" w:default="1">
    <w:name w:val="No List"/>
    <w:uiPriority w:val="99"/>
    <w:semiHidden/>
    <w:unhideWhenUsed/>
    <w:pPr>
      <w:pBdr/>
      <w:spacing/>
      <w:ind/>
    </w:pPr>
  </w:style>
  <w:style w:type="character" w:styleId="968" w:customStyle="1">
    <w:name w:val="Heading 1 Char"/>
    <w:basedOn w:val="965"/>
    <w:link w:val="961"/>
    <w:pPr>
      <w:pBdr/>
      <w:spacing/>
      <w:ind/>
    </w:pPr>
    <w:rPr>
      <w:rFonts w:ascii="Times New Roman" w:hAnsi="Times New Roman" w:eastAsia="Times New Roman" w:cs="Times New Roman"/>
      <w:b/>
      <w:bCs/>
      <w:sz w:val="27"/>
      <w:szCs w:val="27"/>
    </w:rPr>
  </w:style>
  <w:style w:type="character" w:styleId="969" w:customStyle="1">
    <w:name w:val="Heading 2 Char"/>
    <w:basedOn w:val="965"/>
    <w:link w:val="962"/>
    <w:uiPriority w:val="9"/>
    <w:pPr>
      <w:pBdr/>
      <w:spacing/>
      <w:ind/>
    </w:pPr>
    <w:rPr>
      <w:rFonts w:asciiTheme="majorHAnsi" w:hAnsiTheme="majorHAnsi" w:eastAsiaTheme="majorEastAsia" w:cstheme="majorBidi"/>
      <w:color w:val="365f91" w:themeColor="accent1" w:themeShade="BF"/>
      <w:sz w:val="26"/>
      <w:szCs w:val="26"/>
    </w:rPr>
  </w:style>
  <w:style w:type="character" w:styleId="970" w:customStyle="1">
    <w:name w:val="Heading 3 Char"/>
    <w:basedOn w:val="965"/>
    <w:link w:val="963"/>
    <w:pPr>
      <w:pBdr/>
      <w:spacing/>
      <w:ind/>
    </w:pPr>
    <w:rPr>
      <w:rFonts w:ascii="Times New Roman" w:hAnsi="Times New Roman" w:eastAsia="Times New Roman" w:cs="Times New Roman"/>
      <w:sz w:val="28"/>
      <w:szCs w:val="28"/>
    </w:rPr>
  </w:style>
  <w:style w:type="character" w:styleId="971" w:customStyle="1">
    <w:name w:val="Heading 4 Char"/>
    <w:basedOn w:val="965"/>
    <w:link w:val="964"/>
    <w:pPr>
      <w:pBdr/>
      <w:spacing/>
      <w:ind/>
    </w:pPr>
    <w:rPr>
      <w:rFonts w:ascii="Times New Roman" w:hAnsi="Times New Roman" w:eastAsia="Times New Roman" w:cs="Times New Roman"/>
      <w:b/>
      <w:bCs/>
      <w:sz w:val="24"/>
      <w:szCs w:val="24"/>
    </w:rPr>
  </w:style>
  <w:style w:type="character" w:styleId="972">
    <w:name w:val="Hyperlink"/>
    <w:uiPriority w:val="99"/>
    <w:pPr>
      <w:pBdr/>
      <w:spacing/>
      <w:ind/>
    </w:pPr>
    <w:rPr>
      <w:color w:val="000000"/>
      <w:u w:val="single"/>
    </w:rPr>
  </w:style>
  <w:style w:type="character" w:styleId="973">
    <w:name w:val="Strong"/>
    <w:uiPriority w:val="22"/>
    <w:qFormat/>
    <w:pPr>
      <w:pBdr/>
      <w:spacing/>
      <w:ind/>
    </w:pPr>
    <w:rPr>
      <w:b/>
      <w:bCs/>
    </w:rPr>
  </w:style>
  <w:style w:type="paragraph" w:styleId="974">
    <w:name w:val="Balloon Text"/>
    <w:basedOn w:val="960"/>
    <w:link w:val="975"/>
    <w:uiPriority w:val="99"/>
    <w:semiHidden/>
    <w:unhideWhenUsed/>
    <w:pPr>
      <w:pBdr/>
      <w:spacing/>
      <w:ind/>
    </w:pPr>
    <w:rPr>
      <w:rFonts w:ascii="Tahoma" w:hAnsi="Tahoma" w:cs="Tahoma"/>
      <w:sz w:val="16"/>
      <w:szCs w:val="16"/>
    </w:rPr>
  </w:style>
  <w:style w:type="character" w:styleId="975" w:customStyle="1">
    <w:name w:val="Balloon Text Char"/>
    <w:basedOn w:val="965"/>
    <w:link w:val="974"/>
    <w:uiPriority w:val="99"/>
    <w:semiHidden/>
    <w:pPr>
      <w:pBdr/>
      <w:spacing/>
      <w:ind/>
    </w:pPr>
    <w:rPr>
      <w:rFonts w:ascii="Tahoma" w:hAnsi="Tahoma" w:eastAsia="Times New Roman" w:cs="Tahoma"/>
      <w:sz w:val="16"/>
      <w:szCs w:val="16"/>
    </w:rPr>
  </w:style>
  <w:style w:type="paragraph" w:styleId="976">
    <w:name w:val="Header"/>
    <w:basedOn w:val="960"/>
    <w:link w:val="977"/>
    <w:unhideWhenUsed/>
    <w:pPr>
      <w:pBdr/>
      <w:tabs>
        <w:tab w:val="center" w:leader="none" w:pos="4680"/>
        <w:tab w:val="right" w:leader="none" w:pos="9360"/>
      </w:tabs>
      <w:spacing/>
      <w:ind/>
    </w:pPr>
  </w:style>
  <w:style w:type="character" w:styleId="977" w:customStyle="1">
    <w:name w:val="Header Char"/>
    <w:basedOn w:val="965"/>
    <w:link w:val="976"/>
    <w:pPr>
      <w:pBdr/>
      <w:spacing/>
      <w:ind/>
    </w:pPr>
    <w:rPr>
      <w:rFonts w:ascii="Times New Roman" w:hAnsi="Times New Roman" w:eastAsia="Times New Roman" w:cs="Times New Roman"/>
      <w:sz w:val="24"/>
      <w:szCs w:val="24"/>
    </w:rPr>
  </w:style>
  <w:style w:type="paragraph" w:styleId="978">
    <w:name w:val="Footer"/>
    <w:basedOn w:val="960"/>
    <w:link w:val="979"/>
    <w:uiPriority w:val="99"/>
    <w:unhideWhenUsed/>
    <w:pPr>
      <w:pBdr/>
      <w:tabs>
        <w:tab w:val="center" w:leader="none" w:pos="4680"/>
        <w:tab w:val="right" w:leader="none" w:pos="9360"/>
      </w:tabs>
      <w:spacing/>
      <w:ind/>
    </w:pPr>
  </w:style>
  <w:style w:type="character" w:styleId="979" w:customStyle="1">
    <w:name w:val="Footer Char"/>
    <w:basedOn w:val="965"/>
    <w:link w:val="978"/>
    <w:uiPriority w:val="99"/>
    <w:pPr>
      <w:pBdr/>
      <w:spacing/>
      <w:ind/>
    </w:pPr>
    <w:rPr>
      <w:rFonts w:ascii="Times New Roman" w:hAnsi="Times New Roman" w:eastAsia="Times New Roman" w:cs="Times New Roman"/>
      <w:sz w:val="24"/>
      <w:szCs w:val="24"/>
    </w:rPr>
  </w:style>
  <w:style w:type="character" w:styleId="980" w:customStyle="1">
    <w:name w:val="normal-h1"/>
    <w:pPr>
      <w:pBdr/>
      <w:spacing/>
      <w:ind/>
    </w:pPr>
    <w:rPr>
      <w:rFonts w:hint="default" w:ascii=".VnTime" w:hAnsi=".VnTime"/>
      <w:color w:val="0000ff"/>
      <w:sz w:val="24"/>
      <w:szCs w:val="24"/>
    </w:rPr>
  </w:style>
  <w:style w:type="paragraph" w:styleId="981" w:customStyle="1">
    <w:name w:val="normal-p"/>
    <w:basedOn w:val="960"/>
    <w:pPr>
      <w:pBdr/>
      <w:spacing/>
      <w:ind/>
      <w:jc w:val="both"/>
    </w:pPr>
    <w:rPr>
      <w:sz w:val="20"/>
      <w:szCs w:val="20"/>
    </w:rPr>
  </w:style>
  <w:style w:type="paragraph" w:styleId="982">
    <w:name w:val="List Paragraph"/>
    <w:basedOn w:val="960"/>
    <w:link w:val="1069"/>
    <w:uiPriority w:val="34"/>
    <w:qFormat/>
    <w:pPr>
      <w:pBdr/>
      <w:spacing/>
      <w:ind w:left="720"/>
    </w:pPr>
  </w:style>
  <w:style w:type="paragraph" w:styleId="983">
    <w:name w:val="Normal (Web)"/>
    <w:basedOn w:val="960"/>
    <w:uiPriority w:val="99"/>
    <w:pPr>
      <w:pBdr/>
      <w:spacing w:after="100" w:afterAutospacing="1" w:before="100" w:beforeAutospacing="1"/>
      <w:ind/>
    </w:pPr>
  </w:style>
  <w:style w:type="paragraph" w:styleId="984">
    <w:name w:val="Body Text"/>
    <w:basedOn w:val="960"/>
    <w:link w:val="985"/>
    <w:pPr>
      <w:pBdr/>
      <w:spacing w:after="120"/>
      <w:ind/>
      <w:jc w:val="both"/>
    </w:pPr>
  </w:style>
  <w:style w:type="character" w:styleId="985" w:customStyle="1">
    <w:name w:val="Body Text Char"/>
    <w:basedOn w:val="965"/>
    <w:link w:val="984"/>
    <w:pPr>
      <w:pBdr/>
      <w:spacing/>
      <w:ind/>
    </w:pPr>
    <w:rPr>
      <w:rFonts w:ascii="Times New Roman" w:hAnsi="Times New Roman" w:eastAsia="Times New Roman" w:cs="Times New Roman"/>
      <w:sz w:val="24"/>
      <w:szCs w:val="24"/>
    </w:rPr>
  </w:style>
  <w:style w:type="table" w:styleId="986">
    <w:name w:val="Table Grid"/>
    <w:basedOn w:val="96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988">
    <w:name w:val="annotation reference"/>
    <w:basedOn w:val="965"/>
    <w:uiPriority w:val="99"/>
    <w:semiHidden/>
    <w:unhideWhenUsed/>
    <w:pPr>
      <w:pBdr/>
      <w:spacing/>
      <w:ind/>
    </w:pPr>
    <w:rPr>
      <w:sz w:val="16"/>
      <w:szCs w:val="16"/>
    </w:rPr>
  </w:style>
  <w:style w:type="paragraph" w:styleId="989">
    <w:name w:val="annotation text"/>
    <w:basedOn w:val="960"/>
    <w:link w:val="990"/>
    <w:uiPriority w:val="99"/>
    <w:unhideWhenUsed/>
    <w:pPr>
      <w:pBdr/>
      <w:spacing/>
      <w:ind/>
    </w:pPr>
    <w:rPr>
      <w:sz w:val="20"/>
      <w:szCs w:val="20"/>
    </w:rPr>
  </w:style>
  <w:style w:type="character" w:styleId="990" w:customStyle="1">
    <w:name w:val="Comment Text Char"/>
    <w:basedOn w:val="965"/>
    <w:link w:val="989"/>
    <w:uiPriority w:val="99"/>
    <w:pPr>
      <w:pBdr/>
      <w:spacing/>
      <w:ind/>
    </w:pPr>
    <w:rPr>
      <w:rFonts w:ascii="Times New Roman" w:hAnsi="Times New Roman" w:eastAsia="Times New Roman" w:cs="Times New Roman"/>
      <w:sz w:val="20"/>
      <w:szCs w:val="20"/>
    </w:rPr>
  </w:style>
  <w:style w:type="paragraph" w:styleId="991">
    <w:name w:val="annotation subject"/>
    <w:basedOn w:val="989"/>
    <w:next w:val="989"/>
    <w:link w:val="992"/>
    <w:uiPriority w:val="99"/>
    <w:semiHidden/>
    <w:unhideWhenUsed/>
    <w:pPr>
      <w:pBdr/>
      <w:spacing/>
      <w:ind/>
    </w:pPr>
    <w:rPr>
      <w:b/>
      <w:bCs/>
    </w:rPr>
  </w:style>
  <w:style w:type="character" w:styleId="992" w:customStyle="1">
    <w:name w:val="Comment Subject Char"/>
    <w:basedOn w:val="990"/>
    <w:link w:val="991"/>
    <w:uiPriority w:val="99"/>
    <w:semiHidden/>
    <w:pPr>
      <w:pBdr/>
      <w:spacing/>
      <w:ind/>
    </w:pPr>
    <w:rPr>
      <w:rFonts w:ascii="Times New Roman" w:hAnsi="Times New Roman" w:eastAsia="Times New Roman" w:cs="Times New Roman"/>
      <w:b/>
      <w:bCs/>
      <w:sz w:val="20"/>
      <w:szCs w:val="20"/>
    </w:rPr>
  </w:style>
  <w:style w:type="paragraph" w:styleId="993" w:customStyle="1">
    <w:name w:val="font5"/>
    <w:basedOn w:val="960"/>
    <w:pPr>
      <w:pBdr/>
      <w:spacing w:after="100" w:afterAutospacing="1" w:before="100" w:beforeAutospacing="1"/>
      <w:ind/>
    </w:pPr>
    <w:rPr>
      <w:rFonts w:ascii="Tahoma" w:hAnsi="Tahoma" w:cs="Tahoma"/>
      <w:color w:val="000000"/>
      <w:sz w:val="18"/>
      <w:szCs w:val="18"/>
    </w:rPr>
  </w:style>
  <w:style w:type="paragraph" w:styleId="994" w:customStyle="1">
    <w:name w:val="font6"/>
    <w:basedOn w:val="960"/>
    <w:pPr>
      <w:pBdr/>
      <w:spacing w:after="100" w:afterAutospacing="1" w:before="100" w:beforeAutospacing="1"/>
      <w:ind/>
    </w:pPr>
    <w:rPr>
      <w:rFonts w:ascii="Tahoma" w:hAnsi="Tahoma" w:cs="Tahoma"/>
      <w:b/>
      <w:bCs/>
      <w:color w:val="000000"/>
      <w:sz w:val="18"/>
      <w:szCs w:val="18"/>
    </w:rPr>
  </w:style>
  <w:style w:type="paragraph" w:styleId="995" w:customStyle="1">
    <w:name w:val="xl233"/>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96" w:customStyle="1">
    <w:name w:val="xl234"/>
    <w:basedOn w:val="960"/>
    <w:pPr>
      <w:pBdr/>
      <w:spacing w:after="100" w:afterAutospacing="1" w:before="100" w:beforeAutospacing="1"/>
      <w:ind/>
      <w:jc w:val="center"/>
    </w:pPr>
  </w:style>
  <w:style w:type="paragraph" w:styleId="997" w:customStyle="1">
    <w:name w:val="xl235"/>
    <w:basedOn w:val="960"/>
    <w:pPr>
      <w:pBdr/>
      <w:spacing w:after="100" w:afterAutospacing="1" w:before="100" w:beforeAutospacing="1"/>
      <w:ind/>
      <w:jc w:val="center"/>
    </w:pPr>
    <w:rPr>
      <w:b/>
      <w:bCs/>
    </w:rPr>
  </w:style>
  <w:style w:type="paragraph" w:styleId="998" w:customStyle="1">
    <w:name w:val="xl236"/>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99" w:customStyle="1">
    <w:name w:val="xl237"/>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0" w:customStyle="1">
    <w:name w:val="xl238"/>
    <w:basedOn w:val="96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01" w:customStyle="1">
    <w:name w:val="xl239"/>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02" w:customStyle="1">
    <w:name w:val="xl240"/>
    <w:basedOn w:val="960"/>
    <w:pPr>
      <w:pBdr/>
      <w:spacing w:after="100" w:afterAutospacing="1" w:before="100" w:beforeAutospacing="1"/>
      <w:ind/>
    </w:pPr>
  </w:style>
  <w:style w:type="paragraph" w:styleId="1003" w:customStyle="1">
    <w:name w:val="xl241"/>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04" w:customStyle="1">
    <w:name w:val="xl242"/>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5" w:customStyle="1">
    <w:name w:val="xl243"/>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6" w:customStyle="1">
    <w:name w:val="xl244"/>
    <w:basedOn w:val="960"/>
    <w:pPr>
      <w:pBdr/>
      <w:spacing w:after="100" w:afterAutospacing="1" w:before="100" w:beforeAutospacing="1"/>
      <w:ind/>
    </w:pPr>
    <w:rPr>
      <w:b/>
      <w:bCs/>
    </w:rPr>
  </w:style>
  <w:style w:type="paragraph" w:styleId="1007" w:customStyle="1">
    <w:name w:val="xl245"/>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8" w:customStyle="1">
    <w:name w:val="xl246"/>
    <w:basedOn w:val="96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09" w:customStyle="1">
    <w:name w:val="xl247"/>
    <w:basedOn w:val="96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0" w:customStyle="1">
    <w:name w:val="xl248"/>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11" w:customStyle="1">
    <w:name w:val="xl249"/>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2" w:customStyle="1">
    <w:name w:val="xl250"/>
    <w:basedOn w:val="96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13" w:customStyle="1">
    <w:name w:val="xl251"/>
    <w:basedOn w:val="96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14" w:customStyle="1">
    <w:name w:val="xl252"/>
    <w:basedOn w:val="96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5" w:customStyle="1">
    <w:name w:val="xl253"/>
    <w:basedOn w:val="96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6" w:customStyle="1">
    <w:name w:val="xl254"/>
    <w:basedOn w:val="96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7" w:customStyle="1">
    <w:name w:val="xl255"/>
    <w:basedOn w:val="96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18" w:customStyle="1">
    <w:name w:val="xl256"/>
    <w:basedOn w:val="96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19" w:customStyle="1">
    <w:name w:val="xl257"/>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0" w:customStyle="1">
    <w:name w:val="xl258"/>
    <w:basedOn w:val="96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1" w:customStyle="1">
    <w:name w:val="xl259"/>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2" w:customStyle="1">
    <w:name w:val="xl260"/>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23" w:customStyle="1">
    <w:name w:val="xl261"/>
    <w:basedOn w:val="96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4" w:customStyle="1">
    <w:name w:val="xl262"/>
    <w:basedOn w:val="96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5" w:customStyle="1">
    <w:name w:val="xl263"/>
    <w:basedOn w:val="960"/>
    <w:pPr>
      <w:pBdr/>
      <w:shd w:val="clear" w:color="000000" w:fill="ffffff"/>
      <w:spacing w:after="100" w:afterAutospacing="1" w:before="100" w:beforeAutospacing="1"/>
      <w:ind/>
    </w:pPr>
  </w:style>
  <w:style w:type="paragraph" w:styleId="1026" w:customStyle="1">
    <w:name w:val="xl264"/>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7" w:customStyle="1">
    <w:name w:val="xl265"/>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8" w:customStyle="1">
    <w:name w:val="xl266"/>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29" w:customStyle="1">
    <w:name w:val="xl267"/>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0" w:customStyle="1">
    <w:name w:val="xl268"/>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1" w:customStyle="1">
    <w:name w:val="xl269"/>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2" w:customStyle="1">
    <w:name w:val="xl270"/>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3" w:customStyle="1">
    <w:name w:val="xl271"/>
    <w:basedOn w:val="96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4" w:customStyle="1">
    <w:name w:val="xl272"/>
    <w:basedOn w:val="96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5" w:customStyle="1">
    <w:name w:val="xl273"/>
    <w:basedOn w:val="96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6" w:customStyle="1">
    <w:name w:val="xl274"/>
    <w:basedOn w:val="96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7" w:customStyle="1">
    <w:name w:val="xl275"/>
    <w:basedOn w:val="960"/>
    <w:pPr>
      <w:pBdr/>
      <w:spacing w:after="100" w:afterAutospacing="1" w:before="100" w:beforeAutospacing="1"/>
      <w:ind/>
    </w:pPr>
  </w:style>
  <w:style w:type="paragraph" w:styleId="1038" w:customStyle="1">
    <w:name w:val="xl276"/>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9" w:customStyle="1">
    <w:name w:val="xl277"/>
    <w:basedOn w:val="96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0" w:customStyle="1">
    <w:name w:val="xl278"/>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79"/>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80"/>
    <w:basedOn w:val="96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81"/>
    <w:basedOn w:val="96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4" w:customStyle="1">
    <w:name w:val="xl282"/>
    <w:basedOn w:val="96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5" w:customStyle="1">
    <w:name w:val="xl283"/>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84"/>
    <w:basedOn w:val="960"/>
    <w:pPr>
      <w:pBdr>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85"/>
    <w:basedOn w:val="96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86"/>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87"/>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88"/>
    <w:basedOn w:val="960"/>
    <w:pPr>
      <w:pBdr>
        <w:top w:val="single" w:color="000000" w:sz="4" w:space="0"/>
        <w:left w:val="single" w:color="000000" w:sz="4" w:space="0"/>
        <w:right w:val="single" w:color="000000" w:sz="4" w:space="0"/>
      </w:pBdr>
      <w:spacing w:after="100" w:afterAutospacing="1" w:before="100" w:beforeAutospacing="1"/>
      <w:ind/>
    </w:pPr>
  </w:style>
  <w:style w:type="paragraph" w:styleId="1051" w:customStyle="1">
    <w:name w:val="xl289"/>
    <w:basedOn w:val="960"/>
    <w:pPr>
      <w:pBdr>
        <w:left w:val="single" w:color="000000" w:sz="4" w:space="0"/>
        <w:right w:val="single" w:color="000000" w:sz="4" w:space="0"/>
      </w:pBdr>
      <w:spacing w:after="100" w:afterAutospacing="1" w:before="100" w:beforeAutospacing="1"/>
      <w:ind/>
    </w:pPr>
    <w:rPr>
      <w:b/>
      <w:bCs/>
    </w:rPr>
  </w:style>
  <w:style w:type="paragraph" w:styleId="1052" w:customStyle="1">
    <w:name w:val="xl290"/>
    <w:basedOn w:val="96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91"/>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4" w:customStyle="1">
    <w:name w:val="xl292"/>
    <w:basedOn w:val="960"/>
    <w:pPr>
      <w:pBdr>
        <w:top w:val="single" w:color="000000" w:sz="4" w:space="0"/>
        <w:left w:val="single" w:color="000000" w:sz="4" w:space="0"/>
        <w:right w:val="single" w:color="000000" w:sz="4" w:space="0"/>
      </w:pBdr>
      <w:spacing w:after="100" w:afterAutospacing="1" w:before="100" w:beforeAutospacing="1"/>
      <w:ind/>
    </w:pPr>
  </w:style>
  <w:style w:type="paragraph" w:styleId="1055" w:customStyle="1">
    <w:name w:val="xl293"/>
    <w:basedOn w:val="960"/>
    <w:pPr>
      <w:pBdr>
        <w:left w:val="single" w:color="000000" w:sz="4" w:space="0"/>
        <w:bottom w:val="single" w:color="000000" w:sz="4" w:space="0"/>
        <w:right w:val="single" w:color="000000" w:sz="4" w:space="0"/>
      </w:pBdr>
      <w:spacing w:after="100" w:afterAutospacing="1" w:before="100" w:beforeAutospacing="1"/>
      <w:ind/>
    </w:pPr>
  </w:style>
  <w:style w:type="paragraph" w:styleId="1056" w:customStyle="1">
    <w:name w:val="xl294"/>
    <w:basedOn w:val="96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name w:val="Title"/>
    <w:basedOn w:val="960"/>
    <w:link w:val="1058"/>
    <w:qFormat/>
    <w:pPr>
      <w:pBdr/>
      <w:spacing/>
      <w:ind/>
      <w:jc w:val="center"/>
    </w:pPr>
    <w:rPr>
      <w:b/>
      <w:bCs/>
      <w:sz w:val="32"/>
      <w:szCs w:val="26"/>
    </w:rPr>
  </w:style>
  <w:style w:type="character" w:styleId="1058" w:customStyle="1">
    <w:name w:val="Title Char"/>
    <w:basedOn w:val="965"/>
    <w:link w:val="1057"/>
    <w:pPr>
      <w:pBdr/>
      <w:spacing/>
      <w:ind/>
    </w:pPr>
    <w:rPr>
      <w:rFonts w:ascii="Times New Roman" w:hAnsi="Times New Roman" w:eastAsia="Times New Roman" w:cs="Times New Roman"/>
      <w:b/>
      <w:bCs/>
      <w:sz w:val="32"/>
      <w:szCs w:val="26"/>
    </w:rPr>
  </w:style>
  <w:style w:type="character" w:styleId="1059" w:customStyle="1">
    <w:name w:val="Unresolved Mention1"/>
    <w:basedOn w:val="965"/>
    <w:uiPriority w:val="99"/>
    <w:semiHidden/>
    <w:unhideWhenUsed/>
    <w:pPr>
      <w:pBdr/>
      <w:spacing/>
      <w:ind/>
    </w:pPr>
    <w:rPr>
      <w:color w:val="605e5c"/>
      <w:shd w:val="clear" w:color="auto" w:fill="e1dfdd"/>
    </w:rPr>
  </w:style>
  <w:style w:type="character" w:styleId="1060" w:customStyle="1">
    <w:name w:val="Body text (3)_"/>
    <w:link w:val="1061"/>
    <w:pPr>
      <w:pBdr/>
      <w:spacing/>
      <w:ind/>
    </w:pPr>
    <w:rPr>
      <w:rFonts w:ascii="Times New Roman" w:hAnsi="Times New Roman" w:cs="Times New Roman"/>
      <w:i/>
      <w:iCs/>
      <w:spacing w:val="4"/>
      <w:shd w:val="clear" w:color="auto" w:fill="ffffff"/>
    </w:rPr>
  </w:style>
  <w:style w:type="paragraph" w:styleId="1061" w:customStyle="1">
    <w:name w:val="Body text (3)1"/>
    <w:basedOn w:val="960"/>
    <w:link w:val="106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62" w:customStyle="1">
    <w:name w:val="t-j"/>
    <w:basedOn w:val="960"/>
    <w:pPr>
      <w:pBdr/>
      <w:spacing w:after="100" w:afterAutospacing="1" w:before="100" w:beforeAutospacing="1"/>
      <w:ind/>
    </w:pPr>
  </w:style>
  <w:style w:type="character" w:styleId="1063" w:customStyle="1">
    <w:name w:val="Unresolved Mention2"/>
    <w:basedOn w:val="965"/>
    <w:uiPriority w:val="99"/>
    <w:semiHidden/>
    <w:unhideWhenUsed/>
    <w:pPr>
      <w:pBdr/>
      <w:spacing/>
      <w:ind/>
    </w:pPr>
    <w:rPr>
      <w:color w:val="605e5c"/>
      <w:shd w:val="clear" w:color="auto" w:fill="e1dfdd"/>
    </w:rPr>
  </w:style>
  <w:style w:type="character" w:styleId="1064">
    <w:name w:val="FollowedHyperlink"/>
    <w:basedOn w:val="965"/>
    <w:uiPriority w:val="99"/>
    <w:semiHidden/>
    <w:unhideWhenUsed/>
    <w:pPr>
      <w:pBdr/>
      <w:spacing/>
      <w:ind/>
    </w:pPr>
    <w:rPr>
      <w:color w:val="800080" w:themeColor="followedHyperlink"/>
      <w:u w:val="single"/>
    </w:rPr>
  </w:style>
  <w:style w:type="character" w:styleId="1065" w:customStyle="1">
    <w:name w:val="text"/>
    <w:basedOn w:val="965"/>
    <w:pPr>
      <w:pBdr/>
      <w:spacing/>
      <w:ind/>
    </w:pPr>
  </w:style>
  <w:style w:type="character" w:styleId="1066" w:customStyle="1">
    <w:name w:val="card-send-time__sendtime"/>
    <w:basedOn w:val="965"/>
    <w:pPr>
      <w:pBdr/>
      <w:spacing/>
      <w:ind/>
    </w:pPr>
  </w:style>
  <w:style w:type="character" w:styleId="1067" w:customStyle="1">
    <w:name w:val="Đề cập Chưa giải quyết1"/>
    <w:basedOn w:val="965"/>
    <w:uiPriority w:val="99"/>
    <w:semiHidden/>
    <w:unhideWhenUsed/>
    <w:pPr>
      <w:pBdr/>
      <w:spacing/>
      <w:ind/>
    </w:pPr>
    <w:rPr>
      <w:color w:val="605e5c"/>
      <w:shd w:val="clear" w:color="auto" w:fill="e1dfdd"/>
    </w:rPr>
  </w:style>
  <w:style w:type="paragraph" w:styleId="1068" w:customStyle="1">
    <w:name w:val="nqtitle"/>
    <w:basedOn w:val="960"/>
    <w:pPr>
      <w:pBdr/>
      <w:spacing w:after="100" w:afterAutospacing="1" w:before="100" w:beforeAutospacing="1"/>
      <w:ind/>
    </w:pPr>
    <w:rPr>
      <w:lang w:val="vi-VN" w:eastAsia="vi-VN"/>
    </w:rPr>
  </w:style>
  <w:style w:type="character" w:styleId="1069" w:customStyle="1">
    <w:name w:val="List Paragraph Char"/>
    <w:link w:val="982"/>
    <w:uiPriority w:val="34"/>
    <w:qFormat/>
    <w:pPr>
      <w:pBdr/>
      <w:spacing/>
      <w:ind/>
    </w:pPr>
    <w:rPr>
      <w:rFonts w:ascii="Times New Roman" w:hAnsi="Times New Roman" w:eastAsia="Times New Roman" w:cs="Times New Roman"/>
      <w:sz w:val="24"/>
      <w:szCs w:val="24"/>
    </w:rPr>
  </w:style>
  <w:style w:type="character" w:styleId="1070" w:customStyle="1">
    <w:name w:val="Đề cập Chưa giải quyết2"/>
    <w:basedOn w:val="965"/>
    <w:uiPriority w:val="99"/>
    <w:semiHidden/>
    <w:unhideWhenUsed/>
    <w:pPr>
      <w:pBdr/>
      <w:spacing/>
      <w:ind/>
    </w:pPr>
    <w:rPr>
      <w:color w:val="605e5c"/>
      <w:shd w:val="clear" w:color="auto" w:fill="e1dfdd"/>
    </w:rPr>
  </w:style>
  <w:style w:type="character" w:styleId="1071" w:customStyle="1">
    <w:name w:val="Unresolved Mention3"/>
    <w:basedOn w:val="965"/>
    <w:uiPriority w:val="99"/>
    <w:semiHidden/>
    <w:unhideWhenUsed/>
    <w:pPr>
      <w:pBdr/>
      <w:spacing/>
      <w:ind/>
    </w:pPr>
    <w:rPr>
      <w:color w:val="605e5c"/>
      <w:shd w:val="clear" w:color="auto" w:fill="e1dfdd"/>
    </w:rPr>
  </w:style>
  <w:style w:type="character" w:styleId="1072" w:customStyle="1">
    <w:name w:val="copy"/>
    <w:basedOn w:val="965"/>
    <w:pPr>
      <w:pBdr/>
      <w:spacing/>
      <w:ind/>
    </w:pPr>
  </w:style>
  <w:style w:type="paragraph" w:styleId="1073" w:customStyle="1">
    <w:name w:val="align-justify"/>
    <w:basedOn w:val="960"/>
    <w:pPr>
      <w:pBdr/>
      <w:spacing w:after="100" w:afterAutospacing="1" w:before="100" w:beforeAutospacing="1"/>
      <w:ind/>
    </w:pPr>
  </w:style>
  <w:style w:type="character" w:styleId="1074" w:customStyle="1">
    <w:name w:val="btn"/>
    <w:basedOn w:val="965"/>
    <w:pPr>
      <w:pBdr/>
      <w:spacing/>
      <w:ind/>
    </w:pPr>
  </w:style>
  <w:style w:type="character" w:styleId="1075" w:customStyle="1">
    <w:name w:val="hide_mobile"/>
    <w:basedOn w:val="965"/>
    <w:pPr>
      <w:pBdr/>
      <w:spacing/>
      <w:ind/>
    </w:pPr>
  </w:style>
  <w:style w:type="character" w:styleId="1076">
    <w:name w:val="Emphasis"/>
    <w:basedOn w:val="965"/>
    <w:uiPriority w:val="20"/>
    <w:qFormat/>
    <w:pPr>
      <w:pBdr/>
      <w:spacing/>
      <w:ind/>
    </w:pPr>
    <w:rPr>
      <w:i/>
      <w:iCs/>
    </w:rPr>
  </w:style>
  <w:style w:type="character" w:styleId="1077" w:customStyle="1">
    <w:name w:val="t1"/>
    <w:basedOn w:val="965"/>
    <w:pPr>
      <w:pBdr/>
      <w:spacing/>
      <w:ind/>
    </w:pPr>
  </w:style>
  <w:style w:type="character" w:styleId="1078" w:customStyle="1">
    <w:name w:val="Unresolved Mention4"/>
    <w:basedOn w:val="965"/>
    <w:uiPriority w:val="99"/>
    <w:semiHidden/>
    <w:unhideWhenUsed/>
    <w:pPr>
      <w:pBdr/>
      <w:spacing/>
      <w:ind/>
    </w:pPr>
    <w:rPr>
      <w:color w:val="605e5c"/>
      <w:shd w:val="clear" w:color="auto" w:fill="e1dfdd"/>
    </w:rPr>
  </w:style>
  <w:style w:type="character" w:styleId="1079">
    <w:name w:val="Unresolved Mention"/>
    <w:basedOn w:val="96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hyperlink" Target="mailto:ilotus.contact@gmail.com" TargetMode="External"/><Relationship Id="rId13" Type="http://schemas.openxmlformats.org/officeDocument/2006/relationships/hyperlink" Target="mailto:ilotus.contact@gmail.com"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280</cp:revision>
  <dcterms:created xsi:type="dcterms:W3CDTF">2025-09-15T09:58:00Z</dcterms:created>
  <dcterms:modified xsi:type="dcterms:W3CDTF">2026-06-09T04:48:30Z</dcterms:modified>
</cp:coreProperties>
</file>