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commentsExtended.xml" ContentType="application/vnd.openxmlformats-officedocument.wordprocessingml.commentsExtended+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w:r>
      <w:r>
        <w:rPr>
          <w:b/>
          <w:sz w:val="28"/>
        </w:rPr>
      </w:r>
      <w:r>
        <w:rPr>
          <w:b/>
          <w:sz w:val="28"/>
        </w:rPr>
      </w:r>
    </w:p>
    <w:p>
      <w:pPr>
        <w:pBdr/>
        <w:spacing/>
        <w:ind w:right="-1"/>
        <w:jc w:val="center"/>
        <w:rPr>
          <w:b/>
          <w:sz w:val="28"/>
        </w:rPr>
      </w:pPr>
      <w:r>
        <w:rPr>
          <w:b/>
          <w:sz w:val="28"/>
        </w:rPr>
      </w:r>
      <w: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132760</wp:posOffset>
                </wp:positionH>
                <wp:positionV relativeFrom="paragraph">
                  <wp:posOffset>140701</wp:posOffset>
                </wp:positionV>
                <wp:extent cx="5467350" cy="3696924"/>
                <wp:effectExtent l="15875" t="15875" r="15875" b="15875"/>
                <wp:wrapNone/>
                <wp:docPr id="1"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6969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rFonts w:ascii="Times New Roman" w:hAnsi="Times New Roman" w:eastAsia="Times New Roman" w:cs="Times New Roman"/>
                                <w:b/>
                                <w:color w:val="000000"/>
                                <w:sz w:val="24"/>
                              </w:rPr>
                              <w:t xml:space="preserve">275/2026/0710/VFI-CT.44.A</w:t>
                            </w:r>
                            <w:r>
                              <w:rPr>
                                <w:b/>
                              </w:rPr>
                            </w:r>
                            <w:r>
                              <w:rPr>
                                <w:b/>
                              </w:rPr>
                            </w:r>
                          </w:p>
                          <w:p>
                            <w:pPr>
                              <w:pBdr>
                                <w:top w:val="none" w:color="000000" w:sz="4" w:space="0"/>
                                <w:left w:val="none" w:color="000000" w:sz="4" w:space="0"/>
                                <w:bottom w:val="none" w:color="000000" w:sz="4" w:space="0"/>
                                <w:right w:val="none" w:color="000000" w:sz="4" w:space="0"/>
                              </w:pBdr>
                              <w:tabs>
                                <w:tab w:val="left" w:leader="none" w:pos="3002"/>
                              </w:tabs>
                              <w:spacing w:after="120" w:before="120"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Khách hàng yêu cầu: Ông Đào Văn Tâm</w:t>
                            </w:r>
                            <w:r>
                              <w:rPr>
                                <w:rFonts w:ascii="Times New Roman" w:hAnsi="Times New Roman" w:eastAsia="Times New Roman" w:cs="Times New Roman"/>
                                <w:sz w:val="24"/>
                              </w:rPr>
                            </w:r>
                            <w:r>
                              <w:rPr>
                                <w:rFonts w:ascii="Times New Roman" w:hAnsi="Times New Roman" w:eastAsia="Times New Roman" w:cs="Times New Roman"/>
                                <w:sz w:val="24"/>
                              </w:rP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Tài sản thẩm định: </w:t>
                            </w:r>
                            <w:r>
                              <w:rPr>
                                <w:rFonts w:ascii="Times New Roman" w:hAnsi="Times New Roman" w:eastAsia="Times New Roman" w:cs="Times New Roman"/>
                                <w:color w:val="000000"/>
                                <w:sz w:val="24"/>
                              </w:rPr>
                              <w:t xml:space="preserve">Quyền sử dụng đất tại thửa đất số: 386, tờ bản đồ số: 52, có địa chỉ: Xã Cao Minh, thành phố Phúc Yên, tỉnh Vĩnh Phúc (nay là xã Xuân Hòa, tỉnh Phú Thọ)</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rPr>
                              <w:t xml:space="preserve">theo Giấy chứng nhận quyền sử dụng đất, quyền sở hữu nhà ở và tài sản gắn liền với đất số: DP 123237, </w:t>
                            </w:r>
                            <w:r>
                              <w:rPr>
                                <w:rFonts w:ascii="Times New Roman" w:hAnsi="Times New Roman" w:eastAsia="Times New Roman" w:cs="Times New Roman"/>
                                <w:color w:val="000000"/>
                                <w:sz w:val="24"/>
                              </w:rPr>
                              <w:t xml:space="preserve">Số vào sổ cấp GCN: CN 03888 do Chi nhánh văn phòng đăng ký đất đai tỉnh Vĩnh Phúc cấp ngày 27/05/2024; chủ sử dụng đất là Ông Đào Văn Tâm.</w:t>
                            </w:r>
                            <w:r>
                              <w:rPr>
                                <w:rFonts w:ascii="Times New Roman" w:hAnsi="Times New Roman" w:eastAsia="Times New Roman" w:cs="Times New Roman"/>
                                <w:sz w:val="24"/>
                              </w:rPr>
                            </w:r>
                            <w:r>
                              <w:rPr>
                                <w:rFonts w:ascii="Times New Roman" w:hAnsi="Times New Roman" w:eastAsia="Times New Roman" w:cs="Times New Roman"/>
                                <w:sz w:val="24"/>
                              </w:rPr>
                            </w:r>
                          </w:p>
                          <w:p>
                            <w:pPr>
                              <w:pBdr/>
                              <w:spacing w:after="120" w:before="120" w:line="360" w:lineRule="auto"/>
                              <w:ind/>
                              <w:jc w:val="center"/>
                              <w:rPr>
                                <w:bCs/>
                                <w:i/>
                                <w:iCs/>
                              </w:rPr>
                            </w:pPr>
                            <w:r>
                              <w:rPr>
                                <w:rFonts w:ascii="Times New Roman" w:hAnsi="Times New Roman" w:eastAsia="Times New Roman" w:cs="Times New Roman"/>
                                <w:b/>
                                <w:color w:val="000000"/>
                                <w:sz w:val="24"/>
                              </w:rPr>
                              <w:t xml:space="preserve">Thời điểm thẩm định: </w:t>
                            </w:r>
                            <w:r>
                              <w:rPr>
                                <w:rFonts w:ascii="Times New Roman" w:hAnsi="Times New Roman" w:eastAsia="Times New Roman" w:cs="Times New Roman"/>
                                <w:color w:val="000000"/>
                                <w:sz w:val="24"/>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0" o:spid="_x0000_s0" o:spt="2" type="#_x0000_t2" style="position:absolute;z-index:251656704;o:allowoverlap:true;o:allowincell:true;mso-position-horizontal-relative:margin;margin-left:10.45pt;mso-position-horizontal:absolute;mso-position-vertical-relative:text;margin-top:11.08pt;mso-position-vertical:absolute;width:430.50pt;height:291.1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rFonts w:ascii="Times New Roman" w:hAnsi="Times New Roman" w:eastAsia="Times New Roman" w:cs="Times New Roman"/>
                          <w:b/>
                          <w:color w:val="000000"/>
                          <w:sz w:val="24"/>
                        </w:rPr>
                        <w:t xml:space="preserve">275/2026/0710/VFI-CT.44.A</w:t>
                      </w:r>
                      <w:r>
                        <w:rPr>
                          <w:b/>
                        </w:rPr>
                      </w:r>
                      <w:r>
                        <w:rPr>
                          <w:b/>
                        </w:rPr>
                      </w:r>
                    </w:p>
                    <w:p>
                      <w:pPr>
                        <w:pBdr>
                          <w:top w:val="none" w:color="000000" w:sz="4" w:space="0"/>
                          <w:left w:val="none" w:color="000000" w:sz="4" w:space="0"/>
                          <w:bottom w:val="none" w:color="000000" w:sz="4" w:space="0"/>
                          <w:right w:val="none" w:color="000000" w:sz="4" w:space="0"/>
                        </w:pBdr>
                        <w:tabs>
                          <w:tab w:val="left" w:leader="none" w:pos="3002"/>
                        </w:tabs>
                        <w:spacing w:after="120" w:before="120"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Khách hàng yêu cầu: Ông Đào Văn Tâm</w:t>
                      </w:r>
                      <w:r>
                        <w:rPr>
                          <w:rFonts w:ascii="Times New Roman" w:hAnsi="Times New Roman" w:eastAsia="Times New Roman" w:cs="Times New Roman"/>
                          <w:sz w:val="24"/>
                        </w:rPr>
                      </w:r>
                      <w:r>
                        <w:rPr>
                          <w:rFonts w:ascii="Times New Roman" w:hAnsi="Times New Roman" w:eastAsia="Times New Roman" w:cs="Times New Roman"/>
                          <w:sz w:val="24"/>
                        </w:rP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Tài sản thẩm định: </w:t>
                      </w:r>
                      <w:r>
                        <w:rPr>
                          <w:rFonts w:ascii="Times New Roman" w:hAnsi="Times New Roman" w:eastAsia="Times New Roman" w:cs="Times New Roman"/>
                          <w:color w:val="000000"/>
                          <w:sz w:val="24"/>
                        </w:rPr>
                        <w:t xml:space="preserve">Quyền sử dụng đất tại thửa đất số: 386, tờ bản đồ số: 52, có địa chỉ: Xã Cao Minh, thành phố Phúc Yên, tỉnh Vĩnh Phúc (nay là xã Xuân Hòa, tỉnh Phú Thọ)</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rPr>
                        <w:t xml:space="preserve">theo Giấy chứng nhận quyền sử dụng đất, quyền sở hữu nhà ở và tài sản gắn liền với đất số: DP 123237, </w:t>
                      </w:r>
                      <w:r>
                        <w:rPr>
                          <w:rFonts w:ascii="Times New Roman" w:hAnsi="Times New Roman" w:eastAsia="Times New Roman" w:cs="Times New Roman"/>
                          <w:color w:val="000000"/>
                          <w:sz w:val="24"/>
                        </w:rPr>
                        <w:t xml:space="preserve">Số vào sổ cấp GCN: CN 03888 do Chi nhánh văn phòng đăng ký đất đai tỉnh Vĩnh Phúc cấp ngày 27/05/2024; chủ sử dụng đất là Ông Đào Văn Tâm.</w:t>
                      </w:r>
                      <w:r>
                        <w:rPr>
                          <w:rFonts w:ascii="Times New Roman" w:hAnsi="Times New Roman" w:eastAsia="Times New Roman" w:cs="Times New Roman"/>
                          <w:sz w:val="24"/>
                        </w:rPr>
                      </w:r>
                      <w:r>
                        <w:rPr>
                          <w:rFonts w:ascii="Times New Roman" w:hAnsi="Times New Roman" w:eastAsia="Times New Roman" w:cs="Times New Roman"/>
                          <w:sz w:val="24"/>
                        </w:rPr>
                      </w:r>
                    </w:p>
                    <w:p>
                      <w:pPr>
                        <w:pBdr/>
                        <w:spacing w:after="120" w:before="120" w:line="360" w:lineRule="auto"/>
                        <w:ind/>
                        <w:jc w:val="center"/>
                        <w:rPr>
                          <w:bCs/>
                          <w:i/>
                          <w:iCs/>
                        </w:rPr>
                      </w:pPr>
                      <w:r>
                        <w:rPr>
                          <w:rFonts w:ascii="Times New Roman" w:hAnsi="Times New Roman" w:eastAsia="Times New Roman" w:cs="Times New Roman"/>
                          <w:b/>
                          <w:color w:val="000000"/>
                          <w:sz w:val="24"/>
                        </w:rPr>
                        <w:t xml:space="preserve">Thời điểm thẩm định: </w:t>
                      </w:r>
                      <w:r>
                        <w:rPr>
                          <w:rFonts w:ascii="Times New Roman" w:hAnsi="Times New Roman" w:eastAsia="Times New Roman" w:cs="Times New Roman"/>
                          <w:color w:val="000000"/>
                          <w:sz w:val="24"/>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hd w:val="nil" w:color="auto"/>
        <w:spacing/>
        <w:ind/>
        <w:rPr>
          <w:lang w:val="pt-BR"/>
        </w:rPr>
      </w:pPr>
      <w:r>
        <w:rPr>
          <w:iCs/>
          <w:lang w:val="pt-BR"/>
        </w:rPr>
        <w:br w:type="page" w:clear="all"/>
      </w:r>
      <w:r>
        <w:rPr>
          <w:lang w:val="pt-BR"/>
        </w:rPr>
      </w:r>
      <w:r>
        <w:rPr>
          <w:lang w:val="pt-BR"/>
        </w:rPr>
      </w:r>
    </w:p>
    <w:p>
      <w:pPr>
        <w:pBdr>
          <w:top w:val="none" w:color="000000" w:sz="4" w:space="0"/>
          <w:left w:val="none" w:color="000000" w:sz="4" w:space="0"/>
          <w:bottom w:val="none" w:color="000000" w:sz="4" w:space="0"/>
          <w:right w:val="none" w:color="000000" w:sz="4" w:space="0"/>
        </w:pBdr>
        <w:spacing/>
        <w:ind w:right="-1" w:firstLine="0" w:left="0"/>
        <w:jc w:val="center"/>
        <w:rPr/>
      </w:pPr>
      <w:r>
        <w:rPr>
          <w:rFonts w:ascii="Times New Roman" w:hAnsi="Times New Roman" w:eastAsia="Times New Roman" w:cs="Times New Roman"/>
          <w:b/>
          <w:color w:val="000000"/>
          <w:sz w:val="28"/>
        </w:rPr>
        <w:t xml:space="preserve">MỤC LỤC</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bl>
      <w:tblPr>
        <w:tblStyle w:val="992"/>
        <w:tblInd w:w="93" w:type="dxa"/>
        <w:tblW w:w="0" w:type="auto"/>
        <w:tblCellMar>
          <w:left w:w="10" w:type="dxa"/>
          <w:top w:w="0" w:type="dxa"/>
          <w:right w:w="1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280"/>
        <w:gridCol w:w="1520"/>
      </w:tblGrid>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u w:val="single"/>
              </w:rPr>
              <w:t xml:space="preserve">NỘI DUNG</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u w:val="single"/>
              </w:rPr>
              <w:t xml:space="preserve">TRANG</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 </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rPr>
              <w:t xml:space="preserve">Chứng thư thẩm định giá</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1-3</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rPr>
              <w:t xml:space="preserve">Báo cáo thẩm định giá</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4-19</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rPr>
              <w:t xml:space="preserve">Các phụ lục chi tiết kèm theo</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color w:val="000000"/>
                <w:sz w:val="24"/>
              </w:rPr>
              <w:t xml:space="preserve"> </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color w:val="000000"/>
                <w:sz w:val="24"/>
              </w:rPr>
              <w:t xml:space="preserve">Phụ lục 1: Thông tin hiện trạng + Pháp Lý +BBKS</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20-23</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color w:val="000000"/>
                <w:sz w:val="24"/>
              </w:rPr>
              <w:t xml:space="preserve">Phụ lục 2: Thông tin thu thập thị trường </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24-28</w:t>
            </w:r>
            <w:r/>
          </w:p>
        </w:tc>
      </w:tr>
    </w:tbl>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spacing/>
        <w:ind w:right="0" w:firstLine="0" w:left="0"/>
        <w:rPr/>
      </w:pPr>
      <w:r>
        <w:br w:type="page" w:clear="all"/>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 </w:t>
      </w:r>
      <w:r/>
    </w:p>
    <w:tbl>
      <w:tblPr>
        <w:tblStyle w:val="992"/>
        <w:tblInd w:w="-28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858"/>
        <w:gridCol w:w="2138"/>
        <w:gridCol w:w="5536"/>
        <w:gridCol w:w="567"/>
      </w:tblGrid>
      <w:tr>
        <w:trPr>
          <w:trHeight w:val="1152"/>
        </w:trPr>
        <w:tc>
          <w:tcPr>
            <w:tcBorders/>
            <w:tcMar>
              <w:left w:w="108" w:type="dxa"/>
              <w:top w:w="0" w:type="dxa"/>
              <w:right w:w="108" w:type="dxa"/>
              <w:bottom w:w="0" w:type="dxa"/>
            </w:tcMar>
            <w:tcW w:w="1858" w:type="dxa"/>
            <w:vAlign w:val="top"/>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hanging="108" w:left="0"/>
              <w:rPr/>
            </w:pPr>
            <w:r>
              <mc:AlternateContent>
                <mc:Choice Requires="wpg">
                  <w:drawing>
                    <wp:inline xmlns:wp="http://schemas.openxmlformats.org/drawingml/2006/wordprocessingDrawing" distT="0" distB="0" distL="0" distR="0">
                      <wp:extent cx="1019175" cy="923925"/>
                      <wp:effectExtent l="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57557" name=""/>
                              <pic:cNvPicPr>
                                <a:picLocks noChangeAspect="1"/>
                              </pic:cNvPicPr>
                              <pic:nvPr/>
                            </pic:nvPicPr>
                            <pic:blipFill rotWithShape="1">
                              <a:blip r:embed="rId11"/>
                              <a:stretch/>
                            </pic:blipFill>
                            <pic:spPr bwMode="auto">
                              <a:xfrm>
                                <a:off x="0" y="0"/>
                                <a:ext cx="1019174" cy="9239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80.25pt;height:72.75pt;mso-wrap-distance-left:0.00pt;mso-wrap-distance-top:0.00pt;mso-wrap-distance-right:0.00pt;mso-wrap-distance-bottom:0.00pt;z-index:1;" stroked="false">
                      <v:imagedata r:id="rId11" o:title=""/>
                      <o:lock v:ext="edit" rotation="t"/>
                    </v:shape>
                  </w:pict>
                </mc:Fallback>
              </mc:AlternateContent>
            </w:r>
            <w:r/>
          </w:p>
        </w:tc>
        <w:tc>
          <w:tcPr>
            <w:gridSpan w:val="3"/>
            <w:tcBorders/>
            <w:tcMar>
              <w:left w:w="108" w:type="dxa"/>
              <w:top w:w="0" w:type="dxa"/>
              <w:right w:w="108" w:type="dxa"/>
              <w:bottom w:w="0" w:type="dxa"/>
            </w:tcMar>
            <w:tcW w:w="8241" w:type="dxa"/>
            <w:vAlign w:val="top"/>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b/>
                <w:color w:val="000000"/>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color w:val="000000"/>
                <w:sz w:val="24"/>
              </w:rPr>
              <w:t xml:space="preserve">Trụ sở: BT5 - 23, Khu đô thị mới Văn Phú, Phường Kiến Hưng, Thành phố Hà Nội</w:t>
            </w:r>
            <w:r/>
          </w:p>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color w:val="000000"/>
                <w:sz w:val="24"/>
              </w:rPr>
              <w:t xml:space="preserve">Điện thoại:  085 329 3333/ 024 2264 4333</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Email: </w:t>
              <w:tab/>
            </w:r>
            <w:hyperlink r:id="rId12" w:tooltip="mailto:ilotus.contact@gmail.com" w:history="1">
              <w:r>
                <w:rPr>
                  <w:rStyle w:val="978"/>
                  <w:rFonts w:ascii="Times New Roman" w:hAnsi="Times New Roman" w:eastAsia="Times New Roman" w:cs="Times New Roman"/>
                  <w:color w:val="000000"/>
                  <w:sz w:val="24"/>
                  <w:u w:val="none"/>
                </w:rPr>
                <w:t xml:space="preserve">ilotus.contact@gmail.com</w:t>
              </w:r>
            </w:hyperlink>
            <w:r>
              <w:rPr>
                <w:rFonts w:ascii="Times New Roman" w:hAnsi="Times New Roman" w:eastAsia="Times New Roman" w:cs="Times New Roman"/>
                <w:color w:val="000000"/>
                <w:sz w:val="24"/>
              </w:rPr>
              <w:t xml:space="preserve">                         Website: ilotus.com.vn</w:t>
            </w:r>
            <w:r/>
          </w:p>
        </w:tc>
      </w:tr>
      <w:tr>
        <w:trPr>
          <w:gridAfter w:val="1"/>
          <w:trHeight w:val="482"/>
        </w:trPr>
        <w:tc>
          <w:tcPr>
            <w:gridSpan w:val="2"/>
            <w:tcBorders/>
            <w:tcMar>
              <w:left w:w="108" w:type="dxa"/>
              <w:top w:w="0" w:type="dxa"/>
              <w:right w:w="108" w:type="dxa"/>
              <w:bottom w:w="0" w:type="dxa"/>
            </w:tcMar>
            <w:tcW w:w="3996" w:type="dxa"/>
            <w:vAlign w:val="top"/>
            <w:textDirection w:val="lrTb"/>
            <w:noWrap w:val="false"/>
          </w:tcPr>
          <w:p>
            <w:pPr>
              <w:pBdr>
                <w:top w:val="none" w:color="000000" w:sz="4" w:space="0"/>
                <w:left w:val="none" w:color="000000" w:sz="4" w:space="0"/>
                <w:bottom w:val="none" w:color="000000" w:sz="4" w:space="0"/>
                <w:right w:val="none" w:color="000000" w:sz="4" w:space="0"/>
              </w:pBdr>
              <w:spacing w:after="60"/>
              <w:ind w:right="0" w:firstLine="0" w:left="0"/>
              <w:jc w:val="both"/>
              <w:rPr/>
            </w:pPr>
            <w:r>
              <w:rPr>
                <w:rFonts w:ascii="Times New Roman" w:hAnsi="Times New Roman" w:eastAsia="Times New Roman" w:cs="Times New Roman"/>
                <w:color w:val="000000"/>
                <w:sz w:val="24"/>
              </w:rPr>
              <w:t xml:space="preserve">Số: 275/2026/0710/VFI-CT.44.A</w:t>
            </w:r>
            <w:r/>
          </w:p>
        </w:tc>
        <w:tc>
          <w:tcPr>
            <w:tcBorders/>
            <w:tcMar>
              <w:left w:w="108" w:type="dxa"/>
              <w:top w:w="0" w:type="dxa"/>
              <w:right w:w="108" w:type="dxa"/>
              <w:bottom w:w="0" w:type="dxa"/>
            </w:tcMar>
            <w:tcW w:w="5536" w:type="dxa"/>
            <w:vAlign w:val="top"/>
            <w:textDirection w:val="lrTb"/>
            <w:noWrap w:val="false"/>
          </w:tcPr>
          <w:p>
            <w:pPr>
              <w:pBdr>
                <w:top w:val="none" w:color="000000" w:sz="4" w:space="0"/>
                <w:left w:val="none" w:color="000000" w:sz="4" w:space="0"/>
                <w:bottom w:val="none" w:color="000000" w:sz="4" w:space="0"/>
                <w:right w:val="none" w:color="000000" w:sz="4" w:space="0"/>
              </w:pBdr>
              <w:spacing w:after="60" w:before="0"/>
              <w:ind w:right="-56" w:firstLine="0" w:left="0"/>
              <w:jc w:val="right"/>
              <w:rPr/>
            </w:pPr>
            <w:r>
              <w:rPr>
                <w:rFonts w:ascii="Times New Roman" w:hAnsi="Times New Roman" w:eastAsia="Times New Roman" w:cs="Times New Roman"/>
                <w:i/>
                <w:color w:val="000000"/>
                <w:sz w:val="24"/>
              </w:rPr>
              <w:t xml:space="preserve">TP. Hà Nội, ngày 12 tháng 5 năm 2026</w:t>
            </w:r>
            <w:r/>
          </w:p>
        </w:tc>
      </w:tr>
      <w:tr>
        <w:trPr/>
        <w:tc>
          <w:tcPr>
            <w:tcBorders/>
            <w:tcMar>
              <w:left w:w="0" w:type="dxa"/>
              <w:top w:w="0" w:type="dxa"/>
              <w:right w:w="0" w:type="dxa"/>
              <w:bottom w:w="0" w:type="dxa"/>
            </w:tcMar>
            <w:tcW w:w="1858" w:type="dxa"/>
            <w:vAlign w:val="center"/>
            <w:textDirection w:val="lrTb"/>
            <w:noWrap w:val="false"/>
          </w:tcPr>
          <w:p>
            <w:pPr>
              <w:pBdr/>
              <w:spacing w:after="0" w:before="0" w:line="240" w:lineRule="auto"/>
              <w:ind/>
              <w:rPr/>
            </w:pPr>
            <w:r/>
            <w:r/>
          </w:p>
        </w:tc>
        <w:tc>
          <w:tcPr>
            <w:tcBorders/>
            <w:tcMar>
              <w:left w:w="0" w:type="dxa"/>
              <w:top w:w="0" w:type="dxa"/>
              <w:right w:w="0" w:type="dxa"/>
              <w:bottom w:w="0" w:type="dxa"/>
            </w:tcMar>
            <w:tcW w:w="2138" w:type="dxa"/>
            <w:vAlign w:val="center"/>
            <w:textDirection w:val="lrTb"/>
            <w:noWrap w:val="false"/>
          </w:tcPr>
          <w:p>
            <w:pPr>
              <w:pBdr/>
              <w:spacing w:after="0" w:before="0" w:line="240" w:lineRule="auto"/>
              <w:ind/>
              <w:rPr/>
            </w:pPr>
            <w:r/>
            <w:r/>
          </w:p>
        </w:tc>
        <w:tc>
          <w:tcPr>
            <w:tcBorders/>
            <w:tcMar>
              <w:left w:w="0" w:type="dxa"/>
              <w:top w:w="0" w:type="dxa"/>
              <w:right w:w="0" w:type="dxa"/>
              <w:bottom w:w="0" w:type="dxa"/>
            </w:tcMar>
            <w:tcW w:w="5536" w:type="dxa"/>
            <w:vAlign w:val="center"/>
            <w:textDirection w:val="lrTb"/>
            <w:noWrap w:val="false"/>
          </w:tcPr>
          <w:p>
            <w:pPr>
              <w:pBdr/>
              <w:spacing w:after="0" w:before="0" w:line="240" w:lineRule="auto"/>
              <w:ind/>
              <w:rPr/>
            </w:pPr>
            <w:r/>
            <w:r/>
          </w:p>
        </w:tc>
        <w:tc>
          <w:tcPr>
            <w:tcBorders/>
            <w:tcMar>
              <w:left w:w="0" w:type="dxa"/>
              <w:top w:w="0" w:type="dxa"/>
              <w:right w:w="0" w:type="dxa"/>
              <w:bottom w:w="0" w:type="dxa"/>
            </w:tcMar>
            <w:tcW w:w="567" w:type="dxa"/>
            <w:vAlign w:val="center"/>
            <w:textDirection w:val="lrTb"/>
            <w:noWrap w:val="false"/>
          </w:tcPr>
          <w:p>
            <w:pPr>
              <w:pBdr/>
              <w:spacing w:after="0" w:before="0" w:line="240" w:lineRule="auto"/>
              <w:ind/>
              <w:rPr/>
            </w:pPr>
            <w:r/>
            <w:r/>
          </w:p>
        </w:tc>
      </w:tr>
    </w:tbl>
    <w:p>
      <w:pPr>
        <w:pBdr>
          <w:top w:val="none" w:color="000000" w:sz="4" w:space="0"/>
          <w:left w:val="none" w:color="000000" w:sz="4" w:space="0"/>
          <w:bottom w:val="none" w:color="000000" w:sz="4" w:space="0"/>
          <w:right w:val="none" w:color="000000" w:sz="4" w:space="0"/>
        </w:pBdr>
        <w:spacing w:after="120" w:before="200" w:line="288" w:lineRule="auto"/>
        <w:ind w:right="0" w:firstLine="0" w:left="0"/>
        <w:jc w:val="center"/>
        <w:rPr/>
      </w:pPr>
      <w:r>
        <w:rPr>
          <w:rFonts w:ascii="Times New Roman" w:hAnsi="Times New Roman" w:eastAsia="Times New Roman" w:cs="Times New Roman"/>
          <w:b/>
          <w:color w:val="000000"/>
          <w:sz w:val="30"/>
        </w:rPr>
        <w:t xml:space="preserve">CHỨNG THƯ THẨM ĐỊNH GIÁ</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u w:val="single"/>
        </w:rPr>
        <w:t xml:space="preserve">Kính gửi</w:t>
      </w:r>
      <w:r>
        <w:rPr>
          <w:rFonts w:ascii="Times New Roman" w:hAnsi="Times New Roman" w:eastAsia="Times New Roman" w:cs="Times New Roman"/>
          <w:b/>
          <w:color w:val="000000"/>
          <w:sz w:val="24"/>
        </w:rPr>
        <w:t xml:space="preserve">: Ông Đào Văn Tâm</w:t>
      </w:r>
      <w:r/>
    </w:p>
    <w:p>
      <w:pPr>
        <w:pBdr>
          <w:top w:val="none" w:color="000000" w:sz="4" w:space="0"/>
          <w:left w:val="none" w:color="000000" w:sz="4" w:space="0"/>
          <w:bottom w:val="none" w:color="000000" w:sz="4" w:space="0"/>
          <w:right w:val="none" w:color="000000" w:sz="4" w:space="0"/>
        </w:pBdr>
        <w:tabs>
          <w:tab w:val="left" w:leader="none" w:pos="450"/>
        </w:tabs>
        <w:spacing w:after="120" w:before="120" w:line="288" w:lineRule="auto"/>
        <w:ind w:right="0" w:firstLine="0" w:left="-72"/>
        <w:jc w:val="both"/>
        <w:rPr/>
      </w:pPr>
      <w:r>
        <w:rPr>
          <w:rFonts w:ascii="Times New Roman" w:hAnsi="Times New Roman" w:eastAsia="Times New Roman" w:cs="Times New Roman"/>
          <w:color w:val="000000"/>
          <w:spacing w:val="-4"/>
          <w:sz w:val="24"/>
        </w:rPr>
        <w:tab/>
        <w:t xml:space="preserve">Căn cứ Hợp đồng dịch vụ thẩm định giá số: 275/2026/0710/VFI-HĐTĐ.44.A ký ngày 1 tháng 5 năm 2026 giữa Ông Đào Văn Tâm </w:t>
      </w:r>
      <w:r>
        <w:rPr>
          <w:rFonts w:ascii="Times New Roman" w:hAnsi="Times New Roman" w:eastAsia="Times New Roman" w:cs="Times New Roman"/>
          <w:color w:val="000000"/>
          <w:spacing w:val="-6"/>
          <w:sz w:val="24"/>
        </w:rPr>
        <w:t xml:space="preserve">với </w:t>
      </w:r>
      <w:r>
        <w:rPr>
          <w:rFonts w:ascii="Times New Roman" w:hAnsi="Times New Roman" w:eastAsia="Times New Roman" w:cs="Times New Roman"/>
          <w:color w:val="000000"/>
          <w:spacing w:val="-4"/>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120" w:before="120" w:line="288" w:lineRule="auto"/>
        <w:ind w:right="0" w:firstLine="432" w:left="0"/>
        <w:jc w:val="both"/>
        <w:rPr/>
      </w:pPr>
      <w:r>
        <w:rPr>
          <w:rFonts w:ascii="Times New Roman" w:hAnsi="Times New Roman" w:eastAsia="Times New Roman" w:cs="Times New Roman"/>
          <w:color w:val="000000"/>
          <w:spacing w:val="-2"/>
          <w:sz w:val="24"/>
        </w:rPr>
        <w:t xml:space="preserve">Căn cứ Báo cáo thẩm định giá số 275/2026/0710/VFI-BC.44.A ngày 12 tháng 5 năm 2026 của 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120" w:before="120" w:line="288" w:lineRule="auto"/>
        <w:ind w:right="0" w:firstLine="432" w:left="0"/>
        <w:jc w:val="both"/>
        <w:rPr/>
      </w:pPr>
      <w:r>
        <w:rPr>
          <w:rFonts w:ascii="Times New Roman" w:hAnsi="Times New Roman" w:eastAsia="Times New Roman" w:cs="Times New Roman"/>
          <w:color w:val="000000"/>
          <w:sz w:val="24"/>
        </w:rPr>
        <w:t xml:space="preserve">Công ty Cổ phần Thẩm định và Đầu tư Tài chính Hoa Sen cung cấp Chứng thư thẩm định giá tài sản với nội dung sau:</w:t>
      </w:r>
      <w:r/>
    </w:p>
    <w:p>
      <w:pPr>
        <w:pBdr>
          <w:top w:val="none" w:color="000000" w:sz="4" w:space="0"/>
          <w:left w:val="none" w:color="000000" w:sz="4" w:space="0"/>
          <w:bottom w:val="none" w:color="000000" w:sz="4" w:space="0"/>
          <w:right w:val="none" w:color="000000" w:sz="4" w:space="0"/>
        </w:pBdr>
        <w:tabs>
          <w:tab w:val="left" w:leader="none" w:pos="851"/>
        </w:tabs>
        <w:spacing w:after="120" w:before="120" w:line="288" w:lineRule="auto"/>
        <w:ind w:right="0" w:firstLine="0" w:left="0"/>
        <w:jc w:val="both"/>
        <w:rPr/>
      </w:pPr>
      <w:r>
        <w:rPr>
          <w:rFonts w:ascii="Times New Roman" w:hAnsi="Times New Roman" w:eastAsia="Times New Roman" w:cs="Times New Roman"/>
          <w:b/>
          <w:color w:val="000000"/>
          <w:sz w:val="24"/>
        </w:rPr>
        <w:t xml:space="preserve">1. Khách hàng yêu cầu thẩm định giá:</w:t>
      </w:r>
      <w:r/>
    </w:p>
    <w:tbl>
      <w:tblPr>
        <w:tblStyle w:val="992"/>
        <w:tblInd w:w="0" w:type="dxa"/>
        <w:tblW w:w="4967"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2234"/>
        <w:gridCol w:w="283"/>
        <w:gridCol w:w="6945"/>
      </w:tblGrid>
      <w:tr>
        <w:trPr>
          <w:trHeight w:val="20"/>
        </w:trPr>
        <w:tc>
          <w:tcPr>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ind w:right="0" w:firstLine="0" w:left="0"/>
              <w:rPr/>
            </w:pPr>
            <w:r>
              <w:rPr>
                <w:rFonts w:ascii="Times New Roman" w:hAnsi="Times New Roman" w:eastAsia="Times New Roman" w:cs="Times New Roman"/>
                <w:b/>
                <w:color w:val="000000"/>
                <w:spacing w:val="3"/>
                <w:sz w:val="24"/>
              </w:rPr>
              <w:t xml:space="preserve">ÔNG ĐÀO VĂN TÂM</w:t>
            </w:r>
            <w:r/>
          </w:p>
        </w:tc>
      </w:tr>
      <w:tr>
        <w:trPr>
          <w:trHeight w:val="20"/>
        </w:trPr>
        <w:tc>
          <w:tcPr>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color w:val="000000"/>
                <w:sz w:val="24"/>
              </w:rPr>
              <w:t xml:space="preserve">CCCD</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color w:val="000000"/>
                <w:sz w:val="24"/>
              </w:rPr>
              <w:t xml:space="preserve">026055006684</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2. Thông tin về doanh nghiệp thẩm định giá:</w:t>
      </w:r>
      <w:r/>
    </w:p>
    <w:tbl>
      <w:tblPr>
        <w:tblStyle w:val="992"/>
        <w:tblInd w:w="-3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269"/>
        <w:gridCol w:w="289"/>
        <w:gridCol w:w="7115"/>
      </w:tblGrid>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Đơn vị thẩm định</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b/>
                <w:color w:val="000000"/>
                <w:spacing w:val="-4"/>
                <w:sz w:val="24"/>
              </w:rPr>
              <w:t xml:space="preserve">CÔNG TY CỔ PHẦN THẨM ĐỊNH VÀ ĐẦU TƯ TÀI CHÍNH HOA SEN</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Địa chỉ trụ sở</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pacing w:val="-2"/>
                <w:sz w:val="24"/>
              </w:rPr>
              <w:t xml:space="preserve">BT5 - 23, Khu đô thị mới Văn Phú, Phường Kiến Hưng, Thành phố Hà Nội</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Điện thoại</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3382"/>
              </w:tabs>
              <w:spacing w:after="40" w:before="40" w:line="276" w:lineRule="auto"/>
              <w:ind w:right="0" w:firstLine="0" w:left="0"/>
              <w:rPr/>
            </w:pPr>
            <w:r>
              <w:rPr>
                <w:rFonts w:ascii="Times New Roman" w:hAnsi="Times New Roman" w:eastAsia="Times New Roman" w:cs="Times New Roman"/>
                <w:color w:val="000000"/>
                <w:sz w:val="24"/>
              </w:rPr>
              <w:t xml:space="preserve">024 2264 4333</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Mã số thuế</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0102708994</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GCN đủ điều kiện hành nghề</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275/TĐG</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Thông báo</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292a2e"/>
                <w:sz w:val="24"/>
              </w:rPr>
              <w:t xml:space="preserve">Số 1294/TB-BTC ngày 25/12/2025</w:t>
            </w:r>
            <w:r>
              <w:rPr>
                <w:rFonts w:ascii="Times New Roman" w:hAnsi="Times New Roman" w:eastAsia="Times New Roman" w:cs="Times New Roman"/>
                <w:color w:val="292a2e"/>
                <w:sz w:val="21"/>
              </w:rPr>
              <w:t xml:space="preserve"> </w:t>
            </w:r>
            <w:r>
              <w:rPr>
                <w:rFonts w:ascii="Times New Roman" w:hAnsi="Times New Roman" w:eastAsia="Times New Roman" w:cs="Times New Roman"/>
                <w:color w:val="000000"/>
                <w:sz w:val="24"/>
              </w:rPr>
              <w:t xml:space="preserve">về việc doanh nghiệp đủ điều kiện kinh doanh Dịch vụ thẩm định giá.</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Tài khoản số</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pacing w:val="-4"/>
                <w:sz w:val="24"/>
              </w:rPr>
              <w:t xml:space="preserve">1505112366666 tại Agribank Chi nhánh Hà Nội II</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Đại diện</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b/>
                <w:color w:val="000000"/>
                <w:sz w:val="24"/>
              </w:rPr>
              <w:t xml:space="preserve">Ông Vũ Văn Quân</w:t>
              <w:tab/>
              <w:t xml:space="preserve">        Chức vụ: Chủ tịch HĐQT kiêm Tổng Giám Đốc</w:t>
            </w:r>
            <w:r/>
          </w:p>
        </w:tc>
      </w:tr>
    </w:tbl>
    <w:p>
      <w:pPr>
        <w:pBdr>
          <w:top w:val="none" w:color="000000" w:sz="4" w:space="0"/>
          <w:left w:val="none" w:color="000000" w:sz="4" w:space="0"/>
          <w:bottom w:val="none" w:color="000000" w:sz="4" w:space="0"/>
          <w:right w:val="none" w:color="000000" w:sz="4" w:space="0"/>
        </w:pBdr>
        <w:spacing w:after="120" w:before="120" w:line="312" w:lineRule="auto"/>
        <w:ind w:right="0" w:firstLine="0" w:left="0"/>
        <w:jc w:val="both"/>
        <w:rPr/>
      </w:pPr>
      <w:r>
        <w:rPr>
          <w:rFonts w:ascii="Times New Roman" w:hAnsi="Times New Roman" w:eastAsia="Times New Roman" w:cs="Times New Roman"/>
          <w:b/>
          <w:color w:val="000000"/>
          <w:sz w:val="24"/>
        </w:rPr>
        <w:t xml:space="preserve">3. Tài sản thẩm định:</w:t>
      </w:r>
      <w:r>
        <w:rPr>
          <w:rFonts w:ascii="Times New Roman" w:hAnsi="Times New Roman" w:eastAsia="Times New Roman" w:cs="Times New Roman"/>
          <w:color w:val="000000"/>
          <w:sz w:val="24"/>
        </w:rPr>
        <w:t xml:space="preserve"> Quyền sử dụng đất tại thửa đất số: 386, tờ bản đồ số: 52, có địa chỉ: Xã Cao Minh, thành phố Phúc Yên, tỉnh Vĩnh Phúc (nay là xã Xuân Hòa, tỉnh Phú Thọ) theo Giấy chứng nhận quyền sử dụng đất, quyền sở hữu nhà ở và tài sản gắn liền với đất số: DP 123237,</w:t>
      </w:r>
      <w:r>
        <w:rPr>
          <w:rFonts w:ascii="Times New Roman" w:hAnsi="Times New Roman" w:eastAsia="Times New Roman" w:cs="Times New Roman"/>
          <w:color w:val="000000"/>
          <w:sz w:val="24"/>
        </w:rPr>
        <w:t xml:space="preserve"> Số vào sổ cấp GCN: CN 03888 do Chi nhánh văn phòng đăng ký đất đai tỉnh Vĩnh Phúc cấp ngày 27/05/2024; chủ sử dụng đất là Ông Đào Văn Tâm.</w:t>
      </w:r>
      <w:r/>
    </w:p>
    <w:p>
      <w:pPr>
        <w:pBdr>
          <w:top w:val="none" w:color="000000" w:sz="4" w:space="0"/>
          <w:left w:val="none" w:color="000000" w:sz="4" w:space="0"/>
          <w:bottom w:val="none" w:color="000000" w:sz="4" w:space="0"/>
          <w:right w:val="none" w:color="000000" w:sz="4" w:space="0"/>
        </w:pBdr>
        <w:spacing w:after="120" w:before="120" w:line="312" w:lineRule="auto"/>
        <w:ind w:right="0" w:firstLine="0" w:left="0"/>
        <w:jc w:val="both"/>
        <w:rPr/>
      </w:pPr>
      <w:r>
        <w:rPr>
          <w:rFonts w:ascii="Times New Roman" w:hAnsi="Times New Roman" w:eastAsia="Times New Roman" w:cs="Times New Roman"/>
          <w:b/>
          <w:color w:val="000000"/>
          <w:sz w:val="24"/>
        </w:rPr>
        <w:t xml:space="preserve">4. Thời điểm thẩm định giá:</w:t>
      </w:r>
      <w:r>
        <w:rPr>
          <w:rFonts w:ascii="Times New Roman" w:hAnsi="Times New Roman" w:eastAsia="Times New Roman" w:cs="Times New Roman"/>
          <w:color w:val="000000"/>
          <w:sz w:val="24"/>
        </w:rPr>
        <w:t xml:space="preserve"> Tháng 05/2026.</w:t>
      </w:r>
      <w:r/>
    </w:p>
    <w:p>
      <w:pPr>
        <w:pBdr>
          <w:top w:val="none" w:color="000000" w:sz="4" w:space="0"/>
          <w:left w:val="none" w:color="000000" w:sz="4" w:space="0"/>
          <w:bottom w:val="none" w:color="000000" w:sz="4" w:space="0"/>
          <w:right w:val="none" w:color="000000" w:sz="4" w:space="0"/>
        </w:pBdr>
        <w:tabs>
          <w:tab w:val="left" w:leader="none" w:pos="851"/>
        </w:tabs>
        <w:spacing w:after="120" w:before="120" w:line="312" w:lineRule="auto"/>
        <w:ind w:right="0" w:firstLine="0" w:left="0"/>
        <w:jc w:val="both"/>
        <w:rPr/>
      </w:pPr>
      <w:r>
        <w:rPr>
          <w:rFonts w:ascii="Times New Roman" w:hAnsi="Times New Roman" w:eastAsia="Times New Roman" w:cs="Times New Roman"/>
          <w:b/>
          <w:color w:val="000000"/>
          <w:sz w:val="24"/>
        </w:rPr>
        <w:t xml:space="preserve">5. Mục đích thẩm định giá: </w:t>
      </w:r>
      <w:r>
        <w:rPr>
          <w:rFonts w:ascii="Times New Roman" w:hAnsi="Times New Roman" w:eastAsia="Times New Roman" w:cs="Times New Roman"/>
          <w:color w:val="000000"/>
          <w:spacing w:val="-4"/>
          <w:sz w:val="24"/>
        </w:rPr>
        <w:t xml:space="preserve">Mục đích xác định giá trị tài sản để nhận làm tài sản bảo đảm phục vụ mục đích vay vốn tại tổ chức tín dụng</w:t>
      </w:r>
      <w:r>
        <w:rPr>
          <w:rFonts w:ascii="Times New Roman" w:hAnsi="Times New Roman" w:eastAsia="Times New Roman" w:cs="Times New Roman"/>
          <w:color w:val="000000"/>
          <w:sz w:val="24"/>
        </w:rPr>
        <w:t xml:space="preserve">.</w:t>
      </w:r>
      <w:r/>
    </w:p>
    <w:p>
      <w:pPr>
        <w:pBdr>
          <w:top w:val="none" w:color="000000" w:sz="4" w:space="0"/>
          <w:left w:val="none" w:color="000000" w:sz="4" w:space="0"/>
          <w:bottom w:val="none" w:color="000000" w:sz="4" w:space="0"/>
          <w:right w:val="none" w:color="000000" w:sz="4" w:space="0"/>
        </w:pBdr>
        <w:tabs>
          <w:tab w:val="left" w:leader="none" w:pos="851"/>
        </w:tabs>
        <w:spacing w:after="120" w:before="120" w:line="312" w:lineRule="auto"/>
        <w:ind w:right="0" w:firstLine="0" w:left="0"/>
        <w:jc w:val="both"/>
        <w:rPr/>
      </w:pPr>
      <w:r>
        <w:rPr>
          <w:rFonts w:ascii="Times New Roman" w:hAnsi="Times New Roman" w:eastAsia="Times New Roman" w:cs="Times New Roman"/>
          <w:b/>
          <w:color w:val="000000"/>
          <w:sz w:val="24"/>
        </w:rPr>
        <w:t xml:space="preserve">6. Cơ sở giá trị của tài sản thẩm định giá:</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312" w:lineRule="auto"/>
        <w:ind w:right="0" w:firstLine="432" w:left="0"/>
        <w:jc w:val="both"/>
        <w:rPr/>
      </w:pPr>
      <w:r>
        <w:rPr>
          <w:rFonts w:ascii="Times New Roman" w:hAnsi="Times New Roman" w:eastAsia="Times New Roman" w:cs="Times New Roman"/>
          <w:i/>
          <w:color w:val="000000"/>
          <w:sz w:val="24"/>
        </w:rPr>
        <w:t xml:space="preserve">Chi tiết như Báo cáo kèm theo </w:t>
      </w:r>
      <w:r/>
    </w:p>
    <w:p>
      <w:pPr>
        <w:pBdr>
          <w:top w:val="none" w:color="000000" w:sz="4" w:space="0"/>
          <w:left w:val="none" w:color="000000" w:sz="4" w:space="0"/>
          <w:bottom w:val="none" w:color="000000" w:sz="4" w:space="0"/>
          <w:right w:val="none" w:color="000000" w:sz="4" w:space="0"/>
        </w:pBdr>
        <w:tabs>
          <w:tab w:val="left" w:leader="none" w:pos="2430"/>
          <w:tab w:val="left" w:leader="none" w:pos="5130"/>
        </w:tabs>
        <w:spacing w:after="120" w:before="120" w:line="312" w:lineRule="auto"/>
        <w:ind w:right="0" w:firstLine="0" w:left="0"/>
        <w:jc w:val="both"/>
        <w:rPr/>
      </w:pPr>
      <w:r>
        <w:rPr>
          <w:rFonts w:ascii="Times New Roman" w:hAnsi="Times New Roman" w:eastAsia="Times New Roman" w:cs="Times New Roman"/>
          <w:b/>
          <w:color w:val="000000"/>
          <w:sz w:val="24"/>
        </w:rPr>
        <w:t xml:space="preserve">7. Giả thiết và giả thiết đặc biệt:</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312" w:lineRule="auto"/>
        <w:ind w:right="0" w:firstLine="432" w:left="0"/>
        <w:jc w:val="both"/>
        <w:rPr/>
      </w:pPr>
      <w:r>
        <w:rPr>
          <w:rFonts w:ascii="Times New Roman" w:hAnsi="Times New Roman" w:eastAsia="Times New Roman" w:cs="Times New Roman"/>
          <w:i/>
          <w:color w:val="000000"/>
          <w:sz w:val="24"/>
        </w:rPr>
        <w:t xml:space="preserve">Chi tiết như Báo cáo kèm theo</w:t>
      </w:r>
      <w:r/>
    </w:p>
    <w:p>
      <w:pPr>
        <w:pBdr>
          <w:top w:val="none" w:color="000000" w:sz="4" w:space="0"/>
          <w:left w:val="none" w:color="000000" w:sz="4" w:space="0"/>
          <w:bottom w:val="none" w:color="000000" w:sz="4" w:space="0"/>
          <w:right w:val="none" w:color="000000" w:sz="4" w:space="0"/>
        </w:pBdr>
        <w:tabs>
          <w:tab w:val="left" w:leader="none" w:pos="2430"/>
          <w:tab w:val="left" w:leader="none" w:pos="5130"/>
        </w:tabs>
        <w:spacing w:after="120" w:before="120" w:line="312" w:lineRule="auto"/>
        <w:ind w:right="0" w:firstLine="0" w:left="0"/>
        <w:jc w:val="both"/>
        <w:rPr/>
      </w:pPr>
      <w:r>
        <w:rPr>
          <w:rFonts w:ascii="Times New Roman" w:hAnsi="Times New Roman" w:eastAsia="Times New Roman" w:cs="Times New Roman"/>
          <w:b/>
          <w:color w:val="000000"/>
          <w:sz w:val="24"/>
        </w:rPr>
        <w:t xml:space="preserve">8. Cách tiếp cận và phương pháp thẩm định giá:</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312" w:lineRule="auto"/>
        <w:ind w:right="0" w:firstLine="432" w:left="0"/>
        <w:jc w:val="both"/>
        <w:rPr/>
      </w:pPr>
      <w:r>
        <w:rPr>
          <w:rFonts w:ascii="Times New Roman" w:hAnsi="Times New Roman" w:eastAsia="Times New Roman" w:cs="Times New Roman"/>
          <w:i/>
          <w:color w:val="000000"/>
          <w:sz w:val="24"/>
        </w:rPr>
        <w:t xml:space="preserve">Chi tiết như Báo cáo kèm theo</w:t>
      </w:r>
      <w:r/>
    </w:p>
    <w:p>
      <w:pPr>
        <w:pBdr>
          <w:top w:val="none" w:color="000000" w:sz="4" w:space="0"/>
          <w:left w:val="none" w:color="000000" w:sz="4" w:space="0"/>
          <w:bottom w:val="none" w:color="000000" w:sz="4" w:space="0"/>
          <w:right w:val="none" w:color="000000" w:sz="4" w:space="0"/>
        </w:pBdr>
        <w:tabs>
          <w:tab w:val="left" w:leader="none" w:pos="2430"/>
          <w:tab w:val="left" w:leader="none" w:pos="5130"/>
        </w:tabs>
        <w:spacing w:after="120" w:before="120" w:line="312" w:lineRule="auto"/>
        <w:ind w:right="0" w:firstLine="0" w:left="0"/>
        <w:jc w:val="both"/>
        <w:rPr/>
      </w:pPr>
      <w:r>
        <w:rPr>
          <w:rFonts w:ascii="Times New Roman" w:hAnsi="Times New Roman" w:eastAsia="Times New Roman" w:cs="Times New Roman"/>
          <w:b/>
          <w:color w:val="000000"/>
          <w:sz w:val="24"/>
        </w:rPr>
        <w:t xml:space="preserve">9. Giá trị tài sản thẩm định giá:</w:t>
      </w:r>
      <w:r/>
    </w:p>
    <w:p>
      <w:pPr>
        <w:pBdr>
          <w:top w:val="none" w:color="000000" w:sz="4" w:space="0"/>
          <w:left w:val="none" w:color="000000" w:sz="4" w:space="0"/>
          <w:bottom w:val="none" w:color="000000" w:sz="4" w:space="0"/>
          <w:right w:val="none" w:color="000000" w:sz="4" w:space="0"/>
        </w:pBdr>
        <w:spacing w:after="120" w:before="120" w:line="312" w:lineRule="auto"/>
        <w:ind w:right="0" w:firstLine="0" w:left="0"/>
        <w:jc w:val="both"/>
        <w:rPr/>
      </w:pPr>
      <w:r>
        <w:rPr>
          <w:rFonts w:ascii="Times New Roman" w:hAnsi="Times New Roman" w:eastAsia="Times New Roman" w:cs="Times New Roman"/>
          <w:color w:val="000000"/>
          <w:sz w:val="24"/>
        </w:rPr>
        <w:t xml:space="preserve">Trên cơ sở các hồ sơ, tài liệu do Khách hàng cung cấp, qua điều tra thông tin thực tế trên thị trường với cách tiếp cận và phương pháp thẩm định được áp dụng trong tính toán, Công ty Cổ phần Thẩm định và Đầu tư Tài chính Hoa Sen thông báo giá trị tài sản c</w:t>
      </w:r>
      <w:r>
        <w:rPr>
          <w:rFonts w:ascii="Times New Roman" w:hAnsi="Times New Roman" w:eastAsia="Times New Roman" w:cs="Times New Roman"/>
          <w:color w:val="000000"/>
          <w:sz w:val="24"/>
        </w:rPr>
        <w:t xml:space="preserve">hưa bao gồm các loại thuế, phí và lệ phí liên quan đến việc chuyển nhượng tài sản của Quý khách hàng tại thời điểm tháng 05/2026 ước tính như sau:</w:t>
      </w:r>
      <w:r/>
    </w:p>
    <w:tbl>
      <w:tblPr>
        <w:tblStyle w:val="992"/>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37"/>
        <w:gridCol w:w="4130"/>
        <w:gridCol w:w="1296"/>
        <w:gridCol w:w="1476"/>
        <w:gridCol w:w="2076"/>
      </w:tblGrid>
      <w:tr>
        <w:trPr>
          <w:trHeight w:val="63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41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0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130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9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b/>
                <w:color w:val="000000"/>
                <w:sz w:val="24"/>
              </w:rPr>
              <w:t xml:space="preserve">Quyền sử dụng đất tại thửa đất số: 386, tờ bản đồ số: 52, có địa chỉ: Xã Cao Minh, thành phố Phúc Yên, tỉnh Vĩnh Phúc (nay là xã Xuân Hòa, tỉnh Phú Thọ) theo Giấy chứng nhận quyền sử dụng đất, quyền sở hữu nhà ở và tài sản gắn liền với đất số: DP 123237, </w:t>
            </w:r>
            <w:r>
              <w:rPr>
                <w:rFonts w:ascii="Times New Roman" w:hAnsi="Times New Roman" w:eastAsia="Times New Roman" w:cs="Times New Roman"/>
                <w:b/>
                <w:color w:val="000000"/>
                <w:sz w:val="24"/>
              </w:rPr>
              <w:t xml:space="preserve">Số vào sổ cấp GCN: CN 03888 do Chi nhánh văn phòng đăng ký đất đai tỉnh Vĩnh Phúc cấp ngày 27/05/2024; chủ sử dụng đất là Ông Đào Văn Tâm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b/>
                <w:color w:val="000000"/>
                <w:sz w:val="24"/>
              </w:rPr>
              <w:t xml:space="preserve"> </w:t>
            </w:r>
            <w:r/>
          </w:p>
        </w:tc>
      </w:tr>
      <w:tr>
        <w:trPr>
          <w:trHeight w:val="31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1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Quyền sử dụng đất ở</w:t>
            </w:r>
            <w:r/>
          </w:p>
        </w:tc>
        <w:tc>
          <w:tcPr>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300,00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21.500.000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6.450.000.000</w:t>
            </w:r>
            <w:r/>
          </w:p>
        </w:tc>
      </w:tr>
      <w:tr>
        <w:trPr>
          <w:trHeight w:val="58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1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Quyền sử dụng đất trồng cây lâu năm</w:t>
            </w:r>
            <w:r/>
          </w:p>
        </w:tc>
        <w:tc>
          <w:tcPr>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15,50 </w:t>
            </w:r>
            <w:r/>
          </w:p>
        </w:tc>
        <w:tc>
          <w:tcPr>
            <w:tcBorders>
              <w:bottom w:val="single" w:color="000000" w:sz="8" w:space="0"/>
              <w:right w:val="single" w:color="000000" w:sz="8" w:space="0"/>
            </w:tcBorders>
            <w:tcMar>
              <w:left w:w="108" w:type="dxa"/>
              <w:top w:w="0" w:type="dxa"/>
              <w:right w:w="108" w:type="dxa"/>
              <w:bottom w:w="0" w:type="dxa"/>
            </w:tcMar>
            <w:tcW w:w="147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95.000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1.472.500</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413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47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07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6.451.472.500 </w:t>
            </w:r>
            <w:r/>
          </w:p>
        </w:tc>
      </w:tr>
      <w:tr>
        <w:trPr>
          <w:trHeight w:val="375"/>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413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47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07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6.451.000.000 </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gridSpan w:val="4"/>
            <w:tcBorders>
              <w:bottom w:val="single" w:color="000000" w:sz="8" w:space="0"/>
              <w:right w:val="single" w:color="000000" w:sz="8" w:space="0"/>
            </w:tcBorders>
            <w:tcMar>
              <w:left w:w="108" w:type="dxa"/>
              <w:top w:w="0" w:type="dxa"/>
              <w:right w:w="108" w:type="dxa"/>
              <w:bottom w:w="0" w:type="dxa"/>
            </w:tcMar>
            <w:tcW w:w="89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i/>
                <w:color w:val="000000"/>
                <w:sz w:val="24"/>
              </w:rPr>
              <w:t xml:space="preserve">(Bằng chữ: Sáu tỷ bốn trăm năm mươi mốt triệu đồng chẵn ./.)</w:t>
            </w:r>
            <w:r/>
          </w:p>
        </w:tc>
      </w:tr>
    </w:tbl>
    <w:p>
      <w:pPr>
        <w:pBdr>
          <w:top w:val="none" w:color="000000" w:sz="4" w:space="0"/>
          <w:left w:val="none" w:color="000000" w:sz="4" w:space="0"/>
          <w:bottom w:val="none" w:color="000000" w:sz="4" w:space="0"/>
          <w:right w:val="none" w:color="000000" w:sz="4" w:space="0"/>
        </w:pBdr>
        <w:spacing w:after="120" w:before="120" w:line="312" w:lineRule="auto"/>
        <w:ind w:right="0" w:firstLine="0" w:left="0"/>
        <w:jc w:val="both"/>
        <w:rPr/>
      </w:pPr>
      <w:r>
        <w:rPr>
          <w:rFonts w:ascii="Times New Roman" w:hAnsi="Times New Roman" w:eastAsia="Times New Roman" w:cs="Times New Roman"/>
          <w:b/>
          <w:color w:val="000000"/>
          <w:sz w:val="24"/>
        </w:rPr>
        <w:t xml:space="preserve">10. Thời hạn hiệu lực của kết quả thẩm định giá:</w:t>
      </w:r>
      <w:r/>
    </w:p>
    <w:p>
      <w:pPr>
        <w:pBdr>
          <w:top w:val="none" w:color="000000" w:sz="4" w:space="0"/>
          <w:left w:val="none" w:color="000000" w:sz="4" w:space="0"/>
          <w:bottom w:val="none" w:color="000000" w:sz="4" w:space="0"/>
          <w:right w:val="none" w:color="000000" w:sz="4" w:space="0"/>
        </w:pBdr>
        <w:spacing w:after="120" w:before="120" w:line="312" w:lineRule="auto"/>
        <w:ind w:right="0" w:firstLine="360" w:left="0"/>
        <w:jc w:val="both"/>
        <w:rPr/>
      </w:pPr>
      <w:r>
        <w:rPr>
          <w:rFonts w:ascii="Times New Roman" w:hAnsi="Times New Roman" w:eastAsia="Times New Roman" w:cs="Times New Roman"/>
          <w:color w:val="000000"/>
          <w:sz w:val="24"/>
        </w:rPr>
        <w:t xml:space="preserve">- Tối đa 06 (sáu) tháng tính từ ngày ký đối với tài sản là Bất động sản.</w:t>
      </w:r>
      <w:r/>
    </w:p>
    <w:p>
      <w:pPr>
        <w:pBdr>
          <w:top w:val="none" w:color="000000" w:sz="4" w:space="0"/>
          <w:left w:val="none" w:color="000000" w:sz="4" w:space="0"/>
          <w:bottom w:val="none" w:color="000000" w:sz="4" w:space="0"/>
          <w:right w:val="none" w:color="000000" w:sz="4" w:space="0"/>
        </w:pBdr>
        <w:spacing w:after="120" w:before="120" w:line="312" w:lineRule="auto"/>
        <w:ind w:right="0" w:firstLine="0" w:left="0"/>
        <w:rPr/>
      </w:pPr>
      <w:r>
        <w:rPr>
          <w:rFonts w:ascii="Times New Roman" w:hAnsi="Times New Roman" w:eastAsia="Times New Roman" w:cs="Times New Roman"/>
          <w:b/>
          <w:color w:val="000000"/>
          <w:sz w:val="24"/>
        </w:rPr>
        <w:t xml:space="preserve">11. Những điều khoản loại trừ và hạn chế của kết quả thẩm định giá:</w:t>
      </w:r>
      <w:r/>
    </w:p>
    <w:p>
      <w:pPr>
        <w:pBdr>
          <w:top w:val="none" w:color="000000" w:sz="4" w:space="0"/>
          <w:left w:val="none" w:color="000000" w:sz="4" w:space="0"/>
          <w:bottom w:val="none" w:color="000000" w:sz="4" w:space="0"/>
          <w:right w:val="none" w:color="000000" w:sz="4" w:space="0"/>
        </w:pBdr>
        <w:spacing w:after="120" w:before="120" w:line="312" w:lineRule="auto"/>
        <w:ind w:right="0" w:firstLine="360" w:left="0"/>
        <w:rPr/>
      </w:pPr>
      <w:r>
        <w:rPr>
          <w:rFonts w:ascii="Times New Roman" w:hAnsi="Times New Roman" w:eastAsia="Times New Roman" w:cs="Times New Roman"/>
          <w:color w:val="000000"/>
          <w:sz w:val="24"/>
        </w:rPr>
        <w:t xml:space="preserve">- Chi tiết như Báo cáo kèm theo.</w:t>
      </w:r>
      <w:r/>
    </w:p>
    <w:p>
      <w:pPr>
        <w:pBdr>
          <w:top w:val="none" w:color="000000" w:sz="4" w:space="0"/>
          <w:left w:val="none" w:color="000000" w:sz="4" w:space="0"/>
          <w:bottom w:val="none" w:color="000000" w:sz="4" w:space="0"/>
          <w:right w:val="none" w:color="000000" w:sz="4" w:space="0"/>
        </w:pBdr>
        <w:spacing w:after="120" w:before="120" w:line="312" w:lineRule="auto"/>
        <w:ind w:right="0" w:firstLine="0" w:left="0"/>
        <w:rPr/>
      </w:pPr>
      <w:r>
        <w:rPr>
          <w:rFonts w:ascii="Times New Roman" w:hAnsi="Times New Roman" w:eastAsia="Times New Roman" w:cs="Times New Roman"/>
          <w:b/>
          <w:color w:val="000000"/>
          <w:spacing w:val="-4"/>
          <w:sz w:val="24"/>
        </w:rPr>
        <w:t xml:space="preserve">12. Các tài liệu kèm theo:</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Báo cáo kết quả thẩm định giá.</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Các phụ lục chi tiết kèm theo.</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Chứng thư thẩm định giá được phát hành 03 (ba) bản chính bằng tiếng Việt, cấp cho quý khách hàng 02 (hai) bản, lưu lại Công ty Cổ phần Thẩm định và Đầu tư Tài chính Hoa Sen 01 (một) bản có giá trị pháp lý như nhau.</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 Mọi hình thức sao chép báo cáo và chứng thư thẩm định giá không có sự đồng ý bằng văn bản của Công ty Cổ phần Thẩm định và Đầu tư Tài chính Hoa Sen đều là hành vi vi phạm pháp luật.</w:t>
      </w:r>
      <w:r/>
    </w:p>
    <w:tbl>
      <w:tblPr>
        <w:tblStyle w:val="992"/>
        <w:tblInd w:w="0" w:type="dxa"/>
        <w:tblW w:w="48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762"/>
        <w:gridCol w:w="4762"/>
      </w:tblGrid>
      <w:tr>
        <w:trPr>
          <w:trHeight w:val="20"/>
        </w:trPr>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THẨM ĐỊNH VIÊN VỀ GIÁ</w:t>
            </w:r>
            <w:r/>
          </w:p>
        </w:tc>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CHỦ TỊCH HĐQT KIÊM TỔNG GIÁM ĐỐC</w:t>
            </w:r>
            <w:r/>
          </w:p>
        </w:tc>
      </w:tr>
      <w:tr>
        <w:trPr>
          <w:trHeight w:val="1430"/>
        </w:trPr>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tc>
      </w:tr>
      <w:tr>
        <w:trPr>
          <w:trHeight w:val="20"/>
        </w:trPr>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Nguyễn Thị Thùy Dương </w:t>
            </w:r>
            <w:r/>
          </w:p>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color w:val="000000"/>
                <w:sz w:val="24"/>
              </w:rPr>
              <w:t xml:space="preserve">Số thẻ thẩm định viên về giá: XVI25TS.2576</w:t>
            </w:r>
            <w:r/>
          </w:p>
        </w:tc>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Vũ Văn Quân</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Số thẻ thẩm định viên về giá: XII17.1825</w:t>
            </w:r>
            <w:r/>
          </w:p>
        </w:tc>
      </w:tr>
    </w:tbl>
    <w:p>
      <w:pPr>
        <w:pBdr>
          <w:top w:val="none" w:color="000000" w:sz="4" w:space="0"/>
          <w:left w:val="none" w:color="000000" w:sz="4" w:space="0"/>
          <w:bottom w:val="none" w:color="000000" w:sz="4" w:space="0"/>
          <w:right w:val="none" w:color="000000" w:sz="4" w:space="0"/>
        </w:pBdr>
        <w:spacing w:line="276" w:lineRule="auto"/>
        <w:ind w:right="0" w:firstLine="0" w:left="0"/>
        <w:rPr/>
      </w:pPr>
      <w:r>
        <w:br w:type="page" w:clear="all"/>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color w:val="000000"/>
          <w:sz w:val="24"/>
        </w:rPr>
        <w:t xml:space="preserve"> </w:t>
      </w:r>
      <w:r/>
    </w:p>
    <w:tbl>
      <w:tblPr>
        <w:tblStyle w:val="992"/>
        <w:tblInd w:w="-28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816"/>
        <w:gridCol w:w="2091"/>
        <w:gridCol w:w="5412"/>
        <w:gridCol w:w="554"/>
      </w:tblGrid>
      <w:tr>
        <w:trPr>
          <w:trHeight w:val="1843"/>
        </w:trPr>
        <w:tc>
          <w:tcPr>
            <w:tcBorders/>
            <w:tcMar>
              <w:left w:w="108" w:type="dxa"/>
              <w:top w:w="0" w:type="dxa"/>
              <w:right w:w="108" w:type="dxa"/>
              <w:bottom w:w="0" w:type="dxa"/>
            </w:tcMar>
            <w:tcW w:w="1816" w:type="dxa"/>
            <w:vAlign w:val="top"/>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hanging="108" w:left="0"/>
              <w:rPr/>
            </w:pPr>
            <w:r>
              <mc:AlternateContent>
                <mc:Choice Requires="wpg">
                  <w:drawing>
                    <wp:inline xmlns:wp="http://schemas.openxmlformats.org/drawingml/2006/wordprocessingDrawing" distT="0" distB="0" distL="0" distR="0">
                      <wp:extent cx="1019175" cy="923925"/>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45640" name=""/>
                              <pic:cNvPicPr>
                                <a:picLocks noChangeAspect="1"/>
                              </pic:cNvPicPr>
                              <pic:nvPr/>
                            </pic:nvPicPr>
                            <pic:blipFill rotWithShape="1">
                              <a:blip r:embed="rId13"/>
                              <a:stretch/>
                            </pic:blipFill>
                            <pic:spPr bwMode="auto">
                              <a:xfrm>
                                <a:off x="0" y="0"/>
                                <a:ext cx="1019174" cy="9239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25pt;height:72.75pt;mso-wrap-distance-left:0.00pt;mso-wrap-distance-top:0.00pt;mso-wrap-distance-right:0.00pt;mso-wrap-distance-bottom:0.00pt;z-index:1;" stroked="false">
                      <v:imagedata r:id="rId13" o:title=""/>
                      <o:lock v:ext="edit" rotation="t"/>
                    </v:shape>
                  </w:pict>
                </mc:Fallback>
              </mc:AlternateContent>
            </w:r>
            <w:r/>
          </w:p>
        </w:tc>
        <w:tc>
          <w:tcPr>
            <w:gridSpan w:val="3"/>
            <w:tcBorders/>
            <w:tcMar>
              <w:left w:w="108" w:type="dxa"/>
              <w:top w:w="0" w:type="dxa"/>
              <w:right w:w="108" w:type="dxa"/>
              <w:bottom w:w="0" w:type="dxa"/>
            </w:tcMar>
            <w:tcW w:w="8057" w:type="dxa"/>
            <w:vAlign w:val="top"/>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b/>
                <w:color w:val="000000"/>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color w:val="000000"/>
                <w:sz w:val="24"/>
              </w:rPr>
              <w:t xml:space="preserve">Trụ sở: BT5 - 23, Khu đô thị mới Văn Phú, Phường Kiến Hưng, Thành phố Hà Nội</w:t>
            </w:r>
            <w:r/>
          </w:p>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color w:val="000000"/>
                <w:sz w:val="24"/>
              </w:rPr>
              <w:t xml:space="preserve">Điện thoại:  085 329 3333/ 024 2264 4333</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Email: </w:t>
              <w:tab/>
            </w:r>
            <w:hyperlink r:id="rId14" w:tooltip="mailto:ilotus.contact@gmail.com" w:history="1">
              <w:r>
                <w:rPr>
                  <w:rStyle w:val="978"/>
                  <w:rFonts w:ascii="Times New Roman" w:hAnsi="Times New Roman" w:eastAsia="Times New Roman" w:cs="Times New Roman"/>
                  <w:color w:val="000000"/>
                  <w:sz w:val="24"/>
                  <w:u w:val="none"/>
                </w:rPr>
                <w:t xml:space="preserve">ilotus.contact@gmail.com</w:t>
              </w:r>
            </w:hyperlink>
            <w:r>
              <w:rPr>
                <w:rFonts w:ascii="Times New Roman" w:hAnsi="Times New Roman" w:eastAsia="Times New Roman" w:cs="Times New Roman"/>
                <w:color w:val="000000"/>
                <w:sz w:val="24"/>
              </w:rPr>
              <w:t xml:space="preserve">                         Website: ilotus.com.vn</w:t>
            </w:r>
            <w:r/>
          </w:p>
        </w:tc>
      </w:tr>
      <w:tr>
        <w:trPr>
          <w:gridAfter w:val="1"/>
          <w:trHeight w:val="84"/>
        </w:trPr>
        <w:tc>
          <w:tcPr>
            <w:gridSpan w:val="2"/>
            <w:tcBorders/>
            <w:tcMar>
              <w:left w:w="108" w:type="dxa"/>
              <w:top w:w="0" w:type="dxa"/>
              <w:right w:w="108" w:type="dxa"/>
              <w:bottom w:w="0" w:type="dxa"/>
            </w:tcMar>
            <w:tcW w:w="3907" w:type="dxa"/>
            <w:vAlign w:val="top"/>
            <w:textDirection w:val="lrTb"/>
            <w:noWrap w:val="false"/>
          </w:tcPr>
          <w:p>
            <w:pPr>
              <w:pBdr>
                <w:top w:val="none" w:color="000000" w:sz="4" w:space="0"/>
                <w:left w:val="none" w:color="000000" w:sz="4" w:space="0"/>
                <w:bottom w:val="none" w:color="000000" w:sz="4" w:space="0"/>
                <w:right w:val="none" w:color="000000" w:sz="4" w:space="0"/>
              </w:pBdr>
              <w:spacing w:after="60"/>
              <w:ind w:right="0" w:firstLine="0" w:left="0"/>
              <w:jc w:val="both"/>
              <w:rPr/>
            </w:pPr>
            <w:r>
              <w:rPr>
                <w:rFonts w:ascii="Times New Roman" w:hAnsi="Times New Roman" w:eastAsia="Times New Roman" w:cs="Times New Roman"/>
                <w:color w:val="000000"/>
                <w:sz w:val="24"/>
              </w:rPr>
              <w:t xml:space="preserve">Số: 275/2026/0710/VFI-</w:t>
            </w:r>
            <w:r>
              <w:rPr>
                <w:rFonts w:ascii="Times New Roman" w:hAnsi="Times New Roman" w:eastAsia="Times New Roman" w:cs="Times New Roman"/>
                <w:color w:val="000000"/>
                <w:sz w:val="24"/>
                <w:highlight w:val="none"/>
              </w:rPr>
              <w:t xml:space="preserve">BC</w:t>
            </w:r>
            <w:r>
              <w:rPr>
                <w:rFonts w:ascii="Times New Roman" w:hAnsi="Times New Roman" w:eastAsia="Times New Roman" w:cs="Times New Roman"/>
                <w:color w:val="000000"/>
                <w:sz w:val="24"/>
                <w:highlight w:val="yellow"/>
              </w:rPr>
            </w:r>
            <w:commentRangeStart w:id="0"/>
            <w:r/>
            <w:commentRangeEnd w:id="0"/>
            <w:r>
              <w:commentReference w:id="0"/>
            </w:r>
            <w:r>
              <w:rPr>
                <w:rFonts w:ascii="Times New Roman" w:hAnsi="Times New Roman" w:eastAsia="Times New Roman" w:cs="Times New Roman"/>
                <w:color w:val="000000"/>
                <w:sz w:val="24"/>
              </w:rPr>
              <w:t xml:space="preserve">.44.A</w:t>
            </w:r>
            <w:r/>
          </w:p>
        </w:tc>
        <w:tc>
          <w:tcPr>
            <w:tcBorders/>
            <w:tcMar>
              <w:left w:w="108" w:type="dxa"/>
              <w:top w:w="0" w:type="dxa"/>
              <w:right w:w="108" w:type="dxa"/>
              <w:bottom w:w="0" w:type="dxa"/>
            </w:tcMar>
            <w:tcW w:w="5412" w:type="dxa"/>
            <w:vAlign w:val="top"/>
            <w:textDirection w:val="lrTb"/>
            <w:noWrap w:val="false"/>
          </w:tcPr>
          <w:p>
            <w:pPr>
              <w:pBdr>
                <w:top w:val="none" w:color="000000" w:sz="4" w:space="0"/>
                <w:left w:val="none" w:color="000000" w:sz="4" w:space="0"/>
                <w:bottom w:val="none" w:color="000000" w:sz="4" w:space="0"/>
                <w:right w:val="none" w:color="000000" w:sz="4" w:space="0"/>
              </w:pBdr>
              <w:spacing w:after="60" w:before="0"/>
              <w:ind w:right="-56" w:firstLine="0" w:left="0"/>
              <w:jc w:val="right"/>
              <w:rPr/>
            </w:pPr>
            <w:r>
              <w:rPr>
                <w:rFonts w:ascii="Times New Roman" w:hAnsi="Times New Roman" w:eastAsia="Times New Roman" w:cs="Times New Roman"/>
                <w:i/>
                <w:color w:val="000000"/>
                <w:sz w:val="24"/>
              </w:rPr>
              <w:t xml:space="preserve">TP. Hà Nội, ngày 12 tháng 5 năm 2026</w:t>
            </w:r>
            <w:r/>
          </w:p>
        </w:tc>
      </w:tr>
      <w:tr>
        <w:trPr>
          <w:gridAfter w:val="1"/>
          <w:trHeight w:val="84"/>
        </w:trPr>
        <w:tc>
          <w:tcPr>
            <w:gridSpan w:val="2"/>
            <w:tcBorders/>
            <w:tcMar>
              <w:left w:w="108" w:type="dxa"/>
              <w:top w:w="0" w:type="dxa"/>
              <w:right w:w="108" w:type="dxa"/>
              <w:bottom w:w="0" w:type="dxa"/>
            </w:tcMar>
            <w:tcW w:w="3907" w:type="dxa"/>
            <w:vAlign w:val="top"/>
            <w:textDirection w:val="lrTb"/>
            <w:noWrap w:val="false"/>
          </w:tcPr>
          <w:p>
            <w:pPr>
              <w:pBdr>
                <w:top w:val="none" w:color="000000" w:sz="4" w:space="0"/>
                <w:left w:val="none" w:color="000000" w:sz="4" w:space="0"/>
                <w:bottom w:val="none" w:color="000000" w:sz="4" w:space="0"/>
                <w:right w:val="none" w:color="000000" w:sz="4" w:space="0"/>
              </w:pBdr>
              <w:spacing w:after="60"/>
              <w:ind w:right="0" w:firstLine="0" w:left="0"/>
              <w:jc w:val="both"/>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5412" w:type="dxa"/>
            <w:vAlign w:val="top"/>
            <w:textDirection w:val="lrTb"/>
            <w:noWrap w:val="false"/>
          </w:tcPr>
          <w:p>
            <w:pPr>
              <w:pBdr>
                <w:top w:val="none" w:color="000000" w:sz="4" w:space="0"/>
                <w:left w:val="none" w:color="000000" w:sz="4" w:space="0"/>
                <w:bottom w:val="none" w:color="000000" w:sz="4" w:space="0"/>
                <w:right w:val="none" w:color="000000" w:sz="4" w:space="0"/>
              </w:pBdr>
              <w:spacing w:after="60" w:before="0"/>
              <w:ind w:right="-56" w:firstLine="0" w:left="0"/>
              <w:jc w:val="both"/>
              <w:rPr/>
            </w:pPr>
            <w:r>
              <w:rPr>
                <w:rFonts w:ascii="Times New Roman" w:hAnsi="Times New Roman" w:eastAsia="Times New Roman" w:cs="Times New Roman"/>
                <w:i/>
                <w:color w:val="000000"/>
                <w:sz w:val="24"/>
              </w:rPr>
              <w:t xml:space="preserve"> </w:t>
            </w:r>
            <w:r/>
          </w:p>
        </w:tc>
      </w:tr>
      <w:tr>
        <w:trPr/>
        <w:tc>
          <w:tcPr>
            <w:tcBorders/>
            <w:tcMar>
              <w:left w:w="0" w:type="dxa"/>
              <w:top w:w="0" w:type="dxa"/>
              <w:right w:w="0" w:type="dxa"/>
              <w:bottom w:w="0" w:type="dxa"/>
            </w:tcMar>
            <w:tcW w:w="1816" w:type="dxa"/>
            <w:vAlign w:val="center"/>
            <w:textDirection w:val="lrTb"/>
            <w:noWrap w:val="false"/>
          </w:tcPr>
          <w:p>
            <w:pPr>
              <w:pBdr/>
              <w:spacing w:after="0" w:before="0" w:line="240" w:lineRule="auto"/>
              <w:ind/>
              <w:rPr/>
            </w:pPr>
            <w:r/>
            <w:r/>
          </w:p>
        </w:tc>
        <w:tc>
          <w:tcPr>
            <w:tcBorders/>
            <w:tcMar>
              <w:left w:w="0" w:type="dxa"/>
              <w:top w:w="0" w:type="dxa"/>
              <w:right w:w="0" w:type="dxa"/>
              <w:bottom w:w="0" w:type="dxa"/>
            </w:tcMar>
            <w:tcW w:w="2091" w:type="dxa"/>
            <w:vAlign w:val="center"/>
            <w:textDirection w:val="lrTb"/>
            <w:noWrap w:val="false"/>
          </w:tcPr>
          <w:p>
            <w:pPr>
              <w:pBdr/>
              <w:spacing w:after="0" w:before="0" w:line="240" w:lineRule="auto"/>
              <w:ind/>
              <w:rPr/>
            </w:pPr>
            <w:r/>
            <w:r/>
          </w:p>
        </w:tc>
        <w:tc>
          <w:tcPr>
            <w:tcBorders/>
            <w:tcMar>
              <w:left w:w="0" w:type="dxa"/>
              <w:top w:w="0" w:type="dxa"/>
              <w:right w:w="0" w:type="dxa"/>
              <w:bottom w:w="0" w:type="dxa"/>
            </w:tcMar>
            <w:tcW w:w="5412" w:type="dxa"/>
            <w:vAlign w:val="center"/>
            <w:textDirection w:val="lrTb"/>
            <w:noWrap w:val="false"/>
          </w:tcPr>
          <w:p>
            <w:pPr>
              <w:pBdr/>
              <w:spacing w:after="0" w:before="0" w:line="240" w:lineRule="auto"/>
              <w:ind/>
              <w:rPr/>
            </w:pPr>
            <w:r/>
            <w:r/>
          </w:p>
        </w:tc>
        <w:tc>
          <w:tcPr>
            <w:tcBorders/>
            <w:tcMar>
              <w:left w:w="0" w:type="dxa"/>
              <w:top w:w="0" w:type="dxa"/>
              <w:right w:w="0" w:type="dxa"/>
              <w:bottom w:w="0" w:type="dxa"/>
            </w:tcMar>
            <w:tcW w:w="554" w:type="dxa"/>
            <w:vAlign w:val="center"/>
            <w:textDirection w:val="lrTb"/>
            <w:noWrap w:val="false"/>
          </w:tcPr>
          <w:p>
            <w:pPr>
              <w:pBdr/>
              <w:spacing w:after="0" w:before="0" w:line="240" w:lineRule="auto"/>
              <w:ind/>
              <w:rPr/>
            </w:pPr>
            <w:r/>
            <w:r/>
          </w:p>
        </w:tc>
      </w:tr>
    </w:tbl>
    <w:p>
      <w:pPr>
        <w:pBdr>
          <w:top w:val="none" w:color="000000" w:sz="4" w:space="0"/>
          <w:left w:val="none" w:color="000000" w:sz="4" w:space="0"/>
          <w:bottom w:val="none" w:color="000000" w:sz="4" w:space="0"/>
          <w:right w:val="none" w:color="000000" w:sz="4" w:space="0"/>
        </w:pBdr>
        <w:tabs>
          <w:tab w:val="left" w:leader="none" w:pos="5102"/>
        </w:tabs>
        <w:spacing w:before="200" w:line="340" w:lineRule="atLeast"/>
        <w:ind w:right="0" w:firstLine="0" w:left="0"/>
        <w:jc w:val="center"/>
        <w:rPr/>
      </w:pPr>
      <w:r>
        <w:rPr>
          <w:rFonts w:ascii="Times New Roman" w:hAnsi="Times New Roman" w:eastAsia="Times New Roman" w:cs="Times New Roman"/>
          <w:b/>
          <w:color w:val="000000"/>
          <w:sz w:val="30"/>
        </w:rPr>
        <w:t xml:space="preserve">BÁO CÁO KẾT QUẢ THẨM ĐỊNH GIÁ</w:t>
      </w:r>
      <w:r/>
    </w:p>
    <w:p>
      <w:pPr>
        <w:pStyle w:val="967"/>
        <w:pBdr>
          <w:top w:val="none" w:color="000000" w:sz="4" w:space="0"/>
          <w:left w:val="none" w:color="000000" w:sz="4" w:space="0"/>
          <w:bottom w:val="none" w:color="000000" w:sz="4" w:space="0"/>
          <w:right w:val="none" w:color="000000" w:sz="4" w:space="0"/>
        </w:pBdr>
        <w:tabs>
          <w:tab w:val="left" w:leader="none" w:pos="4820"/>
        </w:tabs>
        <w:spacing w:after="200" w:before="100" w:line="340" w:lineRule="atLeast"/>
        <w:ind w:right="0" w:hanging="180" w:left="0"/>
        <w:jc w:val="center"/>
        <w:rPr/>
      </w:pPr>
      <w:r>
        <w:rPr>
          <w:rFonts w:ascii="Times New Roman" w:hAnsi="Times New Roman" w:eastAsia="Times New Roman" w:cs="Times New Roman"/>
          <w:i/>
          <w:color w:val="000000"/>
          <w:spacing w:val="-6"/>
          <w:sz w:val="24"/>
        </w:rPr>
        <w:t xml:space="preserve">(Kèm theo Chứng thư thẩm định giá số: 275/2026/0710/VFI-CT.44.A ngày 12 tháng 5 năm 2026)</w:t>
      </w:r>
      <w:r/>
    </w:p>
    <w:p>
      <w:pPr>
        <w:pStyle w:val="967"/>
        <w:pBdr>
          <w:top w:val="none" w:color="000000" w:sz="4" w:space="0"/>
          <w:left w:val="none" w:color="000000" w:sz="4" w:space="0"/>
          <w:bottom w:val="none" w:color="000000" w:sz="4" w:space="0"/>
          <w:right w:val="none" w:color="000000" w:sz="4" w:space="0"/>
        </w:pBdr>
        <w:tabs>
          <w:tab w:val="left" w:leader="none" w:pos="4820"/>
        </w:tabs>
        <w:spacing w:after="200" w:before="0" w:line="340" w:lineRule="atLeast"/>
        <w:ind w:right="0" w:firstLine="0" w:left="0"/>
        <w:jc w:val="both"/>
        <w:rPr/>
      </w:pPr>
      <w:r>
        <w:rPr>
          <w:rFonts w:ascii="Times New Roman" w:hAnsi="Times New Roman" w:eastAsia="Times New Roman" w:cs="Times New Roman"/>
          <w:b/>
          <w:color w:val="000000"/>
          <w:sz w:val="24"/>
        </w:rPr>
        <w:t xml:space="preserve">I. THÔNG TIN VỀ DOANH NGHIỆP THẨM ĐỊNH GIÁ </w:t>
      </w:r>
      <w:r/>
    </w:p>
    <w:tbl>
      <w:tblPr>
        <w:tblStyle w:val="992"/>
        <w:tblInd w:w="-3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552"/>
        <w:gridCol w:w="289"/>
        <w:gridCol w:w="6940"/>
      </w:tblGrid>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Đơn vị thẩm định</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b/>
                <w:color w:val="000000"/>
                <w:spacing w:val="-4"/>
                <w:sz w:val="24"/>
              </w:rPr>
              <w:t xml:space="preserve">CÔNG TY CỔ PHẦN THẨM ĐỊNH VÀ ĐẦU TƯ TÀI CHÍNH HOA SEN</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Địa chỉ trụ sở</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pacing w:val="-2"/>
                <w:sz w:val="24"/>
              </w:rPr>
              <w:t xml:space="preserve">BT5 - 23, Khu đô thị mới Văn Phú, Phường Kiến Hưng, Thành phố Hà Nội</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Điện thoại</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3382"/>
              </w:tabs>
              <w:spacing w:after="60" w:before="60" w:line="276" w:lineRule="auto"/>
              <w:ind w:right="0" w:firstLine="0" w:left="0"/>
              <w:rPr/>
            </w:pPr>
            <w:r>
              <w:rPr>
                <w:rFonts w:ascii="Times New Roman" w:hAnsi="Times New Roman" w:eastAsia="Times New Roman" w:cs="Times New Roman"/>
                <w:color w:val="000000"/>
                <w:sz w:val="24"/>
              </w:rPr>
              <w:t xml:space="preserve">024 2264 4333</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Mã số thuế</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0102708994</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GCN đủ điều kiện hành nghề</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275/TĐG</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Tài khoản số</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4"/>
                <w:sz w:val="24"/>
              </w:rPr>
              <w:t xml:space="preserve">1505112366666 tại Agribank Chi nhánh Hà Nội II</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Đại diện</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b/>
                <w:color w:val="000000"/>
                <w:sz w:val="24"/>
              </w:rPr>
              <w:t xml:space="preserve">Ông Vũ Văn Quân </w:t>
              <w:tab/>
              <w:t xml:space="preserve">Chức vụ: Chủ tịch HĐQT kiêm Tổng Giám Đốc</w:t>
            </w:r>
            <w:r/>
          </w:p>
        </w:tc>
      </w:tr>
    </w:tbl>
    <w:p>
      <w:pPr>
        <w:pBdr>
          <w:top w:val="none" w:color="000000" w:sz="4" w:space="0"/>
          <w:left w:val="none" w:color="000000" w:sz="4" w:space="0"/>
          <w:bottom w:val="none" w:color="000000" w:sz="4" w:space="0"/>
          <w:right w:val="none" w:color="000000" w:sz="4" w:space="0"/>
        </w:pBdr>
        <w:tabs>
          <w:tab w:val="left" w:leader="none" w:pos="284"/>
        </w:tabs>
        <w:spacing w:after="120" w:before="0" w:line="320" w:lineRule="atLeast"/>
        <w:ind w:right="0" w:firstLine="0" w:left="0"/>
        <w:jc w:val="both"/>
        <w:rPr/>
      </w:pPr>
      <w:r>
        <w:rPr>
          <w:rFonts w:ascii="Times New Roman" w:hAnsi="Times New Roman" w:eastAsia="Times New Roman" w:cs="Times New Roman"/>
          <w:b/>
          <w:color w:val="000000"/>
          <w:sz w:val="24"/>
        </w:rPr>
        <w:t xml:space="preserve">II. THÔNG TIN CƠ BẢN VỀ CUỘC THẨM ĐỊNH GIÁ</w:t>
      </w:r>
      <w:r/>
    </w:p>
    <w:p>
      <w:pPr>
        <w:pBdr>
          <w:top w:val="none" w:color="000000" w:sz="4" w:space="0"/>
          <w:left w:val="none" w:color="000000" w:sz="4" w:space="0"/>
          <w:bottom w:val="none" w:color="000000" w:sz="4" w:space="0"/>
          <w:right w:val="none" w:color="000000" w:sz="4" w:space="0"/>
        </w:pBdr>
        <w:tabs>
          <w:tab w:val="left" w:leader="none" w:pos="284"/>
        </w:tabs>
        <w:spacing w:after="120" w:before="120" w:line="320" w:lineRule="atLeast"/>
        <w:ind w:right="0" w:firstLine="0" w:left="0"/>
        <w:jc w:val="both"/>
        <w:rPr/>
      </w:pPr>
      <w:r>
        <w:rPr>
          <w:rFonts w:ascii="Times New Roman" w:hAnsi="Times New Roman" w:eastAsia="Times New Roman" w:cs="Times New Roman"/>
          <w:b/>
          <w:color w:val="000000"/>
          <w:sz w:val="24"/>
        </w:rPr>
        <w:t xml:space="preserve">1. Thông tin cơ bản về cuộc thẩm định giá:</w:t>
      </w:r>
      <w:r/>
    </w:p>
    <w:tbl>
      <w:tblPr>
        <w:tblStyle w:val="992"/>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518"/>
        <w:gridCol w:w="284"/>
        <w:gridCol w:w="6945"/>
      </w:tblGrid>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ind w:right="0" w:firstLine="0" w:left="0"/>
              <w:rPr/>
            </w:pPr>
            <w:r>
              <w:rPr>
                <w:rFonts w:ascii="Times New Roman" w:hAnsi="Times New Roman" w:eastAsia="Times New Roman" w:cs="Times New Roman"/>
                <w:b/>
                <w:color w:val="000000"/>
                <w:spacing w:val="3"/>
                <w:sz w:val="24"/>
              </w:rPr>
              <w:t xml:space="preserve">ÔNG ĐÀO VĂN TÂM</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color w:val="000000"/>
                <w:sz w:val="24"/>
              </w:rPr>
              <w:t xml:space="preserve">CCCD</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color w:val="000000"/>
                <w:sz w:val="24"/>
              </w:rPr>
              <w:t xml:space="preserve">026055006684</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Tài sản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Quyền sử dụng đất tại thửa đất số: 386, tờ bản đồ số: 52, có địa chỉ: Xã Cao Minh, thành phố Phúc Yên, tỉnh Vĩnh Phúc (nay là xã Xuân Hòa, tỉnh Phú Thọ) theo Giấy chứng nhận quyền sử dụng đất, quyền sở hữu nhà ở và tài sản gắn liền với đất số: DP 123237, </w:t>
            </w:r>
            <w:r>
              <w:rPr>
                <w:rFonts w:ascii="Times New Roman" w:hAnsi="Times New Roman" w:eastAsia="Times New Roman" w:cs="Times New Roman"/>
                <w:color w:val="000000"/>
                <w:sz w:val="24"/>
              </w:rPr>
              <w:t xml:space="preserve">Số vào sổ cấp GCN: CN 03888 do Chi nhánh văn phòng đăng ký đất đai tỉnh Vĩnh Phúc cấp ngày 27/05/2024; chủ sử dụng đất là Ông Đào Văn Tâm.</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Mục đích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851"/>
              </w:tabs>
              <w:spacing w:after="120" w:before="120" w:line="312" w:lineRule="auto"/>
              <w:ind w:right="0" w:firstLine="0" w:left="0"/>
              <w:jc w:val="both"/>
              <w:rPr/>
            </w:pPr>
            <w:r>
              <w:rPr>
                <w:rFonts w:ascii="Times New Roman" w:hAnsi="Times New Roman" w:eastAsia="Times New Roman" w:cs="Times New Roman"/>
                <w:color w:val="000000"/>
                <w:spacing w:val="-4"/>
                <w:sz w:val="24"/>
              </w:rPr>
              <w:t xml:space="preserve">Mục đích xác định giá trị tài sản để nhận làm tài sản bảo đảm phục vụ mục đích vay vốn tại tổ chức tín dụng.</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12"/>
                <w:sz w:val="24"/>
              </w:rPr>
              <w:t xml:space="preserve">Cơ sở giá trị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851"/>
              </w:tabs>
              <w:spacing w:after="60" w:before="60" w:line="276" w:lineRule="auto"/>
              <w:ind w:right="0" w:firstLine="0" w:left="0"/>
              <w:jc w:val="both"/>
              <w:rPr/>
            </w:pPr>
            <w:r>
              <w:rPr>
                <w:rFonts w:ascii="Times New Roman" w:hAnsi="Times New Roman" w:eastAsia="Times New Roman" w:cs="Times New Roman"/>
                <w:color w:val="000000"/>
                <w:spacing w:val="-4"/>
                <w:sz w:val="24"/>
              </w:rPr>
              <w:t xml:space="preserve">Giá trị thị trường.</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6"/>
                <w:sz w:val="24"/>
              </w:rPr>
              <w:t xml:space="preserve">Thời điểm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Tháng 05/2026.</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6"/>
                <w:sz w:val="24"/>
              </w:rPr>
              <w:t xml:space="preserve">Địa điểm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Tỉnh Phú Thọ</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6"/>
                <w:sz w:val="24"/>
              </w:rPr>
              <w:t xml:space="preserve">Thời điểm khảo sát</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r>
            <w:commentRangeStart w:id="1"/>
            <w:r>
              <w:rPr>
                <w:rFonts w:ascii="Times New Roman" w:hAnsi="Times New Roman" w:eastAsia="Times New Roman" w:cs="Times New Roman"/>
                <w:color w:val="000000"/>
                <w:sz w:val="24"/>
              </w:rPr>
              <w:t xml:space="preserve">Tháng 09/05/2026.</w:t>
            </w:r>
            <w:commentRangeEnd w:id="1"/>
            <w:r>
              <w:commentReference w:id="1"/>
            </w:r>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b/>
          <w:color w:val="000000"/>
          <w:spacing w:val="-6"/>
          <w:sz w:val="24"/>
        </w:rPr>
        <w:t xml:space="preserve">2. Các nguồn thông tin được sử dụng trong quá trình thẩm định giá và xem xét đánh giá các thông tin thu thập</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pacing w:val="-6"/>
          <w:sz w:val="24"/>
        </w:rPr>
        <w:t xml:space="preserve">Tham khảo nguồn thông tin từ các trang giao bán bất động sản qua mạng Internet, gọi điện trực tiếp</w:t>
      </w:r>
      <w:r>
        <w:rPr>
          <w:rFonts w:ascii="Times New Roman" w:hAnsi="Times New Roman" w:eastAsia="Times New Roman" w:cs="Times New Roman"/>
          <w:color w:val="000000"/>
          <w:sz w:val="24"/>
        </w:rPr>
        <w:t xml:space="preserve">.</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Tham khảo nguồn thông tin trực tiếp từ những người dân sinh sống xung quanh trên địa bàn.</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Đánh giá nguồn thông tin thu thập: Nguồn thông tin thu thập khách quan và phổ biến trên thị trường.</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3. Căn cứ pháp lý</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3.1. Văn bản quy phạm pháp luật:</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    Luật Giá số 16/2023/QH15 ngày 19/6/2023;</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Luật Đất đai số 31/2024/QH15 đã được Quốc hội nước Cộng hòa xã hội chủ nghĩa Việt Nam khóa XV, kỳ họp bất thường lần thứ 5 thông qua ngày 12 tháng 01 năm 2024;</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Luật Xây dựng số 50/2014/QH13 đã được Quốc hội nước Cộng hòa xã hội chủ nghĩa Việt Nam khóa XIII, kỳ họp thứ 7 thông qua ngày 12 tháng 6 năm 2014;</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Luật số 62/2020/QH14 đã được Quốc hội nước Cộng hòa xã hội chủ nghĩa Việt Nam khóa XIV, kỳ họp thứ 9 thông qua ngày 17 tháng 6 năm 2020 về việc Sửa đổi, bổ sung một số điều của Luật Xây dựng;</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Luật Nhà ở số 27/2023/QH15 đã được Quốc hội nước Cộng hòa xã hội chủ nghĩa Việt Nam khóa XV, kỳ họp thứ 6 thông qua ngày 27 tháng 11 năm 2023;</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rPr/>
      </w:pPr>
      <w:r>
        <w:rPr>
          <w:rFonts w:ascii="Times New Roman" w:hAnsi="Times New Roman" w:eastAsia="Times New Roman" w:cs="Times New Roman"/>
          <w:color w:val="000000"/>
          <w:sz w:val="24"/>
        </w:rPr>
        <w:t xml:space="preserve">Nghị định số 71/2024/NĐ-CP ngày 27/6/2024 của Chính phủ Quy định về giá đất.</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Nghị định số 103/2024/NĐ-CP ngày 30/7/2024 của Chính phủ quy định về thu tiền sử dụng đất, tiền thuê đất;</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28/2024/TT-BTC ngày 16/5/2024 của Bộ Tài chính Quy định về trình tự, thủ tục kiểm tra việc chấp hành pháp luật về giá, thẩm định giá do Bộ trưởng Bộ Tài chính ban hành;</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30/2024/TT-BTC ngày 16/5/2024 của Bộ Tài chính ban hành các chuẩn mực thẩm định giá Việt Nam về quy tắc đạo đức nghề nghiệp thẩm định giá, phạm vi công việc thẩm định giá, cơ sở giá trị thẩm định giá, hồ sơ thẩm định giá;</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31/2024/TT-BTC ngày 16/5/2024 của Bộ Tài chính ban hành chuẩn mực thẩm định giá Việt Nam về thu thập và phân tích thông tin về tài sản thẩm định giá;</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32/2024/TT-BTC ngày 16/5/2024 của Bộ Tài chính ban hành các chuẩn mực thẩm định giá Việt Nam về cách tiếp cận từ thị trường, cách tiếp cận từ chi phí, cách tiếp cận từ thu nhập;</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36/2024/TT-BTC ngày 16/5/2024 của Bộ Tài chính ban hành chuẩn mực thẩm định giá Việt Nam về thẩm định giá doanh nghiệp;</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37/2024/TT-BTC ngày 16/5/2024 của Bộ Tài chính ban hành chuẩn mực thẩm định giá Việt Nam về thẩm định giá tài sản vô hình;</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42/2024/TT-BTC ngày 12/6/2024 của Bộ Tài chính ban hành chuẩn mực thẩm định giá Việt Nam về thẩm định giá bất động sản;</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45/2013/TT-BTC ngày 24/5/2013 của Bộ Tài chính về việc hướng dẫn chế độ quản lý, sử dụng và trích khấu hao tài sản cố định;</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pacing w:val="-4"/>
          <w:sz w:val="24"/>
        </w:rPr>
        <w:t xml:space="preserve">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w:t>
      </w:r>
      <w:r>
        <w:rPr>
          <w:rFonts w:ascii="Times New Roman" w:hAnsi="Times New Roman" w:eastAsia="Times New Roman" w:cs="Times New Roman"/>
          <w:color w:val="000000"/>
          <w:spacing w:val="-4"/>
          <w:sz w:val="24"/>
        </w:rPr>
        <w:t xml:space="preserve">ài sản cố định;</w:t>
      </w:r>
      <w:r/>
    </w:p>
    <w:p>
      <w:pPr>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Và các văn bản pháp luật có liên quan khác.</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3.2. Các văn bản liên quan khác:</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a. Hồ sơ pháp lý của tài sản: </w:t>
      </w:r>
      <w:r/>
    </w:p>
    <w:p>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Giấy chứng nhận quyền sử dụng đất, quyền sở hữu nhà ở và tài sản gắn liền với đất số: DP 123237, Số vào sổ cấp GCN: CN 03888 do Chi nhánh văn phòng đăng ký đất đai tỉnh Vĩnh Phúc cấp ngày 27/05/2024; chủ sử dụng đất là Ông Đào Văn Tâm.</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b. Hồ sơ khác:</w:t>
      </w:r>
      <w:r/>
    </w:p>
    <w:p>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Hợp đồng số 275/2026/0710/VFI-HĐTĐ.44.A ngày </w:t>
      </w:r>
      <w:commentRangeStart w:id="2"/>
      <w:r>
        <w:rPr>
          <w:rFonts w:ascii="Times New Roman" w:hAnsi="Times New Roman" w:eastAsia="Times New Roman" w:cs="Times New Roman"/>
          <w:color w:val="000000"/>
          <w:sz w:val="24"/>
        </w:rPr>
        <w:t xml:space="preserve">01/05/2026</w:t>
      </w:r>
      <w:commentRangeEnd w:id="2"/>
      <w:r>
        <w:commentReference w:id="2"/>
      </w:r>
      <w:r>
        <w:rPr>
          <w:rFonts w:ascii="Times New Roman" w:hAnsi="Times New Roman" w:eastAsia="Times New Roman" w:cs="Times New Roman"/>
          <w:color w:val="000000"/>
          <w:sz w:val="24"/>
        </w:rPr>
        <w:t xml:space="preserve"> giữa Ông Đào Văn Tâm với Công ty Cổ phần Thẩm định và Đầu tư Tài chính Hoa Sen.</w:t>
      </w:r>
      <w:r/>
    </w:p>
    <w:p>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Hồ sơ, tài liệu, chứng từ liên quan đến tài sản thẩm định giá.</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0" w:left="0"/>
        <w:jc w:val="both"/>
        <w:rPr/>
      </w:pPr>
      <w:r>
        <w:rPr>
          <w:rFonts w:ascii="Times New Roman" w:hAnsi="Times New Roman" w:eastAsia="Times New Roman" w:cs="Times New Roman"/>
          <w:b/>
          <w:color w:val="000000"/>
          <w:sz w:val="24"/>
        </w:rPr>
        <w:t xml:space="preserve">III. TỔNG QUAN VỀ THỊ TRƯỜNG CỦA TÀI SẢN THẨM ĐỊNH GIÁ</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Bất động sản Vĩnh Phúc năm 2026 đang trên đà hồi phục mạnh mẽ, được thúc đẩy bởi công nghiệp, du lịch và hạ tầng kết nối. Nằm tại cửa ngõ Hà Nội, tỉnh thu hút đầu tư lớn vào các khu công nghiệp (Bình Xuyên, Yên Lạc) và đô thị du lịch (Vĩnh Yên, Tam Đảo), v</w:t>
      </w:r>
      <w:r>
        <w:rPr>
          <w:rFonts w:ascii="Times New Roman" w:hAnsi="Times New Roman" w:eastAsia="Times New Roman" w:cs="Times New Roman"/>
          <w:color w:val="000000"/>
          <w:sz w:val="24"/>
        </w:rPr>
        <w:t xml:space="preserve">ới mục tiêu đón đầu dòng vốn FDI và nhu cầu nhà ở chuyên gia. </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Tổng quan Thị trường BĐS Vĩnh Phúc:</w:t>
      </w:r>
      <w:r/>
    </w:p>
    <w:p>
      <w:pPr>
        <w:numPr>
          <w:ilvl w:val="0"/>
          <w:numId w:val="42"/>
        </w:numPr>
        <w:pBdr>
          <w:top w:val="none" w:color="000000" w:sz="4" w:space="0"/>
          <w:left w:val="none" w:color="000000" w:sz="4" w:space="0"/>
          <w:bottom w:val="none" w:color="000000" w:sz="4" w:space="0"/>
          <w:right w:val="none" w:color="000000" w:sz="4" w:space="0"/>
        </w:pBdr>
        <w:tabs>
          <w:tab w:val="left" w:leader="none" w:pos="720"/>
        </w:tabs>
        <w:spacing/>
        <w:ind/>
        <w:rPr/>
      </w:pPr>
      <w:r>
        <w:rPr>
          <w:rFonts w:ascii="Times New Roman" w:hAnsi="Times New Roman" w:eastAsia="Times New Roman" w:cs="Times New Roman"/>
          <w:b/>
          <w:color w:val="000000"/>
          <w:sz w:val="24"/>
        </w:rPr>
        <w:t xml:space="preserve">Vị trí chiến lược:</w:t>
      </w:r>
      <w:r>
        <w:rPr>
          <w:rFonts w:ascii="Times New Roman" w:hAnsi="Times New Roman" w:eastAsia="Times New Roman" w:cs="Times New Roman"/>
          <w:color w:val="000000"/>
          <w:sz w:val="24"/>
        </w:rPr>
        <w:t xml:space="preserve"> Vĩnh Phúc nằm trong vùng kinh tế trọng điểm Bắc Bộ, cửa ngõ phía Tây Bắc Hà Nội, gần sân bay Nội Bài, thuận lợi kết nối giao thương.</w:t>
      </w:r>
      <w:r/>
    </w:p>
    <w:p>
      <w:pPr>
        <w:numPr>
          <w:ilvl w:val="0"/>
          <w:numId w:val="42"/>
        </w:numPr>
        <w:pBdr>
          <w:top w:val="none" w:color="000000" w:sz="4" w:space="0"/>
          <w:left w:val="none" w:color="000000" w:sz="4" w:space="0"/>
          <w:bottom w:val="none" w:color="000000" w:sz="4" w:space="0"/>
          <w:right w:val="none" w:color="000000" w:sz="4" w:space="0"/>
        </w:pBdr>
        <w:tabs>
          <w:tab w:val="left" w:leader="none" w:pos="720"/>
        </w:tabs>
        <w:spacing/>
        <w:ind/>
        <w:rPr/>
      </w:pPr>
      <w:r>
        <w:rPr>
          <w:rFonts w:ascii="Times New Roman" w:hAnsi="Times New Roman" w:eastAsia="Times New Roman" w:cs="Times New Roman"/>
          <w:b/>
          <w:color w:val="000000"/>
          <w:sz w:val="24"/>
        </w:rPr>
        <w:t xml:space="preserve">Động lực phát triển:</w:t>
      </w:r>
      <w:r/>
    </w:p>
    <w:p>
      <w:pPr>
        <w:numPr>
          <w:ilvl w:val="1"/>
          <w:numId w:val="42"/>
        </w:numPr>
        <w:pBdr>
          <w:top w:val="none" w:color="000000" w:sz="4" w:space="0"/>
          <w:left w:val="none" w:color="000000" w:sz="4" w:space="0"/>
          <w:bottom w:val="none" w:color="000000" w:sz="4" w:space="0"/>
          <w:right w:val="none" w:color="000000" w:sz="4" w:space="0"/>
        </w:pBdr>
        <w:tabs>
          <w:tab w:val="left" w:leader="none" w:pos="1440"/>
        </w:tabs>
        <w:spacing/>
        <w:ind/>
        <w:rPr/>
      </w:pPr>
      <w:r>
        <w:rPr>
          <w:rFonts w:ascii="Times New Roman" w:hAnsi="Times New Roman" w:eastAsia="Times New Roman" w:cs="Times New Roman"/>
          <w:b/>
          <w:color w:val="000000"/>
          <w:sz w:val="24"/>
        </w:rPr>
        <w:t xml:space="preserve">Công nghiệp:</w:t>
      </w:r>
      <w:r>
        <w:rPr>
          <w:rFonts w:ascii="Times New Roman" w:hAnsi="Times New Roman" w:eastAsia="Times New Roman" w:cs="Times New Roman"/>
          <w:color w:val="000000"/>
          <w:sz w:val="24"/>
        </w:rPr>
        <w:t xml:space="preserve">Vĩnh Phúc là một trong những trung tâm công nghiệp ô tô, xe máy lớn nhất cả nước, tạo nhu cầu lớn về nhà ở và dịch vụ.</w:t>
      </w:r>
      <w:r/>
    </w:p>
    <w:p>
      <w:pPr>
        <w:numPr>
          <w:ilvl w:val="1"/>
          <w:numId w:val="42"/>
        </w:numPr>
        <w:pBdr>
          <w:top w:val="none" w:color="000000" w:sz="4" w:space="0"/>
          <w:left w:val="none" w:color="000000" w:sz="4" w:space="0"/>
          <w:bottom w:val="none" w:color="000000" w:sz="4" w:space="0"/>
          <w:right w:val="none" w:color="000000" w:sz="4" w:space="0"/>
        </w:pBdr>
        <w:tabs>
          <w:tab w:val="left" w:leader="none" w:pos="1440"/>
        </w:tabs>
        <w:spacing/>
        <w:ind/>
        <w:rPr/>
      </w:pPr>
      <w:r>
        <w:rPr>
          <w:rFonts w:ascii="Times New Roman" w:hAnsi="Times New Roman" w:eastAsia="Times New Roman" w:cs="Times New Roman"/>
          <w:b/>
          <w:color w:val="000000"/>
          <w:sz w:val="24"/>
        </w:rPr>
        <w:t xml:space="preserve">Du lịch:</w:t>
      </w:r>
      <w:r>
        <w:rPr>
          <w:rFonts w:ascii="Times New Roman" w:hAnsi="Times New Roman" w:eastAsia="Times New Roman" w:cs="Times New Roman"/>
          <w:color w:val="000000"/>
          <w:sz w:val="24"/>
        </w:rPr>
        <w:t xml:space="preserve"> Khu du lịch quốc gia Tam Đảo, Đại Lải thu hút các dự án bất động sản nghỉ dưỡng cao cấp.</w:t>
      </w:r>
      <w:r/>
    </w:p>
    <w:p>
      <w:pPr>
        <w:numPr>
          <w:ilvl w:val="1"/>
          <w:numId w:val="42"/>
        </w:numPr>
        <w:pBdr>
          <w:top w:val="none" w:color="000000" w:sz="4" w:space="0"/>
          <w:left w:val="none" w:color="000000" w:sz="4" w:space="0"/>
          <w:bottom w:val="none" w:color="000000" w:sz="4" w:space="0"/>
          <w:right w:val="none" w:color="000000" w:sz="4" w:space="0"/>
        </w:pBdr>
        <w:tabs>
          <w:tab w:val="left" w:leader="none" w:pos="1440"/>
        </w:tabs>
        <w:spacing/>
        <w:ind/>
        <w:rPr/>
      </w:pPr>
      <w:r>
        <w:rPr>
          <w:rFonts w:ascii="Times New Roman" w:hAnsi="Times New Roman" w:eastAsia="Times New Roman" w:cs="Times New Roman"/>
          <w:b/>
          <w:color w:val="000000"/>
          <w:sz w:val="24"/>
        </w:rPr>
        <w:t xml:space="preserve">Hạ tầng:</w:t>
      </w:r>
      <w:r>
        <w:rPr>
          <w:rFonts w:ascii="Times New Roman" w:hAnsi="Times New Roman" w:eastAsia="Times New Roman" w:cs="Times New Roman"/>
          <w:color w:val="000000"/>
          <w:sz w:val="24"/>
        </w:rPr>
        <w:t xml:space="preserve"> Hạ tầng giao thông hoàn thiện giúp kết nối nhanh chóng với Hà Nội và các tỉnh lân cận.</w:t>
      </w:r>
      <w:r/>
    </w:p>
    <w:p>
      <w:pPr>
        <w:numPr>
          <w:ilvl w:val="0"/>
          <w:numId w:val="42"/>
        </w:numPr>
        <w:pBdr>
          <w:top w:val="none" w:color="000000" w:sz="4" w:space="0"/>
          <w:left w:val="none" w:color="000000" w:sz="4" w:space="0"/>
          <w:bottom w:val="none" w:color="000000" w:sz="4" w:space="0"/>
          <w:right w:val="none" w:color="000000" w:sz="4" w:space="0"/>
        </w:pBdr>
        <w:tabs>
          <w:tab w:val="left" w:leader="none" w:pos="720"/>
        </w:tabs>
        <w:spacing/>
        <w:ind/>
        <w:rPr/>
      </w:pPr>
      <w:r>
        <w:rPr>
          <w:rFonts w:ascii="Times New Roman" w:hAnsi="Times New Roman" w:eastAsia="Times New Roman" w:cs="Times New Roman"/>
          <w:b/>
          <w:color w:val="000000"/>
          <w:sz w:val="24"/>
        </w:rPr>
        <w:t xml:space="preserve">Các phân khúc nổi bật:</w:t>
      </w:r>
      <w:r/>
    </w:p>
    <w:p>
      <w:pPr>
        <w:numPr>
          <w:ilvl w:val="1"/>
          <w:numId w:val="42"/>
        </w:numPr>
        <w:pBdr>
          <w:top w:val="none" w:color="000000" w:sz="4" w:space="0"/>
          <w:left w:val="none" w:color="000000" w:sz="4" w:space="0"/>
          <w:bottom w:val="none" w:color="000000" w:sz="4" w:space="0"/>
          <w:right w:val="none" w:color="000000" w:sz="4" w:space="0"/>
        </w:pBdr>
        <w:tabs>
          <w:tab w:val="left" w:leader="none" w:pos="1440"/>
        </w:tabs>
        <w:spacing/>
        <w:ind/>
        <w:rPr/>
      </w:pPr>
      <w:r>
        <w:rPr>
          <w:rFonts w:ascii="Times New Roman" w:hAnsi="Times New Roman" w:eastAsia="Times New Roman" w:cs="Times New Roman"/>
          <w:b/>
          <w:color w:val="000000"/>
          <w:sz w:val="24"/>
        </w:rPr>
        <w:t xml:space="preserve">Đất nền dự án:</w:t>
      </w:r>
      <w:r>
        <w:rPr>
          <w:rFonts w:ascii="Times New Roman" w:hAnsi="Times New Roman" w:eastAsia="Times New Roman" w:cs="Times New Roman"/>
          <w:color w:val="000000"/>
          <w:sz w:val="24"/>
        </w:rPr>
        <w:t xml:space="preserve"> Tập trung tại các khu vực trung tâm như thành phố Vĩnh Yên, Bình Xuyên.</w:t>
      </w:r>
      <w:r/>
    </w:p>
    <w:p>
      <w:pPr>
        <w:numPr>
          <w:ilvl w:val="1"/>
          <w:numId w:val="42"/>
        </w:numPr>
        <w:pBdr>
          <w:top w:val="none" w:color="000000" w:sz="4" w:space="0"/>
          <w:left w:val="none" w:color="000000" w:sz="4" w:space="0"/>
          <w:bottom w:val="none" w:color="000000" w:sz="4" w:space="0"/>
          <w:right w:val="none" w:color="000000" w:sz="4" w:space="0"/>
        </w:pBdr>
        <w:tabs>
          <w:tab w:val="left" w:leader="none" w:pos="1440"/>
        </w:tabs>
        <w:spacing/>
        <w:ind/>
        <w:rPr/>
      </w:pPr>
      <w:r>
        <w:rPr>
          <w:rFonts w:ascii="Times New Roman" w:hAnsi="Times New Roman" w:eastAsia="Times New Roman" w:cs="Times New Roman"/>
          <w:b/>
          <w:color w:val="000000"/>
          <w:sz w:val="24"/>
        </w:rPr>
        <w:t xml:space="preserve">BĐS Công nghiệp:</w:t>
      </w:r>
      <w:r>
        <w:rPr>
          <w:rFonts w:ascii="Times New Roman" w:hAnsi="Times New Roman" w:eastAsia="Times New Roman" w:cs="Times New Roman"/>
          <w:color w:val="000000"/>
          <w:sz w:val="24"/>
        </w:rPr>
        <w:t xml:space="preserve"> Các KCN Bình Xuyên, Khai Quang, Bá Thiện thu hút nhiều nhà đầu tư nước ngoài.</w:t>
      </w:r>
      <w:r/>
    </w:p>
    <w:p>
      <w:pPr>
        <w:numPr>
          <w:ilvl w:val="1"/>
          <w:numId w:val="42"/>
        </w:numPr>
        <w:pBdr>
          <w:top w:val="none" w:color="000000" w:sz="4" w:space="0"/>
          <w:left w:val="none" w:color="000000" w:sz="4" w:space="0"/>
          <w:bottom w:val="none" w:color="000000" w:sz="4" w:space="0"/>
          <w:right w:val="none" w:color="000000" w:sz="4" w:space="0"/>
        </w:pBdr>
        <w:tabs>
          <w:tab w:val="left" w:leader="none" w:pos="1440"/>
        </w:tabs>
        <w:spacing/>
        <w:ind/>
        <w:rPr/>
      </w:pPr>
      <w:r>
        <w:rPr>
          <w:rFonts w:ascii="Times New Roman" w:hAnsi="Times New Roman" w:eastAsia="Times New Roman" w:cs="Times New Roman"/>
          <w:b/>
          <w:color w:val="000000"/>
          <w:sz w:val="24"/>
        </w:rPr>
        <w:t xml:space="preserve">Nhà ở và Chung cư:</w:t>
      </w:r>
      <w:r>
        <w:rPr>
          <w:rFonts w:ascii="Times New Roman" w:hAnsi="Times New Roman" w:eastAsia="Times New Roman" w:cs="Times New Roman"/>
          <w:color w:val="000000"/>
          <w:sz w:val="24"/>
        </w:rPr>
        <w:t xml:space="preserve"> Phát triển mạnh tại trung tâm TP Vĩnh Yên (Vinhomes, An Phú...) phục vụ chuyên gia và người lao động.</w:t>
      </w:r>
      <w:r/>
    </w:p>
    <w:p>
      <w:pPr>
        <w:numPr>
          <w:ilvl w:val="0"/>
          <w:numId w:val="42"/>
        </w:numPr>
        <w:pBdr>
          <w:top w:val="none" w:color="000000" w:sz="4" w:space="0"/>
          <w:left w:val="none" w:color="000000" w:sz="4" w:space="0"/>
          <w:bottom w:val="none" w:color="000000" w:sz="4" w:space="0"/>
          <w:right w:val="none" w:color="000000" w:sz="4" w:space="0"/>
        </w:pBdr>
        <w:tabs>
          <w:tab w:val="left" w:leader="none" w:pos="720"/>
        </w:tabs>
        <w:spacing/>
        <w:ind/>
        <w:rPr/>
      </w:pPr>
      <w:r>
        <w:rPr>
          <w:rFonts w:ascii="Times New Roman" w:hAnsi="Times New Roman" w:eastAsia="Times New Roman" w:cs="Times New Roman"/>
          <w:b/>
          <w:color w:val="000000"/>
          <w:sz w:val="24"/>
        </w:rPr>
        <w:t xml:space="preserve">Triển vọng 2026 - 2030:</w:t>
      </w:r>
      <w:r>
        <w:rPr>
          <w:rFonts w:ascii="Times New Roman" w:hAnsi="Times New Roman" w:eastAsia="Times New Roman" w:cs="Times New Roman"/>
          <w:color w:val="000000"/>
          <w:sz w:val="24"/>
        </w:rPr>
        <w:t xml:space="preserve"> Giai đoạn này dự kiến có hơn 38.000 tỷ đồng vốn đầu tư, tạo "bước ngoặt" phục hồi và phát triển bền vững cho thị trường. [</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Vĩnh Phúc được đánh giá là thị trường tiềm năng, an toàn và hấp dẫn đối với các nhà đầu tư bất động sản tại khu vực phía Bắc</w:t>
      </w:r>
      <w:r>
        <w:rPr>
          <w:rFonts w:ascii="Times New Roman" w:hAnsi="Times New Roman" w:eastAsia="Times New Roman" w:cs="Times New Roman"/>
          <w:color w:val="0a0a0a"/>
          <w:sz w:val="24"/>
        </w:rPr>
        <w:t xml:space="preserve">.</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IV. THÔNG TIN VỀ TÀI SẢN THẨM ĐỊNH GIÁ</w:t>
      </w:r>
      <w:r/>
    </w:p>
    <w:tbl>
      <w:tblPr>
        <w:tblStyle w:val="992"/>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17"/>
        <w:gridCol w:w="2072"/>
        <w:gridCol w:w="2673"/>
        <w:gridCol w:w="2004"/>
        <w:gridCol w:w="2167"/>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9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Quyền sử dụng đất tại thửa đất số: 386, tờ bản đồ số: 52, có địa chỉ: Xã Cao Minh, thành phố Phúc Yên, tỉnh Vĩnh Phúc (nay là xã Xuân Hòa, tỉnh Phú Thọ)</w:t>
            </w:r>
            <w:r>
              <w:rPr>
                <w:rFonts w:ascii="Times New Roman" w:hAnsi="Times New Roman" w:eastAsia="Times New Roman" w:cs="Times New Roman"/>
                <w:b/>
                <w:color w:val="000000"/>
                <w:sz w:val="24"/>
                <w:highlight w:val="yellow"/>
              </w:rPr>
              <w:t xml:space="preserve"> </w:t>
            </w:r>
            <w:r>
              <w:rPr>
                <w:rFonts w:ascii="Times New Roman" w:hAnsi="Times New Roman" w:eastAsia="Times New Roman" w:cs="Times New Roman"/>
                <w:b/>
                <w:color w:val="000000"/>
                <w:sz w:val="24"/>
              </w:rPr>
              <w:t xml:space="preserve">theo Giấy chứng nhận quyền sử dụng đất, quyền sở hữu nhà ở và tài sản gắn liền với đất số: DP 123237, </w:t>
            </w:r>
            <w:r>
              <w:rPr>
                <w:rFonts w:ascii="Times New Roman" w:hAnsi="Times New Roman" w:eastAsia="Times New Roman" w:cs="Times New Roman"/>
                <w:b/>
                <w:color w:val="000000"/>
                <w:sz w:val="24"/>
              </w:rPr>
              <w:t xml:space="preserve">Số vào sổ cấp GCN: CN 03888 do Chi nhánh văn phòng đăng ký đất đai tỉnh Vĩnh Phúc cấp ngày 27/05/2024; chủ sử dụng đất là Ông Đào Văn Tâm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9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1.1</w:t>
            </w:r>
            <w:r/>
          </w:p>
        </w:tc>
        <w:tc>
          <w:tcPr>
            <w:gridSpan w:val="4"/>
            <w:tcBorders>
              <w:bottom w:val="single" w:color="000000" w:sz="8" w:space="0"/>
              <w:right w:val="single" w:color="000000" w:sz="8" w:space="0"/>
            </w:tcBorders>
            <w:tcMar>
              <w:left w:w="108" w:type="dxa"/>
              <w:top w:w="0" w:type="dxa"/>
              <w:right w:w="108" w:type="dxa"/>
              <w:bottom w:w="0" w:type="dxa"/>
            </w:tcMar>
            <w:tcW w:w="89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Thửa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6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386</w:t>
            </w:r>
            <w:r/>
          </w:p>
        </w:tc>
        <w:tc>
          <w:tcPr>
            <w:tcBorders>
              <w:bottom w:val="single" w:color="000000" w:sz="8" w:space="0"/>
              <w:right w:val="single" w:color="000000" w:sz="8" w:space="0"/>
            </w:tcBorders>
            <w:tcMar>
              <w:left w:w="108" w:type="dxa"/>
              <w:top w:w="0" w:type="dxa"/>
              <w:right w:w="108" w:type="dxa"/>
              <w:bottom w:w="0" w:type="dxa"/>
            </w:tcMar>
            <w:tcW w:w="20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1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8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highlight w:val="yellow"/>
              </w:rPr>
            </w:pPr>
            <w:r>
              <w:rPr>
                <w:rFonts w:ascii="Times New Roman" w:hAnsi="Times New Roman" w:eastAsia="Times New Roman" w:cs="Times New Roman"/>
                <w:color w:val="000000"/>
                <w:sz w:val="24"/>
              </w:rPr>
              <w:t xml:space="preserve">Xã Cao Minh, thành phố Phúc Yên, tỉnh Vĩnh Phúc (nay là xã Xuân Hòa, tỉnh Phú Thọ)</w:t>
            </w:r>
            <w:r>
              <w:rPr>
                <w:highlight w:val="yellow"/>
              </w:rPr>
            </w:r>
            <w:r>
              <w:rPr>
                <w:highlight w:val="yellow"/>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315,50</w:t>
            </w:r>
            <w:r/>
          </w:p>
        </w:tc>
        <w:tc>
          <w:tcPr>
            <w:tcBorders>
              <w:bottom w:val="single" w:color="000000" w:sz="8" w:space="0"/>
              <w:right w:val="single" w:color="000000" w:sz="8" w:space="0"/>
            </w:tcBorders>
            <w:tcMar>
              <w:left w:w="108" w:type="dxa"/>
              <w:top w:w="0" w:type="dxa"/>
              <w:right w:w="108" w:type="dxa"/>
              <w:bottom w:w="0" w:type="dxa"/>
            </w:tcMar>
            <w:tcW w:w="20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1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Sử dụng riêng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6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300m2; đất trồng cây lâu năm: 15,5m2</w:t>
            </w:r>
            <w:r/>
          </w:p>
        </w:tc>
        <w:tc>
          <w:tcPr>
            <w:tcBorders>
              <w:bottom w:val="single" w:color="000000" w:sz="8" w:space="0"/>
              <w:right w:val="single" w:color="000000" w:sz="8" w:space="0"/>
            </w:tcBorders>
            <w:tcMar>
              <w:left w:w="108" w:type="dxa"/>
              <w:top w:w="0" w:type="dxa"/>
              <w:right w:w="108" w:type="dxa"/>
              <w:bottom w:w="0" w:type="dxa"/>
            </w:tcMar>
            <w:tcW w:w="20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1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Đất ở: Lâu dài; đất trồng cây lâu năm: đến 15/10/2043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1.2</w:t>
            </w:r>
            <w:r/>
          </w:p>
        </w:tc>
        <w:tc>
          <w:tcPr>
            <w:gridSpan w:val="4"/>
            <w:tcBorders>
              <w:bottom w:val="single" w:color="000000" w:sz="8" w:space="0"/>
              <w:right w:val="single" w:color="000000" w:sz="8" w:space="0"/>
            </w:tcBorders>
            <w:tcMar>
              <w:left w:w="108" w:type="dxa"/>
              <w:top w:w="0" w:type="dxa"/>
              <w:right w:w="108" w:type="dxa"/>
              <w:bottom w:w="0" w:type="dxa"/>
            </w:tcMar>
            <w:tcW w:w="89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Ghi chú:</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9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 386 tờ bản đồ số 52 thay thế thửa đất số 32, tờ bản đồ số 09</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1.3.</w:t>
            </w:r>
            <w:r/>
          </w:p>
        </w:tc>
        <w:tc>
          <w:tcPr>
            <w:gridSpan w:val="4"/>
            <w:tcBorders>
              <w:bottom w:val="single" w:color="000000" w:sz="8" w:space="0"/>
              <w:right w:val="single" w:color="000000" w:sz="8" w:space="0"/>
            </w:tcBorders>
            <w:tcMar>
              <w:left w:w="108" w:type="dxa"/>
              <w:top w:w="0" w:type="dxa"/>
              <w:right w:w="108" w:type="dxa"/>
              <w:bottom w:w="0" w:type="dxa"/>
            </w:tcMar>
            <w:tcW w:w="89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Thông tin quy hoạch: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9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Tại thời điểm thẩm định giá, tổ thẩm định không thu thập được bất kỳ thông tin quy hoạch nào của thửa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9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9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 thực tế: </w:t>
            </w:r>
            <w:r/>
          </w:p>
        </w:tc>
        <w:tc>
          <w:tcPr>
            <w:gridSpan w:val="3"/>
            <w:tcBorders>
              <w:bottom w:val="single" w:color="000000" w:sz="8" w:space="0"/>
              <w:right w:val="single" w:color="000000" w:sz="8" w:space="0"/>
            </w:tcBorders>
            <w:tcMar>
              <w:left w:w="108" w:type="dxa"/>
              <w:top w:w="0" w:type="dxa"/>
              <w:right w:w="108" w:type="dxa"/>
              <w:bottom w:w="0" w:type="dxa"/>
            </w:tcMar>
            <w:tcW w:w="68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Thôn Hiền Lễ, xã Xuân Hòa, tỉnh Phú Thọ</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right w:val="single" w:color="000000" w:sz="8" w:space="0"/>
            </w:tcBorders>
            <w:tcMar>
              <w:left w:w="108" w:type="dxa"/>
              <w:top w:w="0" w:type="dxa"/>
              <w:right w:w="108" w:type="dxa"/>
              <w:bottom w:w="0" w:type="dxa"/>
            </w:tcMar>
            <w:tcW w:w="20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right w:val="single" w:color="000000" w:sz="8" w:space="0"/>
            </w:tcBorders>
            <w:tcMar>
              <w:left w:w="108" w:type="dxa"/>
              <w:top w:w="0" w:type="dxa"/>
              <w:right w:w="108" w:type="dxa"/>
              <w:bottom w:w="0" w:type="dxa"/>
            </w:tcMar>
            <w:tcW w:w="26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Tô Hiến Thành</w:t>
            </w:r>
            <w:r/>
          </w:p>
        </w:tc>
        <w:tc>
          <w:tcPr>
            <w:tcBorders>
              <w:right w:val="single" w:color="000000" w:sz="8" w:space="0"/>
            </w:tcBorders>
            <w:tcMar>
              <w:left w:w="108" w:type="dxa"/>
              <w:top w:w="0" w:type="dxa"/>
              <w:right w:w="108" w:type="dxa"/>
              <w:bottom w:w="0" w:type="dxa"/>
            </w:tcMar>
            <w:tcW w:w="20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right w:val="single" w:color="000000" w:sz="8" w:space="0"/>
            </w:tcBorders>
            <w:tcMar>
              <w:left w:w="108" w:type="dxa"/>
              <w:top w:w="0" w:type="dxa"/>
              <w:right w:w="108" w:type="dxa"/>
              <w:bottom w:w="0" w:type="dxa"/>
            </w:tcMar>
            <w:tcW w:w="21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Lô góc, 02 mặt tiền</w:t>
            </w:r>
            <w:r/>
          </w:p>
        </w:tc>
      </w:tr>
      <w:tr>
        <w:trPr>
          <w:trHeight w:val="20"/>
        </w:trPr>
        <w:tc>
          <w:tcPr>
            <w:tcBorders>
              <w:left w:val="single" w:color="000000" w:sz="8" w:space="0"/>
              <w:bottom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0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6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6m</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0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1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6m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right w:val="single" w:color="000000" w:sz="8" w:space="0"/>
            </w:tcBorders>
            <w:tcMar>
              <w:left w:w="108" w:type="dxa"/>
              <w:top w:w="0" w:type="dxa"/>
              <w:right w:w="108" w:type="dxa"/>
              <w:bottom w:w="0" w:type="dxa"/>
            </w:tcMar>
            <w:tcW w:w="20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108" w:type="dxa"/>
              <w:top w:w="0" w:type="dxa"/>
              <w:right w:w="108" w:type="dxa"/>
              <w:bottom w:w="0" w:type="dxa"/>
            </w:tcMar>
            <w:tcW w:w="68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Tiếp giáp đường Lê Hiến Thành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0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Các hướng tiếp giáp:</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8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highlight w:val="none"/>
              </w:rPr>
              <w:t xml:space="preserve">Hướng Đông</w:t>
            </w:r>
            <w:r>
              <w:rPr>
                <w:rFonts w:ascii="Times New Roman" w:hAnsi="Times New Roman" w:eastAsia="Times New Roman" w:cs="Times New Roman"/>
                <w:color w:val="000000"/>
                <w:sz w:val="24"/>
                <w:highlight w:val="yellow"/>
              </w:rPr>
            </w:r>
            <w:commentRangeStart w:id="3"/>
            <w:r/>
            <w:commentRangeEnd w:id="3"/>
            <w:r>
              <w:commentReference w:id="3"/>
            </w:r>
            <w:r>
              <w:rPr>
                <w:rFonts w:ascii="Times New Roman" w:hAnsi="Times New Roman" w:eastAsia="Times New Roman" w:cs="Times New Roman"/>
                <w:color w:val="000000"/>
                <w:sz w:val="24"/>
                <w:highlight w:val="yellow"/>
              </w:rPr>
              <w:t xml:space="preserve"> Nam</w:t>
            </w:r>
            <w:r>
              <w:rPr>
                <w:rFonts w:ascii="Times New Roman" w:hAnsi="Times New Roman" w:eastAsia="Times New Roman" w:cs="Times New Roman"/>
                <w:color w:val="000000"/>
                <w:sz w:val="24"/>
              </w:rPr>
              <w:t xml:space="preserve"> tiếp giáp đường giao thông rộng 6m;</w:t>
              <w:br/>
            </w:r>
            <w:r>
              <w:rPr>
                <w:rFonts w:ascii="Times New Roman" w:hAnsi="Times New Roman" w:eastAsia="Times New Roman" w:cs="Times New Roman"/>
                <w:color w:val="000000"/>
                <w:sz w:val="24"/>
                <w:highlight w:val="yellow"/>
              </w:rPr>
              <w:t xml:space="preserve">Hướng Tây</w:t>
            </w:r>
            <w:r>
              <w:rPr>
                <w:rFonts w:ascii="Times New Roman" w:hAnsi="Times New Roman" w:eastAsia="Times New Roman" w:cs="Times New Roman"/>
                <w:color w:val="000000"/>
                <w:sz w:val="24"/>
              </w:rPr>
              <w:t xml:space="preserve"> Nam tiếp giáp đường giao thông rộng 3m;</w:t>
              <w:br/>
              <w:t xml:space="preserve">Các hường còn lại tiếp giáp thửa đất khác.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9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highlight w:val="yellow"/>
              </w:rPr>
            </w:pPr>
            <w:r>
              <w:rPr>
                <w:rFonts w:ascii="Times New Roman" w:hAnsi="Times New Roman" w:eastAsia="Times New Roman" w:cs="Times New Roman"/>
                <w:color w:val="000000"/>
                <w:sz w:val="24"/>
                <w:highlight w:val="yellow"/>
              </w:rPr>
              <w:t xml:space="preserve">Vị trí trên bản đồ vệ tinh:</w:t>
            </w:r>
            <w:r>
              <w:rPr>
                <w:highlight w:val="yellow"/>
              </w:rPr>
            </w:r>
            <w:r>
              <w:rPr>
                <w:highlight w:val="yellow"/>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9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mc:AlternateContent>
                <mc:Choice Requires="wpg">
                  <w:drawing>
                    <wp:inline xmlns:wp="http://schemas.openxmlformats.org/drawingml/2006/wordprocessingDrawing" distT="0" distB="0" distL="0" distR="0">
                      <wp:extent cx="5524500" cy="2514600"/>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990123" name=""/>
                              <pic:cNvPicPr>
                                <a:picLocks noChangeAspect="1"/>
                              </pic:cNvPicPr>
                              <pic:nvPr/>
                            </pic:nvPicPr>
                            <pic:blipFill rotWithShape="1">
                              <a:blip r:embed="rId15"/>
                              <a:stretch/>
                            </pic:blipFill>
                            <pic:spPr bwMode="auto">
                              <a:xfrm>
                                <a:off x="0" y="0"/>
                                <a:ext cx="5524499" cy="2514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435.00pt;height:198.00pt;mso-wrap-distance-left:0.00pt;mso-wrap-distance-top:0.00pt;mso-wrap-distance-right:0.00pt;mso-wrap-distance-bottom:0.00pt;z-index:1;" stroked="false">
                      <v:imagedata r:id="rId15" o:title=""/>
                      <o:lock v:ext="edit" rotation="t"/>
                    </v:shape>
                  </w:pict>
                </mc:Fallback>
              </mc:AlternateConten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9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315,50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KT 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17,50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Chiều sâu (m):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23,00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Hình dáng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Tương đối 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highlight w:val="yellow"/>
              </w:rPr>
            </w:pPr>
            <w:r>
              <w:rPr>
                <w:rFonts w:ascii="Times New Roman" w:hAnsi="Times New Roman" w:eastAsia="Times New Roman" w:cs="Times New Roman"/>
                <w:color w:val="000000"/>
                <w:sz w:val="24"/>
                <w:highlight w:val="yellow"/>
              </w:rPr>
              <w:t xml:space="preserve">Hướng chính</w:t>
            </w:r>
            <w:r>
              <w:rPr>
                <w:highlight w:val="yellow"/>
              </w:rPr>
            </w:r>
            <w:r>
              <w:rPr>
                <w:highlight w:val="yellow"/>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highlight w:val="yellow"/>
              </w:rPr>
            </w:pPr>
            <w:r>
              <w:rPr>
                <w:rFonts w:ascii="Times New Roman" w:hAnsi="Times New Roman" w:eastAsia="Times New Roman" w:cs="Times New Roman"/>
                <w:color w:val="000000"/>
                <w:sz w:val="24"/>
                <w:highlight w:val="none"/>
              </w:rPr>
              <w:t xml:space="preserve">Đông </w:t>
            </w:r>
            <w:r>
              <w:rPr>
                <w:rFonts w:ascii="Times New Roman" w:hAnsi="Times New Roman" w:eastAsia="Times New Roman" w:cs="Times New Roman"/>
                <w:color w:val="000000"/>
                <w:sz w:val="24"/>
                <w:highlight w:val="yellow"/>
              </w:rPr>
              <w:t xml:space="preserve">Nam</w:t>
            </w:r>
            <w:r>
              <w:rPr>
                <w:highlight w:val="yellow"/>
              </w:rPr>
            </w:r>
            <w:r>
              <w:rPr>
                <w:highlight w:val="yellow"/>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9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Đông đúc</w:t>
            </w:r>
            <w:r/>
          </w:p>
        </w:tc>
        <w:tc>
          <w:tcPr>
            <w:tcBorders>
              <w:bottom w:val="single" w:color="000000" w:sz="8" w:space="0"/>
              <w:right w:val="single" w:color="000000" w:sz="8" w:space="0"/>
            </w:tcBorders>
            <w:tcMar>
              <w:left w:w="108" w:type="dxa"/>
              <w:top w:w="0" w:type="dxa"/>
              <w:right w:w="108" w:type="dxa"/>
              <w:bottom w:w="0" w:type="dxa"/>
            </w:tcMar>
            <w:tcW w:w="20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Ổn định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6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 khá</w:t>
            </w:r>
            <w:r/>
          </w:p>
        </w:tc>
        <w:tc>
          <w:tcPr>
            <w:tcBorders>
              <w:bottom w:val="single" w:color="000000" w:sz="8" w:space="0"/>
              <w:right w:val="single" w:color="000000" w:sz="8" w:space="0"/>
            </w:tcBorders>
            <w:tcMar>
              <w:left w:w="108" w:type="dxa"/>
              <w:top w:w="0" w:type="dxa"/>
              <w:right w:w="108" w:type="dxa"/>
              <w:bottom w:w="0" w:type="dxa"/>
            </w:tcMar>
            <w:tcW w:w="20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1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Tốt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26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khu dân cư thông thường: 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200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21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Tốt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9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Tài sản gắn liền với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9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Tại thời điểm khảo sát, dưới sự hướng dẫn của chủ tài sản, thửa đất có 02 CTXD:</w:t>
              <w:br/>
              <w:t xml:space="preserve"> + Nhà 01 tầng, diện tích xây dựng khoảng 70m2;</w:t>
              <w:br/>
              <w:t xml:space="preserve"> + Nhà 01 tầng, diện tích xây dựng khoảng 40m2;</w:t>
              <w:br/>
              <w:t xml:space="preserve"> Cả 02 CTXD đều chưa được công nhận trên GCN QSDĐ số: DP 123237</w:t>
            </w:r>
            <w:r/>
          </w:p>
        </w:tc>
      </w:tr>
    </w:tbl>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u w:val="none"/>
        </w:rPr>
        <w:t xml:space="preserve"> </w:t>
      </w:r>
      <w:r/>
    </w:p>
    <w:p>
      <w:pPr>
        <w:pBdr>
          <w:top w:val="none" w:color="000000" w:sz="4" w:space="0"/>
          <w:left w:val="none" w:color="000000" w:sz="4" w:space="0"/>
          <w:bottom w:val="none" w:color="000000" w:sz="4" w:space="0"/>
          <w:right w:val="none" w:color="000000" w:sz="4" w:space="0"/>
        </w:pBdr>
        <w:spacing w:line="233" w:lineRule="auto"/>
        <w:ind w:right="0" w:firstLine="0" w:left="284"/>
        <w:jc w:val="both"/>
        <w:rPr/>
      </w:pPr>
      <w:r>
        <w:rPr>
          <w:rFonts w:ascii="Times New Roman" w:hAnsi="Times New Roman" w:eastAsia="Times New Roman" w:cs="Times New Roman"/>
          <w:b/>
          <w:color w:val="000000"/>
          <w:sz w:val="24"/>
          <w:u w:val="single"/>
        </w:rPr>
        <w:t xml:space="preserve">Các lợi thế thương mại của thửa đất:</w:t>
      </w:r>
      <w:r/>
    </w:p>
    <w:p>
      <w:pPr>
        <w:pBdr>
          <w:top w:val="none" w:color="000000" w:sz="4" w:space="0"/>
          <w:left w:val="none" w:color="000000" w:sz="4" w:space="0"/>
          <w:bottom w:val="none" w:color="000000" w:sz="4" w:space="0"/>
          <w:right w:val="none" w:color="000000" w:sz="4" w:space="0"/>
        </w:pBdr>
        <w:spacing w:line="233" w:lineRule="auto"/>
        <w:ind w:right="0" w:firstLine="0" w:left="284"/>
        <w:jc w:val="both"/>
        <w:rPr/>
      </w:pPr>
      <w:r>
        <w:rPr>
          <w:rFonts w:ascii="Times New Roman" w:hAnsi="Times New Roman" w:eastAsia="Times New Roman" w:cs="Times New Roman"/>
          <w:b/>
          <w:color w:val="000000"/>
          <w:sz w:val="24"/>
          <w:u w:val="none"/>
        </w:rPr>
        <w:t xml:space="preserve"> </w:t>
      </w:r>
      <w:r/>
    </w:p>
    <w:tbl>
      <w:tblPr>
        <w:tblStyle w:val="992"/>
        <w:tblInd w:w="0" w:type="dxa"/>
        <w:tblW w:w="5103" w:type="pct"/>
        <w:tblCellMar>
          <w:left w:w="0" w:type="dxa"/>
          <w:top w:w="0" w:type="dxa"/>
          <w:right w:w="0" w:type="dxa"/>
          <w:bottom w:w="0" w:type="dxa"/>
        </w:tblCellMar>
        <w:tblBorders>
          <w:top w:val="single" w:color="000000" w:sz="8" w:space="0"/>
          <w:left w:val="single" w:color="000000" w:sz="8" w:space="0"/>
          <w:bottom w:val="single" w:color="000000" w:sz="6" w:space="0"/>
          <w:right w:val="single" w:color="000000" w:sz="6" w:space="0"/>
          <w:insideH w:val="single" w:color="000000" w:sz="4" w:space="0"/>
          <w:insideV w:val="single" w:color="000000" w:sz="4" w:space="0"/>
        </w:tblBorders>
        <w:tblLayout w:type="fixed"/>
        <w:tblLook w:val="04A0" w:firstRow="1" w:lastRow="0" w:firstColumn="1" w:lastColumn="0" w:noHBand="0" w:noVBand="1"/>
      </w:tblPr>
      <w:tblGrid>
        <w:gridCol w:w="1037"/>
        <w:gridCol w:w="3827"/>
        <w:gridCol w:w="2429"/>
        <w:gridCol w:w="2429"/>
      </w:tblGrid>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STT</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82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Nội dung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 </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Ghi chú</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82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Đất/Tài sản bám biển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82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bám hồ (Diện tích &gt;=5ha thì được coi là hồ)</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3</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82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Bám đầm, ao lớn thuộc sở hữu nhà nước (ao lớn - S=0.5ha)&lt;5ha</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4</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82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Thế đất tọa sơn hướng thủy 'hậu tựa núi, trước view sông, hồ, đầm', view thoáng, không bị che khuất, loại đất rất được ưa chuộng nghỉ dưỡng, nhà nghỉ cao cấp</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5</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82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View hồ sông, sông, suối, đầm, ao lớn (S=0.5ha), ruộng lúa, đồi núi xa, ngắm hoàng hôn, bình minh xa soi mặt nước, thơ mộng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6</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82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Đường vào thoáng không đâm thẳng cửa chính 'Thế tránh tiễn khí'</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7</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82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Có yếu tố 'Linh' gắn với tiếng lành, tài lộc, đại danh, văn hóa, truyền thuyết được xem là khu địa linh nhân kiệt</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8</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82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Đất/tài sản liền kề, đối diện vườn hoa, khu thể thao, bể bơi (không đối diện nhà ở) để được xe hơi</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9</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82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view công viên, vườn hoa, khu thể thao, bể bơi</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2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bl>
    <w:p>
      <w:pPr>
        <w:pBdr>
          <w:top w:val="none" w:color="000000" w:sz="4" w:space="0"/>
          <w:left w:val="none" w:color="000000" w:sz="4" w:space="0"/>
          <w:bottom w:val="none" w:color="000000" w:sz="4" w:space="0"/>
          <w:right w:val="none" w:color="000000" w:sz="4" w:space="0"/>
        </w:pBdr>
        <w:spacing w:line="233" w:lineRule="auto"/>
        <w:ind w:right="0" w:firstLine="0" w:left="646"/>
        <w:jc w:val="both"/>
        <w:rPr/>
      </w:pPr>
      <w:r>
        <w:rPr>
          <w:rFonts w:ascii="Times New Roman" w:hAnsi="Times New Roman" w:eastAsia="Times New Roman" w:cs="Times New Roman"/>
          <w:color w:val="000000"/>
          <w:sz w:val="24"/>
          <w:u w:val="none"/>
        </w:rPr>
        <w:t xml:space="preserve"> </w:t>
      </w:r>
      <w:r/>
    </w:p>
    <w:p>
      <w:pPr>
        <w:pBdr>
          <w:top w:val="none" w:color="000000" w:sz="4" w:space="0"/>
          <w:left w:val="none" w:color="000000" w:sz="4" w:space="0"/>
          <w:bottom w:val="none" w:color="000000" w:sz="4" w:space="0"/>
          <w:right w:val="none" w:color="000000" w:sz="4" w:space="0"/>
        </w:pBdr>
        <w:spacing w:line="233" w:lineRule="auto"/>
        <w:ind w:right="0" w:firstLine="0" w:left="284"/>
        <w:jc w:val="both"/>
        <w:rPr/>
      </w:pPr>
      <w:r>
        <w:rPr>
          <w:rFonts w:ascii="Times New Roman" w:hAnsi="Times New Roman" w:eastAsia="Times New Roman" w:cs="Times New Roman"/>
          <w:b/>
          <w:color w:val="000000"/>
          <w:sz w:val="24"/>
          <w:u w:val="single"/>
        </w:rPr>
        <w:t xml:space="preserve">Các bất lợi thương mại của thửa đất:</w:t>
      </w:r>
      <w:r/>
    </w:p>
    <w:p>
      <w:pPr>
        <w:pBdr>
          <w:top w:val="none" w:color="000000" w:sz="4" w:space="0"/>
          <w:left w:val="none" w:color="000000" w:sz="4" w:space="0"/>
          <w:bottom w:val="none" w:color="000000" w:sz="4" w:space="0"/>
          <w:right w:val="none" w:color="000000" w:sz="4" w:space="0"/>
        </w:pBdr>
        <w:spacing w:line="233" w:lineRule="auto"/>
        <w:ind w:right="0" w:firstLine="0" w:left="284"/>
        <w:jc w:val="both"/>
        <w:rPr/>
      </w:pPr>
      <w:r>
        <w:rPr>
          <w:rFonts w:ascii="Times New Roman" w:hAnsi="Times New Roman" w:eastAsia="Times New Roman" w:cs="Times New Roman"/>
          <w:b/>
          <w:color w:val="000000"/>
          <w:sz w:val="24"/>
          <w:u w:val="none"/>
        </w:rPr>
        <w:t xml:space="preserve"> </w:t>
      </w:r>
      <w:r/>
    </w:p>
    <w:tbl>
      <w:tblPr>
        <w:tblStyle w:val="992"/>
        <w:tblInd w:w="0" w:type="dxa"/>
        <w:tblW w:w="5083" w:type="pct"/>
        <w:tblCellMar>
          <w:left w:w="0" w:type="dxa"/>
          <w:top w:w="0" w:type="dxa"/>
          <w:right w:w="0" w:type="dxa"/>
          <w:bottom w:w="0" w:type="dxa"/>
        </w:tblCellMar>
        <w:tblBorders>
          <w:top w:val="single" w:color="000000" w:sz="8" w:space="0"/>
          <w:left w:val="single" w:color="000000" w:sz="8" w:space="0"/>
          <w:bottom w:val="single" w:color="000000" w:sz="6" w:space="0"/>
          <w:right w:val="single" w:color="000000" w:sz="6" w:space="0"/>
          <w:insideH w:val="single" w:color="000000" w:sz="4" w:space="0"/>
          <w:insideV w:val="single" w:color="000000" w:sz="4" w:space="0"/>
        </w:tblBorders>
        <w:tblLayout w:type="fixed"/>
        <w:tblLook w:val="04A0" w:firstRow="1" w:lastRow="0" w:firstColumn="1" w:lastColumn="0" w:noHBand="0" w:noVBand="1"/>
      </w:tblPr>
      <w:tblGrid>
        <w:gridCol w:w="1037"/>
        <w:gridCol w:w="3827"/>
        <w:gridCol w:w="2381"/>
        <w:gridCol w:w="2438"/>
      </w:tblGrid>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STT</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82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Nội dung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 </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Ghi chú</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82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khu vực tâm linh, có âm, sát khí (Nhà tang lễ, nghĩa trang, nhà xác…) &lt;= 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82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khu vực tâm linh, có âm, sát khí (Nhà tang lễ, nghĩa trang, nhà xác…) (50m &lt;= 150m)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3</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82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khu vực tâm linh, có âm, sát khí (Nhà tang lễ, nghĩa trang, nhà xác…) (150m &lt;= 300m)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4</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82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khu vực tâm linh, có âm, sát khí (Nhà tang lễ, nghĩa trang, nhà xác…) (300m &lt;= 500m)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5</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82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khu vực tâm linh (Miếu thờ cúng tâm linh, đình, đền, chùa…) &lt;= 30m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6</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82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khu vực tâm linh (Miếu thờ cúng tâm linh, đình, đền, chùa…) (30m &lt;= 100m)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7</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82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từng là nghĩa trang, khu tâm linh cũ (đền, đình, chùa, miếu mạo…) đã được san lấp làm khu dân cư</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8</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82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Trên đất/Công trình có mộ không thể hoặc rất khó có khả năng di chuyển (Mộ tổ chi, tộc, mộ cổ, mộ tâm linh gắn với miếu mạo được nhân dân thờ cúng)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9</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82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Trên đất/ Công trình có mộ gia đình hoặc vô chủ có thể di chuyển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10</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82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sát khu mộ phần hoặc liền kề mộ phần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11</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82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Trên đất/ Công trình có điện thờ, nhà thợ họ dòng tộc</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12</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82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sát hoặc liền kề nhà thờ họ</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13</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82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gia tộc anh em, họ hàng sống xung quanh chung ngõ đi</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14</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82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Công trình có người tự sát/ án mạng/ tại nạn... bị ảnh hưởng truyền thông Nhẹ “Một vụ tự sát cá biệt không ồn ào, không truyền thông, trong nhà riêng, người Mua/Bán đông ít quan tâm: thị trường ít phản ứng, nếu có phản ứng chỉ là tâm lý tạm thời.”</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15</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82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Công trình có người tự sát/án mạng/ tai nạn... bị ảnh hưởng truyền thông Trung bình “Một vụ tự sát được biết trong khu vực nhưng có ít lời đồn, nhưng có thể che dấu/ khắc phục nhanh (sơn sửa, thay nội thất: phổ biến ở căn hộ chung cư, nhà phố ảnh hưởn</w:t>
            </w:r>
            <w:r>
              <w:rPr>
                <w:rFonts w:ascii="Times New Roman" w:hAnsi="Times New Roman" w:eastAsia="Times New Roman" w:cs="Times New Roman"/>
                <w:color w:val="000000"/>
                <w:sz w:val="24"/>
              </w:rPr>
              <w:t xml:space="preserve">g của nó giảm theo thời gian”.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16</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82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Công trình có người tự sát/án mạng/ tai nạn... bị ảnh hưởng truyền thông Mạnh “Vụ có yếu tố bạo lực, hoặc được đăng báo địa phương; khu dân cư tỏ ra e ngại; mua ở chịu ảnh hưởng. Mức này thường dùng khi có giao dịch thực tế cho thấy có sự kiện bị bán </w:t>
            </w:r>
            <w:r>
              <w:rPr>
                <w:rFonts w:ascii="Times New Roman" w:hAnsi="Times New Roman" w:eastAsia="Times New Roman" w:cs="Times New Roman"/>
                <w:color w:val="000000"/>
                <w:sz w:val="24"/>
              </w:rPr>
              <w:t xml:space="preserve">rẻ hơn”.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17</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82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Công trình có người tự sát/án mạng/ tai nạn... bị ảnh hưởng truyền thông Rất Mạnh “Vụ nổi tiếng, nhiều truyền thông, nhiều vụ tương tự tại cùng vị trí, hoặc địa điểm mang tính 'tăm tối' (ví dụ: nhiều vụ xảy ra liên tiếp hoặc lời đồn qua nhiều năm có m</w:t>
            </w:r>
            <w:r>
              <w:rPr>
                <w:rFonts w:ascii="Times New Roman" w:hAnsi="Times New Roman" w:eastAsia="Times New Roman" w:cs="Times New Roman"/>
                <w:color w:val="000000"/>
                <w:sz w:val="24"/>
              </w:rPr>
              <w:t xml:space="preserve">a, quỉ, hiện tượng tâm linh nhiều năm. Mức này dẫn tới tài sản rất khó bán thậm trí có thể loại trừ trong so sánh”.</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18</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82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hoặc liên kế cây xăng &lt;= 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19</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82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hoặc liên kế trạm thu phát sóng &lt;= 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20</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82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hoặc liên kế đường dây truyền tải điện cao thế 500 KV &lt;= 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21</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82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hoặc liên kế đường dây truyền tải điện 220 KV &lt;= 30m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22</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82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Mặt tiền bị che chắn (có cột điện, trạm biến áp…)</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23</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82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đường sắt&lt;=50m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24</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82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Đường vào thẳng tắp như mũi tên đâm thẳng cửa chính “Thế tiễn khí”.</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25</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82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nằm dưới chân cầu, đường dốc cao (Thế bị xung : Hổ phục, Long phục) xe lao xuống, gió tạt thẳng sát khí, không tụ.</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103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26</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82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Giao lộ Chữ “T”, bị đường đâm thẳng vào “Thế tiền đao sát”.</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438"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bl>
    <w:p>
      <w:pPr>
        <w:pBdr>
          <w:top w:val="none" w:color="000000" w:sz="4" w:space="0"/>
          <w:left w:val="none" w:color="000000" w:sz="4" w:space="0"/>
          <w:bottom w:val="none" w:color="000000" w:sz="4" w:space="0"/>
          <w:right w:val="none" w:color="000000" w:sz="4" w:space="0"/>
        </w:pBdr>
        <w:spacing w:line="233" w:lineRule="auto"/>
        <w:ind w:right="0" w:firstLine="0" w:left="646"/>
        <w:jc w:val="both"/>
        <w:rPr/>
      </w:pPr>
      <w:r>
        <w:rPr>
          <w:rFonts w:ascii="Times New Roman" w:hAnsi="Times New Roman" w:eastAsia="Times New Roman" w:cs="Times New Roman"/>
          <w:color w:val="000000"/>
          <w:sz w:val="24"/>
          <w:u w:val="none"/>
        </w:rPr>
        <w:t xml:space="preserve"> </w:t>
      </w:r>
      <w:r/>
    </w:p>
    <w:p>
      <w:pPr>
        <w:pBdr>
          <w:top w:val="none" w:color="000000" w:sz="4" w:space="0"/>
          <w:left w:val="none" w:color="000000" w:sz="4" w:space="0"/>
          <w:bottom w:val="none" w:color="000000" w:sz="4" w:space="0"/>
          <w:right w:val="none" w:color="000000" w:sz="4" w:space="0"/>
        </w:pBdr>
        <w:tabs>
          <w:tab w:val="left" w:leader="none" w:pos="993"/>
        </w:tabs>
        <w:spacing w:after="120" w:before="240" w:line="276" w:lineRule="auto"/>
        <w:ind w:right="0" w:firstLine="0" w:left="0"/>
        <w:jc w:val="both"/>
        <w:rPr/>
      </w:pPr>
      <w:r>
        <w:rPr>
          <w:rFonts w:ascii="Times New Roman" w:hAnsi="Times New Roman" w:eastAsia="Times New Roman" w:cs="Times New Roman"/>
          <w:b/>
          <w:color w:val="000000"/>
          <w:sz w:val="24"/>
        </w:rPr>
        <w:t xml:space="preserve">V. CÁC GIẢ THIẾT VÀ GIẢ THIẾT ĐẶC BIỆT</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color w:val="000000"/>
          <w:spacing w:val="-2"/>
          <w:sz w:val="24"/>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w:t>
      </w:r>
      <w:r>
        <w:rPr>
          <w:rFonts w:ascii="Times New Roman" w:hAnsi="Times New Roman" w:eastAsia="Times New Roman" w:cs="Times New Roman"/>
          <w:color w:val="000000"/>
          <w:spacing w:val="-2"/>
          <w:sz w:val="24"/>
        </w:rPr>
        <w:t xml:space="preserve"> trừ mọi trách nhiệm phát sinh, liên đới (nếu có) trong trường hợp này.</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rPr/>
      </w:pPr>
      <w:r>
        <w:rPr>
          <w:rFonts w:ascii="Times New Roman" w:hAnsi="Times New Roman" w:eastAsia="Times New Roman" w:cs="Times New Roman"/>
          <w:color w:val="000000"/>
          <w:sz w:val="24"/>
        </w:rPr>
        <w:t xml:space="preserve">Tại thời điểm khảo sát, dưới sự hướng dẫn của chủ tài sản, thửa đất có 02 CTXD:</w:t>
        <w:br/>
        <w:t xml:space="preserve"> + Nhà 01 tầng, diện tích xây dựng khoảng 70m2;</w:t>
        <w:br/>
        <w:t xml:space="preserve"> + Nhà 01 tầng, diện tích xây dựng khoảng 40m2;</w:t>
        <w:br/>
        <w:t xml:space="preserve"> Cả 02 CTXD đều chưa được công nhận trên GCN QSDĐ số: DP 123237. Đồng thời, tổ t</w:t>
      </w:r>
      <w:r>
        <w:rPr>
          <w:rFonts w:ascii="Times New Roman" w:hAnsi="Times New Roman" w:eastAsia="Times New Roman" w:cs="Times New Roman"/>
          <w:color w:val="000000"/>
          <w:sz w:val="24"/>
        </w:rPr>
        <w:t xml:space="preserve">hẩm định cũng không nhận được bất kỳ giấy tờ pháp lý nào liên quan đến 02 CTXD trên. Theo đề nghị của quý Khách hàng/Ngân hàng, tổ thẩm định không xác định giá trị các CTXD trên nhưng vẫn coi là phần không thể thiếu của Tài sản thẩm định.</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rPr/>
      </w:pPr>
      <w:r>
        <w:rPr>
          <w:rFonts w:ascii="Times New Roman" w:hAnsi="Times New Roman" w:eastAsia="Times New Roman" w:cs="Times New Roman"/>
          <w:color w:val="000000"/>
          <w:sz w:val="24"/>
        </w:rPr>
        <w:t xml:space="preserve">Giá trị tài sản thẩm định giá được ước tính dựa trên giả định không có bất kỳ yếu tố nào làm cản trở ảnh hưởng đến việc giao dịch bình thường của tài sản trên thị trường.</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b/>
          <w:color w:val="000000"/>
          <w:sz w:val="24"/>
        </w:rPr>
        <w:t xml:space="preserve">VI. CƠ SỞ GIÁ TRỊ THẨM ĐỊNH GIÁ</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b/>
          <w:color w:val="000000"/>
          <w:sz w:val="24"/>
        </w:rPr>
        <w:t xml:space="preserve">Giá trị thị trường:</w:t>
      </w:r>
      <w:r>
        <w:rPr>
          <w:rFonts w:ascii="Times New Roman" w:hAnsi="Times New Roman" w:eastAsia="Times New Roman" w:cs="Times New Roman"/>
          <w:color w:val="000000"/>
          <w:sz w:val="24"/>
        </w:rPr>
        <w:t xml:space="preserve"> Kết quả thẩm định giá trị tài sản được xác định dựa trên cơ sở giá trị thị trường tại thời điểm thẩm định theo Chuẩn mực thẩm định giá Việt Nam về Cơ sở giá trị thẩm định giá: </w:t>
      </w:r>
      <w:r>
        <w:rPr>
          <w:rFonts w:ascii="Times New Roman" w:hAnsi="Times New Roman" w:eastAsia="Times New Roman" w:cs="Times New Roman"/>
          <w:i/>
          <w:color w:val="000000"/>
          <w:sz w:val="24"/>
        </w:rPr>
        <w:t xml:space="preserve">“Giá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w:t>
      </w:r>
      <w:r>
        <w:rPr>
          <w:rFonts w:ascii="Times New Roman" w:hAnsi="Times New Roman" w:eastAsia="Times New Roman" w:cs="Times New Roman"/>
          <w:i/>
          <w:color w:val="000000"/>
          <w:sz w:val="24"/>
        </w:rPr>
        <w:t xml:space="preserve">u biết, thận trọng và không bị ép buộc”</w:t>
      </w: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VII. CÁCH TIẾP CẬN, PHƯƠNG PHÁP THẨM ĐỊNH GIÁ</w:t>
      </w:r>
      <w:r/>
    </w:p>
    <w:p>
      <w:pPr>
        <w:numPr>
          <w:ilvl w:val="0"/>
          <w:numId w:val="41"/>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Cách tiếp cận và phương pháp thẩm định:</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i/>
          <w:color w:val="000000"/>
          <w:sz w:val="24"/>
        </w:rPr>
        <w:t xml:space="preserve">Cách tiếp cận từ thị trường: </w:t>
      </w:r>
      <w:r>
        <w:rPr>
          <w:rFonts w:ascii="Times New Roman" w:hAnsi="Times New Roman" w:eastAsia="Times New Roman" w:cs="Times New Roman"/>
          <w:color w:val="000000"/>
          <w:sz w:val="24"/>
        </w:rPr>
        <w:t xml:space="preserve">Xác định giá trị của tài sản thẩm định giá thông qua việc so sánh tài sản thẩm định giá với các tài sản so sánh đã có các thông tin về giá trên thị trường.</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i/>
          <w:color w:val="000000"/>
          <w:sz w:val="24"/>
        </w:rPr>
        <w:t xml:space="preserve">Phương pháp so sánh:</w:t>
      </w:r>
      <w:r>
        <w:rPr>
          <w:rFonts w:ascii="Times New Roman" w:hAnsi="Times New Roman" w:eastAsia="Times New Roman" w:cs="Times New Roman"/>
          <w:color w:val="000000"/>
          <w:sz w:val="24"/>
        </w:rPr>
        <w:t xml:space="preserve"> Xác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w:t>
      </w:r>
      <w:r>
        <w:rPr>
          <w:rFonts w:ascii="Times New Roman" w:hAnsi="Times New Roman" w:eastAsia="Times New Roman" w:cs="Times New Roman"/>
          <w:color w:val="000000"/>
          <w:sz w:val="24"/>
        </w:rPr>
        <w:t xml:space="preserve">nh giá.</w:t>
      </w:r>
      <w:r/>
    </w:p>
    <w:p>
      <w:pPr>
        <w:numPr>
          <w:ilvl w:val="0"/>
          <w:numId w:val="41"/>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cách tiếp cận và phương pháp đối với tài sản thẩm định giá:</w:t>
      </w:r>
      <w:r/>
    </w:p>
    <w:p>
      <w:pPr>
        <w:numPr>
          <w:ilvl w:val="0"/>
          <w:numId w:val="43"/>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pacing w:val="-4"/>
          <w:sz w:val="24"/>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 giá trị quyền sử dụng</w:t>
      </w:r>
      <w:r>
        <w:rPr>
          <w:rFonts w:ascii="Times New Roman" w:hAnsi="Times New Roman" w:eastAsia="Times New Roman" w:cs="Times New Roman"/>
          <w:color w:val="000000"/>
          <w:spacing w:val="-4"/>
          <w:sz w:val="24"/>
        </w:rPr>
        <w:t xml:space="preserve"> đất của tài sản thẩm định giá.</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VIII. GIÁ TRỊ TÀI SẢN THẨM ĐỊNH</w:t>
      </w:r>
      <w:r/>
    </w:p>
    <w:p>
      <w:pPr>
        <w:numPr>
          <w:ilvl w:val="0"/>
          <w:numId w:val="41"/>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đơn giá quyền sử dụng đất ở:</w:t>
      </w:r>
      <w:r/>
    </w:p>
    <w:p>
      <w:pPr>
        <w:pBdr>
          <w:top w:val="none" w:color="000000" w:sz="4" w:space="0"/>
          <w:left w:val="none" w:color="000000" w:sz="4" w:space="0"/>
          <w:bottom w:val="none" w:color="000000" w:sz="4" w:space="0"/>
          <w:right w:val="none" w:color="000000" w:sz="4" w:space="0"/>
        </w:pBdr>
        <w:spacing w:after="120" w:before="120" w:line="276" w:lineRule="auto"/>
        <w:ind w:right="0" w:firstLine="357" w:left="0"/>
        <w:jc w:val="both"/>
        <w:rPr/>
      </w:pPr>
      <w:r>
        <w:rPr>
          <w:rFonts w:ascii="Times New Roman" w:hAnsi="Times New Roman" w:eastAsia="Times New Roman" w:cs="Times New Roman"/>
          <w:color w:val="000000"/>
          <w:sz w:val="24"/>
        </w:rPr>
        <w:t xml:space="preserve">Qua khảo sát thị trường, Tổ thẩm định thu thập được 03 giao dịch được cho là tương đồng về đặc điểm vị trí, giao thông, kích thước, mặt tiền, điều kiện hạ tầng và điều kiện xã hội,… với tài sản thẩm định giá, cụ thể như sau:</w:t>
      </w:r>
      <w:r/>
    </w:p>
    <w:p>
      <w:pPr>
        <w:numPr>
          <w:ilvl w:val="0"/>
          <w:numId w:val="44"/>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jc w:val="both"/>
        <w:rPr/>
      </w:pPr>
      <w:r>
        <w:rPr>
          <w:rFonts w:ascii="Times New Roman" w:hAnsi="Times New Roman" w:eastAsia="Times New Roman" w:cs="Times New Roman"/>
          <w:b/>
          <w:color w:val="000000"/>
          <w:sz w:val="24"/>
        </w:rPr>
        <w:t xml:space="preserve">Thông tin tài sản so sánh:</w:t>
      </w:r>
      <w:r/>
    </w:p>
    <w:tbl>
      <w:tblPr>
        <w:tblStyle w:val="992"/>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23"/>
        <w:gridCol w:w="1809"/>
        <w:gridCol w:w="1701"/>
        <w:gridCol w:w="1843"/>
        <w:gridCol w:w="1843"/>
        <w:gridCol w:w="1701"/>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ĐẶC ĐIỂM BĐS</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TSSS3</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Thông tin về tài sản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Địa chỉ</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Thôn Hiền Lễ, xã Xuân Hòa, tỉnh Phú Thọ</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Thôn Hiền Lễ, xã Xuân Hòa, tỉnh Phú Thọ</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Thôn Hiền Lễ, xã Xuân Hòa, tỉnh Phú Thọ</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Thôn Hiền Lễ, xã Xuân Hòa, tỉnh Phú Thọ</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Nguồn tham khảo</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color w:val="000000"/>
                <w:sz w:val="22"/>
                <w:szCs w:val="22"/>
                <w14:ligatures w14:val="none"/>
              </w:rPr>
            </w:pPr>
            <w:r/>
            <w:hyperlink r:id="rId16" w:tooltip="https://www.facebook.com/share/p/189X1UaZTs/" w:history="1">
              <w:r>
                <w:rPr>
                  <w:rFonts w:ascii="Times New Roman" w:hAnsi="Times New Roman" w:eastAsia="Times New Roman" w:cs="Times New Roman"/>
                  <w:color w:val="000000"/>
                  <w:sz w:val="22"/>
                  <w:szCs w:val="22"/>
                </w:rPr>
                <w:t xml:space="preserve">https://www.facebook.com/share/p/189X1UaZTs/</w:t>
              </w:r>
            </w:hyperlink>
            <w:r>
              <w:rPr>
                <w:rFonts w:ascii="Times New Roman" w:hAnsi="Times New Roman" w:eastAsia="Times New Roman" w:cs="Times New Roman"/>
                <w:color w:val="000000"/>
                <w:sz w:val="22"/>
                <w:szCs w:val="22"/>
                <w14:ligatures w14:val="none"/>
              </w:rPr>
            </w:r>
            <w:r>
              <w:rPr>
                <w:rFonts w:ascii="Times New Roman" w:hAnsi="Times New Roman" w:eastAsia="Times New Roman" w:cs="Times New Roman"/>
                <w:color w:val="000000"/>
                <w:sz w:val="22"/>
                <w:szCs w:val="22"/>
                <w14:ligatures w14:val="none"/>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rPr>
              <w:t xml:space="preserve">Liên hệ trực tiếp</w:t>
            </w:r>
            <w:r>
              <w:rPr>
                <w:rFonts w:ascii="Times New Roman" w:hAnsi="Times New Roman" w:eastAsia="Times New Roman" w:cs="Times New Roman"/>
                <w:color w:val="000000"/>
                <w:sz w:val="22"/>
                <w:szCs w:val="22"/>
                <w14:ligatures w14:val="none"/>
              </w:rPr>
            </w:r>
            <w:r>
              <w:rPr>
                <w:rFonts w:ascii="Times New Roman" w:hAnsi="Times New Roman" w:eastAsia="Times New Roman" w:cs="Times New Roman"/>
                <w:color w:val="000000"/>
                <w:sz w:val="22"/>
                <w:szCs w:val="22"/>
                <w14:ligatures w14:val="none"/>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rPr>
              <w:t xml:space="preserve">Liên hệ trực tiếp</w:t>
            </w:r>
            <w:r>
              <w:rPr>
                <w:rFonts w:ascii="Times New Roman" w:hAnsi="Times New Roman" w:eastAsia="Times New Roman" w:cs="Times New Roman"/>
                <w:color w:val="000000"/>
                <w:sz w:val="22"/>
                <w:szCs w:val="22"/>
                <w14:ligatures w14:val="none"/>
              </w:rPr>
            </w:r>
            <w:r>
              <w:rPr>
                <w:rFonts w:ascii="Times New Roman" w:hAnsi="Times New Roman" w:eastAsia="Times New Roman" w:cs="Times New Roman"/>
                <w:color w:val="000000"/>
                <w:sz w:val="22"/>
                <w:szCs w:val="22"/>
                <w14:ligatures w14:val="none"/>
              </w:rP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Thông tin liên lạc</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bottom"/>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rPr>
              <w:t xml:space="preserve">SĐT: 0979.188.900</w:t>
            </w:r>
            <w:r>
              <w:rPr>
                <w:rFonts w:ascii="Times New Roman" w:hAnsi="Times New Roman" w:eastAsia="Times New Roman" w:cs="Times New Roman"/>
                <w:color w:val="000000"/>
                <w:sz w:val="22"/>
                <w:szCs w:val="22"/>
                <w14:ligatures w14:val="none"/>
              </w:rPr>
            </w:r>
            <w:r>
              <w:rPr>
                <w:rFonts w:ascii="Times New Roman" w:hAnsi="Times New Roman" w:eastAsia="Times New Roman" w:cs="Times New Roman"/>
                <w:color w:val="000000"/>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bottom"/>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 w:val="22"/>
                <w:szCs w:val="22"/>
              </w:rPr>
              <w:t xml:space="preserve">SĐT:</w:t>
            </w:r>
            <w:r>
              <w:rPr>
                <w:rFonts w:ascii="Times New Roman" w:hAnsi="Times New Roman" w:eastAsia="Times New Roman" w:cs="Times New Roman"/>
                <w:color w:val="000000"/>
                <w:sz w:val="22"/>
                <w:szCs w:val="22"/>
              </w:rPr>
              <w:t xml:space="preserve"> 0979.188.900</w:t>
            </w:r>
            <w:r>
              <w:rPr>
                <w:rFonts w:ascii="Times New Roman" w:hAnsi="Times New Roman" w:eastAsia="Times New Roman" w:cs="Times New Roman"/>
                <w:color w:val="000000"/>
                <w:sz w:val="22"/>
                <w:szCs w:val="22"/>
                <w14:ligatures w14:val="none"/>
              </w:rPr>
            </w:r>
            <w:r>
              <w:rPr>
                <w:rFonts w:ascii="Times New Roman" w:hAnsi="Times New Roman" w:eastAsia="Times New Roman" w:cs="Times New Roman"/>
                <w:color w:val="000000"/>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bottom"/>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 w:val="22"/>
                <w:szCs w:val="22"/>
              </w:rPr>
              <w:t xml:space="preserve">SĐT:</w:t>
            </w:r>
            <w:r>
              <w:rPr>
                <w:rFonts w:ascii="Times New Roman" w:hAnsi="Times New Roman" w:eastAsia="Times New Roman" w:cs="Times New Roman"/>
                <w:color w:val="000000"/>
                <w:sz w:val="22"/>
                <w:szCs w:val="22"/>
              </w:rPr>
              <w:t xml:space="preserve"> 0978825563</w:t>
            </w:r>
            <w:r>
              <w:rPr>
                <w:rFonts w:ascii="Times New Roman" w:hAnsi="Times New Roman" w:eastAsia="Times New Roman" w:cs="Times New Roman"/>
                <w:color w:val="000000"/>
                <w:sz w:val="22"/>
                <w:szCs w:val="22"/>
                <w14:ligatures w14:val="none"/>
              </w:rPr>
            </w:r>
            <w:r>
              <w:rPr>
                <w:rFonts w:ascii="Times New Roman" w:hAnsi="Times New Roman" w:eastAsia="Times New Roman" w:cs="Times New Roman"/>
                <w:color w:val="000000"/>
                <w:sz w:val="22"/>
                <w:szCs w:val="22"/>
                <w14:ligatures w14:val="none"/>
              </w:rP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Tình trạng giao dịch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Đang giao dịch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Đang giao dịch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Đang giao dịch  </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Thời điểm thu thập thông tin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Tháng 05/2026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Tháng 05/2026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Tháng 05/2026 </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Tính chất giao dịch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Pháp lý</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Mục đích sử dụng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100m2; CLN: 25m2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30m2; CLN: 59,5m2</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Thời hạn sử dụng đất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Lâu dài; CLN: có thời hạn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commentRangeStart w:id="4"/>
            <w:r>
              <w:rPr>
                <w:rFonts w:ascii="Times New Roman" w:hAnsi="Times New Roman" w:eastAsia="Times New Roman" w:cs="Times New Roman"/>
                <w:color w:val="000000"/>
                <w:sz w:val="22"/>
              </w:rPr>
              <w:t xml:space="preserve">Đất ở:Lâu dài</w:t>
            </w:r>
            <w:commentRangeEnd w:id="4"/>
            <w:r>
              <w:commentReference w:id="4"/>
            </w:r>
            <w:r>
              <w:t xml:space="preserve">; CLN: có thời hạn</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Vị trí</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đường Tô Hiến Thành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đường Tô Hiến Thành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đường Tô Hiến Thành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đường Tô Hiến Thành</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Giao thông (m)</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6m</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6m</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6m</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6m</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Diện tích đất (m²)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89,5</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Mặt tiền (m)</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Số lượng mặt tiếp giáp</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Lô góc, 02 mặt tiền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 mặt tiền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 mặt tiền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 mặt tiền</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Hình dáng thửa đất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đối vuông vức</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Lợi thế kinh doanh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Lợi thế kinh doanh khá</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Lợi thế kinh doanh khá</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Lợi thế kinh doanh khá</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Lợi thế kinh doanh khá</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View</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Dân cư</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Dân cư</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Vườn Hoa</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Dân cư</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Hạ tầng khu phân lô: hệ thống cấp điện, cấp thoát nước đầy đủ</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Hạ tầng khu phân lô: hệ thống cấp điện, cấp thoát nước đầy đủ</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Hạ tầng khu phân lô: hệ thống cấp điện, cấp thoát nước đầy đủ</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Điều kiện môi trường an ninh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Tài sản trên đất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Đất trống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trống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trống</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rao (đồng)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3.800.000.000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3.300.000.000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2.350.000.000</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Khả năng giao dịch thành công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90%</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23</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thương lượng/bán (đồng)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3.420.000.000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2.970.000.000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2.115.000.000</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Chi tiết tính toán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Giá trị đất (đồng)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3.420.000.000  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2.970.000.000  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2.115.000.000   </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Đơn giá QSDĐ (đồng/m²)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26.307.692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23.760.000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23.631.285 </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NHẬN XÉT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Pháp lý</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Vị trí</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Giao thông (m)</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Diện tích đất (m²)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Lợi thế hơn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Lợi thế hơn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Lợi thế hơn</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Mặt tiền (m)</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Số lượng mặt tiếp giáp</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Hình dáng thửa đất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Lợi thế hơn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Lợi thế hơn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Lợi thế hơn</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Lợi thế kinh doanh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bl>
    <w:p>
      <w:pPr>
        <w:pBdr>
          <w:top w:val="none" w:color="000000" w:sz="4" w:space="0"/>
          <w:left w:val="none" w:color="000000" w:sz="4" w:space="0"/>
          <w:bottom w:val="none" w:color="000000" w:sz="4" w:space="0"/>
          <w:right w:val="none" w:color="000000" w:sz="4" w:space="0"/>
        </w:pBdr>
        <w:tabs>
          <w:tab w:val="left" w:leader="none" w:pos="90"/>
          <w:tab w:val="left" w:leader="none" w:pos="180"/>
        </w:tabs>
        <w:spacing w:after="120" w:before="120" w:line="264" w:lineRule="auto"/>
        <w:ind w:right="0" w:firstLine="0" w:left="0"/>
        <w:jc w:val="both"/>
        <w:rPr/>
      </w:pPr>
      <w:r>
        <w:rPr>
          <w:rFonts w:ascii="Times New Roman" w:hAnsi="Times New Roman" w:eastAsia="Times New Roman" w:cs="Times New Roman"/>
          <w:color w:val="000000"/>
          <w:sz w:val="24"/>
        </w:rPr>
        <w:t xml:space="preserve">Các yếu tố như vị trí, giao thông, diện tích, hình dáng, hạ tầng kỹ thuật và hạ tầng xã hội… làm ảnh hưởng đến giá trị của thửa đất. Mỗi yếu tố đóng góp một tỷ lệ nhất định vào giá trị của thửa đất. Vì vậy, dựa trên ba tài sản so sánh tương đồng với tài sả</w:t>
      </w:r>
      <w:r>
        <w:rPr>
          <w:rFonts w:ascii="Times New Roman" w:hAnsi="Times New Roman" w:eastAsia="Times New Roman" w:cs="Times New Roman"/>
          <w:color w:val="000000"/>
          <w:sz w:val="24"/>
        </w:rPr>
        <w:t xml:space="preserve">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p>
    <w:p>
      <w:pPr>
        <w:pBdr>
          <w:top w:val="none" w:color="000000" w:sz="4" w:space="0"/>
          <w:left w:val="none" w:color="000000" w:sz="4" w:space="0"/>
          <w:bottom w:val="none" w:color="000000" w:sz="4" w:space="0"/>
          <w:right w:val="none" w:color="000000" w:sz="4" w:space="0"/>
        </w:pBdr>
        <w:tabs>
          <w:tab w:val="left" w:leader="none" w:pos="90"/>
          <w:tab w:val="left" w:leader="none" w:pos="180"/>
        </w:tabs>
        <w:spacing w:after="120" w:before="120" w:line="264" w:lineRule="auto"/>
        <w:ind w:right="0" w:firstLine="0" w:left="0"/>
        <w:jc w:val="both"/>
        <w:rPr/>
      </w:pPr>
      <w:r>
        <w:rPr>
          <w:rFonts w:ascii="Times New Roman" w:hAnsi="Times New Roman" w:eastAsia="Times New Roman" w:cs="Times New Roman"/>
          <w:color w:val="000000"/>
          <w:sz w:val="24"/>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w:t>
      </w:r>
      <w:r>
        <w:rPr>
          <w:rFonts w:ascii="Times New Roman" w:hAnsi="Times New Roman" w:eastAsia="Times New Roman" w:cs="Times New Roman"/>
          <w:color w:val="000000"/>
          <w:sz w:val="24"/>
        </w:rPr>
        <w:t xml:space="preserve"> Các điểm ở TSSS kém lợi thế hơn so với TSTĐ thì điều chỉnh tăng mức giá tính theo đơn vị chuẩn của tài sản so sánh (cộng); Những yếu tố ở tài sản so sánh giống (tương tự) với tài sản cần thẩm định giá thì giữ nguyên mức giá của tài sản so sánh (không điều</w:t>
      </w:r>
      <w:r>
        <w:rPr>
          <w:rFonts w:ascii="Times New Roman" w:hAnsi="Times New Roman" w:eastAsia="Times New Roman" w:cs="Times New Roman"/>
          <w:color w:val="000000"/>
          <w:sz w:val="24"/>
        </w:rPr>
        <w:t xml:space="preserve"> chỉnh).</w:t>
      </w:r>
      <w:r/>
    </w:p>
    <w:p>
      <w:pPr>
        <w:numPr>
          <w:ilvl w:val="0"/>
          <w:numId w:val="44"/>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jc w:val="both"/>
        <w:rPr/>
      </w:pPr>
      <w:r>
        <w:rPr>
          <w:rFonts w:ascii="Times New Roman" w:hAnsi="Times New Roman" w:eastAsia="Times New Roman" w:cs="Times New Roman"/>
          <w:b/>
          <w:color w:val="000000"/>
          <w:sz w:val="24"/>
        </w:rPr>
        <w:t xml:space="preserve">Bảng điều chỉnh:</w:t>
      </w:r>
      <w:r/>
    </w:p>
    <w:tbl>
      <w:tblPr>
        <w:tblStyle w:val="992"/>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32"/>
        <w:gridCol w:w="1736"/>
        <w:gridCol w:w="1028"/>
        <w:gridCol w:w="1561"/>
        <w:gridCol w:w="1602"/>
        <w:gridCol w:w="1602"/>
        <w:gridCol w:w="1603"/>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thẩm định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1</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highlight w:val="white"/>
              </w:rPr>
            </w:pPr>
            <w:r>
              <w:rPr>
                <w:rFonts w:ascii="Times New Roman" w:hAnsi="Times New Roman" w:eastAsia="Times New Roman" w:cs="Times New Roman"/>
                <w:color w:val="000000"/>
                <w:sz w:val="22"/>
                <w:highlight w:val="white"/>
              </w:rPr>
              <w:t xml:space="preserve"> 3.420.000.000 </w:t>
            </w:r>
            <w:r>
              <w:rPr>
                <w:highlight w:val="white"/>
              </w:rPr>
            </w:r>
            <w:r>
              <w:rPr>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highlight w:val="white"/>
              </w:rPr>
            </w:pPr>
            <w:r>
              <w:rPr>
                <w:rFonts w:ascii="Times New Roman" w:hAnsi="Times New Roman" w:eastAsia="Times New Roman" w:cs="Times New Roman"/>
                <w:color w:val="000000"/>
                <w:sz w:val="22"/>
                <w:highlight w:val="white"/>
              </w:rPr>
              <w:t xml:space="preserve">2.970.000.000 </w:t>
            </w:r>
            <w:r>
              <w:rPr>
                <w:highlight w:val="white"/>
              </w:rPr>
            </w:r>
            <w:r>
              <w:rPr>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left"/>
              <w:rPr>
                <w:highlight w:val="white"/>
              </w:rPr>
            </w:pPr>
            <w:r>
              <w:rPr>
                <w:rFonts w:ascii="Times New Roman" w:hAnsi="Times New Roman" w:eastAsia="Times New Roman" w:cs="Times New Roman"/>
                <w:color w:val="000000"/>
                <w:sz w:val="22"/>
                <w:highlight w:val="white"/>
              </w:rPr>
              <w:t xml:space="preserve"> 2.115.000.000 </w:t>
            </w:r>
            <w:r>
              <w:rPr>
                <w:highlight w:val="white"/>
              </w:rPr>
            </w:r>
            <w:r>
              <w:rPr>
                <w:highlight w:val="white"/>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highlight w:val="white"/>
              </w:rPr>
            </w:pPr>
            <w:r>
              <w:rPr>
                <w:rFonts w:ascii="Times New Roman" w:hAnsi="Times New Roman" w:eastAsia="Times New Roman" w:cs="Times New Roman"/>
                <w:color w:val="000000"/>
                <w:sz w:val="22"/>
                <w:highlight w:val="white"/>
              </w:rPr>
              <w:t xml:space="preserve">  26.307.692 </w:t>
            </w:r>
            <w:r>
              <w:rPr>
                <w:highlight w:val="white"/>
              </w:rPr>
            </w:r>
            <w:r>
              <w:rPr>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highlight w:val="white"/>
              </w:rPr>
            </w:pPr>
            <w:r>
              <w:rPr>
                <w:rFonts w:ascii="Times New Roman" w:hAnsi="Times New Roman" w:eastAsia="Times New Roman" w:cs="Times New Roman"/>
                <w:color w:val="000000"/>
                <w:sz w:val="22"/>
                <w:highlight w:val="white"/>
              </w:rPr>
              <w:t xml:space="preserve">  23.760.000 </w:t>
            </w:r>
            <w:r>
              <w:rPr>
                <w:highlight w:val="white"/>
              </w:rPr>
            </w:r>
            <w:r>
              <w:rPr>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highlight w:val="white"/>
              </w:rPr>
            </w:pPr>
            <w:r>
              <w:rPr>
                <w:rFonts w:ascii="Times New Roman" w:hAnsi="Times New Roman" w:eastAsia="Times New Roman" w:cs="Times New Roman"/>
                <w:color w:val="000000"/>
                <w:sz w:val="22"/>
                <w:highlight w:val="white"/>
              </w:rPr>
              <w:t xml:space="preserve">   23.631.285 </w:t>
            </w:r>
            <w:r>
              <w:rPr>
                <w:highlight w:val="white"/>
              </w:rPr>
            </w:r>
            <w:r>
              <w:rPr>
                <w:highlight w:val="white"/>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26.307.692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23.760.000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23.631.285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Mục đích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Đất ở</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Đất ở</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Đất ở: 100m2; CLN: 25m2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Đất ở: 30m2; CLN: 59,5m2</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950.400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2.363.128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26.307.692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24.710.400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25.994.413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Thời hạn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Đất ở: Lâu dài; CLN: có thời hạn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highlight w:val="yellow"/>
              </w:rPr>
            </w:pPr>
            <w:r>
              <w:rPr>
                <w:rFonts w:ascii="Times New Roman" w:hAnsi="Times New Roman" w:eastAsia="Times New Roman" w:cs="Times New Roman"/>
                <w:b/>
                <w:color w:val="000000"/>
                <w:sz w:val="22"/>
                <w:highlight w:val="none"/>
              </w:rPr>
              <w:t xml:space="preserve">Đất ở: </w:t>
            </w:r>
            <w:r>
              <w:rPr>
                <w:rFonts w:ascii="Times New Roman" w:hAnsi="Times New Roman" w:eastAsia="Times New Roman" w:cs="Times New Roman"/>
                <w:b/>
                <w:color w:val="000000"/>
                <w:sz w:val="22"/>
                <w:highlight w:val="yellow"/>
              </w:rPr>
              <w:t xml:space="preserve">Lâu dài; CLN: có thời hạn</w:t>
            </w:r>
            <w:r>
              <w:rPr>
                <w:highlight w:val="yellow"/>
              </w:rPr>
            </w:r>
            <w:r>
              <w:rPr>
                <w:highlight w:val="yellow"/>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26.307.692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24.710.400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25.994.413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Tiếp giáp đường Tô Hiến Thành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Tiếp giáp đường Tô Hiến Thành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Tiếp giáp đường Tô Hiến Thành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Tiếp giáp đường Tô Hiến Thành</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26.307.692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24.710.400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25.994.413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Giao thông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6m</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26.307.692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24.710.400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25.994.413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Diện tích đất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130,00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125,00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89,50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-5.261.538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-4.752.000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-5.907.821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21.046.154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19.958.400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20.086.592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17,50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1.315.385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1.188.000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1.181.564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22.361.538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21.146.400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21.268.156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Lô góc, 02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 mặt tiền</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1.315.385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1.188.000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1.181.564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23.676.923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22.334.400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22.449.721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Tương đối 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Hình chữ nhật</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-1.315.385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-1.188.000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-1.181.564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22.361.538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21.146.400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21.268.156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Lợi thế kinh doanh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Lợi thế kinh doanh khá</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Lợi thế kinh doanh khá</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Lợi thế kinh doanh khá</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Lợi thế kinh doanh khá</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22.361.538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21.146.400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21.268.156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kiện cơ sở hạ tầng kỹ thuật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Hạ tầng khu phân lô: 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Hạ tầng khu phân lô: 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Hạ tầng khu phân lô: 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Hạ tầng khu dân cư thông thường: hệ thống cấp điện, cấp thoát nước đầy đủ</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22.361.538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21.146.400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21.268.156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22.361.538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21.146.400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21.268.156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48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21.592.032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9.207.692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9.266.400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11.815.642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5%-25%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3.946.154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2.613.600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2.363.128 </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i/>
          <w:color w:val="000000"/>
          <w:sz w:val="24"/>
          <w:u w:val="single"/>
        </w:rPr>
        <w:t xml:space="preserve">Về nguyên tắc khống chế</w:t>
      </w:r>
      <w:r>
        <w:rPr>
          <w:rFonts w:ascii="Times New Roman" w:hAnsi="Times New Roman" w:eastAsia="Times New Roman" w:cs="Times New Roman"/>
          <w:b/>
          <w:i/>
          <w:color w:val="000000"/>
          <w:sz w:val="24"/>
        </w:rPr>
        <w:t xml:space="preserve">: </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Theo số liệu tại mục D2, chênh lệch giữa mức giá trung bình của các mức giá chỉ dẫn nằm trong khoảng từ  1,5% đến  3,6%, đảm bảo không quá 15% (theo Thông tư số 32/2024/TT-BTC ngày 16/5/2024 của Bộ Tài chính).</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b/>
          <w:i/>
          <w:color w:val="000000"/>
          <w:sz w:val="24"/>
          <w:u w:val="single"/>
        </w:rPr>
        <w:t xml:space="preserve">Về thống nhất mức giá chỉ dẫn:</w:t>
      </w:r>
      <w:r/>
    </w:p>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i/>
          <w:color w:val="000000"/>
          <w:sz w:val="24"/>
        </w:rPr>
        <w:t xml:space="preserve">Đơn vị tính: Đồng/m²</w:t>
      </w:r>
      <w:r/>
    </w:p>
    <w:tbl>
      <w:tblPr>
        <w:tblStyle w:val="992"/>
        <w:tblInd w:w="0" w:type="dxa"/>
        <w:tblW w:w="4967"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817"/>
        <w:gridCol w:w="1905"/>
        <w:gridCol w:w="1905"/>
        <w:gridCol w:w="1905"/>
        <w:gridCol w:w="2931"/>
      </w:tblGrid>
      <w:tr>
        <w:trPr>
          <w:trHeight w:val="936"/>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9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so sánh 1</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22.361.538 </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33,33%</w:t>
            </w:r>
            <w:r/>
          </w:p>
        </w:tc>
        <w:tc>
          <w:tcPr>
            <w:tcBorders>
              <w:bottom w:val="single" w:color="000000" w:sz="8" w:space="0"/>
              <w:right w:val="single" w:color="000000" w:sz="8" w:space="0"/>
            </w:tcBorders>
            <w:tcMar>
              <w:left w:w="108" w:type="dxa"/>
              <w:top w:w="0" w:type="dxa"/>
              <w:right w:w="108" w:type="dxa"/>
              <w:bottom w:w="0" w:type="dxa"/>
            </w:tcMar>
            <w:tcW w:w="29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7.453.846 </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so sánh 2</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21.146.400 </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33,33%</w:t>
            </w:r>
            <w:r/>
          </w:p>
        </w:tc>
        <w:tc>
          <w:tcPr>
            <w:tcBorders>
              <w:bottom w:val="single" w:color="000000" w:sz="8" w:space="0"/>
              <w:right w:val="single" w:color="000000" w:sz="8" w:space="0"/>
            </w:tcBorders>
            <w:tcMar>
              <w:left w:w="108" w:type="dxa"/>
              <w:top w:w="0" w:type="dxa"/>
              <w:right w:w="108" w:type="dxa"/>
              <w:bottom w:w="0" w:type="dxa"/>
            </w:tcMar>
            <w:tcW w:w="29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7.048.800 </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so sánh 3</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21.268.156 </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33,33%</w:t>
            </w:r>
            <w:r/>
          </w:p>
        </w:tc>
        <w:tc>
          <w:tcPr>
            <w:tcBorders>
              <w:bottom w:val="single" w:color="000000" w:sz="8" w:space="0"/>
              <w:right w:val="single" w:color="000000" w:sz="8" w:space="0"/>
            </w:tcBorders>
            <w:tcMar>
              <w:left w:w="108" w:type="dxa"/>
              <w:top w:w="0" w:type="dxa"/>
              <w:right w:w="108" w:type="dxa"/>
              <w:bottom w:w="0" w:type="dxa"/>
            </w:tcMar>
            <w:tcW w:w="29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7.089.385 </w:t>
            </w:r>
            <w:r/>
          </w:p>
        </w:tc>
      </w:tr>
      <w:tr>
        <w:trPr>
          <w:trHeight w:val="312"/>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65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Giá trị bình quân theo trọng số:</w:t>
            </w:r>
            <w:r/>
          </w:p>
        </w:tc>
        <w:tc>
          <w:tcPr>
            <w:tcBorders>
              <w:bottom w:val="single" w:color="000000" w:sz="8" w:space="0"/>
              <w:right w:val="single" w:color="000000" w:sz="8" w:space="0"/>
            </w:tcBorders>
            <w:tcMar>
              <w:left w:w="108" w:type="dxa"/>
              <w:top w:w="0" w:type="dxa"/>
              <w:right w:w="108" w:type="dxa"/>
              <w:bottom w:w="0" w:type="dxa"/>
            </w:tcMar>
            <w:tcW w:w="29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21.592.032 </w:t>
            </w:r>
            <w:r/>
          </w:p>
        </w:tc>
      </w:tr>
      <w:tr>
        <w:trPr>
          <w:trHeight w:val="312"/>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65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293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21.500.000 </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Tổ thẩm định sử dụng mức giá chỉ dẫn là mức giá bình quân có trọng số của 03 tài sản so sánh làm mức giá của tài sản thẩm định, tương ứng là: </w:t>
      </w:r>
      <w:r>
        <w:rPr>
          <w:rFonts w:ascii="Times New Roman" w:hAnsi="Times New Roman" w:eastAsia="Times New Roman" w:cs="Times New Roman"/>
          <w:b/>
          <w:color w:val="000000"/>
          <w:sz w:val="24"/>
        </w:rPr>
        <w:t xml:space="preserve">21.500.000 đồng/m².</w:t>
      </w:r>
      <w:r/>
    </w:p>
    <w:p>
      <w:pPr>
        <w:numPr>
          <w:ilvl w:val="0"/>
          <w:numId w:val="41"/>
        </w:numPr>
        <w:pBdr>
          <w:top w:val="none" w:color="000000" w:sz="4" w:space="0"/>
          <w:left w:val="none" w:color="000000" w:sz="4" w:space="0"/>
          <w:bottom w:val="none" w:color="000000" w:sz="4" w:space="0"/>
          <w:right w:val="none" w:color="000000" w:sz="4" w:space="0"/>
        </w:pBdr>
        <w:spacing w:after="200" w:before="0" w:line="276" w:lineRule="auto"/>
        <w:ind/>
        <w:rPr/>
      </w:pPr>
      <w:r>
        <w:rPr>
          <w:rFonts w:ascii="Times New Roman" w:hAnsi="Times New Roman" w:eastAsia="Times New Roman" w:cs="Times New Roman"/>
          <w:b/>
          <w:color w:val="000000"/>
          <w:sz w:val="24"/>
        </w:rPr>
        <w:t xml:space="preserve">Xác định đơn giá quyền sử dụng đất trồng cây:</w:t>
      </w:r>
      <w:r/>
    </w:p>
    <w:p>
      <w:pPr>
        <w:pBdr>
          <w:top w:val="none" w:color="000000" w:sz="4" w:space="0"/>
          <w:left w:val="none" w:color="000000" w:sz="4" w:space="0"/>
          <w:bottom w:val="none" w:color="000000" w:sz="4" w:space="0"/>
          <w:right w:val="none" w:color="000000" w:sz="4" w:space="0"/>
        </w:pBdr>
        <w:spacing w:line="276" w:lineRule="auto"/>
        <w:ind w:right="0" w:firstLine="284" w:left="0"/>
        <w:jc w:val="both"/>
        <w:rPr/>
      </w:pPr>
      <w:r>
        <w:rPr>
          <w:rFonts w:ascii="Times New Roman" w:hAnsi="Times New Roman" w:eastAsia="Times New Roman" w:cs="Times New Roman"/>
          <w:color w:val="000000"/>
          <w:sz w:val="24"/>
        </w:rPr>
        <w:t xml:space="preserve">Khu vực tài sản thẩm định tọa lạc hạn chế giao dịch đất trồng cây lâu năm mà hầu như chỉ có các giao dịch đất ở riêng biệt, đất hỗn hợp, do vậy, cho mục đích định giá tại báo cáo này, Tổ thẩm định xác định giá trị đất trồng cây lâu năm theo bảng giá UBND.</w:t>
      </w:r>
      <w:r/>
    </w:p>
    <w:p>
      <w:pPr>
        <w:pBdr>
          <w:top w:val="none" w:color="000000" w:sz="4" w:space="0"/>
          <w:left w:val="none" w:color="000000" w:sz="4" w:space="0"/>
          <w:bottom w:val="none" w:color="000000" w:sz="4" w:space="0"/>
          <w:right w:val="none" w:color="000000" w:sz="4" w:space="0"/>
        </w:pBdr>
        <w:tabs>
          <w:tab w:val="left" w:leader="none" w:pos="720"/>
        </w:tabs>
        <w:spacing w:after="120" w:before="120"/>
        <w:ind w:right="0" w:firstLine="284" w:left="0"/>
        <w:jc w:val="both"/>
        <w:rPr/>
      </w:pPr>
      <w:r>
        <w:rPr>
          <w:rFonts w:ascii="Times New Roman" w:hAnsi="Times New Roman" w:eastAsia="Times New Roman" w:cs="Times New Roman"/>
          <w:color w:val="000000"/>
          <w:sz w:val="24"/>
        </w:rPr>
        <w:t xml:space="preserve">Căn cứ Nghị quyết số: 85/2025/NQ-HĐND ngày 30 tháng 12 năm 2025 của Hội đồng nhân dân tỉnh Phú Thọ về ban hành quy định về bảng giá các loại đất lần đầu áp dụng từ ngày 01 tháng 01 năm 2026 trên địa bàn tỉnh Phú Thọ, đơn giá đất trồng cây lâu năm tại xã Xu</w:t>
      </w:r>
      <w:r>
        <w:rPr>
          <w:rFonts w:ascii="Times New Roman" w:hAnsi="Times New Roman" w:eastAsia="Times New Roman" w:cs="Times New Roman"/>
          <w:color w:val="000000"/>
          <w:sz w:val="24"/>
        </w:rPr>
        <w:t xml:space="preserve">ân Hòa là: </w:t>
      </w:r>
      <w:r>
        <w:rPr>
          <w:rFonts w:ascii="Times New Roman" w:hAnsi="Times New Roman" w:eastAsia="Times New Roman" w:cs="Times New Roman"/>
          <w:b/>
          <w:color w:val="000000"/>
          <w:sz w:val="24"/>
        </w:rPr>
        <w:t xml:space="preserve">95.000 đồng/m</w:t>
      </w:r>
      <w:r>
        <w:rPr>
          <w:rFonts w:ascii="Times New Roman" w:hAnsi="Times New Roman" w:eastAsia="Times New Roman" w:cs="Times New Roman"/>
          <w:b/>
          <w:color w:val="000000"/>
          <w:sz w:val="20"/>
          <w:vertAlign w:val="superscript"/>
        </w:rPr>
        <w:t xml:space="preserve">2</w:t>
      </w:r>
      <w:r>
        <w:rPr>
          <w:rFonts w:ascii="Times New Roman" w:hAnsi="Times New Roman" w:eastAsia="Times New Roman" w:cs="Times New Roman"/>
          <w:b/>
          <w:color w:val="000000"/>
          <w:sz w:val="24"/>
        </w:rPr>
        <w:t xml:space="preserve">:</w:t>
      </w:r>
      <w:r/>
    </w:p>
    <w:p>
      <w:pPr>
        <w:numPr>
          <w:ilvl w:val="0"/>
          <w:numId w:val="41"/>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Kết quả thẩm định giá:</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Dựa trên các lập luận trên, Tổ thẩm định ước tính giá trị tài sản thẩm định giá chưa bao gồm các loại thuế, phí và lệ phí liên quan đến việc chuyển nhượng tài sản tại thời điểm thẩm định giá tháng 05/2026 ước tính như sau:</w:t>
      </w:r>
      <w:r>
        <w:rPr>
          <w:rFonts w:ascii="Times New Roman" w:hAnsi="Times New Roman" w:eastAsia="Times New Roman" w:cs="Times New Roman"/>
          <w:sz w:val="24"/>
        </w:rPr>
      </w:r>
      <w:r/>
    </w:p>
    <w:tbl>
      <w:tblPr>
        <w:tblStyle w:val="992"/>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37"/>
        <w:gridCol w:w="4130"/>
        <w:gridCol w:w="1296"/>
        <w:gridCol w:w="1476"/>
        <w:gridCol w:w="2076"/>
      </w:tblGrid>
      <w:tr>
        <w:trPr>
          <w:trHeight w:val="63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41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0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130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9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b/>
                <w:color w:val="000000"/>
                <w:sz w:val="24"/>
              </w:rPr>
              <w:t xml:space="preserve">Quyền sử dụng đất tại thửa đất số: 386, tờ bản đồ số: 52, có địa chỉ: Xã Cao Minh, thành phố Phúc Yên, tỉnh Vĩnh Phúc (nay là xã Xuân Hòa, tỉnh Phú Thọ) theo Giấy chứng nhận quyền sử dụng đất, quyền sở hữu nhà ở và tài sản gắn liền với đất số: DP 123237, </w:t>
            </w:r>
            <w:r>
              <w:rPr>
                <w:rFonts w:ascii="Times New Roman" w:hAnsi="Times New Roman" w:eastAsia="Times New Roman" w:cs="Times New Roman"/>
                <w:b/>
                <w:color w:val="000000"/>
                <w:sz w:val="24"/>
              </w:rPr>
              <w:t xml:space="preserve">Số vào sổ cấp GCN: CN 03888 do Chi nhánh văn phòng đăng ký đất đai tỉnh Vĩnh Phúc cấp ngày 27/05/2024; chủ sử dụng đất là Ông Đào Văn Tâm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b/>
                <w:color w:val="000000"/>
                <w:sz w:val="24"/>
              </w:rPr>
              <w:t xml:space="preserve"> </w:t>
            </w:r>
            <w:r/>
          </w:p>
        </w:tc>
      </w:tr>
      <w:tr>
        <w:trPr>
          <w:trHeight w:val="31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1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Quyền sử dụng đất ở</w:t>
            </w:r>
            <w:r/>
          </w:p>
        </w:tc>
        <w:tc>
          <w:tcPr>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300,00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21.500.000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6.450.000.000</w:t>
            </w:r>
            <w:r/>
          </w:p>
        </w:tc>
      </w:tr>
      <w:tr>
        <w:trPr>
          <w:trHeight w:val="58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1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Quyền sử dụng đất trồng cây lâu năm</w:t>
            </w:r>
            <w:r/>
          </w:p>
        </w:tc>
        <w:tc>
          <w:tcPr>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15,50 </w:t>
            </w:r>
            <w:r/>
          </w:p>
        </w:tc>
        <w:tc>
          <w:tcPr>
            <w:tcBorders>
              <w:bottom w:val="single" w:color="000000" w:sz="8" w:space="0"/>
              <w:right w:val="single" w:color="000000" w:sz="8" w:space="0"/>
            </w:tcBorders>
            <w:tcMar>
              <w:left w:w="108" w:type="dxa"/>
              <w:top w:w="0" w:type="dxa"/>
              <w:right w:w="108" w:type="dxa"/>
              <w:bottom w:w="0" w:type="dxa"/>
            </w:tcMar>
            <w:tcW w:w="147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95.000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1.472.500</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413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47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07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6.451.472.500 </w:t>
            </w:r>
            <w:r/>
          </w:p>
        </w:tc>
      </w:tr>
      <w:tr>
        <w:trPr>
          <w:trHeight w:val="375"/>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413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129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47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07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6.451.000.000 </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gridSpan w:val="4"/>
            <w:tcBorders>
              <w:bottom w:val="single" w:color="000000" w:sz="8" w:space="0"/>
              <w:right w:val="single" w:color="000000" w:sz="8" w:space="0"/>
            </w:tcBorders>
            <w:tcMar>
              <w:left w:w="108" w:type="dxa"/>
              <w:top w:w="0" w:type="dxa"/>
              <w:right w:w="108" w:type="dxa"/>
              <w:bottom w:w="0" w:type="dxa"/>
            </w:tcMar>
            <w:tcW w:w="89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i/>
                <w:color w:val="000000"/>
                <w:sz w:val="24"/>
              </w:rPr>
              <w:t xml:space="preserve">(Bằng chữ: Sáu tỷ bốn trăm năm mươi mốt triệu đồng chẵn ./.)</w:t>
            </w:r>
            <w:r/>
          </w:p>
        </w:tc>
      </w:tr>
    </w:tbl>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IX. THỜI HẠN HIỆU LỰC CỦA KẾT QUẢ THẨM ĐỊNH GIÁ</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Tối đa 06 (sáu) tháng tính từ ngày ký đối với tài sản là Bất động sản.</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pacing w:val="-4"/>
          <w:sz w:val="24"/>
        </w:rPr>
        <w:t xml:space="preserve">X. TUYÊN BỐ CHUNG VÀ MIỄN TRỪ TRÁCH NHIỆM</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Công ty Cổ phần Thẩm định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w:t>
      </w:r>
      <w:r>
        <w:rPr>
          <w:rFonts w:ascii="Times New Roman" w:hAnsi="Times New Roman" w:eastAsia="Times New Roman" w:cs="Times New Roman"/>
          <w:color w:val="000000"/>
          <w:sz w:val="24"/>
        </w:rPr>
        <w:t xml:space="preserve">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Chứng thư, Báo cáo này được soạn thảo theo Hợp đồng được ký kết và tuân theo các điều khoản được nêu trong Hợp đồng. Chứng thư, báo cáo này chỉ nhằm phục vụ cho mục đích sử dụng được nêu trong Báo cáo và không nhằm mục đích sử dụng cho bất kỳ bên nào khác </w:t>
      </w:r>
      <w:r>
        <w:rPr>
          <w:rFonts w:ascii="Times New Roman" w:hAnsi="Times New Roman" w:eastAsia="Times New Roman" w:cs="Times New Roman"/>
          <w:color w:val="000000"/>
          <w:sz w:val="24"/>
        </w:rPr>
        <w:t xml:space="preserve">không được đề cập đến trong Hợp đồng (gọi tắt là “các bên liên quan”).</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Các bên liên quan khi đọc và thực hiện sử dụng sản phẩm tư vấn này, tức là đã chấp nhận và đồng ý với những điều khoản sau:</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z w:val="24"/>
        </w:rPr>
        <w:t xml:space="preserve">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w:t>
      </w:r>
      <w:r>
        <w:rPr>
          <w:rFonts w:ascii="Times New Roman" w:hAnsi="Times New Roman" w:eastAsia="Times New Roman" w:cs="Times New Roman"/>
          <w:color w:val="000000"/>
          <w:sz w:val="24"/>
        </w:rPr>
        <w:t xml:space="preserve">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w:t>
      </w:r>
      <w:r>
        <w:rPr>
          <w:rFonts w:ascii="Times New Roman" w:hAnsi="Times New Roman" w:eastAsia="Times New Roman" w:cs="Times New Roman"/>
          <w:color w:val="000000"/>
          <w:sz w:val="24"/>
        </w:rPr>
        <w:t xml:space="preserve">kỳ mục đích nào thì mọi trách nhiệm có liên quan đều thuộc Quý Khách hàng và các bên liên quan đó tham gia vào các giao dịch có liên quan.</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z w:val="24"/>
        </w:rPr>
        <w:t xml:space="preserve">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w:t>
      </w:r>
      <w:r>
        <w:rPr>
          <w:rFonts w:ascii="Times New Roman" w:hAnsi="Times New Roman" w:eastAsia="Times New Roman" w:cs="Times New Roman"/>
          <w:color w:val="000000"/>
          <w:sz w:val="24"/>
        </w:rPr>
        <w:t xml:space="preserve">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w:t>
      </w:r>
      <w:r>
        <w:rPr>
          <w:rFonts w:ascii="Times New Roman" w:hAnsi="Times New Roman" w:eastAsia="Times New Roman" w:cs="Times New Roman"/>
          <w:color w:val="000000"/>
          <w:sz w:val="24"/>
        </w:rPr>
        <w:t xml:space="preserve">n của các bên liên quan, hoặc do hậu quả của việc cung cấp Chứng thư, Báo cáo cho các bên liên quan.</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z w:val="24"/>
        </w:rPr>
        <w:t xml:space="preserve">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w:t>
      </w:r>
      <w:r>
        <w:rPr>
          <w:rFonts w:ascii="Times New Roman" w:hAnsi="Times New Roman" w:eastAsia="Times New Roman" w:cs="Times New Roman"/>
          <w:color w:val="000000"/>
          <w:sz w:val="24"/>
        </w:rPr>
        <w:t xml:space="preserve">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w:t>
      </w:r>
      <w:r>
        <w:rPr>
          <w:rFonts w:ascii="Times New Roman" w:hAnsi="Times New Roman" w:eastAsia="Times New Roman" w:cs="Times New Roman"/>
          <w:color w:val="000000"/>
          <w:sz w:val="24"/>
        </w:rPr>
        <w:t xml:space="preserve">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w:t>
      </w:r>
      <w:r>
        <w:rPr>
          <w:rFonts w:ascii="Times New Roman" w:hAnsi="Times New Roman" w:eastAsia="Times New Roman" w:cs="Times New Roman"/>
          <w:color w:val="000000"/>
          <w:sz w:val="24"/>
        </w:rPr>
        <w:t xml:space="preserve">gây tổn hại đến danh dự, trách nhiệm pháp lý, nghĩa vụ kinh tế… của các cá nhân và tập thể Lotus VFI.</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pacing w:val="-4"/>
          <w:sz w:val="24"/>
        </w:rPr>
        <w:t xml:space="preserve">XI. NHỮNG ĐIỀU KHOẢN LOẠI TRỪ VÀ HẠN CHẾ CỦA KẾT QUẢ THẨM ĐỊNH GIÁ</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Chứng thư này chỉ được cung cấp theo yêu cầu của khách hàng. Chỉ bản chính và bản sao Chứng thư thẩm định giá do Công ty Cổ phần Thẩm định và Đầu tư Tài chính Hoa Sen cấp mới có giá trị. Mọi hành vi sử dụng bản sao Chứng thư/Báo cáo kết quả thẩm định giá m</w:t>
      </w:r>
      <w:r>
        <w:rPr>
          <w:rFonts w:ascii="Times New Roman" w:hAnsi="Times New Roman" w:eastAsia="Times New Roman" w:cs="Times New Roman"/>
          <w:color w:val="000000"/>
          <w:sz w:val="24"/>
        </w:rPr>
        <w:t xml:space="preserve">à không có xác nhận của Công ty Cổ phần Thẩm định và Đầu tư Tài chính Hoa Sen đều vi phạm pháp luật và không có giá trị.</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Kết quả thẩm định giá trên chỉ xác nhận khi khách hàng hoàn tất các thủ tục pháp lý và nghĩa vụ tài chính liên quan đến tài sản thẩm định theo quy định của pháp luật hiện hành.</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Các phương pháp tính toán trên cơ sở tài liệu được cung cấp bởi khách hàng và dựa trên các tài liệu khác có liên quan do tổ thẩm định thu thập, cũng như các điều kiện và kỳ vọng tại thời điểm thẩm định giá phù hợp với các luật định, chính sách quản lý của </w:t>
      </w:r>
      <w:r>
        <w:rPr>
          <w:rFonts w:ascii="Times New Roman" w:hAnsi="Times New Roman" w:eastAsia="Times New Roman" w:cs="Times New Roman"/>
          <w:color w:val="000000"/>
          <w:sz w:val="24"/>
        </w:rPr>
        <w:t xml:space="preserve">Nhà nước hiện hành và các điều kiện, giả định theo quan điểm hợp lý của tổ thẩm định kèm theo báo cáo này. Một số vấn đề, sự kiện tương lai không có khả năng tính toán chính xác, hoặc nằm ngoài phạm vi chuyên môn nên cần vận dụng các giả định cho việc thẩm</w:t>
      </w:r>
      <w:r>
        <w:rPr>
          <w:rFonts w:ascii="Times New Roman" w:hAnsi="Times New Roman" w:eastAsia="Times New Roman" w:cs="Times New Roman"/>
          <w:color w:val="000000"/>
          <w:sz w:val="24"/>
        </w:rPr>
        <w:t xml:space="preserve"> định giá này, tổ thẩm định không đảm bảo là các giả định làm cơ sở thẩm định giá là chính xác hoàn toàn.</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pacing w:val="2"/>
          <w:sz w:val="24"/>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w:t>
      </w:r>
      <w:r>
        <w:rPr>
          <w:rFonts w:ascii="Times New Roman" w:hAnsi="Times New Roman" w:eastAsia="Times New Roman" w:cs="Times New Roman"/>
          <w:color w:val="000000"/>
          <w:spacing w:val="2"/>
          <w:sz w:val="24"/>
        </w:rPr>
        <w:t xml:space="preserve">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w:t>
      </w:r>
      <w:r>
        <w:rPr>
          <w:rFonts w:ascii="Times New Roman" w:hAnsi="Times New Roman" w:eastAsia="Times New Roman" w:cs="Times New Roman"/>
          <w:color w:val="000000"/>
          <w:spacing w:val="2"/>
          <w:sz w:val="24"/>
        </w:rPr>
        <w:t xml:space="preserve">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Khách hàng yêu cầu thẩm định giá và người hướng dẫn tổ thẩm định thực hiện thẩm định hiện trạng tài sản phải chịu hoàn toàn trách nhiệm về thông tin liên quan đến đặc điểm kinh tế - kỹ thuật, tính năng và tính pháp lý của tài sản thẩm định giá đã cung cấp </w:t>
      </w:r>
      <w:r>
        <w:rPr>
          <w:rFonts w:ascii="Times New Roman" w:hAnsi="Times New Roman" w:eastAsia="Times New Roman" w:cs="Times New Roman"/>
          <w:color w:val="000000"/>
          <w:sz w:val="24"/>
        </w:rPr>
        <w:t xml:space="preserve">cho Công ty Cổ phần Thẩm định và Đầu tư Tài chính Hoa Sen tại thời điểm và địa điểm thẩm định giá.</w:t>
      </w:r>
      <w:r/>
    </w:p>
    <w:p>
      <w:pPr>
        <w:numPr>
          <w:ilvl w:val="0"/>
          <w:numId w:val="45"/>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z w:val="24"/>
          <w:highlight w:val="white"/>
        </w:rPr>
        <w:t xml:space="preserve">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w:t>
      </w:r>
      <w:r>
        <w:rPr>
          <w:rFonts w:ascii="Times New Roman" w:hAnsi="Times New Roman" w:eastAsia="Times New Roman" w:cs="Times New Roman"/>
          <w:color w:val="000000"/>
          <w:sz w:val="24"/>
          <w:highlight w:val="white"/>
        </w:rPr>
        <w:t xml:space="preserve">Giá trị ước tính này không nhất thiết phải trùng khớp với giá trị dùng để giao dịch.</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highlight w:val="white"/>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w:t>
      </w:r>
      <w:r>
        <w:rPr>
          <w:rFonts w:ascii="Times New Roman" w:hAnsi="Times New Roman" w:eastAsia="Times New Roman" w:cs="Times New Roman"/>
          <w:color w:val="000000"/>
          <w:sz w:val="24"/>
          <w:highlight w:val="white"/>
        </w:rPr>
        <w:t xml:space="preserve">ch, số ô, số thửa, tờ bản đồ theo </w:t>
      </w:r>
      <w:r>
        <w:rPr>
          <w:rFonts w:ascii="Times New Roman" w:hAnsi="Times New Roman" w:eastAsia="Times New Roman" w:cs="Times New Roman"/>
          <w:color w:val="000000"/>
          <w:sz w:val="24"/>
        </w:rPr>
        <w:t xml:space="preserve">Giấy chứng nhận quyền sử dụng đất đã cung cấp cho chúng tôi.</w:t>
      </w:r>
      <w:r/>
    </w:p>
    <w:p>
      <w:pPr>
        <w:numPr>
          <w:ilvl w:val="0"/>
          <w:numId w:val="45"/>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z w:val="24"/>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w:t>
      </w:r>
      <w:r>
        <w:rPr>
          <w:rFonts w:ascii="Times New Roman" w:hAnsi="Times New Roman" w:eastAsia="Times New Roman" w:cs="Times New Roman"/>
          <w:color w:val="000000"/>
          <w:sz w:val="24"/>
        </w:rPr>
        <w:t xml:space="preserve"> trừ mọi trách nhiệm phát sinh, liên đới (nếu có) trong trường hợp này.</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rPr/>
      </w:pPr>
      <w:r>
        <w:rPr>
          <w:rFonts w:ascii="Times New Roman" w:hAnsi="Times New Roman" w:eastAsia="Times New Roman" w:cs="Times New Roman"/>
          <w:color w:val="000000"/>
          <w:sz w:val="24"/>
        </w:rPr>
        <w:t xml:space="preserve">Tại thời điểm khảo sát, dưới sự hướng dẫn của chủ tài sản, thửa đất có 02 CTXD:</w:t>
        <w:br/>
        <w:t xml:space="preserve"> + Nhà 01 tầng, diện tích xây dựng khoảng 70m2;</w:t>
        <w:br/>
        <w:t xml:space="preserve"> + Nhà 01 tầng, diện tích xây dựng khoảng 40m2;</w:t>
        <w:br/>
        <w:t xml:space="preserve"> Cả 02 CTXD đều chưa được công nhận trên GCN QSDĐ số: DP 123237. Đồng thời, tổ t</w:t>
      </w:r>
      <w:r>
        <w:rPr>
          <w:rFonts w:ascii="Times New Roman" w:hAnsi="Times New Roman" w:eastAsia="Times New Roman" w:cs="Times New Roman"/>
          <w:color w:val="000000"/>
          <w:sz w:val="24"/>
        </w:rPr>
        <w:t xml:space="preserve">hẩm định cũng không nhận được bất kỳ giấy tờ pháp lý nào liên quan đến 02 CTXD trên. Theo đề nghị của quý Khách hàng/Ngân hàng, tổ thẩm định không xác định giá trị các CTXD trên nhưng vẫn coi là phần không thể thiếu của Tài sản thẩm định.</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Tổ thẩm định giá sử dụng Phương pháp so sánh để xác định giá trị tài sản thẩm định giá trong đó  việc thu thập thông tin TSSS đã giao dịch thành công còn gặp nhiều hạn chế, vì vậy, Tổ thẩm định giá sử dụng các TSSS là các tài sản đang được rao bán trên thị</w:t>
      </w:r>
      <w:r>
        <w:rPr>
          <w:rFonts w:ascii="Times New Roman" w:hAnsi="Times New Roman" w:eastAsia="Times New Roman" w:cs="Times New Roman"/>
          <w:color w:val="000000"/>
          <w:sz w:val="24"/>
        </w:rPr>
        <w:t xml:space="preserve"> trường. Kết quả thẩm định giá có thể thay đổi khi các TSSS được giao dịch thành công. Khách hàng và các bên thứ ba khi sử dụng kết quả thẩm định giá cần lưu ý khi sử dụng Chứng thư thẩm định giá.</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w:t>
      </w:r>
      <w:r>
        <w:rPr>
          <w:rFonts w:ascii="Times New Roman" w:hAnsi="Times New Roman" w:eastAsia="Times New Roman" w:cs="Times New Roman"/>
          <w:color w:val="000000"/>
          <w:sz w:val="24"/>
        </w:rPr>
        <w:t xml:space="preserve">định giá.</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u w:val="none"/>
        </w:rPr>
        <w:t xml:space="preserve">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w:t>
      </w:r>
      <w:r>
        <w:rPr>
          <w:rFonts w:ascii="Times New Roman" w:hAnsi="Times New Roman" w:eastAsia="Times New Roman" w:cs="Times New Roman"/>
          <w:color w:val="000000"/>
          <w:sz w:val="24"/>
          <w:u w:val="none"/>
        </w:rPr>
        <w:t xml:space="preserve">kết quả…. và chấp nhận sử dụng tất cả nội dung được trình bày trong chứng thư này.</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b/>
          <w:color w:val="000000"/>
          <w:sz w:val="24"/>
        </w:rPr>
        <w:t xml:space="preserve">XII. CÁC PHỤ LỤC KÈM THEO </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Phụ lục 1: Hình ảnh hiện trạng của tài sản.</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Phụ lục 2: Thông tin thu thập thị trường.</w:t>
      </w:r>
      <w:r/>
    </w:p>
    <w:p>
      <w:pPr>
        <w:pBdr>
          <w:top w:val="none" w:color="000000" w:sz="4" w:space="0"/>
          <w:left w:val="none" w:color="000000" w:sz="4" w:space="0"/>
          <w:bottom w:val="none" w:color="000000" w:sz="4" w:space="0"/>
          <w:right w:val="none" w:color="000000" w:sz="4" w:space="0"/>
        </w:pBdr>
        <w:spacing w:line="276" w:lineRule="auto"/>
        <w:ind w:right="0" w:firstLine="0" w:left="0"/>
        <w:rPr/>
      </w:pPr>
      <w:r>
        <w:br w:type="page" w:clear="all"/>
      </w:r>
      <w:r>
        <w:rPr>
          <w:rFonts w:ascii="Times New Roman" w:hAnsi="Times New Roman" w:eastAsia="Times New Roman" w:cs="Times New Roman"/>
          <w:color w:val="000000"/>
          <w:sz w:val="24"/>
        </w:rPr>
        <w:t xml:space="preserve">Báo cáo kết quả thẩm định giá được phát hành 03 (ba) bản chính bằng tiếng Việt kèm theo Chứng thư thẩm định giá số 275/2026/0710/VFI-CT.44.A</w:t>
      </w:r>
      <w:r>
        <w:rPr>
          <w:rFonts w:ascii="Times New Roman" w:hAnsi="Times New Roman" w:eastAsia="Times New Roman" w:cs="Times New Roman"/>
          <w:color w:val="ff0000"/>
          <w:sz w:val="24"/>
        </w:rPr>
        <w:t xml:space="preserve"> </w:t>
      </w:r>
      <w:r>
        <w:rPr>
          <w:rFonts w:ascii="Times New Roman" w:hAnsi="Times New Roman" w:eastAsia="Times New Roman" w:cs="Times New Roman"/>
          <w:color w:val="000000"/>
          <w:sz w:val="24"/>
        </w:rPr>
        <w:t xml:space="preserve">ngày 12 tháng 5 năm 2026 tại Công ty Cổ phần Thẩm định và Đầu tư Tài chính Hoa Sen.</w:t>
      </w:r>
      <w:r>
        <w:rPr>
          <w:rFonts w:ascii="Times New Roman" w:hAnsi="Times New Roman" w:eastAsia="Times New Roman" w:cs="Times New Roman"/>
          <w:sz w:val="24"/>
        </w:rPr>
      </w:r>
      <w:r/>
    </w:p>
    <w:tbl>
      <w:tblPr>
        <w:tblStyle w:val="992"/>
        <w:tblInd w:w="0" w:type="dxa"/>
        <w:tblW w:w="48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762"/>
        <w:gridCol w:w="4762"/>
      </w:tblGrid>
      <w:tr>
        <w:trPr>
          <w:trHeight w:val="20"/>
        </w:trPr>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THẨM ĐỊNH VIÊN VỀ GIÁ</w:t>
            </w:r>
            <w:r/>
          </w:p>
        </w:tc>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CHỦ TỊCH HĐQT KIÊM TỔNG GIÁM ĐỐC</w:t>
            </w:r>
            <w:r/>
          </w:p>
        </w:tc>
      </w:tr>
      <w:tr>
        <w:trPr>
          <w:trHeight w:val="1430"/>
        </w:trPr>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tc>
      </w:tr>
      <w:tr>
        <w:trPr>
          <w:trHeight w:val="20"/>
        </w:trPr>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Nguyễn Thị Thùy Dương </w:t>
            </w:r>
            <w:r/>
          </w:p>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color w:val="000000"/>
                <w:sz w:val="24"/>
              </w:rPr>
              <w:t xml:space="preserve">Số thẻ thẩm định viên về giá: XVI25TS.2576</w:t>
            </w:r>
            <w:r/>
          </w:p>
        </w:tc>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Vũ Văn Quân</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Số thẻ thẩm định viên về giá: XII17.1825</w:t>
            </w:r>
            <w:r/>
          </w:p>
        </w:tc>
      </w:tr>
    </w:tbl>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u w:val="none"/>
        </w:rPr>
        <w:t xml:space="preserve"> </w:t>
      </w:r>
      <w:r/>
    </w:p>
    <w:tbl>
      <w:tblPr>
        <w:tblStyle w:val="992"/>
        <w:tblInd w:w="0" w:type="dxa"/>
        <w:tblW w:w="48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762"/>
        <w:gridCol w:w="4762"/>
      </w:tblGrid>
      <w:tr>
        <w:trPr>
          <w:trHeight w:val="20"/>
        </w:trPr>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TRỢ LÝ THẨM ĐỊNH VIÊN</w:t>
            </w:r>
            <w:r/>
          </w:p>
        </w:tc>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KIỂM SOÁT VIÊN</w:t>
            </w:r>
            <w:r/>
          </w:p>
        </w:tc>
      </w:tr>
      <w:tr>
        <w:trPr>
          <w:trHeight w:val="1430"/>
        </w:trPr>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tc>
      </w:tr>
      <w:tr>
        <w:trPr>
          <w:trHeight w:val="20"/>
        </w:trPr>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Lê Đình Duy</w:t>
            </w:r>
            <w:r/>
          </w:p>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Nguyễn Thị Thùy</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r>
    </w:tbl>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b/>
          <w:color w:val="000000"/>
          <w:sz w:val="24"/>
          <w:u w:val="none"/>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rPr/>
      </w:pPr>
      <w:r>
        <w:br w:type="page" w:clear="all"/>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u w:val="single"/>
        </w:rPr>
        <w:t xml:space="preserve">PHỤ LỤC 01</w:t>
      </w:r>
      <w:r>
        <w:rPr>
          <w:rFonts w:ascii="Times New Roman" w:hAnsi="Times New Roman" w:eastAsia="Times New Roman" w:cs="Times New Roman"/>
          <w:b/>
          <w:color w:val="000000"/>
          <w:sz w:val="24"/>
        </w:rPr>
        <w:t xml:space="preserve">: THÔNG TIN HIỆN TRẠNG VÀ PHÁP LÝ CỦA TÀI SẢN</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(Kèm theo Báo cáo thẩm định số 275/2026/0710/VFI-BC.44.A ngày 12 tháng 5 năm 2026 của </w:t>
      </w:r>
      <w:r/>
    </w:p>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i/>
          <w:color w:val="000000"/>
          <w:sz w:val="24"/>
        </w:rPr>
        <w:t xml:space="preserve">Công ty Cổ phần Thẩm định và Đầu tư Tài chính Hoa Sen)</w:t>
      </w:r>
      <w:r/>
    </w:p>
    <w:tbl>
      <w:tblPr>
        <w:tblStyle w:val="992"/>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731"/>
        <w:gridCol w:w="4794"/>
      </w:tblGrid>
      <w:tr>
        <w:trPr/>
        <w:tc>
          <w:tcPr>
            <w:tcBorders/>
            <w:tcMar>
              <w:left w:w="108" w:type="dxa"/>
              <w:top w:w="0" w:type="dxa"/>
              <w:right w:w="108" w:type="dxa"/>
              <w:bottom w:w="0" w:type="dxa"/>
            </w:tcMar>
            <w:tcW w:w="4731"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mc:AlternateContent>
                <mc:Choice Requires="wpg">
                  <w:drawing>
                    <wp:inline xmlns:wp="http://schemas.openxmlformats.org/drawingml/2006/wordprocessingDrawing" distT="0" distB="0" distL="0" distR="0">
                      <wp:extent cx="2914650" cy="2181225"/>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200654" name=""/>
                              <pic:cNvPicPr>
                                <a:picLocks noChangeAspect="1"/>
                              </pic:cNvPicPr>
                              <pic:nvPr/>
                            </pic:nvPicPr>
                            <pic:blipFill rotWithShape="1">
                              <a:blip r:embed="rId17"/>
                              <a:stretch/>
                            </pic:blipFill>
                            <pic:spPr bwMode="auto">
                              <a:xfrm>
                                <a:off x="0" y="0"/>
                                <a:ext cx="2914650" cy="21812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229.50pt;height:171.75pt;mso-wrap-distance-left:0.00pt;mso-wrap-distance-top:0.00pt;mso-wrap-distance-right:0.00pt;mso-wrap-distance-bottom:0.00pt;z-index:1;" stroked="false">
                      <v:imagedata r:id="rId17" o:title=""/>
                      <o:lock v:ext="edit" rotation="t"/>
                    </v:shape>
                  </w:pict>
                </mc:Fallback>
              </mc:AlternateContent>
            </w:r>
            <w:r/>
          </w:p>
        </w:tc>
        <w:tc>
          <w:tcPr>
            <w:tcBorders/>
            <w:tcMar>
              <w:left w:w="108" w:type="dxa"/>
              <w:top w:w="0" w:type="dxa"/>
              <w:right w:w="108" w:type="dxa"/>
              <w:bottom w:w="0" w:type="dxa"/>
            </w:tcMar>
            <w:tcW w:w="47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mc:AlternateContent>
                <mc:Choice Requires="wpg">
                  <w:drawing>
                    <wp:inline xmlns:wp="http://schemas.openxmlformats.org/drawingml/2006/wordprocessingDrawing" distT="0" distB="0" distL="0" distR="0">
                      <wp:extent cx="3038475" cy="2276475"/>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262687" name=""/>
                              <pic:cNvPicPr>
                                <a:picLocks noChangeAspect="1"/>
                              </pic:cNvPicPr>
                              <pic:nvPr/>
                            </pic:nvPicPr>
                            <pic:blipFill rotWithShape="1">
                              <a:blip r:embed="rId18"/>
                              <a:stretch/>
                            </pic:blipFill>
                            <pic:spPr bwMode="auto">
                              <a:xfrm>
                                <a:off x="0" y="0"/>
                                <a:ext cx="3038473" cy="22764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39.25pt;height:179.25pt;mso-wrap-distance-left:0.00pt;mso-wrap-distance-top:0.00pt;mso-wrap-distance-right:0.00pt;mso-wrap-distance-bottom:0.00pt;z-index:1;" stroked="false">
                      <v:imagedata r:id="rId18" o:title=""/>
                      <o:lock v:ext="edit" rotation="t"/>
                    </v:shape>
                  </w:pict>
                </mc:Fallback>
              </mc:AlternateContent>
            </w:r>
            <w:r/>
          </w:p>
        </w:tc>
      </w:tr>
      <w:tr>
        <w:trPr/>
        <w:tc>
          <w:tcPr>
            <w:tcBorders/>
            <w:tcMar>
              <w:left w:w="108" w:type="dxa"/>
              <w:top w:w="0" w:type="dxa"/>
              <w:right w:w="108" w:type="dxa"/>
              <w:bottom w:w="0" w:type="dxa"/>
            </w:tcMar>
            <w:tcW w:w="4731"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mc:AlternateContent>
                <mc:Choice Requires="wpg">
                  <w:drawing>
                    <wp:inline xmlns:wp="http://schemas.openxmlformats.org/drawingml/2006/wordprocessingDrawing" distT="0" distB="0" distL="0" distR="0">
                      <wp:extent cx="2857500" cy="214312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729621" name=""/>
                              <pic:cNvPicPr>
                                <a:picLocks noChangeAspect="1"/>
                              </pic:cNvPicPr>
                              <pic:nvPr/>
                            </pic:nvPicPr>
                            <pic:blipFill rotWithShape="1">
                              <a:blip r:embed="rId19"/>
                              <a:stretch/>
                            </pic:blipFill>
                            <pic:spPr bwMode="auto">
                              <a:xfrm>
                                <a:off x="0" y="0"/>
                                <a:ext cx="2857500" cy="21431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5.00pt;height:168.75pt;mso-wrap-distance-left:0.00pt;mso-wrap-distance-top:0.00pt;mso-wrap-distance-right:0.00pt;mso-wrap-distance-bottom:0.00pt;z-index:1;" stroked="false">
                      <v:imagedata r:id="rId19" o:title=""/>
                      <o:lock v:ext="edit" rotation="t"/>
                    </v:shape>
                  </w:pict>
                </mc:Fallback>
              </mc:AlternateContent>
            </w:r>
            <w:r/>
          </w:p>
        </w:tc>
        <w:tc>
          <w:tcPr>
            <w:tcBorders/>
            <w:tcMar>
              <w:left w:w="108" w:type="dxa"/>
              <w:top w:w="0" w:type="dxa"/>
              <w:right w:w="108" w:type="dxa"/>
              <w:bottom w:w="0" w:type="dxa"/>
            </w:tcMar>
            <w:tcW w:w="47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mc:AlternateContent>
                <mc:Choice Requires="wpg">
                  <w:drawing>
                    <wp:inline xmlns:wp="http://schemas.openxmlformats.org/drawingml/2006/wordprocessingDrawing" distT="0" distB="0" distL="0" distR="0">
                      <wp:extent cx="3019425" cy="226695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436437" name=""/>
                              <pic:cNvPicPr>
                                <a:picLocks noChangeAspect="1"/>
                              </pic:cNvPicPr>
                              <pic:nvPr/>
                            </pic:nvPicPr>
                            <pic:blipFill rotWithShape="1">
                              <a:blip r:embed="rId20"/>
                              <a:stretch/>
                            </pic:blipFill>
                            <pic:spPr bwMode="auto">
                              <a:xfrm>
                                <a:off x="0" y="0"/>
                                <a:ext cx="3019424" cy="22669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37.75pt;height:178.50pt;mso-wrap-distance-left:0.00pt;mso-wrap-distance-top:0.00pt;mso-wrap-distance-right:0.00pt;mso-wrap-distance-bottom:0.00pt;z-index:1;" stroked="false">
                      <v:imagedata r:id="rId20" o:title=""/>
                      <o:lock v:ext="edit" rotation="t"/>
                    </v:shape>
                  </w:pict>
                </mc:Fallback>
              </mc:AlternateContent>
            </w:r>
            <w:r/>
          </w:p>
        </w:tc>
      </w:tr>
      <w:tr>
        <w:trPr/>
        <w:tc>
          <w:tcPr>
            <w:tcBorders/>
            <w:tcMar>
              <w:left w:w="108" w:type="dxa"/>
              <w:top w:w="0" w:type="dxa"/>
              <w:right w:w="108" w:type="dxa"/>
              <w:bottom w:w="0" w:type="dxa"/>
            </w:tcMar>
            <w:tcW w:w="4731"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mc:AlternateContent>
                <mc:Choice Requires="wpg">
                  <w:drawing>
                    <wp:inline xmlns:wp="http://schemas.openxmlformats.org/drawingml/2006/wordprocessingDrawing" distT="0" distB="0" distL="0" distR="0">
                      <wp:extent cx="2952750" cy="220980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197801" name=""/>
                              <pic:cNvPicPr>
                                <a:picLocks noChangeAspect="1"/>
                              </pic:cNvPicPr>
                              <pic:nvPr/>
                            </pic:nvPicPr>
                            <pic:blipFill rotWithShape="1">
                              <a:blip r:embed="rId21"/>
                              <a:stretch/>
                            </pic:blipFill>
                            <pic:spPr bwMode="auto">
                              <a:xfrm>
                                <a:off x="0" y="0"/>
                                <a:ext cx="2952749" cy="2209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2.50pt;height:174.00pt;mso-wrap-distance-left:0.00pt;mso-wrap-distance-top:0.00pt;mso-wrap-distance-right:0.00pt;mso-wrap-distance-bottom:0.00pt;z-index:1;" stroked="false">
                      <v:imagedata r:id="rId21" o:title=""/>
                      <o:lock v:ext="edit" rotation="t"/>
                    </v:shape>
                  </w:pict>
                </mc:Fallback>
              </mc:AlternateContent>
            </w:r>
            <w:r/>
          </w:p>
        </w:tc>
        <w:tc>
          <w:tcPr>
            <w:tcBorders/>
            <w:tcMar>
              <w:left w:w="108" w:type="dxa"/>
              <w:top w:w="0" w:type="dxa"/>
              <w:right w:w="108" w:type="dxa"/>
              <w:bottom w:w="0" w:type="dxa"/>
            </w:tcMar>
            <w:tcW w:w="47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mc:AlternateContent>
                <mc:Choice Requires="wpg">
                  <w:drawing>
                    <wp:inline xmlns:wp="http://schemas.openxmlformats.org/drawingml/2006/wordprocessingDrawing" distT="0" distB="0" distL="0" distR="0">
                      <wp:extent cx="1152525" cy="255270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057876" name=""/>
                              <pic:cNvPicPr>
                                <a:picLocks noChangeAspect="1"/>
                              </pic:cNvPicPr>
                              <pic:nvPr/>
                            </pic:nvPicPr>
                            <pic:blipFill rotWithShape="1">
                              <a:blip r:embed="rId22"/>
                              <a:stretch/>
                            </pic:blipFill>
                            <pic:spPr bwMode="auto">
                              <a:xfrm>
                                <a:off x="0" y="0"/>
                                <a:ext cx="1152524" cy="25526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90.75pt;height:201.00pt;mso-wrap-distance-left:0.00pt;mso-wrap-distance-top:0.00pt;mso-wrap-distance-right:0.00pt;mso-wrap-distance-bottom:0.00pt;z-index:1;" stroked="false">
                      <v:imagedata r:id="rId22" o:title=""/>
                      <o:lock v:ext="edit" rotation="t"/>
                    </v:shape>
                  </w:pict>
                </mc:Fallback>
              </mc:AlternateContent>
            </w:r>
            <w:r/>
          </w:p>
        </w:tc>
      </w:tr>
    </w:tbl>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4238625" cy="924877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2582" name=""/>
                        <pic:cNvPicPr>
                          <a:picLocks noChangeAspect="1"/>
                        </pic:cNvPicPr>
                        <pic:nvPr/>
                      </pic:nvPicPr>
                      <pic:blipFill rotWithShape="1">
                        <a:blip r:embed="rId23"/>
                        <a:stretch/>
                      </pic:blipFill>
                      <pic:spPr bwMode="auto">
                        <a:xfrm>
                          <a:off x="0" y="0"/>
                          <a:ext cx="4238624" cy="92487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333.75pt;height:728.25pt;mso-wrap-distance-left:0.00pt;mso-wrap-distance-top:0.00pt;mso-wrap-distance-right:0.00pt;mso-wrap-distance-bottom:0.00pt;z-index:1;" stroked="false">
                <v:imagedata r:id="rId23" o:title=""/>
                <o:lock v:ext="edit" rotation="t"/>
              </v:shape>
            </w:pict>
          </mc:Fallback>
        </mc:AlternateConten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rFonts w:ascii="Times New Roman" w:hAnsi="Times New Roman" w:eastAsia="Times New Roman" w:cs="Times New Roman"/>
          <w:sz w:val="24"/>
          <w:szCs w:val="24"/>
        </w:rPr>
      </w:pPr>
      <w:r>
        <w:rPr>
          <w:rFonts w:ascii="Times New Roman" w:hAnsi="Times New Roman" w:eastAsia="Times New Roman" w:cs="Times New Roman"/>
          <w:color w:val="000000"/>
          <w:sz w:val="24"/>
          <w:highlight w:val="none"/>
        </w:rPr>
      </w:r>
      <w:r>
        <mc:AlternateContent>
          <mc:Choice Requires="wpg">
            <w:drawing>
              <wp:inline xmlns:wp="http://schemas.openxmlformats.org/drawingml/2006/wordprocessingDrawing" distT="0" distB="0" distL="0" distR="0">
                <wp:extent cx="6048375" cy="4029075"/>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980252" name=""/>
                        <pic:cNvPicPr>
                          <a:picLocks noChangeAspect="1"/>
                        </pic:cNvPicPr>
                        <pic:nvPr/>
                      </pic:nvPicPr>
                      <pic:blipFill rotWithShape="1">
                        <a:blip r:embed="rId24"/>
                        <a:stretch/>
                      </pic:blipFill>
                      <pic:spPr bwMode="auto">
                        <a:xfrm>
                          <a:off x="0" y="0"/>
                          <a:ext cx="6048374" cy="40290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317.25pt;mso-wrap-distance-left:0.00pt;mso-wrap-distance-top:0.00pt;mso-wrap-distance-right:0.00pt;mso-wrap-distance-bottom:0.00pt;z-index:1;" stroked="false">
                <v:imagedata r:id="rId24" o:title=""/>
                <o:lock v:ext="edit" rotation="t"/>
              </v:shape>
            </w:pict>
          </mc:Fallback>
        </mc:AlternateConten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mc:AlternateContent>
          <mc:Choice Requires="wpg">
            <w:drawing>
              <wp:inline xmlns:wp="http://schemas.openxmlformats.org/drawingml/2006/wordprocessingDrawing" distT="0" distB="0" distL="0" distR="0">
                <wp:extent cx="6048375" cy="4029075"/>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523837" name=""/>
                        <pic:cNvPicPr>
                          <a:picLocks noChangeAspect="1"/>
                        </pic:cNvPicPr>
                        <pic:nvPr/>
                      </pic:nvPicPr>
                      <pic:blipFill rotWithShape="1">
                        <a:blip r:embed="rId25"/>
                        <a:stretch/>
                      </pic:blipFill>
                      <pic:spPr bwMode="auto">
                        <a:xfrm>
                          <a:off x="0" y="0"/>
                          <a:ext cx="6048374" cy="40290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317.25pt;mso-wrap-distance-left:0.00pt;mso-wrap-distance-top:0.00pt;mso-wrap-distance-right:0.00pt;mso-wrap-distance-bottom:0.00pt;z-index:1;" stroked="false">
                <v:imagedata r:id="rId25"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ind w:right="0" w:firstLine="0" w:left="0"/>
        <w:rPr/>
      </w:pPr>
      <w:r>
        <w:br w:type="page" w:clear="all"/>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rPr>
        <w:t xml:space="preserve">BIÊN BẢN KHẢO SÁT</w:t>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mc:AlternateContent>
          <mc:Choice Requires="wpg">
            <w:drawing>
              <wp:inline xmlns:wp="http://schemas.openxmlformats.org/drawingml/2006/wordprocessingDrawing" distT="0" distB="0" distL="0" distR="0">
                <wp:extent cx="5419725" cy="7229475"/>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040082" name=""/>
                        <pic:cNvPicPr>
                          <a:picLocks noChangeAspect="1"/>
                        </pic:cNvPicPr>
                        <pic:nvPr/>
                      </pic:nvPicPr>
                      <pic:blipFill rotWithShape="1">
                        <a:blip r:embed="rId26"/>
                        <a:stretch/>
                      </pic:blipFill>
                      <pic:spPr bwMode="auto">
                        <a:xfrm>
                          <a:off x="0" y="0"/>
                          <a:ext cx="5419724" cy="72294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26.75pt;height:569.25pt;mso-wrap-distance-left:0.00pt;mso-wrap-distance-top:0.00pt;mso-wrap-distance-right:0.00pt;mso-wrap-distance-bottom:0.00pt;z-index:1;" stroked="false">
                <v:imagedata r:id="rId26" o:title=""/>
                <o:lock v:ext="edit" rotation="t"/>
              </v:shape>
            </w:pict>
          </mc:Fallback>
        </mc:AlternateContent>
      </w:r>
      <w:r/>
    </w:p>
    <w:p>
      <w:pPr>
        <w:pBdr>
          <w:top w:val="none" w:color="000000" w:sz="4" w:space="0"/>
          <w:left w:val="none" w:color="000000" w:sz="4" w:space="0"/>
          <w:bottom w:val="none" w:color="000000" w:sz="4" w:space="0"/>
          <w:right w:val="none" w:color="000000" w:sz="4" w:space="0"/>
        </w:pBdr>
        <w:spacing w:line="276" w:lineRule="auto"/>
        <w:ind w:right="0" w:firstLine="0" w:left="0"/>
        <w:rPr/>
      </w:pPr>
      <w:r>
        <w:br w:type="page" w:clear="all"/>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u w:val="single"/>
        </w:rPr>
        <w:t xml:space="preserve">PHỤ LỤC 02</w:t>
      </w:r>
      <w:r>
        <w:rPr>
          <w:rFonts w:ascii="Times New Roman" w:hAnsi="Times New Roman" w:eastAsia="Times New Roman" w:cs="Times New Roman"/>
          <w:b/>
          <w:color w:val="000000"/>
          <w:sz w:val="24"/>
        </w:rPr>
        <w:t xml:space="preserve">: THÔNG TIN THU THẬP THỊ TRƯỜNG</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(Kèm theo Báo cáo thẩm định số 275/2026/0710/VFI-BC.44.A ngày 12 tháng 5 năm 2026 của </w:t>
      </w:r>
      <w:r/>
    </w:p>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i/>
          <w:color w:val="000000"/>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color w:val="000000"/>
          <w:sz w:val="24"/>
        </w:rPr>
        <w:t xml:space="preserve">TSSS1</w:t>
      </w:r>
      <w:r/>
    </w:p>
    <w:tbl>
      <w:tblPr>
        <w:tblStyle w:val="992"/>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32"/>
        <w:gridCol w:w="4493"/>
        <w:gridCol w:w="4494"/>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TSSS1</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 Hiền Lễ, xã Xuân Hòa, tỉnh Phú Thọ</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https://www.facebook.com/share/p/189X1UaZTs/</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Thông tin liên lạc</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SDT: 0979.188.900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Đang giao dịch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Tháng 05/2026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dịch bình thường trên thị trường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Đất ở</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Tiếp giáp đường Tô Hiến Thành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 (m)</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6m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chữ nhật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 khá</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Hạ tầng khu phân lô: hệ thống cấp điện, cấp thoát nước đầy đủ</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Đất trống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3.800.000.000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Khả năng giao dịch thành công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90%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3.420.000.000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trị tài sản trên đất (đồng) đã bao gồm thang máy</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Đơn giá QSDĐ (đồng/m²)</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26.307.692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left"/>
              <w:rPr/>
            </w:pPr>
            <w:r>
              <w:rPr>
                <w:rFonts w:ascii="Times New Roman" w:hAnsi="Times New Roman" w:eastAsia="Times New Roman" w:cs="Times New Roman"/>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right w:val="single" w:color="000000" w:sz="8" w:space="0"/>
            </w:tcBorders>
            <w:tcMar>
              <w:left w:w="108" w:type="dxa"/>
              <w:top w:w="0" w:type="dxa"/>
              <w:right w:w="108" w:type="dxa"/>
              <w:bottom w:w="0" w:type="dxa"/>
            </w:tcMar>
            <w:tcW w:w="89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r>
            <w:r>
              <mc:AlternateContent>
                <mc:Choice Requires="wpg">
                  <w:drawing>
                    <wp:inline xmlns:wp="http://schemas.openxmlformats.org/drawingml/2006/wordprocessingDrawing" distT="0" distB="0" distL="0" distR="0">
                      <wp:extent cx="6048375" cy="4663897"/>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341414" name=""/>
                              <pic:cNvPicPr>
                                <a:picLocks noChangeAspect="1"/>
                              </pic:cNvPicPr>
                              <pic:nvPr/>
                            </pic:nvPicPr>
                            <pic:blipFill rotWithShape="1">
                              <a:blip r:embed="rId27"/>
                              <a:stretch/>
                            </pic:blipFill>
                            <pic:spPr bwMode="auto">
                              <a:xfrm>
                                <a:off x="0" y="0"/>
                                <a:ext cx="6048374" cy="466389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76.25pt;height:367.24pt;mso-wrap-distance-left:0.00pt;mso-wrap-distance-top:0.00pt;mso-wrap-distance-right:0.00pt;mso-wrap-distance-bottom:0.00pt;z-index:1;" stroked="false">
                      <v:imagedata r:id="rId27" o:title=""/>
                      <o:lock v:ext="edit" rotation="t"/>
                    </v:shape>
                  </w:pict>
                </mc:Fallback>
              </mc:AlternateConten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89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mc:AlternateContent>
                <mc:Choice Requires="wpg">
                  <w:drawing>
                    <wp:inline xmlns:wp="http://schemas.openxmlformats.org/drawingml/2006/wordprocessingDrawing" distT="0" distB="0" distL="0" distR="0">
                      <wp:extent cx="4025160" cy="4202451"/>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765491" name=""/>
                              <pic:cNvPicPr>
                                <a:picLocks noChangeAspect="1"/>
                              </pic:cNvPicPr>
                              <pic:nvPr/>
                            </pic:nvPicPr>
                            <pic:blipFill rotWithShape="1">
                              <a:blip r:embed="rId28"/>
                              <a:stretch/>
                            </pic:blipFill>
                            <pic:spPr bwMode="auto">
                              <a:xfrm flipH="0" flipV="0">
                                <a:off x="0" y="0"/>
                                <a:ext cx="4025160" cy="42024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16.94pt;height:330.90pt;mso-wrap-distance-left:0.00pt;mso-wrap-distance-top:0.00pt;mso-wrap-distance-right:0.00pt;mso-wrap-distance-bottom:0.00pt;z-index:1;" stroked="false">
                      <v:imagedata r:id="rId28" o:title=""/>
                      <o:lock v:ext="edit" rotation="t"/>
                    </v:shape>
                  </w:pict>
                </mc:Fallback>
              </mc:AlternateContent>
            </w:r>
            <w:r>
              <w:rPr>
                <w:rFonts w:ascii="Times New Roman" w:hAnsi="Times New Roman" w:eastAsia="Times New Roman" w:cs="Times New Roman"/>
                <w:b/>
                <w:color w:val="000000"/>
                <w:sz w:val="22"/>
              </w:rPr>
            </w:r>
            <w:r/>
          </w:p>
        </w:tc>
      </w:tr>
    </w:tbl>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i/>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rPr>
        <w:t xml:space="preserve">TSSS2</w:t>
      </w:r>
      <w:r/>
    </w:p>
    <w:tbl>
      <w:tblPr>
        <w:tblStyle w:val="992"/>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32"/>
        <w:gridCol w:w="4493"/>
        <w:gridCol w:w="4494"/>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TSSS2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 Hiền Lễ, xã Xuân Hòa, tỉnh Phú Thọ</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Liên hệ trực tiếp</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Thông tin liên lạc</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SDT: 0979.188.900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Đang giao dịch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Tháng 05/2026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dịch bình thường trên thị trường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Đất ở: 100m2; CLN: 25m2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Đất ở: Lâu dài; CLN: có thời hạn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Tiếp giáp đường Tô Hiến Thành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 (m)</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6m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chữ nhật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 khá</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Hạ tầng khu phân lô: hệ thống cấp điện, cấp thoát nước đầy đủ</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Đất trống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3.300.000.000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Khả năng giao dịch thành công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90%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2.970.000.000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trị tài sản trên đất (đồng) đã bao gồm thang máy</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Đơn giá QSDĐ (đồng/m²)</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23.760.000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left"/>
              <w:rPr/>
            </w:pPr>
            <w:r>
              <w:rPr>
                <w:rFonts w:ascii="Times New Roman" w:hAnsi="Times New Roman" w:eastAsia="Times New Roman" w:cs="Times New Roman"/>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right w:val="single" w:color="000000" w:sz="8" w:space="0"/>
            </w:tcBorders>
            <w:tcMar>
              <w:left w:w="108" w:type="dxa"/>
              <w:top w:w="0" w:type="dxa"/>
              <w:right w:w="108" w:type="dxa"/>
              <w:bottom w:w="0" w:type="dxa"/>
            </w:tcMar>
            <w:tcW w:w="89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r>
            <w:r>
              <mc:AlternateContent>
                <mc:Choice Requires="wpg">
                  <w:drawing>
                    <wp:inline xmlns:wp="http://schemas.openxmlformats.org/drawingml/2006/wordprocessingDrawing" distT="0" distB="0" distL="0" distR="0">
                      <wp:extent cx="3401636" cy="3319173"/>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771401" name=""/>
                              <pic:cNvPicPr>
                                <a:picLocks noChangeAspect="1"/>
                              </pic:cNvPicPr>
                              <pic:nvPr/>
                            </pic:nvPicPr>
                            <pic:blipFill rotWithShape="1">
                              <a:blip r:embed="rId29"/>
                              <a:stretch/>
                            </pic:blipFill>
                            <pic:spPr bwMode="auto">
                              <a:xfrm flipH="0" flipV="0">
                                <a:off x="0" y="0"/>
                                <a:ext cx="3401636" cy="33191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67.85pt;height:261.35pt;mso-wrap-distance-left:0.00pt;mso-wrap-distance-top:0.00pt;mso-wrap-distance-right:0.00pt;mso-wrap-distance-bottom:0.00pt;z-index:1;" stroked="false">
                      <v:imagedata r:id="rId29" o:title=""/>
                      <o:lock v:ext="edit" rotation="t"/>
                    </v:shape>
                  </w:pict>
                </mc:Fallback>
              </mc:AlternateContent>
            </w: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r>
            <w:r>
              <mc:AlternateContent>
                <mc:Choice Requires="wpg">
                  <w:drawing>
                    <wp:inline xmlns:wp="http://schemas.openxmlformats.org/drawingml/2006/wordprocessingDrawing" distT="0" distB="0" distL="0" distR="0">
                      <wp:extent cx="6048375" cy="806450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279018" name=""/>
                              <pic:cNvPicPr>
                                <a:picLocks noChangeAspect="1"/>
                              </pic:cNvPicPr>
                              <pic:nvPr/>
                            </pic:nvPicPr>
                            <pic:blipFill rotWithShape="1">
                              <a:blip r:embed="rId30"/>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76.25pt;height:635.00pt;mso-wrap-distance-left:0.00pt;mso-wrap-distance-top:0.00pt;mso-wrap-distance-right:0.00pt;mso-wrap-distance-bottom:0.00pt;z-index:1;" stroked="false">
                      <v:imagedata r:id="rId30" o:title=""/>
                      <o:lock v:ext="edit" rotation="t"/>
                    </v:shape>
                  </w:pict>
                </mc:Fallback>
              </mc:AlternateContent>
            </w:r>
            <w:r>
              <w:rPr>
                <w:rFonts w:ascii="Times New Roman" w:hAnsi="Times New Roman" w:eastAsia="Times New Roman" w:cs="Times New Roman"/>
                <w:b/>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89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r>
            <w:r>
              <mc:AlternateContent>
                <mc:Choice Requires="wpg">
                  <w:drawing>
                    <wp:inline xmlns:wp="http://schemas.openxmlformats.org/drawingml/2006/wordprocessingDrawing" distT="0" distB="0" distL="0" distR="0">
                      <wp:extent cx="6048375" cy="806450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921490" name=""/>
                              <pic:cNvPicPr>
                                <a:picLocks noChangeAspect="1"/>
                              </pic:cNvPicPr>
                              <pic:nvPr/>
                            </pic:nvPicPr>
                            <pic:blipFill rotWithShape="1">
                              <a:blip r:embed="rId31"/>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635.00pt;mso-wrap-distance-left:0.00pt;mso-wrap-distance-top:0.00pt;mso-wrap-distance-right:0.00pt;mso-wrap-distance-bottom:0.00pt;z-index:1;" stroked="false">
                      <v:imagedata r:id="rId31" o:title=""/>
                      <o:lock v:ext="edit" rotation="t"/>
                    </v:shape>
                  </w:pict>
                </mc:Fallback>
              </mc:AlternateContent>
            </w:r>
            <w:r>
              <w:rPr>
                <w:rFonts w:ascii="Times New Roman" w:hAnsi="Times New Roman" w:eastAsia="Times New Roman" w:cs="Times New Roman"/>
                <w:b/>
                <w:color w:val="000000"/>
                <w:sz w:val="22"/>
              </w:rPr>
              <w:t xml:space="preserve"> </w:t>
            </w:r>
            <w:r/>
          </w:p>
        </w:tc>
      </w:tr>
    </w:tbl>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color w:val="000000"/>
          <w:sz w:val="24"/>
        </w:rPr>
        <w:t xml:space="preserve"> </w:t>
      </w:r>
      <w:r/>
    </w:p>
    <w:p>
      <w:pPr>
        <w:pBdr/>
        <w:shd w:val="nil" w:color="auto"/>
        <w:spacing/>
        <w:ind/>
        <w:rPr/>
      </w:pPr>
      <w:r>
        <w:rPr>
          <w:rFonts w:ascii="Times New Roman" w:hAnsi="Times New Roman" w:eastAsia="Times New Roman" w:cs="Times New Roman"/>
          <w:b/>
          <w:color w:val="000000"/>
          <w:sz w:val="24"/>
          <w:highlight w:val="none"/>
        </w:rPr>
        <w:br w:type="page" w:clear="all"/>
      </w:r>
      <w:r>
        <w:rPr>
          <w:rFonts w:ascii="Times New Roman" w:hAnsi="Times New Roman" w:eastAsia="Times New Roman" w:cs="Times New Roman"/>
          <w:b/>
          <w:color w:val="000000"/>
          <w:sz w:val="24"/>
          <w:highlight w:val="none"/>
        </w:rPr>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color w:val="000000"/>
          <w:sz w:val="24"/>
        </w:rPr>
        <w:t xml:space="preserve">TSSS 3</w:t>
      </w:r>
      <w:r>
        <w:rPr>
          <w:rFonts w:ascii="Times New Roman" w:hAnsi="Times New Roman" w:eastAsia="Times New Roman" w:cs="Times New Roman"/>
          <w:b/>
          <w:bCs/>
          <w:color w:val="000000"/>
          <w:sz w:val="24"/>
          <w:szCs w:val="24"/>
          <w:highlight w:val="none"/>
        </w:rPr>
      </w:r>
      <w:r>
        <w:rPr>
          <w:rFonts w:ascii="Times New Roman" w:hAnsi="Times New Roman" w:eastAsia="Times New Roman" w:cs="Times New Roman"/>
          <w:b/>
          <w:bCs/>
          <w:color w:val="000000"/>
          <w:sz w:val="24"/>
          <w:szCs w:val="24"/>
          <w:highlight w:val="none"/>
        </w:rPr>
      </w:r>
    </w:p>
    <w:tbl>
      <w:tblPr>
        <w:tblStyle w:val="992"/>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32"/>
        <w:gridCol w:w="4493"/>
        <w:gridCol w:w="4494"/>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TSSS3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 Hiền Lễ, xã Xuân Hòa, tỉnh Phú Thọ</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Liên hệ trực tiếp</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Thông tin liên lạc</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SDT: 0978825563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Đang giao dịch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Tháng 05/2026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dịch bình thường trên thị trường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Đất ở: 30m2; CLN: 59,5m2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Tiếp giáp đường Tô Hiến Thành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 (m)</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6m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89,50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chữ nhật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 khá</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Đất trống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2.350.000.000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Khả năng giao dịch thành công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90%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2.115.000.000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trị tài sản trên đất (đồng) đã bao gồm thang máy</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Đơn giá QSDĐ (đồng/m²)</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color w:val="000000"/>
                <w:sz w:val="22"/>
              </w:rPr>
              <w:t xml:space="preserve">23.631.285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right w:val="single" w:color="000000" w:sz="8" w:space="0"/>
            </w:tcBorders>
            <w:tcMar>
              <w:left w:w="108" w:type="dxa"/>
              <w:top w:w="0" w:type="dxa"/>
              <w:right w:w="108" w:type="dxa"/>
              <w:bottom w:w="0" w:type="dxa"/>
            </w:tcMar>
            <w:tcW w:w="89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  </w:t>
            </w:r>
            <w:r>
              <mc:AlternateContent>
                <mc:Choice Requires="wpg">
                  <w:drawing>
                    <wp:inline xmlns:wp="http://schemas.openxmlformats.org/drawingml/2006/wordprocessingDrawing" distT="0" distB="0" distL="0" distR="0">
                      <wp:extent cx="6048375" cy="6298703"/>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458612" name=""/>
                              <pic:cNvPicPr>
                                <a:picLocks noChangeAspect="1"/>
                              </pic:cNvPicPr>
                              <pic:nvPr/>
                            </pic:nvPicPr>
                            <pic:blipFill rotWithShape="1">
                              <a:blip r:embed="rId32"/>
                              <a:stretch/>
                            </pic:blipFill>
                            <pic:spPr bwMode="auto">
                              <a:xfrm>
                                <a:off x="0" y="0"/>
                                <a:ext cx="6048374" cy="629870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495.96pt;mso-wrap-distance-left:0.00pt;mso-wrap-distance-top:0.00pt;mso-wrap-distance-right:0.00pt;mso-wrap-distance-bottom:0.00pt;z-index:1;" stroked="false">
                      <v:imagedata r:id="rId32" o:title=""/>
                      <o:lock v:ext="edit" rotation="t"/>
                    </v:shape>
                  </w:pict>
                </mc:Fallback>
              </mc:AlternateContent>
            </w:r>
            <w:r>
              <w:rPr>
                <w:rFonts w:ascii="Times New Roman" w:hAnsi="Times New Roman" w:eastAsia="Times New Roman" w:cs="Times New Roman"/>
                <w:b/>
                <w:color w:val="000000"/>
                <w:sz w:val="22"/>
              </w:rPr>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mc:AlternateContent>
                <mc:Choice Requires="wpg">
                  <w:drawing>
                    <wp:inline xmlns:wp="http://schemas.openxmlformats.org/drawingml/2006/wordprocessingDrawing" distT="0" distB="0" distL="0" distR="0">
                      <wp:extent cx="5599200" cy="747341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513390" name=""/>
                              <pic:cNvPicPr>
                                <a:picLocks noChangeAspect="1"/>
                              </pic:cNvPicPr>
                              <pic:nvPr/>
                            </pic:nvPicPr>
                            <pic:blipFill rotWithShape="1">
                              <a:blip r:embed="rId33"/>
                              <a:stretch/>
                            </pic:blipFill>
                            <pic:spPr bwMode="auto">
                              <a:xfrm flipH="0" flipV="0">
                                <a:off x="0" y="0"/>
                                <a:ext cx="5599200" cy="74734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40.88pt;height:588.46pt;mso-wrap-distance-left:0.00pt;mso-wrap-distance-top:0.00pt;mso-wrap-distance-right:0.00pt;mso-wrap-distance-bottom:0.00pt;z-index:1;" stroked="false">
                      <v:imagedata r:id="rId33" o:title=""/>
                      <o:lock v:ext="edit" rotation="t"/>
                    </v:shape>
                  </w:pict>
                </mc:Fallback>
              </mc:AlternateContent>
            </w:r>
            <w:r>
              <w:rPr>
                <w:rFonts w:ascii="Times New Roman" w:hAnsi="Times New Roman" w:eastAsia="Times New Roman" w:cs="Times New Roman"/>
                <w:b/>
                <w:color w:val="000000"/>
                <w:sz w:val="22"/>
              </w:rPr>
            </w:r>
            <w:r/>
          </w:p>
        </w:tc>
      </w:tr>
      <w:tr>
        <w:trPr>
          <w:trHeight w:val="20"/>
        </w:trPr>
        <w:tc>
          <w:tcPr>
            <w:tcBorders>
              <w:left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right w:val="single" w:color="000000" w:sz="8" w:space="0"/>
            </w:tcBorders>
            <w:tcMar>
              <w:left w:w="108" w:type="dxa"/>
              <w:top w:w="0" w:type="dxa"/>
              <w:right w:w="108" w:type="dxa"/>
              <w:bottom w:w="0" w:type="dxa"/>
            </w:tcMar>
            <w:tcW w:w="89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89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 </w:t>
            </w:r>
            <w:r/>
          </w:p>
        </w:tc>
      </w:tr>
    </w:tbl>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color w:val="000000"/>
          <w:sz w:val="24"/>
        </w:rPr>
        <w:t xml:space="preserve"> </w:t>
      </w:r>
      <w:r/>
    </w:p>
    <w:tbl>
      <w:tblPr>
        <w:tblStyle w:val="992"/>
        <w:tblInd w:w="108"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427"/>
        <w:gridCol w:w="4776"/>
      </w:tblGrid>
      <w:tr>
        <w:trPr>
          <w:trHeight w:val="312"/>
        </w:trPr>
        <w:tc>
          <w:tcPr>
            <w:tcBorders/>
            <w:tcMar>
              <w:left w:w="108" w:type="dxa"/>
              <w:top w:w="0" w:type="dxa"/>
              <w:right w:w="108" w:type="dxa"/>
              <w:bottom w:w="0" w:type="dxa"/>
            </w:tcMar>
            <w:tcW w:w="44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477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Người thu thập thông tin</w:t>
            </w:r>
            <w:r/>
          </w:p>
        </w:tc>
      </w:tr>
      <w:tr>
        <w:trPr>
          <w:trHeight w:val="322"/>
        </w:trPr>
        <w:tc>
          <w:tcPr>
            <w:tcBorders/>
            <w:tcMar>
              <w:left w:w="108" w:type="dxa"/>
              <w:top w:w="0" w:type="dxa"/>
              <w:right w:w="108" w:type="dxa"/>
              <w:bottom w:w="0" w:type="dxa"/>
            </w:tcMar>
            <w:tcW w:w="44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477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Lê Đình Duy</w:t>
            </w:r>
            <w:r/>
          </w:p>
        </w:tc>
      </w:tr>
    </w:tbl>
    <w:p>
      <w:pPr>
        <w:pBdr/>
        <w:spacing w:after="200" w:line="276" w:lineRule="auto"/>
        <w:ind/>
        <w:rPr>
          <w:iCs/>
          <w:lang w:val="pt-BR"/>
        </w:rPr>
      </w:pPr>
      <w:r>
        <w:rPr>
          <w:iCs/>
          <w:lang w:val="pt-BR"/>
        </w:rPr>
      </w:r>
      <w:r>
        <w:rPr>
          <w:iCs/>
          <w:lang w:val="pt-BR"/>
        </w:rPr>
      </w:r>
      <w:r>
        <w:rPr>
          <w:iCs/>
          <w:lang w:val="pt-BR"/>
        </w:rPr>
      </w:r>
    </w:p>
    <w:sectPr>
      <w:footerReference w:type="even" r:id="rId9"/>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4" w:author="Nguyễn Thị Thùy Dương" w:date="2026-05-19T11:38:53Z" w:initials="NTTD">
    <w:p w14:paraId="00000001" w14:textId="00000001">
      <w:pPr>
        <w:spacing w:line="240" w:after="0" w:lineRule="auto" w:before="0"/>
        <w:ind w:firstLine="0" w:left="0" w:right="0"/>
        <w:jc w:val="left"/>
      </w:pPr>
      <w:r>
        <w:rPr>
          <w:rFonts w:eastAsia="Arial" w:ascii="Arial" w:hAnsi="Arial" w:cs="Arial"/>
          <w:sz w:val="22"/>
        </w:rPr>
        <w:t xml:space="preserve">Thiếu cây lâu năm</w:t>
      </w:r>
    </w:p>
  </w:comment>
  <w:comment w:id="3" w:author="Nguyễn Thị Thùy Dương" w:date="2026-05-19T11:43:45Z" w:initials="NTTD">
    <w:p w14:paraId="00000002" w14:textId="00000002">
      <w:pPr>
        <w:spacing w:line="240" w:after="0" w:lineRule="auto" w:before="0"/>
        <w:ind w:firstLine="0" w:left="0" w:right="0"/>
        <w:jc w:val="left"/>
      </w:pPr>
      <w:r>
        <w:rPr>
          <w:rFonts w:eastAsia="Arial" w:ascii="Arial" w:hAnsi="Arial" w:cs="Arial"/>
          <w:sz w:val="22"/>
        </w:rPr>
        <w:t xml:space="preserve">Sổ và khảo sát hướng đông nam và tây nam</w:t>
      </w:r>
    </w:p>
  </w:comment>
  <w:comment w:id="2" w:author="Nguyễn Thị Thùy Dương" w:date="2026-05-19T11:33:39Z" w:initials="NTTD">
    <w:p w14:paraId="00000003" w14:textId="00000003">
      <w:pPr>
        <w:spacing w:line="240" w:after="0" w:lineRule="auto" w:before="0"/>
        <w:ind w:firstLine="0" w:left="0" w:right="0"/>
        <w:jc w:val="left"/>
      </w:pPr>
      <w:r>
        <w:rPr>
          <w:rFonts w:eastAsia="Arial" w:ascii="Arial" w:hAnsi="Arial" w:cs="Arial"/>
          <w:sz w:val="22"/>
        </w:rPr>
        <w:t xml:space="preserve">Trên chứng thư ghi ngày 1/5</w:t>
      </w:r>
    </w:p>
  </w:comment>
  <w:comment w:id="1" w:author="Nguyễn Thị Thùy Dương" w:date="2026-05-19T11:33:12Z" w:initials="NTTD">
    <w:p w14:paraId="00000004" w14:textId="00000004">
      <w:pPr>
        <w:spacing w:line="240" w:after="0" w:lineRule="auto" w:before="0"/>
        <w:ind w:firstLine="0" w:left="0" w:right="0"/>
        <w:jc w:val="left"/>
      </w:pPr>
      <w:r>
        <w:rPr>
          <w:rFonts w:eastAsia="Arial" w:ascii="Arial" w:hAnsi="Arial" w:cs="Arial"/>
          <w:sz w:val="22"/>
        </w:rPr>
        <w:t xml:space="preserve">Để ngày</w:t>
      </w:r>
    </w:p>
  </w:comment>
  <w:comment w:id="0" w:author="Nguyễn Thị Thùy Dương" w:date="2026-05-19T11:32:33Z" w:initials="NTTD">
    <w:p w14:paraId="00000005" w14:textId="00000005">
      <w:pPr>
        <w:spacing w:line="240" w:after="0" w:lineRule="auto" w:before="0"/>
        <w:ind w:firstLine="0" w:left="0" w:right="0"/>
        <w:jc w:val="left"/>
      </w:pPr>
      <w:r>
        <w:rPr>
          <w:rFonts w:eastAsia="Arial" w:ascii="Arial" w:hAnsi="Arial" w:cs="Arial"/>
          <w:sz w:val="22"/>
        </w:rPr>
        <w:t xml:space="preserve">BC</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1"/>
  <w15:commentEx w15:paraId="00000002" w15:done="0"/>
  <w15:commentEx w15:paraId="00000003" w15:done="1"/>
  <w15:commentEx w15:paraId="00000004" w15:done="1"/>
  <w15:commentEx w15:paraId="0000000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6B0F25E" w16cex:dateUtc="2026-05-19T04:38:53Z"/>
  <w16cex:commentExtensible w16cex:durableId="3985A235" w16cex:dateUtc="2026-05-19T04:43:45Z"/>
  <w16cex:commentExtensible w16cex:durableId="4FF640CD" w16cex:dateUtc="2026-05-19T04:33:39Z"/>
  <w16cex:commentExtensible w16cex:durableId="2E7C6B54" w16cex:dateUtc="2026-05-19T04:33:12Z"/>
  <w16cex:commentExtensible w16cex:durableId="59899B95" w16cex:dateUtc="2026-05-19T04:32:33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26B0F25E"/>
  <w16cid:commentId w16cid:paraId="00000002" w16cid:durableId="3985A235"/>
  <w16cid:commentId w16cid:paraId="00000003" w16cid:durableId="4FF640CD"/>
  <w16cid:commentId w16cid:paraId="00000004" w16cid:durableId="2E7C6B54"/>
  <w16cid:commentId w16cid:paraId="00000005" w16cid:durableId="59899B9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Arial">
    <w:panose1 w:val="020B060402020202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84"/>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E318896"/>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76A9794F"/>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9">
    <w:nsid w:val="34247B47"/>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0">
    <w:nsid w:val="7F74A9AB"/>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Wingdings" w:hAnsi="Wingdings" w:eastAsia="Wingdings" w:cs="Wingdings"/>
      </w:rPr>
      <w:start w:val="1"/>
      <w:suff w:val="tab"/>
    </w:lvl>
    <w:lvl w:ilvl="4">
      <w:isLgl w:val="false"/>
      <w:lvlJc w:val="left"/>
      <w:lvlText w:val=""/>
      <w:numFmt w:val="bullet"/>
      <w:pPr>
        <w:pBdr/>
        <w:spacing/>
        <w:ind w:hanging="360" w:left="3600"/>
      </w:pPr>
      <w:rPr>
        <w:rFonts w:hint="default" w:ascii="Wingdings" w:hAnsi="Wingdings" w:eastAsia="Wingdings" w:cs="Wingdings"/>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Wingdings" w:hAnsi="Wingdings" w:eastAsia="Wingdings" w:cs="Wingdings"/>
      </w:rPr>
      <w:start w:val="1"/>
      <w:suff w:val="tab"/>
    </w:lvl>
    <w:lvl w:ilvl="7">
      <w:isLgl w:val="false"/>
      <w:lvlJc w:val="left"/>
      <w:lvlText w:val=""/>
      <w:numFmt w:val="bullet"/>
      <w:pPr>
        <w:pBdr/>
        <w:spacing/>
        <w:ind w:hanging="360" w:left="5760"/>
      </w:pPr>
      <w:rPr>
        <w:rFonts w:hint="default" w:ascii="Wingdings" w:hAnsi="Wingdings" w:eastAsia="Wingdings" w:cs="Wingdings"/>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1">
    <w:nsid w:val="5D03FEE9"/>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2">
    <w:nsid w:val="55F17535"/>
    <w:lvl w:ilvl="0">
      <w:isLgl w:val="false"/>
      <w:lvlJc w:val="left"/>
      <w:lvlText w:val=""/>
      <w:numFmt w:val="bullet"/>
      <w:pPr>
        <w:pBdr/>
        <w:spacing/>
        <w:ind w:hanging="360" w:left="1080"/>
      </w:pPr>
      <w:rPr>
        <w:rFonts w:hint="default" w:ascii="Wingdings" w:hAnsi="Wingdings" w:eastAsia="Wingdings" w:cs="Wingdings"/>
      </w:rPr>
      <w:start w:val="1"/>
      <w:suff w:val="tab"/>
    </w:lvl>
    <w:lvl w:ilvl="1">
      <w:isLgl w:val="false"/>
      <w:lvlJc w:val="left"/>
      <w:lvlText w:val="o"/>
      <w:numFmt w:val="bullet"/>
      <w:pPr>
        <w:pBdr/>
        <w:spacing/>
        <w:ind w:hanging="360" w:left="1800"/>
      </w:pPr>
      <w:rPr>
        <w:rFonts w:hint="default" w:ascii="Courier New" w:hAnsi="Courier New" w:eastAsia="Courier New" w:cs="Courier New"/>
      </w:rPr>
      <w:start w:val="1"/>
      <w:suff w:val="tab"/>
    </w:lvl>
    <w:lvl w:ilvl="2">
      <w:isLgl w:val="false"/>
      <w:lvlJc w:val="left"/>
      <w:lvlText w:val=""/>
      <w:numFmt w:val="bullet"/>
      <w:pPr>
        <w:pBdr/>
        <w:spacing/>
        <w:ind w:hanging="360" w:left="2520"/>
      </w:pPr>
      <w:rPr>
        <w:rFonts w:hint="default" w:ascii="Wingdings" w:hAnsi="Wingdings" w:eastAsia="Wingdings" w:cs="Wingdings"/>
      </w:rPr>
      <w:start w:val="1"/>
      <w:suff w:val="tab"/>
    </w:lvl>
    <w:lvl w:ilvl="3">
      <w:isLgl w:val="false"/>
      <w:lvlJc w:val="left"/>
      <w:lvlText w:val=""/>
      <w:numFmt w:val="bullet"/>
      <w:pPr>
        <w:pBdr/>
        <w:spacing/>
        <w:ind w:hanging="360" w:left="3240"/>
      </w:pPr>
      <w:rPr>
        <w:rFonts w:hint="default" w:ascii="Symbol" w:hAnsi="Symbol" w:eastAsia="Symbol" w:cs="Symbol"/>
      </w:rPr>
      <w:start w:val="1"/>
      <w:suff w:val="tab"/>
    </w:lvl>
    <w:lvl w:ilvl="4">
      <w:isLgl w:val="false"/>
      <w:lvlJc w:val="left"/>
      <w:lvlText w:val="o"/>
      <w:numFmt w:val="bullet"/>
      <w:pPr>
        <w:pBdr/>
        <w:spacing/>
        <w:ind w:hanging="360" w:left="3960"/>
      </w:pPr>
      <w:rPr>
        <w:rFonts w:hint="default" w:ascii="Courier New" w:hAnsi="Courier New" w:eastAsia="Courier New" w:cs="Courier New"/>
      </w:rPr>
      <w:start w:val="1"/>
      <w:suff w:val="tab"/>
    </w:lvl>
    <w:lvl w:ilvl="5">
      <w:isLgl w:val="false"/>
      <w:lvlJc w:val="left"/>
      <w:lvlText w:val=""/>
      <w:numFmt w:val="bullet"/>
      <w:pPr>
        <w:pBdr/>
        <w:spacing/>
        <w:ind w:hanging="360" w:left="4680"/>
      </w:pPr>
      <w:rPr>
        <w:rFonts w:hint="default" w:ascii="Wingdings" w:hAnsi="Wingdings" w:eastAsia="Wingdings" w:cs="Wingdings"/>
      </w:rPr>
      <w:start w:val="1"/>
      <w:suff w:val="tab"/>
    </w:lvl>
    <w:lvl w:ilvl="6">
      <w:isLgl w:val="false"/>
      <w:lvlJc w:val="left"/>
      <w:lvlText w:val=""/>
      <w:numFmt w:val="bullet"/>
      <w:pPr>
        <w:pBdr/>
        <w:spacing/>
        <w:ind w:hanging="360" w:left="5400"/>
      </w:pPr>
      <w:rPr>
        <w:rFonts w:hint="default" w:ascii="Symbol" w:hAnsi="Symbol" w:eastAsia="Symbol" w:cs="Symbol"/>
      </w:rPr>
      <w:start w:val="1"/>
      <w:suff w:val="tab"/>
    </w:lvl>
    <w:lvl w:ilvl="7">
      <w:isLgl w:val="false"/>
      <w:lvlJc w:val="left"/>
      <w:lvlText w:val="o"/>
      <w:numFmt w:val="bullet"/>
      <w:pPr>
        <w:pBdr/>
        <w:spacing/>
        <w:ind w:hanging="360" w:left="6120"/>
      </w:pPr>
      <w:rPr>
        <w:rFonts w:hint="default" w:ascii="Courier New" w:hAnsi="Courier New" w:eastAsia="Courier New" w:cs="Courier New"/>
      </w:rPr>
      <w:start w:val="1"/>
      <w:suff w:val="tab"/>
    </w:lvl>
    <w:lvl w:ilvl="8">
      <w:isLgl w:val="false"/>
      <w:lvlJc w:val="left"/>
      <w:lvlText w:val=""/>
      <w:numFmt w:val="bullet"/>
      <w:pPr>
        <w:pBdr/>
        <w:spacing/>
        <w:ind w:hanging="360" w:left="6840"/>
      </w:pPr>
      <w:rPr>
        <w:rFonts w:hint="default" w:ascii="Wingdings" w:hAnsi="Wingdings" w:eastAsia="Wingdings" w:cs="Wingdings"/>
      </w:rPr>
      <w:start w:val="1"/>
      <w:suff w:val="tab"/>
    </w:lvl>
  </w:abstractNum>
  <w:abstractNum w:abstractNumId="43">
    <w:nsid w:val="34BDC178"/>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00">
    <w:name w:val="Table Grid Light"/>
    <w:basedOn w:val="972"/>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Plain Table 1"/>
    <w:basedOn w:val="972"/>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Plain Table 2"/>
    <w:basedOn w:val="972"/>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Plain Table 3"/>
    <w:basedOn w:val="97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Plain Table 4"/>
    <w:basedOn w:val="97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Plain Table 5"/>
    <w:basedOn w:val="97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Grid Table 1 Light"/>
    <w:basedOn w:val="972"/>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Grid Table 1 Light - Accent 1"/>
    <w:basedOn w:val="97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Grid Table 1 Light - Accent 2"/>
    <w:basedOn w:val="97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Grid Table 1 Light - Accent 3"/>
    <w:basedOn w:val="97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Grid Table 1 Light - Accent 4"/>
    <w:basedOn w:val="97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Grid Table 1 Light - Accent 5"/>
    <w:basedOn w:val="97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Grid Table 1 Light - Accent 6"/>
    <w:basedOn w:val="97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Grid Table 2"/>
    <w:basedOn w:val="97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Grid Table 2 - Accent 1"/>
    <w:basedOn w:val="97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Grid Table 2 - Accent 2"/>
    <w:basedOn w:val="97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Grid Table 2 - Accent 3"/>
    <w:basedOn w:val="97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Grid Table 2 - Accent 4"/>
    <w:basedOn w:val="97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Grid Table 2 - Accent 5"/>
    <w:basedOn w:val="97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Grid Table 2 - Accent 6"/>
    <w:basedOn w:val="97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Grid Table 3"/>
    <w:basedOn w:val="97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Grid Table 3 - Accent 1"/>
    <w:basedOn w:val="97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Grid Table 3 - Accent 2"/>
    <w:basedOn w:val="97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Grid Table 3 - Accent 3"/>
    <w:basedOn w:val="97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Grid Table 3 - Accent 4"/>
    <w:basedOn w:val="97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Grid Table 3 - Accent 5"/>
    <w:basedOn w:val="97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Grid Table 3 - Accent 6"/>
    <w:basedOn w:val="97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Grid Table 4"/>
    <w:basedOn w:val="972"/>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Grid Table 4 - Accent 1"/>
    <w:basedOn w:val="972"/>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Grid Table 4 - Accent 2"/>
    <w:basedOn w:val="972"/>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Grid Table 4 - Accent 3"/>
    <w:basedOn w:val="972"/>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Grid Table 4 - Accent 4"/>
    <w:basedOn w:val="972"/>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Grid Table 4 - Accent 5"/>
    <w:basedOn w:val="972"/>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Grid Table 4 - Accent 6"/>
    <w:basedOn w:val="972"/>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Grid Table 5 Dark"/>
    <w:basedOn w:val="97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Grid Table 5 Dark- Accent 1"/>
    <w:basedOn w:val="97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Grid Table 5 Dark - Accent 2"/>
    <w:basedOn w:val="97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Grid Table 5 Dark - Accent 3"/>
    <w:basedOn w:val="97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Grid Table 5 Dark- Accent 4"/>
    <w:basedOn w:val="97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Grid Table 5 Dark - Accent 5"/>
    <w:basedOn w:val="97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Grid Table 5 Dark - Accent 6"/>
    <w:basedOn w:val="97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Grid Table 6 Colorful"/>
    <w:basedOn w:val="972"/>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42">
    <w:name w:val="Grid Table 6 Colorful - Accent 1"/>
    <w:basedOn w:val="972"/>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43">
    <w:name w:val="Grid Table 6 Colorful - Accent 2"/>
    <w:basedOn w:val="97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44">
    <w:name w:val="Grid Table 6 Colorful - Accent 3"/>
    <w:basedOn w:val="972"/>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45">
    <w:name w:val="Grid Table 6 Colorful - Accent 4"/>
    <w:basedOn w:val="97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46">
    <w:name w:val="Grid Table 6 Colorful - Accent 5"/>
    <w:basedOn w:val="972"/>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47">
    <w:name w:val="Grid Table 6 Colorful - Accent 6"/>
    <w:basedOn w:val="972"/>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48">
    <w:name w:val="Grid Table 7 Colorful"/>
    <w:basedOn w:val="972"/>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7 Colorful - Accent 1"/>
    <w:basedOn w:val="972"/>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7 Colorful - Accent 2"/>
    <w:basedOn w:val="972"/>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7 Colorful - Accent 3"/>
    <w:basedOn w:val="972"/>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7 Colorful - Accent 4"/>
    <w:basedOn w:val="972"/>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7 Colorful - Accent 5"/>
    <w:basedOn w:val="972"/>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7 Colorful - Accent 6"/>
    <w:basedOn w:val="972"/>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List Table 1 Light"/>
    <w:basedOn w:val="97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List Table 1 Light - Accent 1"/>
    <w:basedOn w:val="97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List Table 1 Light - Accent 2"/>
    <w:basedOn w:val="97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List Table 1 Light - Accent 3"/>
    <w:basedOn w:val="97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List Table 1 Light - Accent 4"/>
    <w:basedOn w:val="97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List Table 1 Light - Accent 5"/>
    <w:basedOn w:val="97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List Table 1 Light - Accent 6"/>
    <w:basedOn w:val="97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List Table 2"/>
    <w:basedOn w:val="972"/>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List Table 2 - Accent 1"/>
    <w:basedOn w:val="972"/>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List Table 2 - Accent 2"/>
    <w:basedOn w:val="972"/>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List Table 2 - Accent 3"/>
    <w:basedOn w:val="972"/>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List Table 2 - Accent 4"/>
    <w:basedOn w:val="972"/>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List Table 2 - Accent 5"/>
    <w:basedOn w:val="972"/>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List Table 2 - Accent 6"/>
    <w:basedOn w:val="972"/>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List Table 3"/>
    <w:basedOn w:val="97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List Table 3 - Accent 1"/>
    <w:basedOn w:val="972"/>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List Table 3 - Accent 2"/>
    <w:basedOn w:val="97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List Table 3 - Accent 3"/>
    <w:basedOn w:val="972"/>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List Table 3 - Accent 4"/>
    <w:basedOn w:val="97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List Table 3 - Accent 5"/>
    <w:basedOn w:val="972"/>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List Table 3 - Accent 6"/>
    <w:basedOn w:val="972"/>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List Table 4"/>
    <w:basedOn w:val="97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List Table 4 - Accent 1"/>
    <w:basedOn w:val="972"/>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List Table 4 - Accent 2"/>
    <w:basedOn w:val="972"/>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List Table 4 - Accent 3"/>
    <w:basedOn w:val="972"/>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List Table 4 - Accent 4"/>
    <w:basedOn w:val="972"/>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List Table 4 - Accent 5"/>
    <w:basedOn w:val="972"/>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List Table 4 - Accent 6"/>
    <w:basedOn w:val="972"/>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List Table 5 Dark"/>
    <w:basedOn w:val="972"/>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84">
    <w:name w:val="List Table 5 Dark - Accent 1"/>
    <w:basedOn w:val="972"/>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85">
    <w:name w:val="List Table 5 Dark - Accent 2"/>
    <w:basedOn w:val="972"/>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86">
    <w:name w:val="List Table 5 Dark - Accent 3"/>
    <w:basedOn w:val="972"/>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87">
    <w:name w:val="List Table 5 Dark - Accent 4"/>
    <w:basedOn w:val="972"/>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88">
    <w:name w:val="List Table 5 Dark - Accent 5"/>
    <w:basedOn w:val="972"/>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89">
    <w:name w:val="List Table 5 Dark - Accent 6"/>
    <w:basedOn w:val="972"/>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90">
    <w:name w:val="List Table 6 Colorful"/>
    <w:basedOn w:val="972"/>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List Table 6 Colorful - Accent 1"/>
    <w:basedOn w:val="972"/>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6 Colorful - Accent 2"/>
    <w:basedOn w:val="972"/>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6 Colorful - Accent 3"/>
    <w:basedOn w:val="972"/>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6 Colorful - Accent 4"/>
    <w:basedOn w:val="972"/>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6 Colorful - Accent 5"/>
    <w:basedOn w:val="972"/>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6 Colorful - Accent 6"/>
    <w:basedOn w:val="972"/>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7 Colorful"/>
    <w:basedOn w:val="972"/>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98">
    <w:name w:val="List Table 7 Colorful - Accent 1"/>
    <w:basedOn w:val="972"/>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899">
    <w:name w:val="List Table 7 Colorful - Accent 2"/>
    <w:basedOn w:val="972"/>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00">
    <w:name w:val="List Table 7 Colorful - Accent 3"/>
    <w:basedOn w:val="972"/>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01">
    <w:name w:val="List Table 7 Colorful - Accent 4"/>
    <w:basedOn w:val="972"/>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02">
    <w:name w:val="List Table 7 Colorful - Accent 5"/>
    <w:basedOn w:val="972"/>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03">
    <w:name w:val="List Table 7 Colorful - Accent 6"/>
    <w:basedOn w:val="972"/>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04">
    <w:name w:val="Lined - Accent"/>
    <w:basedOn w:val="97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ned - Accent 1"/>
    <w:basedOn w:val="97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ned - Accent 2"/>
    <w:basedOn w:val="97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ned - Accent 3"/>
    <w:basedOn w:val="97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ned - Accent 4"/>
    <w:basedOn w:val="97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ned - Accent 5"/>
    <w:basedOn w:val="97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ned - Accent 6"/>
    <w:basedOn w:val="97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Bordered &amp; Lined - Accent"/>
    <w:basedOn w:val="972"/>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Bordered &amp; Lined - Accent 1"/>
    <w:basedOn w:val="972"/>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Bordered &amp; Lined - Accent 2"/>
    <w:basedOn w:val="972"/>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Bordered &amp; Lined - Accent 3"/>
    <w:basedOn w:val="972"/>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Bordered &amp; Lined - Accent 4"/>
    <w:basedOn w:val="972"/>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Bordered &amp; Lined - Accent 5"/>
    <w:basedOn w:val="972"/>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Bordered &amp; Lined - Accent 6"/>
    <w:basedOn w:val="972"/>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Bordered"/>
    <w:basedOn w:val="972"/>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Bordered - Accent 1"/>
    <w:basedOn w:val="97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Bordered - Accent 2"/>
    <w:basedOn w:val="97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Bordered - Accent 3"/>
    <w:basedOn w:val="97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Bordered - Accent 4"/>
    <w:basedOn w:val="97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Bordered - Accent 5"/>
    <w:basedOn w:val="97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Bordered - Accent 6"/>
    <w:basedOn w:val="97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25">
    <w:name w:val="Heading 5"/>
    <w:basedOn w:val="966"/>
    <w:next w:val="966"/>
    <w:link w:val="930"/>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26">
    <w:name w:val="Heading 6"/>
    <w:basedOn w:val="966"/>
    <w:next w:val="966"/>
    <w:link w:val="931"/>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27">
    <w:name w:val="Heading 7"/>
    <w:basedOn w:val="966"/>
    <w:next w:val="966"/>
    <w:link w:val="932"/>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28">
    <w:name w:val="Heading 8"/>
    <w:basedOn w:val="966"/>
    <w:next w:val="966"/>
    <w:link w:val="933"/>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29">
    <w:name w:val="Heading 9"/>
    <w:basedOn w:val="966"/>
    <w:next w:val="966"/>
    <w:link w:val="934"/>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30">
    <w:name w:val="Heading 5 Char"/>
    <w:basedOn w:val="971"/>
    <w:link w:val="925"/>
    <w:uiPriority w:val="9"/>
    <w:pPr>
      <w:pBdr/>
      <w:spacing/>
      <w:ind/>
    </w:pPr>
    <w:rPr>
      <w:rFonts w:ascii="Arial" w:hAnsi="Arial" w:eastAsia="Arial" w:cs="Arial"/>
      <w:color w:val="0f4761" w:themeColor="accent1" w:themeShade="BF"/>
    </w:rPr>
  </w:style>
  <w:style w:type="character" w:styleId="931">
    <w:name w:val="Heading 6 Char"/>
    <w:basedOn w:val="971"/>
    <w:link w:val="926"/>
    <w:uiPriority w:val="9"/>
    <w:pPr>
      <w:pBdr/>
      <w:spacing/>
      <w:ind/>
    </w:pPr>
    <w:rPr>
      <w:rFonts w:ascii="Arial" w:hAnsi="Arial" w:eastAsia="Arial" w:cs="Arial"/>
      <w:i/>
      <w:iCs/>
      <w:color w:val="595959" w:themeColor="text1" w:themeTint="A6"/>
    </w:rPr>
  </w:style>
  <w:style w:type="character" w:styleId="932">
    <w:name w:val="Heading 7 Char"/>
    <w:basedOn w:val="971"/>
    <w:link w:val="927"/>
    <w:uiPriority w:val="9"/>
    <w:pPr>
      <w:pBdr/>
      <w:spacing/>
      <w:ind/>
    </w:pPr>
    <w:rPr>
      <w:rFonts w:ascii="Arial" w:hAnsi="Arial" w:eastAsia="Arial" w:cs="Arial"/>
      <w:color w:val="595959" w:themeColor="text1" w:themeTint="A6"/>
    </w:rPr>
  </w:style>
  <w:style w:type="character" w:styleId="933">
    <w:name w:val="Heading 8 Char"/>
    <w:basedOn w:val="971"/>
    <w:link w:val="928"/>
    <w:uiPriority w:val="9"/>
    <w:pPr>
      <w:pBdr/>
      <w:spacing/>
      <w:ind/>
    </w:pPr>
    <w:rPr>
      <w:rFonts w:ascii="Arial" w:hAnsi="Arial" w:eastAsia="Arial" w:cs="Arial"/>
      <w:i/>
      <w:iCs/>
      <w:color w:val="272727" w:themeColor="text1" w:themeTint="D8"/>
    </w:rPr>
  </w:style>
  <w:style w:type="character" w:styleId="934">
    <w:name w:val="Heading 9 Char"/>
    <w:basedOn w:val="971"/>
    <w:link w:val="929"/>
    <w:uiPriority w:val="9"/>
    <w:pPr>
      <w:pBdr/>
      <w:spacing/>
      <w:ind/>
    </w:pPr>
    <w:rPr>
      <w:rFonts w:ascii="Arial" w:hAnsi="Arial" w:eastAsia="Arial" w:cs="Arial"/>
      <w:i/>
      <w:iCs/>
      <w:color w:val="272727" w:themeColor="text1" w:themeTint="D8"/>
    </w:rPr>
  </w:style>
  <w:style w:type="paragraph" w:styleId="935">
    <w:name w:val="Subtitle"/>
    <w:basedOn w:val="966"/>
    <w:next w:val="966"/>
    <w:link w:val="936"/>
    <w:uiPriority w:val="11"/>
    <w:qFormat/>
    <w:pPr>
      <w:numPr>
        <w:ilvl w:val="1"/>
      </w:numPr>
      <w:pBdr/>
      <w:spacing/>
      <w:ind/>
    </w:pPr>
    <w:rPr>
      <w:color w:val="595959" w:themeColor="text1" w:themeTint="A6"/>
      <w:spacing w:val="15"/>
      <w:sz w:val="28"/>
      <w:szCs w:val="28"/>
    </w:rPr>
  </w:style>
  <w:style w:type="character" w:styleId="936">
    <w:name w:val="Subtitle Char"/>
    <w:basedOn w:val="971"/>
    <w:link w:val="935"/>
    <w:uiPriority w:val="11"/>
    <w:pPr>
      <w:pBdr/>
      <w:spacing/>
      <w:ind/>
    </w:pPr>
    <w:rPr>
      <w:color w:val="595959" w:themeColor="text1" w:themeTint="A6"/>
      <w:spacing w:val="15"/>
      <w:sz w:val="28"/>
      <w:szCs w:val="28"/>
    </w:rPr>
  </w:style>
  <w:style w:type="paragraph" w:styleId="937">
    <w:name w:val="Quote"/>
    <w:basedOn w:val="966"/>
    <w:next w:val="966"/>
    <w:link w:val="938"/>
    <w:uiPriority w:val="29"/>
    <w:qFormat/>
    <w:pPr>
      <w:pBdr/>
      <w:spacing w:before="160"/>
      <w:ind/>
      <w:jc w:val="center"/>
    </w:pPr>
    <w:rPr>
      <w:i/>
      <w:iCs/>
      <w:color w:val="404040" w:themeColor="text1" w:themeTint="BF"/>
    </w:rPr>
  </w:style>
  <w:style w:type="character" w:styleId="938">
    <w:name w:val="Quote Char"/>
    <w:basedOn w:val="971"/>
    <w:link w:val="937"/>
    <w:uiPriority w:val="29"/>
    <w:pPr>
      <w:pBdr/>
      <w:spacing/>
      <w:ind/>
    </w:pPr>
    <w:rPr>
      <w:i/>
      <w:iCs/>
      <w:color w:val="404040" w:themeColor="text1" w:themeTint="BF"/>
    </w:rPr>
  </w:style>
  <w:style w:type="character" w:styleId="939">
    <w:name w:val="Intense Emphasis"/>
    <w:basedOn w:val="971"/>
    <w:uiPriority w:val="21"/>
    <w:qFormat/>
    <w:pPr>
      <w:pBdr/>
      <w:spacing/>
      <w:ind/>
    </w:pPr>
    <w:rPr>
      <w:i/>
      <w:iCs/>
      <w:color w:val="0f4761" w:themeColor="accent1" w:themeShade="BF"/>
    </w:rPr>
  </w:style>
  <w:style w:type="paragraph" w:styleId="940">
    <w:name w:val="Intense Quote"/>
    <w:basedOn w:val="966"/>
    <w:next w:val="966"/>
    <w:link w:val="941"/>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41">
    <w:name w:val="Intense Quote Char"/>
    <w:basedOn w:val="971"/>
    <w:link w:val="940"/>
    <w:uiPriority w:val="30"/>
    <w:pPr>
      <w:pBdr/>
      <w:spacing/>
      <w:ind/>
    </w:pPr>
    <w:rPr>
      <w:i/>
      <w:iCs/>
      <w:color w:val="0f4761" w:themeColor="accent1" w:themeShade="BF"/>
    </w:rPr>
  </w:style>
  <w:style w:type="character" w:styleId="942">
    <w:name w:val="Intense Reference"/>
    <w:basedOn w:val="971"/>
    <w:uiPriority w:val="32"/>
    <w:qFormat/>
    <w:pPr>
      <w:pBdr/>
      <w:spacing/>
      <w:ind/>
    </w:pPr>
    <w:rPr>
      <w:b/>
      <w:bCs/>
      <w:smallCaps/>
      <w:color w:val="0f4761" w:themeColor="accent1" w:themeShade="BF"/>
      <w:spacing w:val="5"/>
    </w:rPr>
  </w:style>
  <w:style w:type="paragraph" w:styleId="943">
    <w:name w:val="No Spacing"/>
    <w:basedOn w:val="966"/>
    <w:uiPriority w:val="1"/>
    <w:qFormat/>
    <w:pPr>
      <w:pBdr/>
      <w:spacing w:after="0" w:line="240" w:lineRule="auto"/>
      <w:ind/>
    </w:pPr>
  </w:style>
  <w:style w:type="character" w:styleId="944">
    <w:name w:val="Subtle Emphasis"/>
    <w:basedOn w:val="971"/>
    <w:uiPriority w:val="19"/>
    <w:qFormat/>
    <w:pPr>
      <w:pBdr/>
      <w:spacing/>
      <w:ind/>
    </w:pPr>
    <w:rPr>
      <w:i/>
      <w:iCs/>
      <w:color w:val="404040" w:themeColor="text1" w:themeTint="BF"/>
    </w:rPr>
  </w:style>
  <w:style w:type="character" w:styleId="945">
    <w:name w:val="Subtle Reference"/>
    <w:basedOn w:val="971"/>
    <w:uiPriority w:val="31"/>
    <w:qFormat/>
    <w:pPr>
      <w:pBdr/>
      <w:spacing/>
      <w:ind/>
    </w:pPr>
    <w:rPr>
      <w:smallCaps/>
      <w:color w:val="5a5a5a" w:themeColor="text1" w:themeTint="A5"/>
    </w:rPr>
  </w:style>
  <w:style w:type="character" w:styleId="946">
    <w:name w:val="Book Title"/>
    <w:basedOn w:val="971"/>
    <w:uiPriority w:val="33"/>
    <w:qFormat/>
    <w:pPr>
      <w:pBdr/>
      <w:spacing/>
      <w:ind/>
    </w:pPr>
    <w:rPr>
      <w:b/>
      <w:bCs/>
      <w:i/>
      <w:iCs/>
      <w:spacing w:val="5"/>
    </w:rPr>
  </w:style>
  <w:style w:type="paragraph" w:styleId="947">
    <w:name w:val="Caption"/>
    <w:basedOn w:val="966"/>
    <w:next w:val="966"/>
    <w:uiPriority w:val="35"/>
    <w:unhideWhenUsed/>
    <w:qFormat/>
    <w:pPr>
      <w:pBdr/>
      <w:spacing w:after="200" w:line="240" w:lineRule="auto"/>
      <w:ind/>
    </w:pPr>
    <w:rPr>
      <w:i/>
      <w:iCs/>
      <w:color w:val="0e2841" w:themeColor="text2"/>
      <w:sz w:val="18"/>
      <w:szCs w:val="18"/>
    </w:rPr>
  </w:style>
  <w:style w:type="paragraph" w:styleId="948">
    <w:name w:val="footnote text"/>
    <w:basedOn w:val="966"/>
    <w:link w:val="949"/>
    <w:uiPriority w:val="99"/>
    <w:semiHidden/>
    <w:unhideWhenUsed/>
    <w:pPr>
      <w:pBdr/>
      <w:spacing w:after="0" w:line="240" w:lineRule="auto"/>
      <w:ind/>
    </w:pPr>
    <w:rPr>
      <w:sz w:val="20"/>
      <w:szCs w:val="20"/>
    </w:rPr>
  </w:style>
  <w:style w:type="character" w:styleId="949">
    <w:name w:val="Footnote Text Char"/>
    <w:basedOn w:val="971"/>
    <w:link w:val="948"/>
    <w:uiPriority w:val="99"/>
    <w:semiHidden/>
    <w:pPr>
      <w:pBdr/>
      <w:spacing/>
      <w:ind/>
    </w:pPr>
    <w:rPr>
      <w:sz w:val="20"/>
      <w:szCs w:val="20"/>
    </w:rPr>
  </w:style>
  <w:style w:type="character" w:styleId="950">
    <w:name w:val="footnote reference"/>
    <w:basedOn w:val="971"/>
    <w:uiPriority w:val="99"/>
    <w:semiHidden/>
    <w:unhideWhenUsed/>
    <w:pPr>
      <w:pBdr/>
      <w:spacing/>
      <w:ind/>
    </w:pPr>
    <w:rPr>
      <w:vertAlign w:val="superscript"/>
    </w:rPr>
  </w:style>
  <w:style w:type="paragraph" w:styleId="951">
    <w:name w:val="endnote text"/>
    <w:basedOn w:val="966"/>
    <w:link w:val="952"/>
    <w:uiPriority w:val="99"/>
    <w:semiHidden/>
    <w:unhideWhenUsed/>
    <w:pPr>
      <w:pBdr/>
      <w:spacing w:after="0" w:line="240" w:lineRule="auto"/>
      <w:ind/>
    </w:pPr>
    <w:rPr>
      <w:sz w:val="20"/>
      <w:szCs w:val="20"/>
    </w:rPr>
  </w:style>
  <w:style w:type="character" w:styleId="952">
    <w:name w:val="Endnote Text Char"/>
    <w:basedOn w:val="971"/>
    <w:link w:val="951"/>
    <w:uiPriority w:val="99"/>
    <w:semiHidden/>
    <w:pPr>
      <w:pBdr/>
      <w:spacing/>
      <w:ind/>
    </w:pPr>
    <w:rPr>
      <w:sz w:val="20"/>
      <w:szCs w:val="20"/>
    </w:rPr>
  </w:style>
  <w:style w:type="character" w:styleId="953">
    <w:name w:val="endnote reference"/>
    <w:basedOn w:val="971"/>
    <w:uiPriority w:val="99"/>
    <w:semiHidden/>
    <w:unhideWhenUsed/>
    <w:pPr>
      <w:pBdr/>
      <w:spacing/>
      <w:ind/>
    </w:pPr>
    <w:rPr>
      <w:vertAlign w:val="superscript"/>
    </w:rPr>
  </w:style>
  <w:style w:type="paragraph" w:styleId="954">
    <w:name w:val="toc 1"/>
    <w:basedOn w:val="966"/>
    <w:next w:val="966"/>
    <w:uiPriority w:val="39"/>
    <w:unhideWhenUsed/>
    <w:pPr>
      <w:pBdr/>
      <w:spacing w:after="100"/>
      <w:ind/>
    </w:pPr>
  </w:style>
  <w:style w:type="paragraph" w:styleId="955">
    <w:name w:val="toc 2"/>
    <w:basedOn w:val="966"/>
    <w:next w:val="966"/>
    <w:uiPriority w:val="39"/>
    <w:unhideWhenUsed/>
    <w:pPr>
      <w:pBdr/>
      <w:spacing w:after="100"/>
      <w:ind w:left="220"/>
    </w:pPr>
  </w:style>
  <w:style w:type="paragraph" w:styleId="956">
    <w:name w:val="toc 3"/>
    <w:basedOn w:val="966"/>
    <w:next w:val="966"/>
    <w:uiPriority w:val="39"/>
    <w:unhideWhenUsed/>
    <w:pPr>
      <w:pBdr/>
      <w:spacing w:after="100"/>
      <w:ind w:left="440"/>
    </w:pPr>
  </w:style>
  <w:style w:type="paragraph" w:styleId="957">
    <w:name w:val="toc 4"/>
    <w:basedOn w:val="966"/>
    <w:next w:val="966"/>
    <w:uiPriority w:val="39"/>
    <w:unhideWhenUsed/>
    <w:pPr>
      <w:pBdr/>
      <w:spacing w:after="100"/>
      <w:ind w:left="660"/>
    </w:pPr>
  </w:style>
  <w:style w:type="paragraph" w:styleId="958">
    <w:name w:val="toc 5"/>
    <w:basedOn w:val="966"/>
    <w:next w:val="966"/>
    <w:uiPriority w:val="39"/>
    <w:unhideWhenUsed/>
    <w:pPr>
      <w:pBdr/>
      <w:spacing w:after="100"/>
      <w:ind w:left="880"/>
    </w:pPr>
  </w:style>
  <w:style w:type="paragraph" w:styleId="959">
    <w:name w:val="toc 6"/>
    <w:basedOn w:val="966"/>
    <w:next w:val="966"/>
    <w:uiPriority w:val="39"/>
    <w:unhideWhenUsed/>
    <w:pPr>
      <w:pBdr/>
      <w:spacing w:after="100"/>
      <w:ind w:left="1100"/>
    </w:pPr>
  </w:style>
  <w:style w:type="paragraph" w:styleId="960">
    <w:name w:val="toc 7"/>
    <w:basedOn w:val="966"/>
    <w:next w:val="966"/>
    <w:uiPriority w:val="39"/>
    <w:unhideWhenUsed/>
    <w:pPr>
      <w:pBdr/>
      <w:spacing w:after="100"/>
      <w:ind w:left="1320"/>
    </w:pPr>
  </w:style>
  <w:style w:type="paragraph" w:styleId="961">
    <w:name w:val="toc 8"/>
    <w:basedOn w:val="966"/>
    <w:next w:val="966"/>
    <w:uiPriority w:val="39"/>
    <w:unhideWhenUsed/>
    <w:pPr>
      <w:pBdr/>
      <w:spacing w:after="100"/>
      <w:ind w:left="1540"/>
    </w:pPr>
  </w:style>
  <w:style w:type="paragraph" w:styleId="962">
    <w:name w:val="toc 9"/>
    <w:basedOn w:val="966"/>
    <w:next w:val="966"/>
    <w:uiPriority w:val="39"/>
    <w:unhideWhenUsed/>
    <w:pPr>
      <w:pBdr/>
      <w:spacing w:after="100"/>
      <w:ind w:left="1760"/>
    </w:pPr>
  </w:style>
  <w:style w:type="character" w:styleId="963">
    <w:name w:val="Placeholder Text"/>
    <w:basedOn w:val="971"/>
    <w:uiPriority w:val="99"/>
    <w:semiHidden/>
    <w:pPr>
      <w:pBdr/>
      <w:spacing/>
      <w:ind/>
    </w:pPr>
    <w:rPr>
      <w:color w:val="666666"/>
    </w:rPr>
  </w:style>
  <w:style w:type="paragraph" w:styleId="964">
    <w:name w:val="TOC Heading"/>
    <w:uiPriority w:val="39"/>
    <w:unhideWhenUsed/>
    <w:pPr>
      <w:pBdr/>
      <w:spacing/>
      <w:ind/>
    </w:pPr>
  </w:style>
  <w:style w:type="paragraph" w:styleId="965">
    <w:name w:val="table of figures"/>
    <w:basedOn w:val="966"/>
    <w:next w:val="966"/>
    <w:uiPriority w:val="99"/>
    <w:unhideWhenUsed/>
    <w:pPr>
      <w:pBdr/>
      <w:spacing w:after="0" w:afterAutospacing="0"/>
      <w:ind/>
    </w:pPr>
  </w:style>
  <w:style w:type="paragraph" w:styleId="966" w:default="1">
    <w:name w:val="Normal"/>
    <w:qFormat/>
    <w:pPr>
      <w:pBdr/>
      <w:spacing w:after="0" w:line="240" w:lineRule="auto"/>
      <w:ind/>
    </w:pPr>
    <w:rPr>
      <w:rFonts w:ascii="Times New Roman" w:hAnsi="Times New Roman" w:eastAsia="Times New Roman" w:cs="Times New Roman"/>
      <w:sz w:val="24"/>
      <w:szCs w:val="24"/>
    </w:rPr>
  </w:style>
  <w:style w:type="paragraph" w:styleId="967">
    <w:name w:val="Heading 1"/>
    <w:basedOn w:val="966"/>
    <w:next w:val="966"/>
    <w:link w:val="974"/>
    <w:qFormat/>
    <w:pPr>
      <w:keepNext w:val="true"/>
      <w:pBdr/>
      <w:spacing w:after="120" w:before="120"/>
      <w:ind/>
      <w:jc w:val="center"/>
      <w:outlineLvl w:val="0"/>
    </w:pPr>
    <w:rPr>
      <w:b/>
      <w:bCs/>
      <w:sz w:val="27"/>
      <w:szCs w:val="27"/>
    </w:rPr>
  </w:style>
  <w:style w:type="paragraph" w:styleId="968">
    <w:name w:val="Heading 2"/>
    <w:basedOn w:val="966"/>
    <w:next w:val="966"/>
    <w:link w:val="975"/>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969">
    <w:name w:val="Heading 3"/>
    <w:basedOn w:val="966"/>
    <w:next w:val="966"/>
    <w:link w:val="976"/>
    <w:qFormat/>
    <w:pPr>
      <w:keepNext w:val="true"/>
      <w:pBdr/>
      <w:spacing w:before="60"/>
      <w:ind/>
      <w:outlineLvl w:val="2"/>
    </w:pPr>
    <w:rPr>
      <w:sz w:val="28"/>
      <w:szCs w:val="28"/>
    </w:rPr>
  </w:style>
  <w:style w:type="paragraph" w:styleId="970">
    <w:name w:val="Heading 4"/>
    <w:basedOn w:val="966"/>
    <w:next w:val="966"/>
    <w:link w:val="977"/>
    <w:qFormat/>
    <w:pPr>
      <w:keepNext w:val="true"/>
      <w:pBdr/>
      <w:spacing/>
      <w:ind/>
      <w:jc w:val="center"/>
      <w:outlineLvl w:val="3"/>
    </w:pPr>
    <w:rPr>
      <w:b/>
      <w:bCs/>
    </w:rPr>
  </w:style>
  <w:style w:type="character" w:styleId="971" w:default="1">
    <w:name w:val="Default Paragraph Font"/>
    <w:uiPriority w:val="1"/>
    <w:semiHidden/>
    <w:unhideWhenUsed/>
    <w:pPr>
      <w:pBdr/>
      <w:spacing/>
      <w:ind/>
    </w:pPr>
  </w:style>
  <w:style w:type="table" w:styleId="972"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73" w:default="1">
    <w:name w:val="No List"/>
    <w:uiPriority w:val="99"/>
    <w:semiHidden/>
    <w:unhideWhenUsed/>
    <w:pPr>
      <w:pBdr/>
      <w:spacing/>
      <w:ind/>
    </w:pPr>
  </w:style>
  <w:style w:type="character" w:styleId="974" w:customStyle="1">
    <w:name w:val="Heading 1 Char"/>
    <w:basedOn w:val="971"/>
    <w:link w:val="967"/>
    <w:pPr>
      <w:pBdr/>
      <w:spacing/>
      <w:ind/>
    </w:pPr>
    <w:rPr>
      <w:rFonts w:ascii="Times New Roman" w:hAnsi="Times New Roman" w:eastAsia="Times New Roman" w:cs="Times New Roman"/>
      <w:b/>
      <w:bCs/>
      <w:sz w:val="27"/>
      <w:szCs w:val="27"/>
    </w:rPr>
  </w:style>
  <w:style w:type="character" w:styleId="975" w:customStyle="1">
    <w:name w:val="Heading 2 Char"/>
    <w:basedOn w:val="971"/>
    <w:link w:val="968"/>
    <w:uiPriority w:val="9"/>
    <w:pPr>
      <w:pBdr/>
      <w:spacing/>
      <w:ind/>
    </w:pPr>
    <w:rPr>
      <w:rFonts w:asciiTheme="majorHAnsi" w:hAnsiTheme="majorHAnsi" w:eastAsiaTheme="majorEastAsia" w:cstheme="majorBidi"/>
      <w:color w:val="365f91" w:themeColor="accent1" w:themeShade="BF"/>
      <w:sz w:val="26"/>
      <w:szCs w:val="26"/>
    </w:rPr>
  </w:style>
  <w:style w:type="character" w:styleId="976" w:customStyle="1">
    <w:name w:val="Heading 3 Char"/>
    <w:basedOn w:val="971"/>
    <w:link w:val="969"/>
    <w:pPr>
      <w:pBdr/>
      <w:spacing/>
      <w:ind/>
    </w:pPr>
    <w:rPr>
      <w:rFonts w:ascii="Times New Roman" w:hAnsi="Times New Roman" w:eastAsia="Times New Roman" w:cs="Times New Roman"/>
      <w:sz w:val="28"/>
      <w:szCs w:val="28"/>
    </w:rPr>
  </w:style>
  <w:style w:type="character" w:styleId="977" w:customStyle="1">
    <w:name w:val="Heading 4 Char"/>
    <w:basedOn w:val="971"/>
    <w:link w:val="970"/>
    <w:pPr>
      <w:pBdr/>
      <w:spacing/>
      <w:ind/>
    </w:pPr>
    <w:rPr>
      <w:rFonts w:ascii="Times New Roman" w:hAnsi="Times New Roman" w:eastAsia="Times New Roman" w:cs="Times New Roman"/>
      <w:b/>
      <w:bCs/>
      <w:sz w:val="24"/>
      <w:szCs w:val="24"/>
    </w:rPr>
  </w:style>
  <w:style w:type="character" w:styleId="978">
    <w:name w:val="Hyperlink"/>
    <w:uiPriority w:val="99"/>
    <w:pPr>
      <w:pBdr/>
      <w:spacing/>
      <w:ind/>
    </w:pPr>
    <w:rPr>
      <w:color w:val="000000"/>
      <w:u w:val="single"/>
    </w:rPr>
  </w:style>
  <w:style w:type="character" w:styleId="979">
    <w:name w:val="Strong"/>
    <w:uiPriority w:val="22"/>
    <w:qFormat/>
    <w:pPr>
      <w:pBdr/>
      <w:spacing/>
      <w:ind/>
    </w:pPr>
    <w:rPr>
      <w:b/>
      <w:bCs/>
    </w:rPr>
  </w:style>
  <w:style w:type="paragraph" w:styleId="980">
    <w:name w:val="Balloon Text"/>
    <w:basedOn w:val="966"/>
    <w:link w:val="981"/>
    <w:uiPriority w:val="99"/>
    <w:semiHidden/>
    <w:unhideWhenUsed/>
    <w:pPr>
      <w:pBdr/>
      <w:spacing/>
      <w:ind/>
    </w:pPr>
    <w:rPr>
      <w:rFonts w:ascii="Tahoma" w:hAnsi="Tahoma" w:cs="Tahoma"/>
      <w:sz w:val="16"/>
      <w:szCs w:val="16"/>
    </w:rPr>
  </w:style>
  <w:style w:type="character" w:styleId="981" w:customStyle="1">
    <w:name w:val="Balloon Text Char"/>
    <w:basedOn w:val="971"/>
    <w:link w:val="980"/>
    <w:uiPriority w:val="99"/>
    <w:semiHidden/>
    <w:pPr>
      <w:pBdr/>
      <w:spacing/>
      <w:ind/>
    </w:pPr>
    <w:rPr>
      <w:rFonts w:ascii="Tahoma" w:hAnsi="Tahoma" w:eastAsia="Times New Roman" w:cs="Tahoma"/>
      <w:sz w:val="16"/>
      <w:szCs w:val="16"/>
    </w:rPr>
  </w:style>
  <w:style w:type="paragraph" w:styleId="982">
    <w:name w:val="Header"/>
    <w:basedOn w:val="966"/>
    <w:link w:val="983"/>
    <w:unhideWhenUsed/>
    <w:pPr>
      <w:pBdr/>
      <w:tabs>
        <w:tab w:val="center" w:leader="none" w:pos="4680"/>
        <w:tab w:val="right" w:leader="none" w:pos="9360"/>
      </w:tabs>
      <w:spacing/>
      <w:ind/>
    </w:pPr>
  </w:style>
  <w:style w:type="character" w:styleId="983" w:customStyle="1">
    <w:name w:val="Header Char"/>
    <w:basedOn w:val="971"/>
    <w:link w:val="982"/>
    <w:pPr>
      <w:pBdr/>
      <w:spacing/>
      <w:ind/>
    </w:pPr>
    <w:rPr>
      <w:rFonts w:ascii="Times New Roman" w:hAnsi="Times New Roman" w:eastAsia="Times New Roman" w:cs="Times New Roman"/>
      <w:sz w:val="24"/>
      <w:szCs w:val="24"/>
    </w:rPr>
  </w:style>
  <w:style w:type="paragraph" w:styleId="984">
    <w:name w:val="Footer"/>
    <w:basedOn w:val="966"/>
    <w:link w:val="985"/>
    <w:uiPriority w:val="99"/>
    <w:unhideWhenUsed/>
    <w:pPr>
      <w:pBdr/>
      <w:tabs>
        <w:tab w:val="center" w:leader="none" w:pos="4680"/>
        <w:tab w:val="right" w:leader="none" w:pos="9360"/>
      </w:tabs>
      <w:spacing/>
      <w:ind/>
    </w:pPr>
  </w:style>
  <w:style w:type="character" w:styleId="985" w:customStyle="1">
    <w:name w:val="Footer Char"/>
    <w:basedOn w:val="971"/>
    <w:link w:val="984"/>
    <w:uiPriority w:val="99"/>
    <w:pPr>
      <w:pBdr/>
      <w:spacing/>
      <w:ind/>
    </w:pPr>
    <w:rPr>
      <w:rFonts w:ascii="Times New Roman" w:hAnsi="Times New Roman" w:eastAsia="Times New Roman" w:cs="Times New Roman"/>
      <w:sz w:val="24"/>
      <w:szCs w:val="24"/>
    </w:rPr>
  </w:style>
  <w:style w:type="character" w:styleId="986" w:customStyle="1">
    <w:name w:val="normal-h1"/>
    <w:pPr>
      <w:pBdr/>
      <w:spacing/>
      <w:ind/>
    </w:pPr>
    <w:rPr>
      <w:rFonts w:hint="default" w:ascii=".VnTime" w:hAnsi=".VnTime"/>
      <w:color w:val="0000ff"/>
      <w:sz w:val="24"/>
      <w:szCs w:val="24"/>
    </w:rPr>
  </w:style>
  <w:style w:type="paragraph" w:styleId="987" w:customStyle="1">
    <w:name w:val="normal-p"/>
    <w:basedOn w:val="966"/>
    <w:pPr>
      <w:pBdr/>
      <w:spacing/>
      <w:ind/>
      <w:jc w:val="both"/>
    </w:pPr>
    <w:rPr>
      <w:sz w:val="20"/>
      <w:szCs w:val="20"/>
    </w:rPr>
  </w:style>
  <w:style w:type="paragraph" w:styleId="988">
    <w:name w:val="List Paragraph"/>
    <w:basedOn w:val="966"/>
    <w:link w:val="1075"/>
    <w:uiPriority w:val="34"/>
    <w:qFormat/>
    <w:pPr>
      <w:pBdr/>
      <w:spacing/>
      <w:ind w:left="720"/>
    </w:pPr>
  </w:style>
  <w:style w:type="paragraph" w:styleId="989">
    <w:name w:val="Normal (Web)"/>
    <w:basedOn w:val="966"/>
    <w:uiPriority w:val="99"/>
    <w:pPr>
      <w:pBdr/>
      <w:spacing w:after="100" w:afterAutospacing="1" w:before="100" w:beforeAutospacing="1"/>
      <w:ind/>
    </w:pPr>
  </w:style>
  <w:style w:type="paragraph" w:styleId="990">
    <w:name w:val="Body Text"/>
    <w:basedOn w:val="966"/>
    <w:link w:val="991"/>
    <w:pPr>
      <w:pBdr/>
      <w:spacing w:after="120"/>
      <w:ind/>
      <w:jc w:val="both"/>
    </w:pPr>
  </w:style>
  <w:style w:type="character" w:styleId="991" w:customStyle="1">
    <w:name w:val="Body Text Char"/>
    <w:basedOn w:val="971"/>
    <w:link w:val="990"/>
    <w:pPr>
      <w:pBdr/>
      <w:spacing/>
      <w:ind/>
    </w:pPr>
    <w:rPr>
      <w:rFonts w:ascii="Times New Roman" w:hAnsi="Times New Roman" w:eastAsia="Times New Roman" w:cs="Times New Roman"/>
      <w:sz w:val="24"/>
      <w:szCs w:val="24"/>
    </w:rPr>
  </w:style>
  <w:style w:type="table" w:styleId="992">
    <w:name w:val="Table Grid"/>
    <w:basedOn w:val="972"/>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93"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994">
    <w:name w:val="annotation reference"/>
    <w:basedOn w:val="971"/>
    <w:uiPriority w:val="99"/>
    <w:semiHidden/>
    <w:unhideWhenUsed/>
    <w:pPr>
      <w:pBdr/>
      <w:spacing/>
      <w:ind/>
    </w:pPr>
    <w:rPr>
      <w:sz w:val="16"/>
      <w:szCs w:val="16"/>
    </w:rPr>
  </w:style>
  <w:style w:type="paragraph" w:styleId="995">
    <w:name w:val="annotation text"/>
    <w:basedOn w:val="966"/>
    <w:link w:val="996"/>
    <w:uiPriority w:val="99"/>
    <w:unhideWhenUsed/>
    <w:pPr>
      <w:pBdr/>
      <w:spacing/>
      <w:ind/>
    </w:pPr>
    <w:rPr>
      <w:sz w:val="20"/>
      <w:szCs w:val="20"/>
    </w:rPr>
  </w:style>
  <w:style w:type="character" w:styleId="996" w:customStyle="1">
    <w:name w:val="Comment Text Char"/>
    <w:basedOn w:val="971"/>
    <w:link w:val="995"/>
    <w:uiPriority w:val="99"/>
    <w:pPr>
      <w:pBdr/>
      <w:spacing/>
      <w:ind/>
    </w:pPr>
    <w:rPr>
      <w:rFonts w:ascii="Times New Roman" w:hAnsi="Times New Roman" w:eastAsia="Times New Roman" w:cs="Times New Roman"/>
      <w:sz w:val="20"/>
      <w:szCs w:val="20"/>
    </w:rPr>
  </w:style>
  <w:style w:type="paragraph" w:styleId="997">
    <w:name w:val="annotation subject"/>
    <w:basedOn w:val="995"/>
    <w:next w:val="995"/>
    <w:link w:val="998"/>
    <w:uiPriority w:val="99"/>
    <w:semiHidden/>
    <w:unhideWhenUsed/>
    <w:pPr>
      <w:pBdr/>
      <w:spacing/>
      <w:ind/>
    </w:pPr>
    <w:rPr>
      <w:b/>
      <w:bCs/>
    </w:rPr>
  </w:style>
  <w:style w:type="character" w:styleId="998" w:customStyle="1">
    <w:name w:val="Comment Subject Char"/>
    <w:basedOn w:val="996"/>
    <w:link w:val="997"/>
    <w:uiPriority w:val="99"/>
    <w:semiHidden/>
    <w:pPr>
      <w:pBdr/>
      <w:spacing/>
      <w:ind/>
    </w:pPr>
    <w:rPr>
      <w:rFonts w:ascii="Times New Roman" w:hAnsi="Times New Roman" w:eastAsia="Times New Roman" w:cs="Times New Roman"/>
      <w:b/>
      <w:bCs/>
      <w:sz w:val="20"/>
      <w:szCs w:val="20"/>
    </w:rPr>
  </w:style>
  <w:style w:type="paragraph" w:styleId="999" w:customStyle="1">
    <w:name w:val="font5"/>
    <w:basedOn w:val="966"/>
    <w:pPr>
      <w:pBdr/>
      <w:spacing w:after="100" w:afterAutospacing="1" w:before="100" w:beforeAutospacing="1"/>
      <w:ind/>
    </w:pPr>
    <w:rPr>
      <w:rFonts w:ascii="Tahoma" w:hAnsi="Tahoma" w:cs="Tahoma"/>
      <w:color w:val="000000"/>
      <w:sz w:val="18"/>
      <w:szCs w:val="18"/>
    </w:rPr>
  </w:style>
  <w:style w:type="paragraph" w:styleId="1000" w:customStyle="1">
    <w:name w:val="font6"/>
    <w:basedOn w:val="966"/>
    <w:pPr>
      <w:pBdr/>
      <w:spacing w:after="100" w:afterAutospacing="1" w:before="100" w:beforeAutospacing="1"/>
      <w:ind/>
    </w:pPr>
    <w:rPr>
      <w:rFonts w:ascii="Tahoma" w:hAnsi="Tahoma" w:cs="Tahoma"/>
      <w:b/>
      <w:bCs/>
      <w:color w:val="000000"/>
      <w:sz w:val="18"/>
      <w:szCs w:val="18"/>
    </w:rPr>
  </w:style>
  <w:style w:type="paragraph" w:styleId="1001" w:customStyle="1">
    <w:name w:val="xl233"/>
    <w:basedOn w:val="96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02" w:customStyle="1">
    <w:name w:val="xl234"/>
    <w:basedOn w:val="966"/>
    <w:pPr>
      <w:pBdr/>
      <w:spacing w:after="100" w:afterAutospacing="1" w:before="100" w:beforeAutospacing="1"/>
      <w:ind/>
      <w:jc w:val="center"/>
    </w:pPr>
  </w:style>
  <w:style w:type="paragraph" w:styleId="1003" w:customStyle="1">
    <w:name w:val="xl235"/>
    <w:basedOn w:val="966"/>
    <w:pPr>
      <w:pBdr/>
      <w:spacing w:after="100" w:afterAutospacing="1" w:before="100" w:beforeAutospacing="1"/>
      <w:ind/>
      <w:jc w:val="center"/>
    </w:pPr>
    <w:rPr>
      <w:b/>
      <w:bCs/>
    </w:rPr>
  </w:style>
  <w:style w:type="paragraph" w:styleId="1004" w:customStyle="1">
    <w:name w:val="xl236"/>
    <w:basedOn w:val="96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05" w:customStyle="1">
    <w:name w:val="xl237"/>
    <w:basedOn w:val="96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06" w:customStyle="1">
    <w:name w:val="xl238"/>
    <w:basedOn w:val="96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07" w:customStyle="1">
    <w:name w:val="xl239"/>
    <w:basedOn w:val="966"/>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08" w:customStyle="1">
    <w:name w:val="xl240"/>
    <w:basedOn w:val="966"/>
    <w:pPr>
      <w:pBdr/>
      <w:spacing w:after="100" w:afterAutospacing="1" w:before="100" w:beforeAutospacing="1"/>
      <w:ind/>
    </w:pPr>
  </w:style>
  <w:style w:type="paragraph" w:styleId="1009" w:customStyle="1">
    <w:name w:val="xl241"/>
    <w:basedOn w:val="96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10" w:customStyle="1">
    <w:name w:val="xl242"/>
    <w:basedOn w:val="96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11" w:customStyle="1">
    <w:name w:val="xl243"/>
    <w:basedOn w:val="96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12" w:customStyle="1">
    <w:name w:val="xl244"/>
    <w:basedOn w:val="966"/>
    <w:pPr>
      <w:pBdr/>
      <w:spacing w:after="100" w:afterAutospacing="1" w:before="100" w:beforeAutospacing="1"/>
      <w:ind/>
    </w:pPr>
    <w:rPr>
      <w:b/>
      <w:bCs/>
    </w:rPr>
  </w:style>
  <w:style w:type="paragraph" w:styleId="1013" w:customStyle="1">
    <w:name w:val="xl245"/>
    <w:basedOn w:val="96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14" w:customStyle="1">
    <w:name w:val="xl246"/>
    <w:basedOn w:val="966"/>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15" w:customStyle="1">
    <w:name w:val="xl247"/>
    <w:basedOn w:val="96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16" w:customStyle="1">
    <w:name w:val="xl248"/>
    <w:basedOn w:val="966"/>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17" w:customStyle="1">
    <w:name w:val="xl249"/>
    <w:basedOn w:val="96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18" w:customStyle="1">
    <w:name w:val="xl250"/>
    <w:basedOn w:val="96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19" w:customStyle="1">
    <w:name w:val="xl251"/>
    <w:basedOn w:val="966"/>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20" w:customStyle="1">
    <w:name w:val="xl252"/>
    <w:basedOn w:val="96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21" w:customStyle="1">
    <w:name w:val="xl253"/>
    <w:basedOn w:val="966"/>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22" w:customStyle="1">
    <w:name w:val="xl254"/>
    <w:basedOn w:val="966"/>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23" w:customStyle="1">
    <w:name w:val="xl255"/>
    <w:basedOn w:val="966"/>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24" w:customStyle="1">
    <w:name w:val="xl256"/>
    <w:basedOn w:val="966"/>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25" w:customStyle="1">
    <w:name w:val="xl257"/>
    <w:basedOn w:val="96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26" w:customStyle="1">
    <w:name w:val="xl258"/>
    <w:basedOn w:val="966"/>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27" w:customStyle="1">
    <w:name w:val="xl259"/>
    <w:basedOn w:val="96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28" w:customStyle="1">
    <w:name w:val="xl260"/>
    <w:basedOn w:val="96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29" w:customStyle="1">
    <w:name w:val="xl261"/>
    <w:basedOn w:val="966"/>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30" w:customStyle="1">
    <w:name w:val="xl262"/>
    <w:basedOn w:val="966"/>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31" w:customStyle="1">
    <w:name w:val="xl263"/>
    <w:basedOn w:val="966"/>
    <w:pPr>
      <w:pBdr/>
      <w:shd w:val="clear" w:color="000000" w:fill="ffffff"/>
      <w:spacing w:after="100" w:afterAutospacing="1" w:before="100" w:beforeAutospacing="1"/>
      <w:ind/>
    </w:pPr>
  </w:style>
  <w:style w:type="paragraph" w:styleId="1032" w:customStyle="1">
    <w:name w:val="xl264"/>
    <w:basedOn w:val="96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33" w:customStyle="1">
    <w:name w:val="xl265"/>
    <w:basedOn w:val="96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4" w:customStyle="1">
    <w:name w:val="xl266"/>
    <w:basedOn w:val="966"/>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35" w:customStyle="1">
    <w:name w:val="xl267"/>
    <w:basedOn w:val="96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36" w:customStyle="1">
    <w:name w:val="xl268"/>
    <w:basedOn w:val="96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37" w:customStyle="1">
    <w:name w:val="xl269"/>
    <w:basedOn w:val="96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38" w:customStyle="1">
    <w:name w:val="xl270"/>
    <w:basedOn w:val="96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39" w:customStyle="1">
    <w:name w:val="xl271"/>
    <w:basedOn w:val="966"/>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40" w:customStyle="1">
    <w:name w:val="xl272"/>
    <w:basedOn w:val="96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41" w:customStyle="1">
    <w:name w:val="xl273"/>
    <w:basedOn w:val="96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2" w:customStyle="1">
    <w:name w:val="xl274"/>
    <w:basedOn w:val="966"/>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3" w:customStyle="1">
    <w:name w:val="xl275"/>
    <w:basedOn w:val="966"/>
    <w:pPr>
      <w:pBdr/>
      <w:spacing w:after="100" w:afterAutospacing="1" w:before="100" w:beforeAutospacing="1"/>
      <w:ind/>
    </w:pPr>
  </w:style>
  <w:style w:type="paragraph" w:styleId="1044" w:customStyle="1">
    <w:name w:val="xl276"/>
    <w:basedOn w:val="96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45" w:customStyle="1">
    <w:name w:val="xl277"/>
    <w:basedOn w:val="966"/>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46" w:customStyle="1">
    <w:name w:val="xl278"/>
    <w:basedOn w:val="96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7" w:customStyle="1">
    <w:name w:val="xl279"/>
    <w:basedOn w:val="96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8" w:customStyle="1">
    <w:name w:val="xl280"/>
    <w:basedOn w:val="96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9" w:customStyle="1">
    <w:name w:val="xl281"/>
    <w:basedOn w:val="96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0" w:customStyle="1">
    <w:name w:val="xl282"/>
    <w:basedOn w:val="966"/>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83"/>
    <w:basedOn w:val="966"/>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2" w:customStyle="1">
    <w:name w:val="xl284"/>
    <w:basedOn w:val="966"/>
    <w:pPr>
      <w:pBdr>
        <w:left w:val="single" w:color="000000" w:sz="4" w:space="0"/>
        <w:bottom w:val="single" w:color="000000" w:sz="4" w:space="0"/>
        <w:right w:val="single" w:color="000000" w:sz="4" w:space="0"/>
      </w:pBdr>
      <w:spacing w:after="100" w:afterAutospacing="1" w:before="100" w:beforeAutospacing="1"/>
      <w:ind/>
    </w:pPr>
  </w:style>
  <w:style w:type="paragraph" w:styleId="1053" w:customStyle="1">
    <w:name w:val="xl285"/>
    <w:basedOn w:val="966"/>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4" w:customStyle="1">
    <w:name w:val="xl286"/>
    <w:basedOn w:val="96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87"/>
    <w:basedOn w:val="966"/>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6" w:customStyle="1">
    <w:name w:val="xl288"/>
    <w:basedOn w:val="966"/>
    <w:pPr>
      <w:pBdr>
        <w:top w:val="single" w:color="000000" w:sz="4" w:space="0"/>
        <w:left w:val="single" w:color="000000" w:sz="4" w:space="0"/>
        <w:right w:val="single" w:color="000000" w:sz="4" w:space="0"/>
      </w:pBdr>
      <w:spacing w:after="100" w:afterAutospacing="1" w:before="100" w:beforeAutospacing="1"/>
      <w:ind/>
    </w:pPr>
  </w:style>
  <w:style w:type="paragraph" w:styleId="1057" w:customStyle="1">
    <w:name w:val="xl289"/>
    <w:basedOn w:val="966"/>
    <w:pPr>
      <w:pBdr>
        <w:left w:val="single" w:color="000000" w:sz="4" w:space="0"/>
        <w:right w:val="single" w:color="000000" w:sz="4" w:space="0"/>
      </w:pBdr>
      <w:spacing w:after="100" w:afterAutospacing="1" w:before="100" w:beforeAutospacing="1"/>
      <w:ind/>
    </w:pPr>
    <w:rPr>
      <w:b/>
      <w:bCs/>
    </w:rPr>
  </w:style>
  <w:style w:type="paragraph" w:styleId="1058" w:customStyle="1">
    <w:name w:val="xl290"/>
    <w:basedOn w:val="96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9" w:customStyle="1">
    <w:name w:val="xl291"/>
    <w:basedOn w:val="96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0" w:customStyle="1">
    <w:name w:val="xl292"/>
    <w:basedOn w:val="966"/>
    <w:pPr>
      <w:pBdr>
        <w:top w:val="single" w:color="000000" w:sz="4" w:space="0"/>
        <w:left w:val="single" w:color="000000" w:sz="4" w:space="0"/>
        <w:right w:val="single" w:color="000000" w:sz="4" w:space="0"/>
      </w:pBdr>
      <w:spacing w:after="100" w:afterAutospacing="1" w:before="100" w:beforeAutospacing="1"/>
      <w:ind/>
    </w:pPr>
  </w:style>
  <w:style w:type="paragraph" w:styleId="1061" w:customStyle="1">
    <w:name w:val="xl293"/>
    <w:basedOn w:val="966"/>
    <w:pPr>
      <w:pBdr>
        <w:left w:val="single" w:color="000000" w:sz="4" w:space="0"/>
        <w:bottom w:val="single" w:color="000000" w:sz="4" w:space="0"/>
        <w:right w:val="single" w:color="000000" w:sz="4" w:space="0"/>
      </w:pBdr>
      <w:spacing w:after="100" w:afterAutospacing="1" w:before="100" w:beforeAutospacing="1"/>
      <w:ind/>
    </w:pPr>
  </w:style>
  <w:style w:type="paragraph" w:styleId="1062" w:customStyle="1">
    <w:name w:val="xl294"/>
    <w:basedOn w:val="96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3">
    <w:name w:val="Title"/>
    <w:basedOn w:val="966"/>
    <w:link w:val="1064"/>
    <w:qFormat/>
    <w:pPr>
      <w:pBdr/>
      <w:spacing/>
      <w:ind/>
      <w:jc w:val="center"/>
    </w:pPr>
    <w:rPr>
      <w:b/>
      <w:bCs/>
      <w:sz w:val="32"/>
      <w:szCs w:val="26"/>
    </w:rPr>
  </w:style>
  <w:style w:type="character" w:styleId="1064" w:customStyle="1">
    <w:name w:val="Title Char"/>
    <w:basedOn w:val="971"/>
    <w:link w:val="1063"/>
    <w:pPr>
      <w:pBdr/>
      <w:spacing/>
      <w:ind/>
    </w:pPr>
    <w:rPr>
      <w:rFonts w:ascii="Times New Roman" w:hAnsi="Times New Roman" w:eastAsia="Times New Roman" w:cs="Times New Roman"/>
      <w:b/>
      <w:bCs/>
      <w:sz w:val="32"/>
      <w:szCs w:val="26"/>
    </w:rPr>
  </w:style>
  <w:style w:type="character" w:styleId="1065" w:customStyle="1">
    <w:name w:val="Unresolved Mention1"/>
    <w:basedOn w:val="971"/>
    <w:uiPriority w:val="99"/>
    <w:semiHidden/>
    <w:unhideWhenUsed/>
    <w:pPr>
      <w:pBdr/>
      <w:spacing/>
      <w:ind/>
    </w:pPr>
    <w:rPr>
      <w:color w:val="605e5c"/>
      <w:shd w:val="clear" w:color="auto" w:fill="e1dfdd"/>
    </w:rPr>
  </w:style>
  <w:style w:type="character" w:styleId="1066" w:customStyle="1">
    <w:name w:val="Body text (3)_"/>
    <w:link w:val="1067"/>
    <w:pPr>
      <w:pBdr/>
      <w:spacing/>
      <w:ind/>
    </w:pPr>
    <w:rPr>
      <w:rFonts w:ascii="Times New Roman" w:hAnsi="Times New Roman" w:cs="Times New Roman"/>
      <w:i/>
      <w:iCs/>
      <w:spacing w:val="4"/>
      <w:shd w:val="clear" w:color="auto" w:fill="ffffff"/>
    </w:rPr>
  </w:style>
  <w:style w:type="paragraph" w:styleId="1067" w:customStyle="1">
    <w:name w:val="Body text (3)1"/>
    <w:basedOn w:val="966"/>
    <w:link w:val="1066"/>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068" w:customStyle="1">
    <w:name w:val="t-j"/>
    <w:basedOn w:val="966"/>
    <w:pPr>
      <w:pBdr/>
      <w:spacing w:after="100" w:afterAutospacing="1" w:before="100" w:beforeAutospacing="1"/>
      <w:ind/>
    </w:pPr>
  </w:style>
  <w:style w:type="character" w:styleId="1069" w:customStyle="1">
    <w:name w:val="Unresolved Mention2"/>
    <w:basedOn w:val="971"/>
    <w:uiPriority w:val="99"/>
    <w:semiHidden/>
    <w:unhideWhenUsed/>
    <w:pPr>
      <w:pBdr/>
      <w:spacing/>
      <w:ind/>
    </w:pPr>
    <w:rPr>
      <w:color w:val="605e5c"/>
      <w:shd w:val="clear" w:color="auto" w:fill="e1dfdd"/>
    </w:rPr>
  </w:style>
  <w:style w:type="character" w:styleId="1070">
    <w:name w:val="FollowedHyperlink"/>
    <w:basedOn w:val="971"/>
    <w:uiPriority w:val="99"/>
    <w:semiHidden/>
    <w:unhideWhenUsed/>
    <w:pPr>
      <w:pBdr/>
      <w:spacing/>
      <w:ind/>
    </w:pPr>
    <w:rPr>
      <w:color w:val="800080" w:themeColor="followedHyperlink"/>
      <w:u w:val="single"/>
    </w:rPr>
  </w:style>
  <w:style w:type="character" w:styleId="1071" w:customStyle="1">
    <w:name w:val="text"/>
    <w:basedOn w:val="971"/>
    <w:pPr>
      <w:pBdr/>
      <w:spacing/>
      <w:ind/>
    </w:pPr>
  </w:style>
  <w:style w:type="character" w:styleId="1072" w:customStyle="1">
    <w:name w:val="card-send-time__sendtime"/>
    <w:basedOn w:val="971"/>
    <w:pPr>
      <w:pBdr/>
      <w:spacing/>
      <w:ind/>
    </w:pPr>
  </w:style>
  <w:style w:type="character" w:styleId="1073" w:customStyle="1">
    <w:name w:val="Đề cập Chưa giải quyết1"/>
    <w:basedOn w:val="971"/>
    <w:uiPriority w:val="99"/>
    <w:semiHidden/>
    <w:unhideWhenUsed/>
    <w:pPr>
      <w:pBdr/>
      <w:spacing/>
      <w:ind/>
    </w:pPr>
    <w:rPr>
      <w:color w:val="605e5c"/>
      <w:shd w:val="clear" w:color="auto" w:fill="e1dfdd"/>
    </w:rPr>
  </w:style>
  <w:style w:type="paragraph" w:styleId="1074" w:customStyle="1">
    <w:name w:val="nqtitle"/>
    <w:basedOn w:val="966"/>
    <w:pPr>
      <w:pBdr/>
      <w:spacing w:after="100" w:afterAutospacing="1" w:before="100" w:beforeAutospacing="1"/>
      <w:ind/>
    </w:pPr>
    <w:rPr>
      <w:lang w:val="vi-VN" w:eastAsia="vi-VN"/>
    </w:rPr>
  </w:style>
  <w:style w:type="character" w:styleId="1075" w:customStyle="1">
    <w:name w:val="List Paragraph Char"/>
    <w:link w:val="988"/>
    <w:uiPriority w:val="34"/>
    <w:qFormat/>
    <w:pPr>
      <w:pBdr/>
      <w:spacing/>
      <w:ind/>
    </w:pPr>
    <w:rPr>
      <w:rFonts w:ascii="Times New Roman" w:hAnsi="Times New Roman" w:eastAsia="Times New Roman" w:cs="Times New Roman"/>
      <w:sz w:val="24"/>
      <w:szCs w:val="24"/>
    </w:rPr>
  </w:style>
  <w:style w:type="character" w:styleId="1076" w:customStyle="1">
    <w:name w:val="Đề cập Chưa giải quyết2"/>
    <w:basedOn w:val="971"/>
    <w:uiPriority w:val="99"/>
    <w:semiHidden/>
    <w:unhideWhenUsed/>
    <w:pPr>
      <w:pBdr/>
      <w:spacing/>
      <w:ind/>
    </w:pPr>
    <w:rPr>
      <w:color w:val="605e5c"/>
      <w:shd w:val="clear" w:color="auto" w:fill="e1dfdd"/>
    </w:rPr>
  </w:style>
  <w:style w:type="character" w:styleId="1077" w:customStyle="1">
    <w:name w:val="Unresolved Mention3"/>
    <w:basedOn w:val="971"/>
    <w:uiPriority w:val="99"/>
    <w:semiHidden/>
    <w:unhideWhenUsed/>
    <w:pPr>
      <w:pBdr/>
      <w:spacing/>
      <w:ind/>
    </w:pPr>
    <w:rPr>
      <w:color w:val="605e5c"/>
      <w:shd w:val="clear" w:color="auto" w:fill="e1dfdd"/>
    </w:rPr>
  </w:style>
  <w:style w:type="character" w:styleId="1078" w:customStyle="1">
    <w:name w:val="copy"/>
    <w:basedOn w:val="971"/>
    <w:pPr>
      <w:pBdr/>
      <w:spacing/>
      <w:ind/>
    </w:pPr>
  </w:style>
  <w:style w:type="paragraph" w:styleId="1079" w:customStyle="1">
    <w:name w:val="align-justify"/>
    <w:basedOn w:val="966"/>
    <w:pPr>
      <w:pBdr/>
      <w:spacing w:after="100" w:afterAutospacing="1" w:before="100" w:beforeAutospacing="1"/>
      <w:ind/>
    </w:pPr>
  </w:style>
  <w:style w:type="character" w:styleId="1080" w:customStyle="1">
    <w:name w:val="btn"/>
    <w:basedOn w:val="971"/>
    <w:pPr>
      <w:pBdr/>
      <w:spacing/>
      <w:ind/>
    </w:pPr>
  </w:style>
  <w:style w:type="character" w:styleId="1081" w:customStyle="1">
    <w:name w:val="hide_mobile"/>
    <w:basedOn w:val="971"/>
    <w:pPr>
      <w:pBdr/>
      <w:spacing/>
      <w:ind/>
    </w:pPr>
  </w:style>
  <w:style w:type="character" w:styleId="1082">
    <w:name w:val="Emphasis"/>
    <w:basedOn w:val="971"/>
    <w:uiPriority w:val="20"/>
    <w:qFormat/>
    <w:pPr>
      <w:pBdr/>
      <w:spacing/>
      <w:ind/>
    </w:pPr>
    <w:rPr>
      <w:i/>
      <w:iCs/>
    </w:rPr>
  </w:style>
  <w:style w:type="character" w:styleId="1083" w:customStyle="1">
    <w:name w:val="t1"/>
    <w:basedOn w:val="971"/>
    <w:pPr>
      <w:pBdr/>
      <w:spacing/>
      <w:ind/>
    </w:pPr>
  </w:style>
  <w:style w:type="character" w:styleId="1084" w:customStyle="1">
    <w:name w:val="Unresolved Mention4"/>
    <w:basedOn w:val="971"/>
    <w:uiPriority w:val="99"/>
    <w:semiHidden/>
    <w:unhideWhenUsed/>
    <w:pPr>
      <w:pBdr/>
      <w:spacing/>
      <w:ind/>
    </w:pPr>
    <w:rPr>
      <w:color w:val="605e5c"/>
      <w:shd w:val="clear" w:color="auto" w:fill="e1dfdd"/>
    </w:rPr>
  </w:style>
  <w:style w:type="character" w:styleId="1085">
    <w:name w:val="Unresolved Mention"/>
    <w:basedOn w:val="971"/>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customXml" Target="../customXml/item1.xml" /><Relationship Id="rId11" Type="http://schemas.openxmlformats.org/officeDocument/2006/relationships/image" Target="media/image1.png"/><Relationship Id="rId12" Type="http://schemas.openxmlformats.org/officeDocument/2006/relationships/hyperlink" Target="mailto:ilotus.contact@gmail.com" TargetMode="External"/><Relationship Id="rId13" Type="http://schemas.openxmlformats.org/officeDocument/2006/relationships/image" Target="media/image2.png"/><Relationship Id="rId14" Type="http://schemas.openxmlformats.org/officeDocument/2006/relationships/hyperlink" Target="mailto:ilotus.contact@gmail.com" TargetMode="External"/><Relationship Id="rId15" Type="http://schemas.openxmlformats.org/officeDocument/2006/relationships/image" Target="media/image3.png"/><Relationship Id="rId16" Type="http://schemas.openxmlformats.org/officeDocument/2006/relationships/hyperlink" Target="https://www.facebook.com/share/p/189X1UaZTs/" TargetMode="External"/><Relationship Id="rId17" Type="http://schemas.openxmlformats.org/officeDocument/2006/relationships/image" Target="media/image4.png"/><Relationship Id="rId18" Type="http://schemas.openxmlformats.org/officeDocument/2006/relationships/image" Target="media/image5.png"/><Relationship Id="rId19" Type="http://schemas.openxmlformats.org/officeDocument/2006/relationships/image" Target="media/image6.png"/><Relationship Id="rId20" Type="http://schemas.openxmlformats.org/officeDocument/2006/relationships/image" Target="media/image7.png"/><Relationship Id="rId21" Type="http://schemas.openxmlformats.org/officeDocument/2006/relationships/image" Target="media/image8.png"/><Relationship Id="rId22" Type="http://schemas.openxmlformats.org/officeDocument/2006/relationships/image" Target="media/image9.png"/><Relationship Id="rId23" Type="http://schemas.openxmlformats.org/officeDocument/2006/relationships/image" Target="media/image10.png"/><Relationship Id="rId24" Type="http://schemas.openxmlformats.org/officeDocument/2006/relationships/image" Target="media/image11.png"/><Relationship Id="rId25" Type="http://schemas.openxmlformats.org/officeDocument/2006/relationships/image" Target="media/image12.png"/><Relationship Id="rId26" Type="http://schemas.openxmlformats.org/officeDocument/2006/relationships/image" Target="media/image13.png"/><Relationship Id="rId27" Type="http://schemas.openxmlformats.org/officeDocument/2006/relationships/image" Target="media/image14.png"/><Relationship Id="rId28" Type="http://schemas.openxmlformats.org/officeDocument/2006/relationships/image" Target="media/image15.png"/><Relationship Id="rId29" Type="http://schemas.openxmlformats.org/officeDocument/2006/relationships/image" Target="media/image16.png"/><Relationship Id="rId30" Type="http://schemas.openxmlformats.org/officeDocument/2006/relationships/image" Target="media/image17.png"/><Relationship Id="rId31" Type="http://schemas.openxmlformats.org/officeDocument/2006/relationships/image" Target="media/image18.png"/><Relationship Id="rId32" Type="http://schemas.openxmlformats.org/officeDocument/2006/relationships/image" Target="media/image19.png"/><Relationship Id="rId33" Type="http://schemas.openxmlformats.org/officeDocument/2006/relationships/image" Target="media/image20.png"/><Relationship Id="rId34" Type="http://schemas.openxmlformats.org/officeDocument/2006/relationships/comments" Target="comments.xml" /><Relationship Id="rId35" Type="http://schemas.microsoft.com/office/2011/relationships/commentsExtended" Target="commentsExtended.xml" /><Relationship Id="rId36" Type="http://schemas.microsoft.com/office/2018/08/relationships/commentsExtensible" Target="commentsExtensible.xml" /><Relationship Id="rId37" Type="http://schemas.microsoft.com/office/2016/09/relationships/commentsIds" Target="commentsIds.xml" /><Relationship Id="rId38"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cp:lastModifiedBy>
  <cp:revision>284</cp:revision>
  <dcterms:created xsi:type="dcterms:W3CDTF">2025-09-15T09:58:00Z</dcterms:created>
  <dcterms:modified xsi:type="dcterms:W3CDTF">2026-05-20T08:04:10Z</dcterms:modified>
</cp:coreProperties>
</file>