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t xml:space="preserve"> </w:t>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8486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8486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275/2026/0715/VFI-CT.63.A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Trần Thị Kiều Trang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717, tờ bản đồ số: 52, có địa chỉ: Thôn Yên Bình, xã</w:t>
                            </w:r>
                            <w:r>
                              <w:rPr>
                                <w:color w:val="000000"/>
                              </w:rPr>
                              <w:t xml:space="preserve"> Sông Lô, tỉnh Phú Thọ theo Giấy chứng nhận quyền sử dụng đất, quyền sở hữu tài sản gắn liền với đất số: AA 05374627, Số vào sổ cấp GCN: CN 9807 do Chi nhánh Văn phòng Đăng ký Đất đai Sông Lô cấp ngày 14/11/2025; Chủ sử dụng đất là Bà Trần Thị Kiều Trang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5.0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275/2026/0715/VFI-CT.63.A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Trần Thị Kiều Trang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717, tờ bản đồ số: 52, có địa chỉ: Thôn Yên Bình, xã</w:t>
                      </w:r>
                      <w:r>
                        <w:rPr>
                          <w:color w:val="000000"/>
                        </w:rPr>
                        <w:t xml:space="preserve"> Sông Lô, tỉnh Phú Thọ theo Giấy chứng nhận quyền sử dụng đất, quyền sở hữu tài sản gắn liền với đất số: AA 05374627, Số vào sổ cấp GCN: CN 9807 do Chi nhánh Văn phòng Đăng ký Đất đai Sông Lô cấp ngày 14/11/2025; Chủ sử dụng đất là Bà Trần Thị Kiều Trang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1: Thông tin hiện trạng +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21-22</w:t>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23-29</w:t>
            </w:r>
            <w:r>
              <w:rPr>
                <w:b/>
                <w:bCs/>
              </w:rPr>
            </w:r>
            <w:r>
              <w:rPr>
                <w:b/>
                <w:bCs/>
              </w:rPr>
            </w:r>
          </w:p>
        </w:tc>
      </w:tr>
    </w:tbl>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719"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563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780"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Style w:val="1035"/>
                <w:rFonts w:ascii="Times New Roman" w:hAnsi="Times New Roman"/>
                <w:color w:val="000000" w:themeColor="text1"/>
                <w:lang w:val="pt-BR"/>
              </w:rPr>
              <w:t xml:space="preserve">275/2026/0715/VFI-CT.63.A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13 tháng 5 năm 2026</w:t>
            </w:r>
            <w:r>
              <w:rPr>
                <w:color w:val="000000" w:themeColor="text1"/>
                <w:sz w:val="24"/>
                <w:szCs w:val="24"/>
                <w:lang w:val="vi-VN"/>
              </w:rPr>
            </w:r>
            <w:r>
              <w:rPr>
                <w:color w:val="000000" w:themeColor="text1"/>
                <w:sz w:val="24"/>
                <w:szCs w:val="24"/>
                <w:lang w:val="vi-VN"/>
              </w:rPr>
            </w:r>
          </w:p>
        </w:tc>
      </w:tr>
    </w:tbl>
    <w:p>
      <w:pPr>
        <w:pStyle w:val="1036"/>
        <w:pBdr/>
        <w:spacing w:after="120" w:before="200" w:line="288" w:lineRule="auto"/>
        <w:ind/>
        <w:jc w:val="center"/>
        <w:rPr>
          <w:rStyle w:val="1035"/>
          <w:rFonts w:ascii="Times New Roman" w:hAnsi="Times New Roman"/>
          <w:b/>
          <w:bCs/>
          <w:color w:val="auto"/>
          <w:sz w:val="30"/>
          <w:szCs w:val="30"/>
          <w:lang w:val="vi-VN"/>
        </w:rPr>
      </w:pP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Trần Thị Kiều Trang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275/2026/0715/VFI-HĐTĐ.63.A</w:t>
      </w:r>
      <w:r>
        <w:rPr>
          <w:spacing w:val="-4"/>
          <w:lang w:val="vi-VN"/>
        </w:rPr>
        <w:t xml:space="preserve"> ký ngày </w:t>
      </w:r>
      <w:r>
        <w:rPr>
          <w:color w:val="000000" w:themeColor="text1"/>
          <w:spacing w:val="-4"/>
        </w:rPr>
        <w:t xml:space="preserve">07 tháng 5 năm 2026</w:t>
      </w:r>
      <w:r>
        <w:rPr>
          <w:spacing w:val="-4"/>
          <w:lang w:val="vi-VN"/>
        </w:rPr>
        <w:t xml:space="preserve"> </w:t>
      </w:r>
      <w:r>
        <w:rPr>
          <w:spacing w:val="-4"/>
          <w:lang w:val="vi-VN"/>
        </w:rPr>
        <w:t xml:space="preserve">giữa </w:t>
      </w:r>
      <w:r>
        <w:rPr>
          <w:color w:val="000000" w:themeColor="text1"/>
          <w:spacing w:val="-4"/>
        </w:rPr>
        <w:t xml:space="preserve">Bà Trần Thị Kiều Trang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275/2026/0715/VFI-BC.63.A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13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TRẦN THỊ KIỀU TRANG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026197002320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Tdp Dinh Đống Đa, Vĩnh Yên, Vĩnh Phúc</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00"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717, tờ bản đồ số: 52, có địa chỉ: Thôn Yên Bình, xã</w:t>
      </w:r>
      <w:r>
        <w:rPr>
          <w:color w:val="000000" w:themeColor="text1"/>
        </w:rPr>
        <w:t xml:space="preserve"> Sông Lô, tỉnh Phú Thọ theo Giấy chứng nhận quyền sử dụng đất, quyền sở hữu tài sản gắn liền với đất số: AA 05374627, Số vào sổ cấp GCN: CN 9807 do Chi nhánh Văn phòng Đăng ký Đất đai Sông Lô cấp ngày 14/11/2025; Chủ sử dụng đất là Bà Trần Thị Kiều Trang</w:t>
      </w:r>
      <w:r>
        <w:rPr>
          <w:i/>
          <w:iCs/>
        </w:rPr>
        <w:t xml:space="preserve">.</w:t>
      </w:r>
      <w:r>
        <w:rPr>
          <w:b/>
          <w:bCs/>
        </w:rPr>
      </w:r>
      <w:r>
        <w:rPr>
          <w:b/>
          <w:bCs/>
        </w:rPr>
      </w:r>
    </w:p>
    <w:p>
      <w:pPr>
        <w:pBdr/>
        <w:spacing w:after="120" w:before="120" w:line="300"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5/2026</w:t>
      </w:r>
      <w:r>
        <w:rPr>
          <w:bCs/>
          <w:lang w:val="nl-NL"/>
        </w:rPr>
        <w:t xml:space="preserve">.</w:t>
      </w:r>
      <w:r>
        <w:rPr>
          <w:b/>
          <w:bCs/>
        </w:rPr>
      </w:r>
      <w:r>
        <w:rPr>
          <w:b/>
          <w:bCs/>
        </w:rPr>
      </w:r>
    </w:p>
    <w:p>
      <w:pPr>
        <w:pBdr/>
        <w:tabs>
          <w:tab w:val="left" w:leader="none" w:pos="851"/>
        </w:tabs>
        <w:spacing w:after="120" w:before="120" w:line="300"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00"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00"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00"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00"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00"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00"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00"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00"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5/2026</w:t>
      </w:r>
      <w:r>
        <w:rPr>
          <w:lang w:val="vi-VN"/>
        </w:rPr>
        <w:t xml:space="preserve"> ước tính</w:t>
      </w:r>
      <w:r>
        <w:t xml:space="preserve"> </w:t>
      </w:r>
      <w:r>
        <w:rPr>
          <w:lang w:val="vi-VN"/>
        </w:rPr>
        <w:t xml:space="preserve">như sau:</w:t>
      </w:r>
      <w:r/>
    </w:p>
    <w:tbl>
      <w:tblPr>
        <w:tblInd w:w="28" w:type="dxa"/>
        <w:tblW w:w="4967"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08"/>
        <w:gridCol w:w="2801"/>
        <w:gridCol w:w="1559"/>
        <w:gridCol w:w="1985"/>
        <w:gridCol w:w="2409"/>
      </w:tblGrid>
      <w:tr>
        <w:trPr>
          <w:trHeight w:val="20"/>
        </w:trPr>
        <w:tc>
          <w:tcPr>
            <w:shd w:val="clear" w:color="000000" w:fill="ffffff"/>
            <w:tcBorders/>
            <w:tcW w:w="70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0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40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0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34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717, tờ bản đồ số: 52, có địa chỉ: Thôn Yên Bình, xã</w:t>
            </w:r>
            <w:r>
              <w:rPr>
                <w:b/>
                <w:bCs/>
                <w:color w:val="000000"/>
              </w:rPr>
              <w:t xml:space="preserve"> Sông Lô, tỉnh Phú Thọ theo Giấy chứng nhận quyền sử dụng đất, quyền sở hữu tài sản gắn liền với đất số: AA 05374627, Số vào sổ cấp GCN: CN 9807 do Chi nhánh Văn phòng Đăng ký Đất đai Sông Lô cấp ngày 14/11/2025; Chủ sử dụng đất là Bà Trần Thị Kiều Trang</w:t>
            </w:r>
            <w:r>
              <w:rPr>
                <w:b/>
                <w:bCs/>
              </w:rPr>
              <w:t xml:space="preserve">.</w:t>
            </w:r>
            <w:r>
              <w:rPr>
                <w:b/>
                <w:bCs/>
              </w:rPr>
            </w:r>
            <w:r>
              <w:rPr>
                <w:b/>
                <w:bCs/>
              </w:rPr>
            </w:r>
          </w:p>
        </w:tc>
        <w:tc>
          <w:tcPr>
            <w:shd w:val="clear" w:color="000000" w:fill="ffffff"/>
            <w:tcBorders/>
            <w:tcW w:w="240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08"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801"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100,0</w:t>
            </w:r>
            <w:r>
              <w:rPr>
                <w:color w:val="000000"/>
              </w:rPr>
            </w:r>
            <w:r>
              <w:rPr>
                <w:color w:val="000000"/>
              </w:rPr>
            </w:r>
          </w:p>
        </w:tc>
        <w:tc>
          <w:tcPr>
            <w:shd w:val="clear" w:color="000000" w:fill="ffffff"/>
            <w:tcBorders/>
            <w:tcW w:w="1985" w:type="dxa"/>
            <w:vAlign w:val="center"/>
            <w:textDirection w:val="lrTb"/>
            <w:noWrap w:val="false"/>
          </w:tcPr>
          <w:p>
            <w:pPr>
              <w:pBdr/>
              <w:spacing w:after="40" w:before="40" w:line="288" w:lineRule="auto"/>
              <w:ind/>
              <w:jc w:val="center"/>
              <w:rPr/>
            </w:pPr>
            <w:r>
              <w:rPr>
                <w:color w:val="000000" w:themeColor="text1"/>
              </w:rPr>
              <w:t xml:space="preserve">29.200.000</w:t>
            </w:r>
            <w:r/>
          </w:p>
        </w:tc>
        <w:tc>
          <w:tcPr>
            <w:shd w:val="clear" w:color="000000" w:fill="ffffff"/>
            <w:tcBorders/>
            <w:tcW w:w="2409" w:type="dxa"/>
            <w:vAlign w:val="center"/>
            <w:textDirection w:val="lrTb"/>
            <w:noWrap w:val="false"/>
          </w:tcPr>
          <w:p>
            <w:pPr>
              <w:pBdr/>
              <w:spacing w:after="40" w:before="40" w:line="288" w:lineRule="auto"/>
              <w:ind/>
              <w:jc w:val="right"/>
              <w:rPr/>
            </w:pPr>
            <w:r>
              <w:rPr>
                <w:color w:val="000000" w:themeColor="text1"/>
              </w:rPr>
              <w:t xml:space="preserve">2.920.000.000</w:t>
            </w:r>
            <w:r/>
          </w:p>
        </w:tc>
      </w:tr>
      <w:tr>
        <w:trPr>
          <w:trHeight w:val="20"/>
        </w:trPr>
        <w:tc>
          <w:tcPr>
            <w:shd w:val="clear" w:color="000000" w:fill="ffffff"/>
            <w:tcBorders/>
            <w:tcW w:w="708" w:type="dxa"/>
            <w:vAlign w:val="center"/>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2801" w:type="dxa"/>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231,7</w:t>
            </w:r>
            <w:r>
              <w:rPr>
                <w:color w:val="000000"/>
              </w:rPr>
            </w:r>
            <w:r>
              <w:rPr>
                <w:color w:val="000000"/>
              </w:rPr>
            </w:r>
          </w:p>
        </w:tc>
        <w:tc>
          <w:tcPr>
            <w:shd w:val="clear" w:color="000000" w:fill="ffffff"/>
            <w:tcBorders/>
            <w:tcW w:w="1985" w:type="dxa"/>
            <w:vAlign w:val="center"/>
            <w:textDirection w:val="lrTb"/>
            <w:noWrap w:val="false"/>
          </w:tcPr>
          <w:p>
            <w:pPr>
              <w:pBdr/>
              <w:spacing w:after="40" w:before="40" w:line="288" w:lineRule="auto"/>
              <w:ind/>
              <w:jc w:val="center"/>
              <w:rPr/>
            </w:pPr>
            <w:r>
              <w:rPr>
                <w:color w:val="000000" w:themeColor="text1"/>
              </w:rPr>
              <w:t xml:space="preserve">711.000</w:t>
            </w:r>
            <w:r/>
          </w:p>
        </w:tc>
        <w:tc>
          <w:tcPr>
            <w:shd w:val="clear" w:color="000000" w:fill="ffffff"/>
            <w:tcBorders/>
            <w:tcW w:w="2409" w:type="dxa"/>
            <w:vAlign w:val="center"/>
            <w:textDirection w:val="lrTb"/>
            <w:noWrap w:val="false"/>
          </w:tcPr>
          <w:p>
            <w:pPr>
              <w:pBdr/>
              <w:spacing w:after="40" w:before="40" w:line="288" w:lineRule="auto"/>
              <w:ind/>
              <w:jc w:val="right"/>
              <w:rPr/>
            </w:pPr>
            <w:r>
              <w:rPr>
                <w:color w:val="000000" w:themeColor="text1"/>
              </w:rPr>
              <w:t xml:space="preserve">164.738.700</w:t>
            </w:r>
            <w:r/>
          </w:p>
        </w:tc>
      </w:tr>
      <w:tr>
        <w:trPr>
          <w:trHeight w:val="20"/>
        </w:trPr>
        <w:tc>
          <w:tcPr>
            <w:gridSpan w:val="4"/>
            <w:tcBorders/>
            <w:tcW w:w="705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409" w:type="dxa"/>
            <w:vAlign w:val="center"/>
            <w:textDirection w:val="lrTb"/>
            <w:noWrap/>
          </w:tcPr>
          <w:p>
            <w:pPr>
              <w:pBdr/>
              <w:spacing w:after="40" w:before="40" w:line="288" w:lineRule="auto"/>
              <w:ind/>
              <w:jc w:val="right"/>
              <w:rPr>
                <w:b/>
                <w:bCs/>
                <w:color w:val="000000"/>
              </w:rPr>
            </w:pPr>
            <w:r>
              <w:rPr>
                <w:b/>
                <w:bCs/>
              </w:rPr>
              <w:t xml:space="preserve">3.084.738.700</w:t>
            </w:r>
            <w:r>
              <w:rPr>
                <w:b/>
                <w:bCs/>
                <w:color w:val="000000"/>
              </w:rPr>
            </w:r>
            <w:r>
              <w:rPr>
                <w:b/>
                <w:bCs/>
                <w:color w:val="000000"/>
              </w:rPr>
            </w:r>
          </w:p>
        </w:tc>
      </w:tr>
      <w:tr>
        <w:trPr>
          <w:trHeight w:val="384"/>
        </w:trPr>
        <w:tc>
          <w:tcPr>
            <w:gridSpan w:val="4"/>
            <w:tcBorders/>
            <w:tcW w:w="705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409" w:type="dxa"/>
            <w:vAlign w:val="center"/>
            <w:textDirection w:val="lrTb"/>
            <w:noWrap/>
          </w:tcPr>
          <w:p>
            <w:pPr>
              <w:pBdr/>
              <w:spacing w:after="40" w:before="40" w:line="288" w:lineRule="auto"/>
              <w:ind/>
              <w:jc w:val="right"/>
              <w:rPr>
                <w:b/>
                <w:bCs/>
                <w:color w:val="000000"/>
              </w:rPr>
            </w:pPr>
            <w:r>
              <w:rPr>
                <w:b/>
                <w:bCs/>
                <w:color w:val="000000"/>
              </w:rPr>
              <w:t xml:space="preserve">3.085.000.000</w:t>
            </w:r>
            <w:r>
              <w:rPr>
                <w:b/>
                <w:bCs/>
                <w:color w:val="000000"/>
              </w:rPr>
            </w:r>
            <w:r>
              <w:rPr>
                <w:b/>
                <w:bCs/>
                <w:color w:val="000000"/>
              </w:rPr>
            </w:r>
          </w:p>
        </w:tc>
      </w:tr>
      <w:tr>
        <w:trPr>
          <w:trHeight w:val="20"/>
        </w:trPr>
        <w:tc>
          <w:tcPr>
            <w:gridSpan w:val="5"/>
            <w:tcBorders/>
            <w:tcW w:w="9462"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tám mươi lăm triệu đồng</w:t>
            </w:r>
            <w:r>
              <w:rPr>
                <w:b/>
                <w:bCs/>
                <w:i/>
                <w:iCs/>
                <w:color w:val="000000"/>
              </w:rPr>
              <w:t xml:space="preserve">./.)</w:t>
            </w:r>
            <w:r>
              <w:rPr>
                <w:b/>
                <w:bCs/>
                <w:i/>
                <w:iCs/>
                <w:color w:val="000000"/>
              </w:rPr>
            </w:r>
            <w:r>
              <w:rPr>
                <w:b/>
                <w:bCs/>
                <w:i/>
                <w:iCs/>
                <w:color w:val="000000"/>
              </w:rPr>
            </w:r>
          </w:p>
        </w:tc>
      </w:tr>
    </w:tbl>
    <w:p>
      <w:pPr>
        <w:pBdr/>
        <w:spacing w:after="120" w:before="120" w:line="276"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76"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276" w:lineRule="auto"/>
        <w:ind/>
        <w:rPr/>
      </w:pPr>
      <w:r>
        <w:rPr>
          <w:b/>
          <w:bCs/>
          <w:lang w:val="vi-VN"/>
        </w:rPr>
        <w:t xml:space="preserve">11. Những điều khoản loại trừ và hạn chế của kết quả thẩm định giá:</w:t>
      </w:r>
      <w:r/>
    </w:p>
    <w:p>
      <w:pPr>
        <w:pBdr/>
        <w:spacing w:after="120" w:before="120" w:line="276"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712" w:type="dxa"/>
        <w:tblBorders/>
        <w:tblLayout w:type="fixed"/>
        <w:tblLook w:val="04A0" w:firstRow="1" w:lastRow="0" w:firstColumn="1" w:lastColumn="0" w:noHBand="0" w:noVBand="1"/>
      </w:tblPr>
      <w:tblGrid>
        <w:gridCol w:w="1134"/>
        <w:gridCol w:w="1134"/>
        <w:gridCol w:w="1134"/>
        <w:gridCol w:w="1134"/>
        <w:gridCol w:w="1134"/>
      </w:tblGrid>
      <w:tr>
        <w:trPr>
          <w:trHeight w:val="1843"/>
        </w:trPr>
        <w:tc>
          <w:tcPr>
            <w:gridSpan w:val="2"/>
            <w:tcBorders/>
            <w:tcW w:w="662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5772"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Style w:val="1035"/>
                <w:rFonts w:ascii="Times New Roman" w:hAnsi="Times New Roman"/>
                <w:color w:val="000000" w:themeColor="text1"/>
                <w:lang w:val="pt-BR"/>
              </w:rPr>
              <w:t xml:space="preserve">275/2026/0715/VFI-CT.63.A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13 tháng 5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5772" w:type="dxa"/>
            <w:textDirection w:val="lrTb"/>
            <w:noWrap w:val="false"/>
          </w:tcPr>
          <w:p>
            <w:pPr>
              <w:pStyle w:val="1036"/>
              <w:pBdr/>
              <w:spacing w:after="60"/>
              <w:ind/>
              <w:rPr>
                <w:rStyle w:val="1035"/>
                <w:rFonts w:ascii="Times New Roman" w:hAnsi="Times New Roman"/>
                <w:color w:val="000000" w:themeColor="text1"/>
                <w:lang w:val="pt-BR"/>
              </w:rPr>
            </w:pPr>
            <w:r>
              <w:rPr>
                <w:rStyle w:val="1035"/>
                <w:rFonts w:ascii="Times New Roman" w:hAnsi="Times New Roman"/>
                <w:color w:val="000000" w:themeColor="text1"/>
                <w:lang w:val="pt-BR"/>
              </w:rPr>
            </w:r>
            <w:r>
              <w:rPr>
                <w:rStyle w:val="1035"/>
                <w:rFonts w:ascii="Times New Roman" w:hAnsi="Times New Roman"/>
                <w:color w:val="000000" w:themeColor="text1"/>
                <w:lang w:val="pt-BR"/>
              </w:rPr>
            </w:r>
            <w:r>
              <w:rPr>
                <w:rStyle w:val="1035"/>
                <w:rFonts w:ascii="Times New Roman" w:hAnsi="Times New Roman"/>
                <w:color w:val="000000" w:themeColor="text1"/>
                <w:lang w:val="pt-BR"/>
              </w:rPr>
            </w:r>
          </w:p>
        </w:tc>
        <w:tc>
          <w:tcPr>
            <w:shd w:val="clear" w:color="auto" w:fill="auto"/>
            <w:tcBorders/>
            <w:tcMar>
              <w:left w:w="108" w:type="dxa"/>
              <w:top w:w="0" w:type="dxa"/>
              <w:right w:w="108" w:type="dxa"/>
              <w:bottom w:w="0" w:type="dxa"/>
            </w:tcMar>
            <w:tcW w:w="4084" w:type="dxa"/>
            <w:textDirection w:val="lrTb"/>
            <w:noWrap w:val="false"/>
          </w:tcPr>
          <w:p>
            <w:pPr>
              <w:pStyle w:val="1036"/>
              <w:pBdr/>
              <w:spacing w:after="60"/>
              <w:ind w:right="-56"/>
              <w:rPr>
                <w:rStyle w:val="1035"/>
                <w:rFonts w:ascii="Times New Roman" w:hAnsi="Times New Roman"/>
                <w:i/>
                <w:color w:val="auto"/>
              </w:rPr>
            </w:pPr>
            <w:r>
              <w:rPr>
                <w:rFonts w:ascii="Times New Roman" w:hAnsi="Times New Roman"/>
                <w:i/>
                <w:color w:val="auto"/>
              </w:rPr>
            </w:r>
            <w:r>
              <w:rPr>
                <w:rStyle w:val="1035"/>
                <w:rFonts w:ascii="Times New Roman" w:hAnsi="Times New Roman"/>
                <w:i/>
                <w:color w:val="auto"/>
              </w:rPr>
            </w:r>
            <w:r>
              <w:rPr>
                <w:rStyle w:val="1035"/>
                <w:rFonts w:ascii="Times New Roman" w:hAnsi="Times New Roman"/>
                <w:i/>
                <w:color w:val="auto"/>
              </w:rPr>
            </w:r>
          </w:p>
        </w:tc>
      </w:tr>
    </w:tbl>
    <w:p>
      <w:pPr>
        <w:pStyle w:val="103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275/2026/0715/VFI-CT.63.A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TRẦN THỊ KIỀU TRANG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026197002320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Tdp Dinh Đống Đa, Vĩnh Yên, Vĩnh Phúc</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717, tờ bản đồ số: 52, có địa chỉ: Thôn Yên Bình, xã</w:t>
            </w:r>
            <w:r>
              <w:rPr>
                <w:bCs/>
                <w:color w:val="000000" w:themeColor="text1"/>
                <w:lang w:val="pt-BR"/>
              </w:rPr>
              <w:t xml:space="preserve"> Sông Lô, tỉnh Phú Thọ theo Giấy chứng nhận quyền sử dụng đất, quyền sở hữu tài sản gắn liền với đất số:AA 05374627, Số vào sổ cấp GCN: CN 9807 do Chi nhánh Văn phòng Đăng ký Đất đai Sông Lô cấp ngày 14/11/2025; Chủ sử dụng đất là Bà Trần Thị Kiều Trang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Yên Bình, xã Sông Lô, tỉnh Phú Thọ.</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21.36425, 105.42994444444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07/5/2026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05374627, Số vào sổ cấp GCN: CN 9807 do Chi nhánh Văn phòng Đăng ký Đất đai Sông Lô cấp ngày 14/11/2025; Chủ sử dụng đất là Bà Trần Thị Kiều Trang</w:t>
      </w:r>
      <w:r>
        <w:rPr>
          <w:i/>
          <w:iCs/>
          <w:lang w:val="pt-BR"/>
        </w:rPr>
        <w:t xml:space="preserve">;</w:t>
      </w:r>
      <w:r>
        <w:rPr>
          <w:i/>
          <w:iCs/>
          <w:lang w:val="pt-BR"/>
        </w:rPr>
      </w:r>
      <w:r>
        <w:rPr>
          <w:i/>
          <w:iCs/>
          <w:lang w:val="pt-BR"/>
        </w:rPr>
      </w:r>
    </w:p>
    <w:p>
      <w:pPr>
        <w:pStyle w:val="1037"/>
        <w:numPr>
          <w:ilvl w:val="0"/>
          <w:numId w:val="2"/>
        </w:numPr>
        <w:pBdr/>
        <w:tabs>
          <w:tab w:val="left" w:leader="none" w:pos="993"/>
        </w:tabs>
        <w:spacing w:after="120" w:before="120" w:line="276" w:lineRule="auto"/>
        <w:ind/>
        <w:jc w:val="both"/>
        <w:rPr>
          <w:bCs/>
          <w:i/>
          <w:color w:val="000000" w:themeColor="text1"/>
        </w:rPr>
      </w:pPr>
      <w:r>
        <w:rPr>
          <w:i/>
          <w:iCs/>
          <w:color w:val="000000" w:themeColor="text1"/>
          <w:highlight w:val="none"/>
          <w:lang w:val="pt-BR" w:bidi="pt-BR"/>
        </w:rPr>
      </w:r>
      <w:r>
        <w:rPr>
          <w:rFonts w:ascii="Times New Roman" w:hAnsi="Times New Roman" w:eastAsia="Times New Roman" w:cs="Times New Roman"/>
          <w:color w:val="000000" w:themeColor="text1"/>
          <w:sz w:val="24"/>
        </w:rPr>
        <w:t xml:space="preserve">Trích lục bản đồ địa chính do </w:t>
      </w:r>
      <w:r>
        <w:rPr>
          <w:bCs/>
          <w:color w:val="000000" w:themeColor="text1"/>
          <w:lang w:val="pt-BR"/>
        </w:rPr>
        <w:t xml:space="preserve">Chi nhánh Văn phòng Đăng ký Đất đai Sông Lô phát hành</w:t>
      </w:r>
      <w:r>
        <w:rPr>
          <w:bCs/>
          <w:color w:val="000000" w:themeColor="text1"/>
          <w:lang w:val="pt-BR"/>
        </w:rPr>
        <w:t xml:space="preserve"> ngày 01/10/2025</w:t>
      </w:r>
      <w:r>
        <w:rPr>
          <w:i/>
          <w:iCs/>
          <w:color w:val="000000" w:themeColor="text1"/>
          <w:highlight w:val="none"/>
          <w:lang w:val="pt-BR" w:bidi="pt-BR"/>
        </w:rPr>
        <w:t xml:space="preserve">.</w:t>
      </w:r>
      <w:r>
        <w:rPr>
          <w:bCs/>
          <w:i/>
          <w:color w:val="000000" w:themeColor="text1"/>
        </w:rPr>
      </w:r>
      <w:r>
        <w:rPr>
          <w:bCs/>
          <w:i/>
          <w:color w:val="000000" w:themeColor="text1"/>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275/2026/0715/VFI-HĐTĐ.63.A ngày 07/5/2026 giữa Bà Trần Thị Kiều Trang với Công ty Cổ phần Thẩm định và Đầu tư Tài chính Hoa Sen;</w:t>
      </w:r>
      <w:r>
        <w:rPr>
          <w:b/>
          <w:lang w:val="pt-BR"/>
        </w:rPr>
      </w:r>
      <w:r>
        <w:rPr>
          <w:b/>
          <w:lang w:val="pt-BR"/>
        </w:rPr>
      </w:r>
    </w:p>
    <w:p>
      <w:pPr>
        <w:pStyle w:val="103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283" w:left="0"/>
        <w:jc w:val="both"/>
        <w:rPr>
          <w:iCs/>
        </w:rPr>
      </w:pPr>
      <w:r>
        <w:rPr>
          <w:shd w:val="clear" w:color="auto" w:fill="ffffff"/>
        </w:rPr>
        <w:t xml:space="preserve">Thị trường bất động sản Phú Thọ thời gian gần đây ghi nhận nhiều biến động đáng chú ý, đặc biệt trong bối cảnh xuất hiện thông tin liên quan đến khả năng sáp nhập tỉnh. Yếu tố này đã tạo ra làn sóng quan tâm mạnh mẽ từ gi</w:t>
      </w:r>
      <w:r>
        <w:rPr>
          <w:shd w:val="clear" w:color="auto" w:fill="ffffff"/>
        </w:rPr>
        <w:t xml:space="preserve">ới đầu tư, góp phần khiến thị trường trở nên sôi động hơn sau giai đoạn trầm lắng kéo dài.</w:t>
      </w:r>
      <w:r>
        <w:rPr>
          <w:iCs/>
        </w:rPr>
      </w:r>
      <w:r>
        <w:rPr>
          <w:iCs/>
        </w:rPr>
      </w:r>
    </w:p>
    <w:p>
      <w:pPr>
        <w:pBdr/>
        <w:tabs>
          <w:tab w:val="left" w:leader="none" w:pos="426"/>
        </w:tabs>
        <w:spacing w:after="120" w:before="120" w:line="276" w:lineRule="auto"/>
        <w:ind w:right="0" w:firstLine="283" w:left="0"/>
        <w:jc w:val="both"/>
        <w:rPr/>
      </w:pPr>
      <w:r>
        <w:rPr>
          <w:shd w:val="clear" w:color="auto" w:fill="ffffff"/>
        </w:rPr>
        <w:t xml:space="preserve">Điểm nổi bật đầu tiên là sự gia tăng nhanh chóng về mức độ quan tâm của nhà đầu tư. Lượng tìm kiếm và giao dịch bất động sản tại Phú Thọ, đặc biệt ở khu vực trung tâ</w:t>
      </w:r>
      <w:r>
        <w:rPr>
          <w:shd w:val="clear" w:color="auto" w:fill="ffffff"/>
        </w:rPr>
        <w:t xml:space="preserve">m như thành phố Việt Trì, tăng rõ rệt trong thời gian ngắn. Nguyên nhân chủ yếu đến từ kỳ vọng về sự thay đổi hành chính, khi nhiều người tin rằng nếu Phú Thọ trở thành trung tâm hành chính mới sau sáp nhập, giá trị bất động sản sẽ tăng đáng kể.</w:t>
      </w:r>
      <w:r>
        <w:rPr>
          <w:iCs/>
        </w:rPr>
      </w:r>
      <w:r/>
    </w:p>
    <w:p>
      <w:pPr>
        <w:pBdr/>
        <w:tabs>
          <w:tab w:val="left" w:leader="none" w:pos="426"/>
        </w:tabs>
        <w:spacing w:after="120" w:before="120" w:line="276" w:lineRule="auto"/>
        <w:ind w:right="0" w:firstLine="283" w:left="0"/>
        <w:jc w:val="both"/>
        <w:rPr/>
      </w:pPr>
      <w:r>
        <w:rPr>
          <w:shd w:val="clear" w:color="auto" w:fill="ffffff"/>
        </w:rPr>
        <w:t xml:space="preserve">Cùng với s</w:t>
      </w:r>
      <w:r>
        <w:rPr>
          <w:shd w:val="clear" w:color="auto" w:fill="ffffff"/>
        </w:rPr>
        <w:t xml:space="preserve">ự gia tăng nhu cầu, giá đất tại nhiều khu vực cũng có xu hướng đi lên. Một số nơi ghi nhận mức tăng từ 10–15% so với trước đó, đặc biệt tại các khu đô thị trung tâm. Đất nền trở thành phân khúc thu hút dòng tiền mạnh nhất do tính nhạy cảm với thông tin quy</w:t>
      </w:r>
      <w:r>
        <w:rPr>
          <w:shd w:val="clear" w:color="auto" w:fill="ffffff"/>
        </w:rPr>
        <w:t xml:space="preserve"> hoạch. Nhiều khu vực như Thanh Miếu, Gia Cẩm, Thọ Sơn hay Bến Gót ghi nhận tình trạng giá tăng nhanh và hoạt động mua bán nhộn nhịp hơn so với trước.</w:t>
      </w:r>
      <w:r>
        <w:rPr>
          <w:iCs/>
        </w:rPr>
      </w:r>
      <w:r/>
    </w:p>
    <w:p>
      <w:pPr>
        <w:pBdr/>
        <w:tabs>
          <w:tab w:val="left" w:leader="none" w:pos="426"/>
        </w:tabs>
        <w:spacing w:after="120" w:before="120" w:line="276" w:lineRule="auto"/>
        <w:ind w:right="0" w:firstLine="283" w:left="0"/>
        <w:jc w:val="both"/>
        <w:rPr/>
      </w:pPr>
      <w:r>
        <w:rPr>
          <w:shd w:val="clear" w:color="auto" w:fill="ffffff"/>
        </w:rPr>
        <w:t xml:space="preserve">Tuy nhiên, sự sôi động này chưa phản ánh đầy đủ tính bền vững của thị trường. Một thực tế đáng chú ý là d</w:t>
      </w:r>
      <w:r>
        <w:rPr>
          <w:shd w:val="clear" w:color="auto" w:fill="ffffff"/>
        </w:rPr>
        <w:t xml:space="preserve">ù giá có xu hướng tăng, nhưng lượng giao dịch thực tế thông qua các sàn chính thức lại không tăng tương ứng, thậm chí vẫn ở mức hạn chế. Điều này cho thấy phần lớn hoạt động mua bán có thể đến từ đầu cơ hoặc giao dịch nhỏ lẻ, thay vì nhu cầu ở thực hoặc đầ</w:t>
      </w:r>
      <w:r>
        <w:rPr>
          <w:shd w:val="clear" w:color="auto" w:fill="ffffff"/>
        </w:rPr>
        <w:t xml:space="preserve">u tư dài hạn.</w:t>
        <w:br/>
        <w:t xml:space="preserve">Bên cạnh đó, hiện tượng “sốt đất cục bộ” đã xuất hiện tại một số khu vực. Một số môi giới và nhà đầu tư lợi dụng thông tin sáp nhập để đẩy giá lên cao, tạo tâm lý sợ bỏ lỡ cơ hội trên thị trường. Đây là yếu tố tiềm ẩn nhiều rủi ro, bởi các đợ</w:t>
      </w:r>
      <w:r>
        <w:rPr>
          <w:shd w:val="clear" w:color="auto" w:fill="ffffff"/>
        </w:rPr>
        <w:t xml:space="preserve">t tăng giá dựa trên tin đồn hoặc kỳ vọng ngắn hạn thường không bền vững và có thể dẫn đến tình trạng bong bóng bất động sản.</w:t>
      </w:r>
      <w:r/>
    </w:p>
    <w:p>
      <w:pPr>
        <w:pBdr/>
        <w:tabs>
          <w:tab w:val="left" w:leader="none" w:pos="426"/>
        </w:tabs>
        <w:spacing w:after="120" w:before="120" w:line="276" w:lineRule="auto"/>
        <w:ind w:right="0" w:firstLine="283" w:left="0"/>
        <w:jc w:val="both"/>
        <w:rPr/>
      </w:pPr>
      <w:r>
        <w:rPr>
          <w:shd w:val="clear" w:color="auto" w:fill="ffffff"/>
        </w:rPr>
      </w:r>
      <w:r>
        <w:rPr>
          <w:shd w:val="clear" w:color="auto" w:fill="ffffff"/>
        </w:rPr>
        <w:t xml:space="preserve">Các chuyên gia nhận định rằng giá trị bất động sản chỉ có thể tăng trưởng ổn định khi đi kèm với các yếu tố nền tảng như hạ tầng, k</w:t>
      </w:r>
      <w:r>
        <w:rPr>
          <w:shd w:val="clear" w:color="auto" w:fill="ffffff"/>
        </w:rPr>
        <w:t xml:space="preserve">inh tế và quy hoạch. Nếu việc sáp nhập diễn ra, đây có thể là động lực thúc đẩy phát triển khu vực thông qua đầu tư hạ tầng, tăng cường kết nối vùng và mở rộng các khu công nghiệp. Tuy nhiên, những tác động tích cực này cần thời gian để hiện thực hóa và kh</w:t>
      </w:r>
      <w:r>
        <w:rPr>
          <w:shd w:val="clear" w:color="auto" w:fill="ffffff"/>
        </w:rPr>
        <w:t xml:space="preserve">ông thể phản ánh ngay lập tức vào giá đất trong ngắn hạn.</w:t>
      </w:r>
      <w:r/>
    </w:p>
    <w:p>
      <w:pPr>
        <w:pBdr/>
        <w:tabs>
          <w:tab w:val="left" w:leader="none" w:pos="426"/>
        </w:tabs>
        <w:spacing w:after="120" w:before="120" w:line="276" w:lineRule="auto"/>
        <w:ind w:right="0" w:firstLine="283" w:left="0"/>
        <w:jc w:val="both"/>
        <w:rPr/>
      </w:pPr>
      <w:r>
        <w:rPr>
          <w:shd w:val="clear" w:color="auto" w:fill="ffffff"/>
        </w:rPr>
        <w:t xml:space="preserve">Tổng thể, thị trường bất động sản Phú Thọ đang trong giai đoạn chuyển đổi từ trầm lắng sang sôi động nhờ tác động của thông tin sáp nhập. Mặc dù mở ra nhiều cơ hội trong dài hạn, đặc biệt nếu có sự </w:t>
      </w:r>
      <w:r>
        <w:rPr>
          <w:shd w:val="clear" w:color="auto" w:fill="ffffff"/>
        </w:rPr>
        <w:t xml:space="preserve">cải thiện về hạ tầng và quy hoạch, nhưng thị trường hiện tại vẫn tiềm ẩn không ít rủi ro do yếu tố đầu cơ và tâm lý đám đông.</w:t>
      </w:r>
      <w:r>
        <w:rPr>
          <w:i/>
          <w:iCs/>
          <w:lang w:val="pt-BR"/>
        </w:rPr>
      </w:r>
      <w:r/>
    </w:p>
    <w:p>
      <w:pPr>
        <w:pBdr/>
        <w:tabs>
          <w:tab w:val="left" w:leader="none" w:pos="426"/>
        </w:tabs>
        <w:spacing w:after="120" w:before="120" w:line="276" w:lineRule="auto"/>
        <w:ind/>
        <w:jc w:val="center"/>
        <w:rPr>
          <w:bCs/>
          <w:i/>
          <w:lang w:val="pt-BR"/>
        </w:rPr>
      </w:pPr>
      <w:r>
        <w:rPr>
          <w:shd w:val="clear" w:color="auto" w:fill="ffffff"/>
        </w:rPr>
        <w:t xml:space="preserve">(</w:t>
      </w:r>
      <w:r>
        <w:rPr>
          <w:i/>
          <w:iCs/>
          <w:shd w:val="clear" w:color="auto" w:fill="ffffff"/>
        </w:rPr>
        <w:t xml:space="preserve">Nguồn: https://onehousing.vn/blog/thi-truong-bat-dong-san-phu-tho-vinh-phuc-hoa-binh-day-song-truoc-thong-tin-sap-nhap-tinh-n17t</w:t>
      </w:r>
      <w:r>
        <w:rPr>
          <w:shd w:val="clear" w:color="auto" w:fill="ffffff"/>
        </w:rPr>
        <w:t xml:space="preserve">)</w:t>
      </w:r>
      <w:r>
        <w:rPr>
          <w:bCs/>
          <w:i/>
          <w:lang w:val="pt-BR"/>
        </w:rPr>
      </w:r>
      <w:r>
        <w:rPr>
          <w:bCs/>
          <w:i/>
          <w:lang w:val="pt-BR"/>
        </w:rPr>
      </w:r>
    </w:p>
    <w:p>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717, tờ bản đồ số: 52, có địa chỉ: Thôn Yên Bình, xã</w:t>
            </w:r>
            <w:r>
              <w:rPr>
                <w:b/>
                <w:bCs/>
                <w:color w:val="000000"/>
              </w:rPr>
              <w:t xml:space="preserve"> Sông Lô, tỉnh Phú Thọ theo Giấy chứng nhận quyền sử dụng đất, quyền sở hữu tài sản gắn liền với đất số: AA 05374627, Số vào sổ cấp GCN: CN 9807 do Chi nhánh Văn phòng Đăng ký Đất đai Sông Lô cấp ngày 14/11/2025; Chủ sử dụng đất là Bà Trần Thị Kiều Trang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717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Yên Bình, xã Sông Lô, tỉnh Phú Thọ</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331,7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ONT: 100m</w:t>
            </w:r>
            <w:r>
              <w:rPr>
                <w:color w:val="000000" w:themeColor="text1"/>
                <w:vertAlign w:val="superscript"/>
              </w:rPr>
              <w:t xml:space="preserve">2</w:t>
            </w:r>
            <w:r>
              <w:rPr>
                <w:color w:val="000000" w:themeColor="text1"/>
              </w:rPr>
              <w:t xml:space="preserve">; Đất CLN: 231,7m</w:t>
            </w:r>
            <w:r>
              <w:rPr>
                <w:color w:val="000000" w:themeColor="text1"/>
                <w:vertAlign w:val="superscript"/>
              </w:rPr>
              <w:t xml:space="preserve">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Đất ONT: Lâu dài; Đất CLN: 15/10/2043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259" w:type="dxa"/>
            <w:vAlign w:val="center"/>
            <w:textDirection w:val="lrTb"/>
            <w:noWrap w:val="false"/>
          </w:tcPr>
          <w:p>
            <w:pPr>
              <w:pBdr/>
              <w:spacing/>
              <w:ind/>
              <w:jc w:val="both"/>
              <w:rPr>
                <w:bCs/>
                <w:i/>
                <w:color w:val="000000"/>
              </w:rPr>
            </w:pPr>
            <w:r>
              <w:rPr>
                <w:i/>
                <w:iCs/>
                <w:color w:val="000000"/>
              </w:rPr>
              <w:t xml:space="preserve">Thửa đất thuộc thôn Yên Bình, xã Đồng Thịnh (cũ). Kèm theo Văn bản xác nhận tài sản riêng vợ và chồng ngày 16/10/2025 của ông Lê Anh Phúc là chồng bà Trần Thị Kiều Trang.</w:t>
            </w:r>
            <w:r>
              <w:rPr>
                <w:bCs/>
                <w:i/>
                <w:color w:val="000000"/>
              </w:rPr>
            </w:r>
            <w:r>
              <w:rPr>
                <w:bCs/>
                <w:i/>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diểm thẩm định giá, Tổ thẩm định không thu được bất kỳ thông tin quy hoạch nào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nhánh vào KCN Sông Lô 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10,0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DT306 khoảng 1,5km.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jc w:val="both"/>
              <w:rPr>
                <w:bCs/>
                <w:i/>
                <w:color w:val="000000" w:themeColor="text1"/>
                <w:highlight w:val="white"/>
              </w:rPr>
            </w:pPr>
            <w:r/>
            <w:bookmarkStart w:id="3" w:name="OLE_LINK1"/>
            <w:r>
              <w:rPr>
                <w:color w:val="000000" w:themeColor="text1"/>
              </w:rPr>
            </w:r>
            <w:bookmarkEnd w:id="3"/>
            <w:r>
              <w:rPr>
                <w:color w:val="000000" w:themeColor="text1"/>
                <w:highlight w:val="white"/>
              </w:rPr>
              <w:t xml:space="preserve">+ </w:t>
            </w:r>
            <w:r>
              <w:rPr>
                <w:color w:val="000000" w:themeColor="text1"/>
                <w:highlight w:val="white"/>
              </w:rPr>
              <w:t xml:space="preserve">Hướng Bắc: tiếp giáp đường giao thông </w:t>
            </w:r>
            <w:r>
              <w:rPr>
                <w:i/>
                <w:iCs/>
                <w:color w:val="000000" w:themeColor="text1"/>
                <w:highlight w:val="white"/>
              </w:rPr>
              <w:t xml:space="preserve">(theo GCN là hướng Đông Nam);</w:t>
            </w:r>
            <w:r>
              <w:rPr>
                <w:bCs/>
                <w:i/>
                <w:color w:val="000000" w:themeColor="text1"/>
                <w:highlight w:val="white"/>
              </w:rPr>
            </w:r>
            <w:r>
              <w:rPr>
                <w:bCs/>
                <w:i/>
                <w:color w:val="000000" w:themeColor="text1"/>
                <w:highlight w:val="white"/>
              </w:rPr>
            </w:r>
          </w:p>
          <w:p>
            <w:pPr>
              <w:pBdr/>
              <w:spacing/>
              <w:ind/>
              <w:jc w:val="both"/>
              <w:rPr>
                <w:color w:val="000000" w:themeColor="text1"/>
              </w:rPr>
            </w:pPr>
            <w:r>
              <w:rPr>
                <w:highlight w:val="yellow"/>
              </w:rPr>
            </w:r>
            <w:r>
              <w:t xml:space="preserve">+ Các hướng còn lại: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21.36425</w:t>
            </w:r>
            <w:r>
              <w:rPr>
                <w:color w:val="000000"/>
              </w:rPr>
              <w:t xml:space="preserve">, </w:t>
            </w:r>
            <w:r>
              <w:rPr>
                <w:color w:val="000000"/>
              </w:rPr>
              <w:t xml:space="preserve">105.42994444444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5234205" cy="222268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700200" name=""/>
                              <pic:cNvPicPr>
                                <a:picLocks noChangeAspect="1"/>
                              </pic:cNvPicPr>
                              <pic:nvPr/>
                            </pic:nvPicPr>
                            <pic:blipFill rotWithShape="1">
                              <a:blip r:embed="rId17"/>
                              <a:stretch/>
                            </pic:blipFill>
                            <pic:spPr bwMode="auto">
                              <a:xfrm flipH="0" flipV="0">
                                <a:off x="0" y="0"/>
                                <a:ext cx="5234203" cy="22226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2.14pt;height:175.01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331,7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13,33</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24,8</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3.</w:t>
            </w:r>
            <w:r>
              <w:rPr>
                <w:color w:val="000000" w:themeColor="text1"/>
              </w:rPr>
            </w:r>
            <w:r>
              <w:rPr>
                <w:color w:val="000000" w:themeColor="text1"/>
              </w:rPr>
            </w:r>
          </w:p>
        </w:tc>
        <w:tc>
          <w:tcPr>
            <w:gridSpan w:val="4"/>
            <w:tcBorders/>
            <w:tcW w:w="878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gắn liền với đất: Đất trống.</w:t>
            </w:r>
            <w:r>
              <w:rPr>
                <w:color w:val="000000" w:themeColor="text1"/>
              </w:rPr>
            </w:r>
            <w:r>
              <w:rPr>
                <w:color w:val="000000" w:themeColor="text1"/>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7"/>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r>
      <w:r>
        <w:rPr>
          <w:rFonts w:ascii="Times New Roman" w:hAnsi="Times New Roman" w:eastAsia="Times New Roman" w:cs="Times New Roman"/>
          <w:color w:val="000000" w:themeColor="text1"/>
          <w:sz w:val="24"/>
        </w:rPr>
        <w:t xml:space="preserve">Tại Mục 4 GCN và Trích lục bản đồ địa chính, </w:t>
      </w:r>
      <w:r>
        <w:rPr>
          <w:rFonts w:ascii="Times New Roman" w:hAnsi="Times New Roman" w:eastAsia="Times New Roman" w:cs="Times New Roman"/>
          <w:color w:val="000000" w:themeColor="text1"/>
          <w:sz w:val="24"/>
        </w:rPr>
        <w:t xml:space="preserve">hướng Đông Nam tiếp giáp lối đi (</w:t>
      </w:r>
      <w:r>
        <w:rPr>
          <w:rFonts w:ascii="Times New Roman" w:hAnsi="Times New Roman" w:eastAsia="Times New Roman" w:cs="Times New Roman"/>
          <w:i/>
          <w:iCs/>
          <w:color w:val="000000" w:themeColor="text1"/>
          <w:sz w:val="24"/>
        </w:rPr>
        <w:t xml:space="preserve">chưa thể hiện độ rộng và kết cấu lối đi)</w:t>
      </w:r>
      <w:r>
        <w:rPr>
          <w:rFonts w:ascii="Times New Roman" w:hAnsi="Times New Roman" w:eastAsia="Times New Roman" w:cs="Times New Roman"/>
          <w:color w:val="000000" w:themeColor="text1"/>
          <w:sz w:val="24"/>
        </w:rPr>
        <w:t xml:space="preserve">. Tuy nhiên, qua khảo sát thực tế dưới sự hướng dẫn và xác </w:t>
      </w:r>
      <w:r>
        <w:rPr>
          <w:rFonts w:ascii="Times New Roman" w:hAnsi="Times New Roman" w:eastAsia="Times New Roman" w:cs="Times New Roman"/>
          <w:color w:val="000000" w:themeColor="text1"/>
          <w:sz w:val="24"/>
        </w:rPr>
        <w:t xml:space="preserve">nhận của Khách hàng, hướng Bắc tiếp giáp đường nhựa rộng khoảng 10m. Do đó, k</w:t>
      </w:r>
      <w:r>
        <w:rPr>
          <w:rFonts w:ascii="Times New Roman" w:hAnsi="Times New Roman" w:eastAsia="Times New Roman" w:cs="Times New Roman"/>
          <w:color w:val="000000" w:themeColor="text1"/>
          <w:sz w:val="24"/>
        </w:rPr>
        <w:t xml:space="preserve">ết quả thẩm địn</w:t>
      </w:r>
      <w:r>
        <w:rPr>
          <w:rFonts w:ascii="Times New Roman" w:hAnsi="Times New Roman" w:eastAsia="Times New Roman" w:cs="Times New Roman"/>
          <w:color w:val="000000" w:themeColor="text1"/>
          <w:sz w:val="24"/>
        </w:rPr>
        <w:t xml:space="preserve">h được Tổ thẩm định đưa ra trên cơ sở giả định hướng thửa đất/độ rộng lối đi thực tế dưới sự hướng dẫn của Khách hàng hoàn toàn trùng khớp với hồ sơ pháp lý được cập nhật trong tương lai. Kết quả thẩm định giá chỉ có giá trị giới hạn trong trường hợp giả đ</w:t>
      </w:r>
      <w:r>
        <w:rPr>
          <w:rFonts w:ascii="Times New Roman" w:hAnsi="Times New Roman" w:eastAsia="Times New Roman" w:cs="Times New Roman"/>
          <w:color w:val="000000" w:themeColor="text1"/>
          <w:sz w:val="24"/>
        </w:rPr>
        <w:t xml:space="preserve">ịnh nêu trên là đúng.</w:t>
      </w:r>
      <w:r>
        <w:rPr>
          <w:color w:val="000000" w:themeColor="text1"/>
          <w:spacing w:val="-2"/>
        </w:rPr>
      </w:r>
      <w:r>
        <w:rPr>
          <w:color w:val="000000" w:themeColor="text1"/>
          <w:spacing w:val="-2"/>
        </w:rPr>
      </w:r>
    </w:p>
    <w:p>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37"/>
        <w:numPr>
          <w:ilvl w:val="0"/>
          <w:numId w:val="3"/>
        </w:numPr>
        <w:pBdr/>
        <w:tabs>
          <w:tab w:val="left" w:leader="none" w:pos="993"/>
        </w:tabs>
        <w:spacing w:after="120" w:before="120" w:line="264" w:lineRule="auto"/>
        <w:ind/>
        <w:jc w:val="both"/>
        <w:rPr>
          <w:spacing w:val="-2"/>
          <w:lang w:val="pt-BR"/>
        </w:rPr>
      </w:pPr>
      <w:r>
        <w:rPr>
          <w:highlight w:val="none"/>
          <w:lang w:val="pt-BR" w:bidi="pt-BR"/>
        </w:rPr>
        <w:t xml:space="preserve">Tại thời điểm khảo sát, dưới sự hướng dẫn của chủ tài sản, Tổ thẩm định xác nhận hướng của tài sản là hướng Bắc, </w:t>
      </w:r>
      <w:r>
        <w:rPr>
          <w:highlight w:val="none"/>
          <w:lang w:val="pt-BR" w:bidi="pt-BR"/>
        </w:rPr>
        <w:t xml:space="preserve">khác với hướng của tài sản là Đông Nam theo GCN QSDĐ. Thực trạng đã được chủ tài sản xác nhận.</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 hỗn hợp</w:t>
      </w:r>
      <w:r>
        <w:rPr>
          <w:b/>
          <w:lang w:val="pt-BR"/>
        </w:rPr>
        <w:t xml:space="preserve">:</w:t>
      </w:r>
      <w:r>
        <w:rPr>
          <w:b/>
          <w:lang w:val="pt-BR"/>
        </w:rPr>
      </w:r>
      <w:r>
        <w:rPr>
          <w:b/>
          <w:lang w:val="pt-BR"/>
        </w:rPr>
      </w:r>
    </w:p>
    <w:p>
      <w:pPr>
        <w:pStyle w:val="103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8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rPr>
            </w:pPr>
            <w:r>
              <w:rPr>
                <w:color w:val="000000"/>
              </w:rPr>
              <w:t xml:space="preserve">Thôn Yên Bình xã Sông Lô tỉnh Phú Thọ</w:t>
            </w:r>
            <w:r>
              <w:rPr>
                <w:color w:val="000000"/>
              </w:rPr>
            </w:r>
            <w:r>
              <w:rPr>
                <w:color w:val="000000"/>
              </w:rPr>
            </w:r>
          </w:p>
          <w:p>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Sông Lô,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Sông Lô, tỉnh Phú Thọ</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Sông Lô, tỉnh Phú Thọ</w:t>
            </w:r>
            <w:r>
              <w:rPr>
                <w:sz w:val="22"/>
                <w:szCs w:val="22"/>
              </w:rPr>
            </w:r>
            <w:r/>
          </w:p>
        </w:tc>
      </w:tr>
      <w:tr>
        <w:trPr>
          <w:trHeight w:val="168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https://www.facebook.com/photo/?fbid=1956693634935042&amp;set=pcb.4028060960826988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0963.537889</w:t>
            </w:r>
            <w:r>
              <w:rPr>
                <w:sz w:val="22"/>
                <w:szCs w:val="22"/>
              </w:rPr>
              <w:t xml:space="preserve"> </w:t>
            </w:r>
            <w:r>
              <w:rPr>
                <w:sz w:val="22"/>
                <w:szCs w:val="22"/>
              </w:rPr>
              <w:br/>
              <w:t xml:space="preserve">(C.</w:t>
            </w:r>
            <w:r>
              <w:rPr>
                <w:sz w:val="22"/>
                <w:szCs w:val="22"/>
              </w:rPr>
              <w:t xml:space="preserve">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0982.978925</w:t>
            </w:r>
            <w:r>
              <w:rPr>
                <w:sz w:val="22"/>
                <w:szCs w:val="22"/>
              </w:rPr>
              <w:br/>
            </w:r>
            <w:r>
              <w:rPr>
                <w:sz w:val="22"/>
                <w:szCs w:val="22"/>
              </w:rPr>
              <w:t xml:space="preserve">(</w:t>
            </w:r>
            <w:r>
              <w:rPr>
                <w:sz w:val="22"/>
                <w:szCs w:val="22"/>
              </w:rPr>
              <w:t xml:space="preserve">Thái Hà</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0379.718336</w:t>
            </w:r>
            <w:r>
              <w:rPr>
                <w:sz w:val="22"/>
                <w:szCs w:val="22"/>
              </w:rPr>
              <w:br/>
            </w:r>
            <w:r>
              <w:rPr>
                <w:sz w:val="22"/>
                <w:szCs w:val="22"/>
              </w:rPr>
              <w:t xml:space="preserve">(</w:t>
            </w:r>
            <w:r>
              <w:rPr>
                <w:sz w:val="22"/>
                <w:szCs w:val="22"/>
              </w:rPr>
              <w:t xml:space="preserve">Nguyễn Long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rPr>
            </w:pPr>
            <w:r>
              <w:rPr>
                <w:color w:val="000000" w:themeColor="text1"/>
              </w:rPr>
              <w:t xml:space="preserve">Đất ONT: 100m</w:t>
            </w:r>
            <w:r>
              <w:rPr>
                <w:color w:val="000000" w:themeColor="text1"/>
                <w:vertAlign w:val="superscript"/>
              </w:rPr>
              <w:t xml:space="preserve">2</w:t>
            </w:r>
            <w:r>
              <w:rPr>
                <w:color w:val="000000" w:themeColor="text1"/>
              </w:rPr>
              <w:t xml:space="preserve">; Đất CLN: 231,7m</w:t>
            </w:r>
            <w:r>
              <w:rPr>
                <w:color w:val="000000" w:themeColor="text1"/>
                <w:vertAlign w:val="superscript"/>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ONT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rPr>
            </w:pPr>
            <w:r>
              <w:rPr>
                <w:color w:val="000000" w:themeColor="text1"/>
              </w:rPr>
              <w:t xml:space="preserve">Đất ONT: 100m</w:t>
            </w:r>
            <w:r>
              <w:rPr>
                <w:color w:val="000000" w:themeColor="text1"/>
                <w:vertAlign w:val="superscript"/>
              </w:rPr>
              <w:t xml:space="preserve">2</w:t>
            </w:r>
            <w:r>
              <w:rPr>
                <w:color w:val="000000" w:themeColor="text1"/>
              </w:rPr>
              <w:t xml:space="preserve">; Đất CLN: 118m</w:t>
            </w:r>
            <w:r>
              <w:rPr>
                <w:color w:val="000000" w:themeColor="text1"/>
                <w:vertAlign w:val="superscript"/>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rPr>
            </w:pPr>
            <w:r>
              <w:rPr>
                <w:color w:val="000000" w:themeColor="text1"/>
              </w:rPr>
              <w:t xml:space="preserve">Đất ONT: 50m</w:t>
            </w:r>
            <w:r>
              <w:rPr>
                <w:color w:val="000000" w:themeColor="text1"/>
                <w:vertAlign w:val="superscript"/>
              </w:rPr>
              <w:t xml:space="preserve">2</w:t>
            </w:r>
            <w:r>
              <w:rPr>
                <w:color w:val="000000" w:themeColor="text1"/>
              </w:rPr>
              <w:t xml:space="preserve">; Đất CLN: 58m</w:t>
            </w:r>
            <w:r>
              <w:rPr>
                <w:color w:val="000000" w:themeColor="text1"/>
                <w:vertAlign w:val="superscript"/>
              </w:rPr>
              <w:t xml:space="preserve">2</w:t>
            </w:r>
            <w:r>
              <w:rPr>
                <w:color w:val="000000"/>
              </w:rPr>
            </w:r>
            <w:r>
              <w:rPr>
                <w:color w:val="00000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4"/>
                <w:szCs w:val="24"/>
              </w:rPr>
            </w:pPr>
            <w:r>
              <w:rPr>
                <w:color w:val="000000" w:themeColor="text1"/>
                <w:sz w:val="24"/>
                <w:szCs w:val="24"/>
              </w:rPr>
              <w:t xml:space="preserve">Đất ONT: Lâu dài; Đất CLN: 15/10/2043</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4"/>
                <w:szCs w:val="24"/>
              </w:rPr>
            </w:pPr>
            <w:r>
              <w:rPr>
                <w:color w:val="000000" w:themeColor="text1"/>
                <w:sz w:val="24"/>
                <w:szCs w:val="24"/>
              </w:rPr>
              <w:t xml:space="preserve">Lâu dài</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4"/>
                <w:szCs w:val="24"/>
              </w:rPr>
            </w:pPr>
            <w:r>
              <w:rPr>
                <w:color w:val="000000" w:themeColor="text1"/>
                <w:sz w:val="24"/>
                <w:szCs w:val="24"/>
              </w:rPr>
              <w:t xml:space="preserve">Đất ONT: Lâu dài; Đất CLN: </w:t>
            </w:r>
            <w:r>
              <w:rPr>
                <w:color w:val="000000" w:themeColor="text1"/>
                <w:sz w:val="24"/>
                <w:szCs w:val="24"/>
              </w:rPr>
              <w:t xml:space="preserve">Có thời hạn</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4"/>
                <w:szCs w:val="24"/>
              </w:rPr>
            </w:pPr>
            <w:r>
              <w:rPr>
                <w:color w:val="000000" w:themeColor="text1"/>
                <w:sz w:val="24"/>
                <w:szCs w:val="24"/>
              </w:rPr>
              <w:t xml:space="preserve">Đất ONT: Lâu dài; Đất CLN: </w:t>
            </w:r>
            <w:r>
              <w:rPr>
                <w:color w:val="000000" w:themeColor="text1"/>
                <w:sz w:val="24"/>
                <w:szCs w:val="24"/>
              </w:rPr>
              <w:t xml:space="preserve">Có thời hạn</w:t>
            </w:r>
            <w:r>
              <w:rPr>
                <w:color w:val="000000"/>
                <w:sz w:val="24"/>
                <w:szCs w:val="24"/>
              </w:rPr>
            </w:r>
            <w:r>
              <w:rPr>
                <w:color w:val="000000"/>
                <w:sz w:val="24"/>
                <w:szCs w:val="24"/>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rPr>
            </w:pPr>
            <w:r>
              <w:rPr>
                <w:color w:val="000000"/>
              </w:rPr>
              <w:t xml:space="preserve">Thôn Yên Bình xã Sông Lô tỉnh Phú Thọ, VT2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Sông Lô, tỉnh Phú Thọ, VT2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Sông Lô, tỉnh Phú Thọ, VT4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Sông Lô, tỉnh Phú Thọ, VT3</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21,18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Tỷ lệ đất ở/tổng diện tích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30%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46%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46%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1.332.000.000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2.070.000.000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1.440.000.000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1.332.000.000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14.785.714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6.605.505</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12.333.333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Tỷ lệ đất ở/tổng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2.070.000.000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1.332.000.000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14.785.714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6.605.505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12.333.333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14.785.714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6.605.505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12.333.333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rPr>
            </w:pPr>
            <w:r>
              <w:rPr>
                <w:color w:val="000000" w:themeColor="text1"/>
              </w:rPr>
              <w:t xml:space="preserve">Đất ONT: 100m</w:t>
            </w:r>
            <w:r>
              <w:rPr>
                <w:color w:val="000000" w:themeColor="text1"/>
                <w:vertAlign w:val="superscript"/>
              </w:rPr>
              <w:t xml:space="preserve">2</w:t>
            </w:r>
            <w:r>
              <w:rPr>
                <w:color w:val="000000" w:themeColor="text1"/>
              </w:rPr>
              <w:t xml:space="preserve">; Đất CLN: 231,7m</w:t>
            </w:r>
            <w:r>
              <w:rPr>
                <w:color w:val="000000" w:themeColor="text1"/>
                <w:vertAlign w:val="superscript"/>
              </w:rPr>
              <w:t xml:space="preserve">2</w:t>
            </w:r>
            <w:r>
              <w:rPr>
                <w:color w:val="000000"/>
              </w:rPr>
            </w:r>
            <w:r>
              <w:rPr>
                <w:color w:val="000000"/>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ONT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rPr>
            </w:pPr>
            <w:r>
              <w:rPr>
                <w:color w:val="000000" w:themeColor="text1"/>
              </w:rPr>
              <w:t xml:space="preserve">Đất ONT: 100m</w:t>
            </w:r>
            <w:r>
              <w:rPr>
                <w:color w:val="000000" w:themeColor="text1"/>
                <w:vertAlign w:val="superscript"/>
              </w:rPr>
              <w:t xml:space="preserve">2</w:t>
            </w:r>
            <w:r>
              <w:rPr>
                <w:color w:val="000000" w:themeColor="text1"/>
              </w:rPr>
              <w:t xml:space="preserve">; Đất CLN: 118m</w:t>
            </w:r>
            <w:r>
              <w:rPr>
                <w:color w:val="000000" w:themeColor="text1"/>
                <w:vertAlign w:val="superscript"/>
              </w:rPr>
              <w:t xml:space="preserve">2</w:t>
            </w:r>
            <w:r>
              <w:rPr>
                <w:color w:val="000000"/>
              </w:rPr>
            </w:r>
            <w:r>
              <w:rPr>
                <w:color w:val="000000"/>
              </w:rPr>
            </w:r>
          </w:p>
        </w:tc>
        <w:tc>
          <w:tcPr>
            <w:shd w:val="clear" w:color="000000" w:fill="ffffff"/>
            <w:tcBorders/>
            <w:tcW w:w="1522" w:type="dxa"/>
            <w:vAlign w:val="center"/>
            <w:textDirection w:val="lrTb"/>
            <w:noWrap w:val="false"/>
          </w:tcPr>
          <w:p>
            <w:pPr>
              <w:pBdr/>
              <w:spacing/>
              <w:ind/>
              <w:jc w:val="center"/>
              <w:rPr>
                <w:color w:val="000000"/>
              </w:rPr>
            </w:pPr>
            <w:r>
              <w:rPr>
                <w:color w:val="000000" w:themeColor="text1"/>
              </w:rPr>
              <w:t xml:space="preserve">Đất ONT: 50m</w:t>
            </w:r>
            <w:r>
              <w:rPr>
                <w:color w:val="000000" w:themeColor="text1"/>
                <w:vertAlign w:val="superscript"/>
              </w:rPr>
              <w:t xml:space="preserve">2</w:t>
            </w:r>
            <w:r>
              <w:rPr>
                <w:color w:val="000000" w:themeColor="text1"/>
              </w:rPr>
              <w:t xml:space="preserve">; Đất CLN: 58m</w:t>
            </w:r>
            <w:r>
              <w:rPr>
                <w:color w:val="000000" w:themeColor="text1"/>
                <w:vertAlign w:val="superscript"/>
              </w:rPr>
              <w:t xml:space="preserve">2</w:t>
            </w:r>
            <w:r>
              <w:rPr>
                <w:color w:val="000000"/>
              </w:rPr>
            </w:r>
            <w:r>
              <w:rPr>
                <w:color w:val="00000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14.785.714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6.605.505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12.333.333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rPr>
            </w:pPr>
            <w:r>
              <w:rPr>
                <w:color w:val="000000"/>
              </w:rPr>
              <w:t xml:space="preserve">Thôn Yên Bình xã Sông Lô tỉnh Phú Thọ, VT2</w:t>
            </w:r>
            <w:r>
              <w:rPr>
                <w:color w:val="000000"/>
              </w:rPr>
            </w:r>
            <w:r>
              <w:rPr>
                <w:color w:val="000000"/>
              </w:rPr>
            </w:r>
          </w:p>
          <w:p>
            <w:pPr>
              <w:pBdr/>
              <w:spacing/>
              <w:ind/>
              <w:jc w:val="center"/>
              <w:rPr>
                <w:sz w:val="22"/>
                <w:szCs w:val="22"/>
              </w:rPr>
            </w:pPr>
            <w:r>
              <w:rPr>
                <w:color w:val="000000" w:themeColor="text1"/>
                <w:sz w:val="22"/>
                <w:szCs w:val="22"/>
              </w:rPr>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Xã Sông Lô, tỉnh Phú Thọ, VT2</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Xã Sông Lô, tỉnh Phú Thọ, VT4</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Xã Sông Lô, tỉnh Phú Thọ, VT3</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660.551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14.785.714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7.266.056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12.333.333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14.785.714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7.266.056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12.333.333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739.286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660.551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1.233.333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7.926.607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13.566.666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108,0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-2.957.143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-330.275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-3.083.333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12.567.857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7.596.332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10.483.333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 (m)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739.286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198.165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13.307.143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7.794.497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11.223.333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13.307.143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7.794.497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11.223.333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-739.286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12.567.857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7.794.497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11.223.333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990.826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12.567.857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8.785.323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11.223.333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Tỷ lệ đất ở/tổng diện tích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-2.957.143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-528.440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-986.667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9.610.714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8.256.883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10.236.666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9.610.714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8.256.883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10.236.666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9.368.088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-11,86%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9,27%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8.132.144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3.368.808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6.043.333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5.175.000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1.651.378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2.096.667</w:t>
            </w:r>
            <w:r>
              <w:rPr>
                <w:sz w:val="22"/>
                <w:szCs w:val="22"/>
              </w:rPr>
            </w:r>
            <w:r>
              <w:rPr>
                <w:sz w:val="22"/>
                <w:szCs w:val="22"/>
              </w:rPr>
            </w:r>
          </w:p>
        </w:tc>
      </w:tr>
    </w:tbl>
    <w:p>
      <w:pPr>
        <w:pBdr/>
        <w:spacing w:after="120" w:before="120" w:line="240"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40"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-11,86</w:t>
      </w:r>
      <w:r>
        <w:t xml:space="preserve">% đến</w:t>
      </w:r>
      <w:r>
        <w:t xml:space="preserve"> </w:t>
      </w:r>
      <w:r>
        <w:t xml:space="preserve">9,27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40"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line="240" w:lineRule="auto"/>
        <w:ind/>
        <w:jc w:val="right"/>
        <w:rPr>
          <w:i/>
          <w:iCs/>
          <w:highlight w:val="none"/>
        </w:rPr>
      </w:pPr>
      <w:r>
        <w:rPr>
          <w:i/>
          <w:iCs/>
        </w:rPr>
        <w:t xml:space="preserve">Đơn vị tính: Đồng/m²</w:t>
      </w:r>
      <w:r>
        <w:rPr>
          <w:i/>
          <w:iCs/>
          <w:highlight w:val="none"/>
        </w:rPr>
      </w:r>
      <w:r>
        <w:rPr>
          <w:i/>
          <w:iCs/>
          <w:highlight w:val="non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9.610.714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3.204.212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8.256.883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2.752.019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10.236.666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3.411.881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9.368.112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9.300.000</w:t>
            </w:r>
            <w:r>
              <w:rPr>
                <w:b/>
                <w:bCs/>
                <w:color w:val="000000"/>
              </w:rPr>
            </w:r>
            <w:r>
              <w:rPr>
                <w:b/>
                <w:bCs/>
                <w:color w:val="000000"/>
              </w:rPr>
            </w:r>
          </w:p>
        </w:tc>
      </w:tr>
    </w:tbl>
    <w:p>
      <w:pPr>
        <w:pBdr/>
        <w:spacing w:after="120" w:before="120" w:line="276" w:lineRule="auto"/>
        <w:ind/>
        <w:jc w:val="both"/>
        <w:rPr>
          <w:b/>
          <w:bCs/>
          <w:highlight w:val="none"/>
          <w:lang w:val="pt-BR"/>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9.300.000</w:t>
      </w:r>
      <w:r>
        <w:rPr>
          <w:b/>
          <w:bCs/>
          <w:color w:val="000000" w:themeColor="text1"/>
        </w:rPr>
        <w:t xml:space="preserve"> </w:t>
      </w:r>
      <w:r>
        <w:rPr>
          <w:b/>
          <w:bCs/>
        </w:rPr>
        <w:t xml:space="preserve">đồng/m².</w:t>
      </w:r>
      <w:r>
        <w:rPr>
          <w:b/>
          <w:bCs/>
          <w:highlight w:val="none"/>
          <w:lang w:val="pt-BR"/>
        </w:rPr>
      </w:r>
      <w:r>
        <w:rPr>
          <w:b/>
          <w:bCs/>
          <w:highlight w:val="none"/>
          <w:lang w:val="pt-BR"/>
        </w:rPr>
      </w:r>
    </w:p>
    <w:p>
      <w:pPr>
        <w:pStyle w:val="1037"/>
        <w:numPr>
          <w:ilvl w:val="0"/>
          <w:numId w:val="26"/>
        </w:numPr>
        <w:pBdr/>
        <w:spacing w:after="120" w:before="120" w:line="276" w:lineRule="auto"/>
        <w:ind w:hanging="357" w:left="357"/>
        <w:jc w:val="both"/>
        <w:rPr>
          <w:b/>
          <w:bCs/>
        </w:rPr>
      </w:pPr>
      <w:r>
        <w:rPr>
          <w:b/>
          <w:highlight w:val="none"/>
          <w:lang w:val="pt-BR"/>
        </w:rPr>
        <w:t xml:space="preserve">Xác định đơn giá đất ở (100m</w:t>
      </w:r>
      <w:r>
        <w:rPr>
          <w:b/>
          <w:highlight w:val="none"/>
          <w:vertAlign w:val="superscript"/>
          <w:lang w:val="pt-BR"/>
        </w:rPr>
        <w:t xml:space="preserve">2</w:t>
      </w:r>
      <w:r>
        <w:rPr>
          <w:b/>
          <w:highlight w:val="none"/>
          <w:lang w:val="pt-BR"/>
        </w:rPr>
        <w:t xml:space="preserve">); và đất trồng cây lâu năm (231,7m</w:t>
      </w:r>
      <w:r>
        <w:rPr>
          <w:b/>
          <w:highlight w:val="none"/>
          <w:vertAlign w:val="superscript"/>
          <w:lang w:val="pt-BR"/>
        </w:rPr>
        <w:t xml:space="preserve">2</w:t>
      </w:r>
      <w:r>
        <w:rPr>
          <w:b/>
          <w:highlight w:val="none"/>
          <w:lang w:val="pt-BR"/>
        </w:rPr>
        <w:t xml:space="preserve">).</w:t>
      </w:r>
      <w:r>
        <w:rPr>
          <w:b/>
          <w:bCs/>
        </w:rPr>
      </w:r>
      <w:r>
        <w:rPr>
          <w:b/>
          <w:bCs/>
        </w:rPr>
      </w:r>
    </w:p>
    <w:p>
      <w:pPr>
        <w:pBdr/>
        <w:spacing w:after="120" w:before="120" w:line="276" w:lineRule="auto"/>
        <w:ind w:firstLine="0" w:left="357"/>
        <w:jc w:val="both"/>
        <w:rPr>
          <w:b w:val="0"/>
          <w:bCs w:val="0"/>
          <w:highlight w:val="none"/>
          <w:lang w:val="pt-BR"/>
        </w:rPr>
      </w:pPr>
      <w:r>
        <w:rPr>
          <w:b w:val="0"/>
          <w:bCs w:val="0"/>
          <w:highlight w:val="none"/>
          <w:lang w:val="pt-BR"/>
        </w:rPr>
        <w:t xml:space="preserve">Khu vực tài sản thẩm định tọa lạc hạn chế </w:t>
      </w:r>
      <w:r>
        <w:rPr>
          <w:b w:val="0"/>
          <w:bCs w:val="0"/>
          <w:highlight w:val="none"/>
          <w:lang w:val="pt-BR"/>
        </w:rPr>
        <w:t xml:space="preserve">giao dịch đất trồng cây lâu năm mà hầu như chỉ có các giao dịch đất ở và đất hỗn hợp, do vậy, cho mục đích tại báo cáo này, Tổ thẩm định xác định giá trị đất ở và đất trồng cây lâu năm theo tỷ lệ giữa giá đất ở và đất trồng cây lâu năm theo bảng giá UBND. </w:t>
      </w:r>
      <w:r>
        <w:rPr>
          <w:b w:val="0"/>
          <w:bCs w:val="0"/>
          <w:highlight w:val="none"/>
          <w:lang w:val="pt-BR"/>
        </w:rPr>
      </w:r>
      <w:r>
        <w:rPr>
          <w:b w:val="0"/>
          <w:bCs w:val="0"/>
          <w:highlight w:val="none"/>
          <w:lang w:val="pt-BR"/>
        </w:rPr>
      </w:r>
    </w:p>
    <w:p>
      <w:pPr>
        <w:pBdr>
          <w:top w:val="none" w:color="000000" w:sz="4" w:space="0"/>
          <w:left w:val="none" w:color="000000" w:sz="4" w:space="0"/>
          <w:bottom w:val="none" w:color="000000" w:sz="4" w:space="0"/>
          <w:right w:val="none" w:color="000000" w:sz="4" w:space="0"/>
        </w:pBdr>
        <w:spacing w:after="120" w:before="120" w:line="276" w:lineRule="auto"/>
        <w:ind w:firstLine="0" w:left="357"/>
        <w:jc w:val="both"/>
        <w:rPr>
          <w:b w:val="0"/>
          <w:bCs w:val="0"/>
          <w:highlight w:val="none"/>
          <w:lang w:val="pt-BR"/>
          <w14:ligatures w14:val="none"/>
        </w:rPr>
      </w:pPr>
      <w:r>
        <w:rPr>
          <w:b w:val="0"/>
          <w:bCs w:val="0"/>
          <w:highlight w:val="none"/>
          <w:lang w:val="pt-BR"/>
        </w:rPr>
        <w:t xml:space="preserve">Căn cứ Nghị quyết số: </w:t>
      </w:r>
      <w:r>
        <w:t xml:space="preserve">85/2025/NQ-HĐND ngày 30 tháng 12 năm 2025 của Hội đồng nhân dân tỉnh Phú Thọ</w:t>
      </w:r>
      <w:r>
        <w:rPr>
          <w:b w:val="0"/>
          <w:bCs w:val="0"/>
          <w:highlight w:val="none"/>
          <w:lang w:val="pt-BR"/>
        </w:rPr>
        <w:t xml:space="preserve"> ban hành </w:t>
      </w:r>
      <w:r>
        <w:rPr>
          <w:rFonts w:ascii="Arial" w:hAnsi="Arial" w:eastAsia="Arial" w:cs="Arial"/>
          <w:color w:val="000000"/>
          <w:sz w:val="20"/>
          <w:highlight w:val="none"/>
        </w:rPr>
        <w:t xml:space="preserve">Quyết định bảng giá đất lần đầu </w:t>
      </w:r>
      <w:r>
        <w:rPr>
          <w:b w:val="0"/>
          <w:bCs w:val="0"/>
          <w:highlight w:val="none"/>
          <w:lang w:val="pt-BR"/>
        </w:rPr>
        <w:t xml:space="preserve">áp dụng từ ngày 01 tháng 01 năm 2026 trên địa bàn tỉnh Phú Thọ.</w:t>
      </w:r>
      <w:r>
        <w:rPr>
          <w:b w:val="0"/>
          <w:bCs w:val="0"/>
          <w:highlight w:val="none"/>
          <w:lang w:val="pt-BR"/>
          <w14:ligatures w14:val="none"/>
        </w:rPr>
      </w:r>
      <w:r>
        <w:rPr>
          <w:b w:val="0"/>
          <w:bCs w:val="0"/>
          <w:highlight w:val="none"/>
          <w:lang w:val="pt-BR"/>
          <w14:ligatures w14:val="none"/>
        </w:rP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ind/>
        <w:rPr/>
      </w:pPr>
      <w:r>
        <w:rPr>
          <w:rFonts w:ascii="Times New Roman" w:hAnsi="Times New Roman" w:eastAsia="Times New Roman" w:cs="Times New Roman"/>
          <w:color w:val="000000"/>
          <w:sz w:val="24"/>
        </w:rPr>
        <w:t xml:space="preserve">Đơn giá đất ở Các vị trí còn lại thuộc </w:t>
      </w:r>
      <w:r>
        <w:t xml:space="preserve">Khu tái định cư phục vụ KCN Sông Lô I, xã Sông Lô Khu vực Đồng Thịnh</w:t>
      </w:r>
      <w:r>
        <w:rPr>
          <w:rFonts w:ascii="Times New Roman" w:hAnsi="Times New Roman" w:eastAsia="Times New Roman" w:cs="Times New Roman"/>
          <w:color w:val="000000"/>
          <w:sz w:val="24"/>
        </w:rPr>
        <w:t xml:space="preserve"> là: </w:t>
      </w:r>
      <w:r>
        <w:rPr>
          <w:rFonts w:ascii="Times New Roman" w:hAnsi="Times New Roman" w:eastAsia="Times New Roman" w:cs="Times New Roman"/>
          <w:b/>
          <w:color w:val="000000"/>
          <w:sz w:val="24"/>
        </w:rPr>
        <w:t xml:space="preserve">3.900.000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color w:val="000000"/>
          <w:sz w:val="24"/>
        </w:rPr>
        <w:t xml:space="preserve">.</w:t>
      </w: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ind/>
        <w:rPr/>
      </w:pPr>
      <w:r>
        <w:rPr>
          <w:rFonts w:ascii="Times New Roman" w:hAnsi="Times New Roman" w:eastAsia="Times New Roman" w:cs="Times New Roman"/>
          <w:color w:val="000000"/>
          <w:sz w:val="24"/>
        </w:rPr>
        <w:t xml:space="preserve">Đơn giá đất trồng cây lâu năm khu vực xã Sông Lô là: </w:t>
      </w:r>
      <w:r>
        <w:rPr>
          <w:rFonts w:ascii="Times New Roman" w:hAnsi="Times New Roman" w:eastAsia="Times New Roman" w:cs="Times New Roman"/>
          <w:b/>
          <w:color w:val="000000"/>
          <w:sz w:val="24"/>
        </w:rPr>
        <w:t xml:space="preserve">95.000 đồng</w:t>
      </w:r>
      <w:r>
        <w:rPr>
          <w:rFonts w:ascii="Times New Roman" w:hAnsi="Times New Roman" w:eastAsia="Times New Roman" w:cs="Times New Roman"/>
          <w:color w:val="000000"/>
          <w:sz w:val="24"/>
        </w:rPr>
        <w:t xml:space="preserve">/</w:t>
      </w:r>
      <w:r>
        <w:rPr>
          <w:rFonts w:ascii="Times New Roman" w:hAnsi="Times New Roman" w:eastAsia="Times New Roman" w:cs="Times New Roman"/>
          <w:b/>
          <w:color w:val="000000"/>
          <w:sz w:val="24"/>
        </w:rPr>
        <w:t xml:space="preserve"> 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firstLine="0" w:left="357"/>
        <w:jc w:val="both"/>
        <w:rPr>
          <w:b w:val="0"/>
          <w:bCs w:val="0"/>
          <w:highlight w:val="none"/>
          <w:lang w:val="pt-BR"/>
          <w14:ligatures w14:val="none"/>
        </w:rPr>
      </w:pPr>
      <w:r>
        <w:rPr>
          <w:b w:val="0"/>
          <w:bCs w:val="0"/>
          <w:highlight w:val="none"/>
          <w:lang w:val="pt-BR"/>
        </w:rPr>
        <w:t xml:space="preserve">Gọi đơn giá đất ở là X, đơn giá đất trồng cây là Y ta có tổng giá trị quyền sử dụng đất là:</w:t>
      </w:r>
      <w:r>
        <w:rPr>
          <w:b w:val="0"/>
          <w:bCs w:val="0"/>
          <w:highlight w:val="none"/>
          <w:lang w:val="pt-BR"/>
          <w14:ligatures w14:val="none"/>
        </w:rPr>
      </w:r>
      <w:r>
        <w:rPr>
          <w:b w:val="0"/>
          <w:bCs w:val="0"/>
          <w:highlight w:val="none"/>
          <w:lang w:val="pt-BR"/>
          <w14:ligatures w14: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284" w:left="0"/>
        <w:rPr/>
      </w:pPr>
      <w:r>
        <w:rPr>
          <w:rFonts w:ascii="Times New Roman" w:hAnsi="Times New Roman" w:eastAsia="Times New Roman" w:cs="Times New Roman"/>
          <w:color w:val="000000"/>
          <w:sz w:val="24"/>
        </w:rPr>
        <w:t xml:space="preserve">100*X+231,7*Y = 9.300.000*331,7 &lt;=&gt;   100*X+231,7*Y</w:t>
      </w:r>
      <w:r>
        <w:rPr>
          <w:rFonts w:ascii="Times New Roman" w:hAnsi="Times New Roman" w:eastAsia="Times New Roman" w:cs="Times New Roman"/>
          <w:color w:val="000000" w:themeColor="text1"/>
          <w:sz w:val="24"/>
        </w:rPr>
        <w:t xml:space="preserve"> = </w:t>
      </w:r>
      <w:r>
        <w:rPr>
          <w:rFonts w:ascii="Times New Roman" w:hAnsi="Times New Roman" w:eastAsia="Times New Roman" w:cs="Times New Roman"/>
          <w:color w:val="000000" w:themeColor="text1"/>
          <w:sz w:val="24"/>
        </w:rPr>
        <w:t xml:space="preserve">3.084.810.000 (1)</w:t>
      </w:r>
      <w:r/>
    </w:p>
    <w:p>
      <w:pPr>
        <w:pBdr>
          <w:top w:val="none" w:color="000000" w:sz="4" w:space="0"/>
          <w:left w:val="none" w:color="000000" w:sz="4" w:space="0"/>
          <w:bottom w:val="none" w:color="000000" w:sz="4" w:space="0"/>
          <w:right w:val="none" w:color="000000" w:sz="4" w:space="0"/>
        </w:pBdr>
        <w:spacing w:after="120" w:before="120" w:line="276" w:lineRule="auto"/>
        <w:ind w:firstLine="0" w:left="357"/>
        <w:jc w:val="both"/>
        <w:rPr>
          <w:b w:val="0"/>
          <w:bCs w:val="0"/>
          <w:highlight w:val="none"/>
          <w:lang w:val="pt-BR"/>
          <w14:ligatures w14:val="none"/>
        </w:rPr>
      </w:pPr>
      <w:r>
        <w:rPr>
          <w:b w:val="0"/>
          <w:bCs w:val="0"/>
          <w:highlight w:val="none"/>
          <w:lang w:val="pt-BR"/>
        </w:rPr>
        <w:t xml:space="preserve">Theo tỷ lệ giá đất ở so với đất trồng cây lâu năm theo giá UBND: </w:t>
      </w:r>
      <w:r>
        <w:rPr>
          <w:b w:val="0"/>
          <w:bCs w:val="0"/>
          <w:highlight w:val="none"/>
          <w:lang w:val="pt-BR"/>
          <w14:ligatures w14:val="none"/>
        </w:rPr>
      </w:r>
      <w:r>
        <w:rPr>
          <w:b w:val="0"/>
          <w:bCs w:val="0"/>
          <w:highlight w:val="none"/>
          <w:lang w:val="pt-BR"/>
          <w14:ligatures w14: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284" w:left="0"/>
        <w:rPr/>
      </w:pPr>
      <w:r>
        <w:rPr>
          <w:rFonts w:ascii="Times New Roman" w:hAnsi="Times New Roman" w:eastAsia="Times New Roman" w:cs="Times New Roman"/>
          <w:color w:val="000000"/>
          <w:sz w:val="24"/>
        </w:rPr>
        <w:t xml:space="preserve"> X/Y = 3.900.000/95.000 (2)</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284"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Từ (1) và (2) ta có: X </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b/>
          <w:color w:val="000000"/>
          <w:sz w:val="24"/>
          <w:highlight w:val="white"/>
        </w:rPr>
        <w:t xml:space="preserve"> 29.200.000 đồng/m</w:t>
      </w:r>
      <w:r>
        <w:rPr>
          <w:rFonts w:ascii="Times New Roman" w:hAnsi="Times New Roman" w:eastAsia="Times New Roman" w:cs="Times New Roman"/>
          <w:b/>
          <w:color w:val="000000"/>
          <w:sz w:val="20"/>
          <w:highlight w:val="white"/>
          <w:vertAlign w:val="superscript"/>
        </w:rPr>
        <w:t xml:space="preserve">2</w:t>
      </w:r>
      <w:r>
        <w:rPr>
          <w:rFonts w:ascii="Times New Roman" w:hAnsi="Times New Roman" w:eastAsia="Times New Roman" w:cs="Times New Roman"/>
          <w:b/>
          <w:color w:val="000000"/>
          <w:sz w:val="24"/>
          <w:highlight w:val="white"/>
        </w:rPr>
        <w:t xml:space="preserve"> </w:t>
      </w:r>
      <w:r>
        <w:rPr>
          <w:rFonts w:ascii="Times New Roman" w:hAnsi="Times New Roman" w:eastAsia="Times New Roman" w:cs="Times New Roman"/>
          <w:color w:val="000000"/>
          <w:sz w:val="24"/>
        </w:rPr>
        <w:t xml:space="preserve">(làm tròn); Y = </w:t>
      </w:r>
      <w:r>
        <w:rPr>
          <w:rFonts w:ascii="Times New Roman" w:hAnsi="Times New Roman" w:eastAsia="Times New Roman" w:cs="Times New Roman"/>
          <w:b/>
          <w:color w:val="000000"/>
          <w:sz w:val="24"/>
        </w:rPr>
        <w:t xml:space="preserve">711.000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(làm tròn).</w:t>
      </w:r>
      <w:r>
        <w:rPr>
          <w:rFonts w:ascii="Times New Roman" w:hAnsi="Times New Roman" w:eastAsia="Times New Roman" w:cs="Times New Roman"/>
          <w:sz w:val="24"/>
        </w:rPr>
      </w:r>
      <w:r>
        <w:rPr>
          <w:rFonts w:ascii="Times New Roman" w:hAnsi="Times New Roman" w:eastAsia="Times New Roman" w:cs="Times New Roman"/>
          <w:sz w:val="24"/>
        </w:rPr>
      </w:r>
    </w:p>
    <w:p>
      <w:pPr>
        <w:pStyle w:val="103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5/2026</w:t>
      </w:r>
      <w:r>
        <w:t xml:space="preserve"> </w:t>
      </w:r>
      <w:r>
        <w:t xml:space="preserve">ước tính </w:t>
      </w:r>
      <w:r>
        <w:t xml:space="preserve">như sau</w:t>
      </w:r>
      <w:r>
        <w:t xml:space="preserve">:</w:t>
      </w:r>
      <w:r>
        <w:rPr>
          <w:highlight w:val="none"/>
        </w:rPr>
      </w:r>
      <w:r>
        <w:rPr>
          <w:highlight w:val="none"/>
        </w:rPr>
      </w:r>
    </w:p>
    <w:tbl>
      <w:tblPr>
        <w:tblInd w:w="28" w:type="dxa"/>
        <w:tblW w:w="4967"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08"/>
        <w:gridCol w:w="2801"/>
        <w:gridCol w:w="1559"/>
        <w:gridCol w:w="1985"/>
        <w:gridCol w:w="2409"/>
      </w:tblGrid>
      <w:tr>
        <w:trPr>
          <w:trHeight w:val="20"/>
        </w:trPr>
        <w:tc>
          <w:tcPr>
            <w:shd w:val="clear" w:color="000000" w:fill="ffffff"/>
            <w:tcBorders/>
            <w:tcW w:w="70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0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40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0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34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717, tờ bản đồ số: 52, có địa chỉ: Thôn Yên Bình, xã</w:t>
            </w:r>
            <w:r>
              <w:rPr>
                <w:b/>
                <w:bCs/>
                <w:color w:val="000000"/>
              </w:rPr>
              <w:t xml:space="preserve"> Sông Lô, tỉnh Phú Thọ theo Giấy chứng nhận quyền sử dụng đất, quyền sở hữu tài sản gắn liền với đất số: AA 05374627, Số vào sổ cấp GCN: CN 9807 do Chi nhánh Văn phòng Đăng ký Đất đai Sông Lô cấp ngày 14/11/2025; Chủ sử dụng đất là Bà Trần Thị Kiều Trang</w:t>
            </w:r>
            <w:r>
              <w:rPr>
                <w:b/>
                <w:bCs/>
              </w:rPr>
              <w:t xml:space="preserve">.</w:t>
            </w:r>
            <w:r>
              <w:rPr>
                <w:b/>
                <w:bCs/>
              </w:rPr>
            </w:r>
            <w:r>
              <w:rPr>
                <w:b/>
                <w:bCs/>
              </w:rPr>
            </w:r>
          </w:p>
        </w:tc>
        <w:tc>
          <w:tcPr>
            <w:shd w:val="clear" w:color="000000" w:fill="ffffff"/>
            <w:tcBorders/>
            <w:tcW w:w="240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08"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801"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100,0</w:t>
            </w:r>
            <w:r>
              <w:rPr>
                <w:color w:val="000000"/>
              </w:rPr>
            </w:r>
            <w:r>
              <w:rPr>
                <w:color w:val="000000"/>
              </w:rPr>
            </w:r>
          </w:p>
        </w:tc>
        <w:tc>
          <w:tcPr>
            <w:shd w:val="clear" w:color="000000" w:fill="ffffff"/>
            <w:tcBorders/>
            <w:tcW w:w="1985" w:type="dxa"/>
            <w:vAlign w:val="center"/>
            <w:textDirection w:val="lrTb"/>
            <w:noWrap w:val="false"/>
          </w:tcPr>
          <w:p>
            <w:pPr>
              <w:pBdr/>
              <w:spacing w:after="40" w:before="40" w:line="288" w:lineRule="auto"/>
              <w:ind/>
              <w:jc w:val="center"/>
              <w:rPr/>
            </w:pPr>
            <w:r>
              <w:rPr>
                <w:color w:val="000000" w:themeColor="text1"/>
              </w:rPr>
              <w:t xml:space="preserve">29.200.000</w:t>
            </w:r>
            <w:r/>
          </w:p>
        </w:tc>
        <w:tc>
          <w:tcPr>
            <w:shd w:val="clear" w:color="000000" w:fill="ffffff"/>
            <w:tcBorders/>
            <w:tcW w:w="2409" w:type="dxa"/>
            <w:vAlign w:val="center"/>
            <w:textDirection w:val="lrTb"/>
            <w:noWrap w:val="false"/>
          </w:tcPr>
          <w:p>
            <w:pPr>
              <w:pBdr/>
              <w:spacing w:after="40" w:before="40" w:line="288" w:lineRule="auto"/>
              <w:ind/>
              <w:jc w:val="right"/>
              <w:rPr/>
            </w:pPr>
            <w:r>
              <w:rPr>
                <w:color w:val="000000" w:themeColor="text1"/>
              </w:rPr>
              <w:t xml:space="preserve">2.920.000.000</w:t>
            </w:r>
            <w:r/>
          </w:p>
        </w:tc>
      </w:tr>
      <w:tr>
        <w:trPr>
          <w:trHeight w:val="20"/>
        </w:trPr>
        <w:tc>
          <w:tcPr>
            <w:shd w:val="clear" w:color="000000" w:fill="ffffff"/>
            <w:tcBorders/>
            <w:tcW w:w="708" w:type="dxa"/>
            <w:vAlign w:val="center"/>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2801" w:type="dxa"/>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231,7</w:t>
            </w:r>
            <w:r>
              <w:rPr>
                <w:color w:val="000000"/>
              </w:rPr>
            </w:r>
            <w:r>
              <w:rPr>
                <w:color w:val="000000"/>
              </w:rPr>
            </w:r>
          </w:p>
        </w:tc>
        <w:tc>
          <w:tcPr>
            <w:shd w:val="clear" w:color="000000" w:fill="ffffff"/>
            <w:tcBorders/>
            <w:tcW w:w="1985" w:type="dxa"/>
            <w:vAlign w:val="center"/>
            <w:textDirection w:val="lrTb"/>
            <w:noWrap w:val="false"/>
          </w:tcPr>
          <w:p>
            <w:pPr>
              <w:pBdr/>
              <w:spacing w:after="40" w:before="40" w:line="288" w:lineRule="auto"/>
              <w:ind/>
              <w:jc w:val="center"/>
              <w:rPr/>
            </w:pPr>
            <w:r>
              <w:rPr>
                <w:color w:val="000000" w:themeColor="text1"/>
              </w:rPr>
              <w:t xml:space="preserve">711.000</w:t>
            </w:r>
            <w:r/>
          </w:p>
        </w:tc>
        <w:tc>
          <w:tcPr>
            <w:shd w:val="clear" w:color="000000" w:fill="ffffff"/>
            <w:tcBorders/>
            <w:tcW w:w="2409" w:type="dxa"/>
            <w:vAlign w:val="center"/>
            <w:textDirection w:val="lrTb"/>
            <w:noWrap w:val="false"/>
          </w:tcPr>
          <w:p>
            <w:pPr>
              <w:pBdr/>
              <w:spacing w:after="40" w:before="40" w:line="288" w:lineRule="auto"/>
              <w:ind/>
              <w:jc w:val="right"/>
              <w:rPr/>
            </w:pPr>
            <w:r>
              <w:rPr>
                <w:color w:val="000000" w:themeColor="text1"/>
              </w:rPr>
              <w:t xml:space="preserve">164.738.700</w:t>
            </w:r>
            <w:r/>
          </w:p>
        </w:tc>
      </w:tr>
      <w:tr>
        <w:trPr>
          <w:trHeight w:val="20"/>
        </w:trPr>
        <w:tc>
          <w:tcPr>
            <w:gridSpan w:val="4"/>
            <w:tcBorders/>
            <w:tcW w:w="705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409" w:type="dxa"/>
            <w:vAlign w:val="center"/>
            <w:textDirection w:val="lrTb"/>
            <w:noWrap/>
          </w:tcPr>
          <w:p>
            <w:pPr>
              <w:pBdr/>
              <w:spacing w:after="40" w:before="40" w:line="288" w:lineRule="auto"/>
              <w:ind/>
              <w:jc w:val="right"/>
              <w:rPr>
                <w:b/>
                <w:bCs/>
                <w:color w:val="000000"/>
              </w:rPr>
            </w:pPr>
            <w:r>
              <w:rPr>
                <w:b/>
                <w:bCs/>
              </w:rPr>
              <w:t xml:space="preserve">3.084.738.700</w:t>
            </w:r>
            <w:r>
              <w:rPr>
                <w:b/>
                <w:bCs/>
                <w:color w:val="000000"/>
              </w:rPr>
            </w:r>
            <w:r>
              <w:rPr>
                <w:b/>
                <w:bCs/>
                <w:color w:val="000000"/>
              </w:rPr>
            </w:r>
          </w:p>
        </w:tc>
      </w:tr>
      <w:tr>
        <w:trPr>
          <w:trHeight w:val="384"/>
        </w:trPr>
        <w:tc>
          <w:tcPr>
            <w:gridSpan w:val="4"/>
            <w:tcBorders/>
            <w:tcW w:w="705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409" w:type="dxa"/>
            <w:vAlign w:val="center"/>
            <w:textDirection w:val="lrTb"/>
            <w:noWrap/>
          </w:tcPr>
          <w:p>
            <w:pPr>
              <w:pBdr/>
              <w:spacing w:after="40" w:before="40" w:line="288" w:lineRule="auto"/>
              <w:ind/>
              <w:jc w:val="right"/>
              <w:rPr>
                <w:b/>
                <w:bCs/>
                <w:color w:val="000000"/>
              </w:rPr>
            </w:pPr>
            <w:r>
              <w:rPr>
                <w:b/>
                <w:bCs/>
                <w:color w:val="000000"/>
              </w:rPr>
              <w:t xml:space="preserve">3.085.000.000</w:t>
            </w:r>
            <w:r>
              <w:rPr>
                <w:b/>
                <w:bCs/>
                <w:color w:val="000000"/>
              </w:rPr>
            </w:r>
            <w:r>
              <w:rPr>
                <w:b/>
                <w:bCs/>
                <w:color w:val="000000"/>
              </w:rPr>
            </w:r>
          </w:p>
        </w:tc>
      </w:tr>
      <w:tr>
        <w:trPr>
          <w:trHeight w:val="20"/>
        </w:trPr>
        <w:tc>
          <w:tcPr>
            <w:gridSpan w:val="5"/>
            <w:tcBorders/>
            <w:tcW w:w="9462"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tám mươi lăm triệu đồng</w:t>
            </w:r>
            <w:r>
              <w:rPr>
                <w:b/>
                <w:bCs/>
                <w:i/>
                <w:iCs/>
                <w:color w:val="000000"/>
              </w:rPr>
              <w:t xml:space="preserve">./.)</w:t>
            </w:r>
            <w:r>
              <w:rPr>
                <w:b/>
                <w:bCs/>
                <w:i/>
                <w:iCs/>
                <w:color w:val="000000"/>
              </w:rPr>
            </w:r>
            <w:r>
              <w:rPr>
                <w:b/>
                <w:bCs/>
                <w:i/>
                <w:iCs/>
                <w:color w:val="000000"/>
              </w:rPr>
            </w:r>
          </w:p>
        </w:tc>
      </w:tr>
    </w:tbl>
    <w:p>
      <w:pPr>
        <w:pStyle w:val="1037"/>
        <w:pBdr/>
        <w:tabs>
          <w:tab w:val="left" w:leader="none" w:pos="993"/>
        </w:tabs>
        <w:spacing w:after="120" w:before="120" w:line="324"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7"/>
        <w:numPr>
          <w:ilvl w:val="0"/>
          <w:numId w:val="4"/>
        </w:numPr>
        <w:pBdr/>
        <w:tabs>
          <w:tab w:val="left" w:leader="none" w:pos="993"/>
        </w:tabs>
        <w:spacing w:after="120" w:before="120" w:line="324"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7"/>
        <w:pBdr/>
        <w:tabs>
          <w:tab w:val="left" w:leader="none" w:pos="993"/>
        </w:tabs>
        <w:spacing w:after="120" w:before="120" w:line="324"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7"/>
        <w:numPr>
          <w:ilvl w:val="0"/>
          <w:numId w:val="5"/>
        </w:numPr>
        <w:pBdr/>
        <w:tabs>
          <w:tab w:val="left" w:leader="none" w:pos="993"/>
        </w:tabs>
        <w:spacing w:after="120" w:before="120" w:line="324"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7"/>
        <w:numPr>
          <w:ilvl w:val="0"/>
          <w:numId w:val="5"/>
        </w:numPr>
        <w:pBdr/>
        <w:tabs>
          <w:tab w:val="left" w:leader="none" w:pos="993"/>
        </w:tabs>
        <w:spacing w:after="120" w:before="120" w:line="324"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7"/>
        <w:numPr>
          <w:ilvl w:val="0"/>
          <w:numId w:val="5"/>
        </w:numPr>
        <w:pBdr/>
        <w:tabs>
          <w:tab w:val="left" w:leader="none" w:pos="993"/>
        </w:tabs>
        <w:spacing w:after="120" w:before="120" w:line="324"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7"/>
        <w:numPr>
          <w:ilvl w:val="0"/>
          <w:numId w:val="5"/>
        </w:numPr>
        <w:pBdr/>
        <w:tabs>
          <w:tab w:val="left" w:leader="none" w:pos="993"/>
        </w:tabs>
        <w:spacing w:after="120" w:before="120" w:line="324"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7"/>
        <w:numPr>
          <w:ilvl w:val="0"/>
          <w:numId w:val="10"/>
        </w:numPr>
        <w:pBdr/>
        <w:spacing w:after="120" w:before="120" w:line="324"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7"/>
        <w:numPr>
          <w:ilvl w:val="0"/>
          <w:numId w:val="10"/>
        </w:numPr>
        <w:pBdr/>
        <w:spacing w:after="120" w:before="120" w:line="324"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7"/>
        <w:numPr>
          <w:ilvl w:val="0"/>
          <w:numId w:val="10"/>
        </w:numPr>
        <w:pBdr/>
        <w:spacing w:after="120" w:before="120" w:line="324"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7"/>
        <w:pBdr/>
        <w:tabs>
          <w:tab w:val="left" w:leader="none" w:pos="993"/>
        </w:tabs>
        <w:spacing w:after="120" w:before="120" w:line="324"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7"/>
        <w:numPr>
          <w:ilvl w:val="0"/>
          <w:numId w:val="5"/>
        </w:numPr>
        <w:pBdr/>
        <w:tabs>
          <w:tab w:val="left" w:leader="none" w:pos="993"/>
        </w:tabs>
        <w:spacing w:after="120" w:before="120" w:line="324"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7"/>
        <w:numPr>
          <w:ilvl w:val="0"/>
          <w:numId w:val="5"/>
        </w:numPr>
        <w:pBdr/>
        <w:tabs>
          <w:tab w:val="left" w:leader="none" w:pos="993"/>
        </w:tabs>
        <w:spacing w:after="120" w:before="120" w:line="324"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7"/>
        <w:numPr>
          <w:ilvl w:val="0"/>
          <w:numId w:val="5"/>
        </w:numPr>
        <w:pBdr/>
        <w:tabs>
          <w:tab w:val="left" w:leader="none" w:pos="993"/>
        </w:tabs>
        <w:spacing w:after="120" w:before="120" w:line="324"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7"/>
        <w:numPr>
          <w:ilvl w:val="0"/>
          <w:numId w:val="5"/>
        </w:numPr>
        <w:pBdr/>
        <w:tabs>
          <w:tab w:val="left" w:leader="none" w:pos="993"/>
        </w:tabs>
        <w:spacing w:after="120" w:before="120" w:line="324"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7"/>
        <w:numPr>
          <w:ilvl w:val="0"/>
          <w:numId w:val="5"/>
        </w:numPr>
        <w:pBdr/>
        <w:tabs>
          <w:tab w:val="left" w:leader="none" w:pos="993"/>
        </w:tabs>
        <w:spacing w:after="120" w:before="120" w:line="324"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7"/>
        <w:numPr>
          <w:ilvl w:val="0"/>
          <w:numId w:val="5"/>
        </w:numPr>
        <w:pBdr/>
        <w:tabs>
          <w:tab w:val="left" w:leader="none" w:pos="993"/>
        </w:tabs>
        <w:spacing w:after="120" w:before="120" w:line="324"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7"/>
        <w:numPr>
          <w:ilvl w:val="0"/>
          <w:numId w:val="5"/>
        </w:numPr>
        <w:pBdr/>
        <w:spacing w:after="120" w:before="120" w:line="324"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7"/>
        <w:numPr>
          <w:ilvl w:val="0"/>
          <w:numId w:val="5"/>
        </w:numPr>
        <w:pBdr/>
        <w:tabs>
          <w:tab w:val="left" w:leader="none" w:pos="993"/>
        </w:tabs>
        <w:spacing w:after="120" w:before="120" w:line="324"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7"/>
        <w:numPr>
          <w:ilvl w:val="0"/>
          <w:numId w:val="44"/>
        </w:numPr>
        <w:pBdr/>
        <w:tabs>
          <w:tab w:val="left" w:leader="none" w:pos="993"/>
        </w:tabs>
        <w:spacing w:after="120" w:before="120" w:line="324" w:lineRule="auto"/>
        <w:ind/>
        <w:jc w:val="both"/>
        <w:rPr>
          <w:color w:val="000000" w:themeColor="text1"/>
          <w:spacing w:val="-2"/>
        </w:rPr>
      </w:pPr>
      <w:r>
        <w:rPr>
          <w:color w:val="000000" w:themeColor="text1"/>
          <w:spacing w:val="-2"/>
          <w:lang w:val="pt-BR"/>
        </w:rPr>
      </w:r>
      <w:r>
        <w:rPr>
          <w:rFonts w:ascii="Times New Roman" w:hAnsi="Times New Roman" w:eastAsia="Times New Roman" w:cs="Times New Roman"/>
          <w:color w:val="000000" w:themeColor="text1"/>
          <w:sz w:val="24"/>
        </w:rPr>
        <w:t xml:space="preserve">Tại Mục 4 GCN và Trích lục bản đồ địa chính, </w:t>
      </w:r>
      <w:r>
        <w:rPr>
          <w:rFonts w:ascii="Times New Roman" w:hAnsi="Times New Roman" w:eastAsia="Times New Roman" w:cs="Times New Roman"/>
          <w:color w:val="000000" w:themeColor="text1"/>
          <w:sz w:val="24"/>
        </w:rPr>
        <w:t xml:space="preserve">hướng Đông Nam tiếp giáp lối đi (</w:t>
      </w:r>
      <w:r>
        <w:rPr>
          <w:rFonts w:ascii="Times New Roman" w:hAnsi="Times New Roman" w:eastAsia="Times New Roman" w:cs="Times New Roman"/>
          <w:i/>
          <w:iCs/>
          <w:color w:val="000000" w:themeColor="text1"/>
          <w:sz w:val="24"/>
        </w:rPr>
        <w:t xml:space="preserve">chưa thể hiện độ rộng và kết cấu lối đi)</w:t>
      </w:r>
      <w:r>
        <w:rPr>
          <w:rFonts w:ascii="Times New Roman" w:hAnsi="Times New Roman" w:eastAsia="Times New Roman" w:cs="Times New Roman"/>
          <w:color w:val="000000" w:themeColor="text1"/>
          <w:sz w:val="24"/>
        </w:rPr>
        <w:t xml:space="preserve">. Tuy nhiên, qua khảo sát thực tế dưới sự hướng dẫn và xác </w:t>
      </w:r>
      <w:r>
        <w:rPr>
          <w:rFonts w:ascii="Times New Roman" w:hAnsi="Times New Roman" w:eastAsia="Times New Roman" w:cs="Times New Roman"/>
          <w:color w:val="000000" w:themeColor="text1"/>
          <w:sz w:val="24"/>
        </w:rPr>
        <w:t xml:space="preserve">nhận của Khách hàng, hướng Bắc tiếp giáp đường nhựa rộng khoảng 10m. Do đó, k</w:t>
      </w:r>
      <w:r>
        <w:rPr>
          <w:rFonts w:ascii="Times New Roman" w:hAnsi="Times New Roman" w:eastAsia="Times New Roman" w:cs="Times New Roman"/>
          <w:color w:val="000000" w:themeColor="text1"/>
          <w:sz w:val="24"/>
        </w:rPr>
        <w:t xml:space="preserve">ết quả thẩm địn</w:t>
      </w:r>
      <w:r>
        <w:rPr>
          <w:rFonts w:ascii="Times New Roman" w:hAnsi="Times New Roman" w:eastAsia="Times New Roman" w:cs="Times New Roman"/>
          <w:color w:val="000000" w:themeColor="text1"/>
          <w:sz w:val="24"/>
        </w:rPr>
        <w:t xml:space="preserve">h được Tổ thẩm định đưa ra trên cơ sở giả định hướng thửa đất/độ rộng lối đi thực tế dưới sự hướng dẫn của Khách hàng hoàn toàn trùng khớp với hồ sơ pháp lý được cập nhật trong tương lai. Kết quả thẩm định giá chỉ có giá trị giới hạn trong trường hợp giả đ</w:t>
      </w:r>
      <w:r>
        <w:rPr>
          <w:rFonts w:ascii="Times New Roman" w:hAnsi="Times New Roman" w:eastAsia="Times New Roman" w:cs="Times New Roman"/>
          <w:color w:val="000000" w:themeColor="text1"/>
          <w:sz w:val="24"/>
        </w:rPr>
        <w:t xml:space="preserve">ịnh nêu trên là đúng.</w:t>
      </w:r>
      <w:r>
        <w:rPr>
          <w:color w:val="000000" w:themeColor="text1"/>
          <w:spacing w:val="-2"/>
        </w:rPr>
      </w:r>
      <w:r>
        <w:rPr>
          <w:color w:val="000000" w:themeColor="text1"/>
          <w:spacing w:val="-2"/>
        </w:rPr>
      </w:r>
    </w:p>
    <w:p>
      <w:pPr>
        <w:pStyle w:val="1037"/>
        <w:numPr>
          <w:ilvl w:val="0"/>
          <w:numId w:val="5"/>
        </w:numPr>
        <w:pBdr/>
        <w:spacing w:after="120" w:before="120" w:line="331"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7"/>
        <w:numPr>
          <w:ilvl w:val="0"/>
          <w:numId w:val="3"/>
        </w:numPr>
        <w:pBdr/>
        <w:tabs>
          <w:tab w:val="left" w:leader="none" w:pos="993"/>
        </w:tabs>
        <w:spacing w:after="120" w:before="120" w:line="331"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7"/>
        <w:numPr>
          <w:ilvl w:val="0"/>
          <w:numId w:val="5"/>
        </w:numPr>
        <w:pBdr/>
        <w:tabs>
          <w:tab w:val="left" w:leader="none" w:pos="993"/>
        </w:tabs>
        <w:spacing w:after="120" w:before="120" w:line="331"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7"/>
        <w:numPr>
          <w:ilvl w:val="0"/>
          <w:numId w:val="5"/>
        </w:numPr>
        <w:pBdr/>
        <w:tabs>
          <w:tab w:val="left" w:leader="none" w:pos="993"/>
        </w:tabs>
        <w:spacing w:after="120" w:before="120" w:line="331"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31"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7"/>
        <w:pBdr/>
        <w:tabs>
          <w:tab w:val="left" w:leader="none" w:pos="993"/>
        </w:tabs>
        <w:spacing w:after="120" w:before="120" w:line="331"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7"/>
        <w:pBdr/>
        <w:tabs>
          <w:tab w:val="left" w:leader="none" w:pos="993"/>
        </w:tabs>
        <w:spacing w:after="120" w:before="120" w:line="331"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7"/>
        <w:pBdr/>
        <w:tabs>
          <w:tab w:val="left" w:leader="none" w:pos="993"/>
        </w:tabs>
        <w:spacing w:after="120" w:before="120" w:line="288" w:lineRule="auto"/>
        <w:ind w:left="0"/>
        <w:jc w:val="both"/>
        <w:rPr>
          <w:lang w:val="vi-VN"/>
        </w:rPr>
      </w:pPr>
      <w:r>
        <w:rPr>
          <w:highlight w:val="none"/>
          <w:lang w:val="vi-VN"/>
        </w:rPr>
      </w:r>
      <w:r>
        <w:rPr>
          <w:lang w:val="vi-VN"/>
        </w:rPr>
      </w:r>
      <w:r>
        <w:rPr>
          <w:lang w:val="vi-VN"/>
        </w:rPr>
      </w:r>
    </w:p>
    <w:p>
      <w:pPr>
        <w:pStyle w:val="103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275/2026/0715/VFI-CT.63.A</w:t>
      </w:r>
      <w:r>
        <w:rPr>
          <w:color w:val="ff0000"/>
          <w:lang w:val="vi-VN"/>
        </w:rPr>
        <w:t xml:space="preserve"> </w:t>
      </w:r>
      <w:r>
        <w:rPr>
          <w:color w:val="000000" w:themeColor="text1"/>
        </w:rPr>
        <w:t xml:space="preserve">ngày 13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275/2026/0715/VFI-BC.63.A</w:t>
      </w:r>
      <w:r>
        <w:rPr>
          <w:i/>
          <w:lang w:val="pt-BR"/>
        </w:rPr>
        <w:t xml:space="preserve"> ngày </w:t>
      </w:r>
      <w:r>
        <w:rPr>
          <w:i/>
          <w:lang w:val="pt-BR"/>
        </w:rPr>
        <w:t xml:space="preserve">13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24912" cy="298752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479201" name=""/>
                              <pic:cNvPicPr>
                                <a:picLocks noChangeAspect="1"/>
                              </pic:cNvPicPr>
                              <pic:nvPr/>
                            </pic:nvPicPr>
                            <pic:blipFill rotWithShape="1">
                              <a:blip r:embed="rId18"/>
                              <a:stretch/>
                            </pic:blipFill>
                            <pic:spPr bwMode="auto">
                              <a:xfrm flipH="0" flipV="0">
                                <a:off x="0" y="0"/>
                                <a:ext cx="2124912" cy="29875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7.32pt;height:235.2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83219" cy="201241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62129" name=""/>
                              <pic:cNvPicPr>
                                <a:picLocks noChangeAspect="1"/>
                              </pic:cNvPicPr>
                              <pic:nvPr/>
                            </pic:nvPicPr>
                            <pic:blipFill rotWithShape="1">
                              <a:blip r:embed="rId19"/>
                              <a:stretch/>
                            </pic:blipFill>
                            <pic:spPr bwMode="auto">
                              <a:xfrm flipH="0" flipV="0">
                                <a:off x="0" y="0"/>
                                <a:ext cx="2683218" cy="20124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1.28pt;height:158.46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03510" cy="187763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458194" name=""/>
                              <pic:cNvPicPr>
                                <a:picLocks noChangeAspect="1"/>
                              </pic:cNvPicPr>
                              <pic:nvPr/>
                            </pic:nvPicPr>
                            <pic:blipFill rotWithShape="1">
                              <a:blip r:embed="rId20"/>
                              <a:stretch/>
                            </pic:blipFill>
                            <pic:spPr bwMode="auto">
                              <a:xfrm flipH="0" flipV="0">
                                <a:off x="0" y="0"/>
                                <a:ext cx="2503509" cy="18776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7.13pt;height:147.8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59485" cy="199461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92801" name=""/>
                              <pic:cNvPicPr>
                                <a:picLocks noChangeAspect="1"/>
                              </pic:cNvPicPr>
                              <pic:nvPr/>
                            </pic:nvPicPr>
                            <pic:blipFill rotWithShape="1">
                              <a:blip r:embed="rId21"/>
                              <a:stretch/>
                            </pic:blipFill>
                            <pic:spPr bwMode="auto">
                              <a:xfrm flipH="0" flipV="0">
                                <a:off x="0" y="0"/>
                                <a:ext cx="2659484" cy="19946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9.41pt;height:157.0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76115" cy="208208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876627" name=""/>
                              <pic:cNvPicPr>
                                <a:picLocks noChangeAspect="1"/>
                              </pic:cNvPicPr>
                              <pic:nvPr/>
                            </pic:nvPicPr>
                            <pic:blipFill rotWithShape="1">
                              <a:blip r:embed="rId22"/>
                              <a:stretch/>
                            </pic:blipFill>
                            <pic:spPr bwMode="auto">
                              <a:xfrm flipH="0" flipV="0">
                                <a:off x="0" y="0"/>
                                <a:ext cx="2776114" cy="20820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8.59pt;height:163.9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35995" cy="212699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526960" name=""/>
                              <pic:cNvPicPr>
                                <a:picLocks noChangeAspect="1"/>
                              </pic:cNvPicPr>
                              <pic:nvPr/>
                            </pic:nvPicPr>
                            <pic:blipFill rotWithShape="1">
                              <a:blip r:embed="rId23"/>
                              <a:stretch/>
                            </pic:blipFill>
                            <pic:spPr bwMode="auto">
                              <a:xfrm flipH="0" flipV="0">
                                <a:off x="0" y="0"/>
                                <a:ext cx="2835994" cy="21269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3.31pt;height:167.4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jc w:val="center"/>
        <w:rPr>
          <w:b/>
          <w:bCs/>
          <w:highlight w:val="none"/>
        </w:rPr>
      </w:pPr>
      <w:r>
        <w:rPr>
          <w:b/>
          <w:bCs/>
          <w:highlight w:val="none"/>
        </w:rPr>
        <w:t xml:space="preserve">HỒ SƠ PHÁP LÝ</w:t>
      </w:r>
      <w:r>
        <w:rPr>
          <w:b/>
          <w:bCs/>
          <w:highlight w:val="none"/>
        </w:rPr>
      </w:r>
      <w:r>
        <w:rPr>
          <w:b/>
          <w:bCs/>
          <w:highlight w:val="none"/>
        </w:rPr>
      </w:r>
    </w:p>
    <w:p>
      <w:pPr>
        <w:pBdr/>
        <w:spacing w:after="200" w:line="276" w:lineRule="auto"/>
        <w:ind/>
        <w:jc w:val="center"/>
        <w:rPr>
          <w:b/>
          <w:bCs/>
          <w:highlight w:val="none"/>
        </w:rPr>
      </w:pPr>
      <w:r>
        <w:rPr>
          <w:b w:val="0"/>
          <w:bCs w:val="0"/>
          <w:highlight w:val="none"/>
        </w:rPr>
      </w:r>
      <w:r>
        <mc:AlternateContent>
          <mc:Choice Requires="wpg">
            <w:drawing>
              <wp:inline xmlns:wp="http://schemas.openxmlformats.org/drawingml/2006/wordprocessingDrawing" distT="0" distB="0" distL="0" distR="0">
                <wp:extent cx="3184717" cy="437627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762113" name=""/>
                        <pic:cNvPicPr>
                          <a:picLocks noChangeAspect="1"/>
                        </pic:cNvPicPr>
                        <pic:nvPr/>
                      </pic:nvPicPr>
                      <pic:blipFill rotWithShape="1">
                        <a:blip r:embed="rId24"/>
                        <a:stretch/>
                      </pic:blipFill>
                      <pic:spPr bwMode="auto">
                        <a:xfrm flipH="0" flipV="0">
                          <a:off x="0" y="0"/>
                          <a:ext cx="3184716" cy="43762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50.77pt;height:344.59pt;mso-wrap-distance-left:0.00pt;mso-wrap-distance-top:0.00pt;mso-wrap-distance-right:0.00pt;mso-wrap-distance-bottom:0.00pt;z-index:1;" stroked="false">
                <v:imagedata r:id="rId24" o:title=""/>
                <o:lock v:ext="edit" rotation="t"/>
              </v:shape>
            </w:pict>
          </mc:Fallback>
        </mc:AlternateContent>
      </w:r>
      <w:r>
        <w:rPr>
          <w:b/>
          <w:bCs/>
          <w:highlight w:val="none"/>
        </w:rPr>
      </w:r>
      <w:r>
        <w:rPr>
          <w:b/>
          <w:bCs/>
          <w:highlight w:val="none"/>
        </w:rPr>
      </w:r>
    </w:p>
    <w:p>
      <w:pPr>
        <w:pBdr/>
        <w:spacing w:after="200" w:line="276" w:lineRule="auto"/>
        <w:ind/>
        <w:jc w:val="center"/>
        <w:rPr>
          <w:b w:val="0"/>
          <w:bCs w:val="0"/>
          <w:highlight w:val="none"/>
        </w:rPr>
      </w:pPr>
      <w:r>
        <w:rPr>
          <w:b/>
          <w:bCs/>
          <w:highlight w:val="none"/>
        </w:rPr>
      </w:r>
      <w:r>
        <mc:AlternateContent>
          <mc:Choice Requires="wpg">
            <w:drawing>
              <wp:inline xmlns:wp="http://schemas.openxmlformats.org/drawingml/2006/wordprocessingDrawing" distT="0" distB="0" distL="0" distR="0">
                <wp:extent cx="3130032" cy="426631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640157" name=""/>
                        <pic:cNvPicPr>
                          <a:picLocks noChangeAspect="1"/>
                        </pic:cNvPicPr>
                        <pic:nvPr/>
                      </pic:nvPicPr>
                      <pic:blipFill rotWithShape="1">
                        <a:blip r:embed="rId25"/>
                        <a:stretch/>
                      </pic:blipFill>
                      <pic:spPr bwMode="auto">
                        <a:xfrm flipH="0" flipV="0">
                          <a:off x="0" y="0"/>
                          <a:ext cx="3130032" cy="42663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46.46pt;height:335.93pt;mso-wrap-distance-left:0.00pt;mso-wrap-distance-top:0.00pt;mso-wrap-distance-right:0.00pt;mso-wrap-distance-bottom:0.00pt;z-index:1;" stroked="false">
                <v:imagedata r:id="rId25" o:title=""/>
                <o:lock v:ext="edit" rotation="t"/>
              </v:shape>
            </w:pict>
          </mc:Fallback>
        </mc:AlternateContent>
      </w:r>
      <w:r>
        <w:rPr>
          <w:b w:val="0"/>
          <w:bCs w:val="0"/>
          <w:highlight w:val="none"/>
        </w:rPr>
      </w:r>
      <w:r>
        <w:rPr>
          <w:b w:val="0"/>
          <w:bCs w:val="0"/>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275/2026/0715/VFI-BC.63.A</w:t>
      </w:r>
      <w:r>
        <w:rPr>
          <w:i/>
          <w:lang w:val="pt-BR"/>
        </w:rPr>
        <w:t xml:space="preserve"> ngày </w:t>
      </w:r>
      <w:r>
        <w:rPr>
          <w:i/>
          <w:lang w:val="pt-BR"/>
        </w:rPr>
        <w:t xml:space="preserve">13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0963.537889</w:t>
            </w:r>
            <w:r>
              <w:rPr>
                <w:sz w:val="22"/>
                <w:szCs w:val="22"/>
              </w:rPr>
              <w:t xml:space="preserve"> </w:t>
            </w:r>
            <w:r>
              <w:rPr>
                <w:sz w:val="22"/>
                <w:szCs w:val="22"/>
              </w:rPr>
              <w:br/>
              <w:t xml:space="preserve">(C.Hương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Sông Lô, Tỉnh Phú Thọ</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288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8288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01.48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444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44.44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https://www.facebook.com/photo/?fbid=1956693634935042&amp;set=pcb.4028060960826988</w:t>
            </w:r>
            <w:r>
              <w:rPr>
                <w:color w:val="000000" w:themeColor="text1"/>
                <w:sz w:val="22"/>
                <w:szCs w:val="22"/>
              </w:rPr>
              <w:br/>
              <w:t xml:space="preserve">0982 978 925</w:t>
            </w:r>
            <w:r>
              <w:rPr>
                <w:sz w:val="22"/>
                <w:szCs w:val="22"/>
              </w:rPr>
              <w:t xml:space="preserve"> </w:t>
            </w:r>
            <w:r>
              <w:rPr>
                <w:sz w:val="22"/>
                <w:szCs w:val="22"/>
              </w:rPr>
              <w:br/>
              <w:t xml:space="preserve">(Thái Hà</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(100m²), Đất trồng cây lâu năm (118m²)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Sông Lô, Tỉnh Phú Thọ</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37337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63733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501.84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80886"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388088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05.58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2.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2.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br w:type="page" w:clear="all"/>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0379.718336</w:t>
            </w:r>
            <w:r>
              <w:rPr>
                <w:sz w:val="22"/>
                <w:szCs w:val="22"/>
              </w:rPr>
              <w:t xml:space="preserve"> </w:t>
            </w:r>
            <w:r>
              <w:rPr>
                <w:sz w:val="22"/>
                <w:szCs w:val="22"/>
              </w:rPr>
              <w:br/>
              <w:t xml:space="preserve">(Nguyễn Long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1.332.000.000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(50m²), Đất trồng cây lâu năm (58m²)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Sông Lô,  Tỉnh Phú Thọ</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4477"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14644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15.31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86992"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353994267" name="" descr=""/>
                              <pic:cNvPicPr/>
                              <pic:nvPr/>
                            </pic:nvPicPr>
                            <pic:blipFill rotWithShape="1">
                              <a:blip r:embed="rId35"/>
                              <a:stretch/>
                            </pic:blipFill>
                            <pic:spPr bwMode="auto">
                              <a:xfrm>
                                <a:off x="0" y="0"/>
                                <a:ext cx="228699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0.08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935773061" name="" descr=""/>
                              <pic:cNvPicPr/>
                              <pic:nvPr/>
                            </pic:nvPicPr>
                            <pic:blipFill rotWithShape="1">
                              <a:blip r:embed="rId37"/>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87.50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832788721" name="" descr=""/>
                              <pic:cNvPicPr/>
                              <pic:nvPr/>
                            </pic:nvPicPr>
                            <pic:blipFill rotWithShape="1">
                              <a:blip r:embed="rId38"/>
                              <a:stretch/>
                            </pic:blipFill>
                            <pic:spPr bwMode="auto">
                              <a:xfrm>
                                <a:off x="0" y="0"/>
                                <a:ext cx="423333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33.33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5287857" cy="7033753"/>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259966" name=""/>
                        <pic:cNvPicPr>
                          <a:picLocks noChangeAspect="1"/>
                        </pic:cNvPicPr>
                        <pic:nvPr/>
                      </pic:nvPicPr>
                      <pic:blipFill rotWithShape="1">
                        <a:blip r:embed="rId39"/>
                        <a:stretch/>
                      </pic:blipFill>
                      <pic:spPr bwMode="auto">
                        <a:xfrm flipH="0" flipV="0">
                          <a:off x="0" y="0"/>
                          <a:ext cx="5287857" cy="70337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16.37pt;height:553.84pt;mso-wrap-distance-left:0.00pt;mso-wrap-distance-top:0.00pt;mso-wrap-distance-right:0.00pt;mso-wrap-distance-bottom:0.00pt;z-index:1;" stroked="false">
                <v:imagedata r:id="rId39"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ADC7CD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282</cp:revision>
  <dcterms:created xsi:type="dcterms:W3CDTF">2025-09-15T09:58:00Z</dcterms:created>
  <dcterms:modified xsi:type="dcterms:W3CDTF">2026-05-16T06:34:43Z</dcterms:modified>
</cp:coreProperties>
</file>