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275/2026/0711/VFI-CT.24.A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8"/>
                                <w:sz w:val="24"/>
                              </w:rPr>
                              <w:t xml:space="preserve">Bà Phạm Tú Quỳnh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ff0000"/>
                              </w:rPr>
                            </w:pPr>
                            <w:r>
                              <w:rPr>
                                <w:b/>
                              </w:rPr>
                              <w:t xml:space="preserve">Tài sản thẩm </w:t>
                            </w:r>
                            <w:r>
                              <w:rPr>
                                <w:b/>
                              </w:rPr>
                              <w:t xml:space="preserve">định: </w:t>
                            </w:r>
                            <w:r>
                              <w:rPr>
                                <w:color w:val="000000"/>
                              </w:rPr>
                              <w:t xml:space="preserve">Giá trị quyền sử dụng đất tại thửa đất số: 407 (tách từ thửa 224); tờ bản đồ số 11,  địa chỉ: Thôn Vĩnh Khê, xã An Đồng, huyện An Dương, thành phố Hải Phòng </w:t>
                            </w:r>
                            <w:r>
                              <w:rPr>
                                <w:i/>
                                <w:iCs/>
                                <w:color w:val="000000"/>
                              </w:rPr>
                              <w:t xml:space="preserve">(Nay là phường An Hải, thành phố H</w:t>
                            </w:r>
                            <w:r>
                              <w:rPr>
                                <w:i/>
                                <w:iCs/>
                                <w:color w:val="000000"/>
                              </w:rPr>
                              <w:t xml:space="preserve">ải Phòng)</w:t>
                            </w:r>
                            <w:r>
                              <w:rPr>
                                <w:color w:val="000000"/>
                              </w:rPr>
                              <w:t xml:space="preserve"> theo 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Nguyễn Thị </w:t>
                            </w:r>
                            <w:r>
                              <w:rPr>
                                <w:color w:val="000000" w:themeColor="text1"/>
                              </w:rPr>
                              <w:t xml:space="preserve">Huấn</w:t>
                            </w:r>
                            <w:r>
                              <w:rPr>
                                <w:color w:val="000000" w:themeColor="text1"/>
                              </w:rPr>
                              <w:t xml:space="preserve">.</w:t>
                            </w:r>
                            <w:r>
                              <w:rPr>
                                <w:bCs/>
                                <w:i/>
                                <w:iCs/>
                                <w:color w:val="ff0000"/>
                              </w:rPr>
                            </w:r>
                            <w:r>
                              <w:rPr>
                                <w:bCs/>
                                <w:i/>
                                <w:iCs/>
                                <w:color w:val="ff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275/2026/0711/VFI-CT.24.A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8"/>
                          <w:sz w:val="24"/>
                        </w:rPr>
                        <w:t xml:space="preserve">Bà Phạm Tú Quỳnh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ff0000"/>
                        </w:rPr>
                      </w:pPr>
                      <w:r>
                        <w:rPr>
                          <w:b/>
                        </w:rPr>
                        <w:t xml:space="preserve">Tài sản thẩm </w:t>
                      </w:r>
                      <w:r>
                        <w:rPr>
                          <w:b/>
                        </w:rPr>
                        <w:t xml:space="preserve">định: </w:t>
                      </w:r>
                      <w:r>
                        <w:rPr>
                          <w:color w:val="000000"/>
                        </w:rPr>
                        <w:t xml:space="preserve">Giá trị quyền sử dụng đất tại thửa đất số: 407 (tách từ thửa 224); tờ bản đồ số 11,  địa chỉ: Thôn Vĩnh Khê, xã An Đồng, huyện An Dương, thành phố Hải Phòng </w:t>
                      </w:r>
                      <w:r>
                        <w:rPr>
                          <w:i/>
                          <w:iCs/>
                          <w:color w:val="000000"/>
                        </w:rPr>
                        <w:t xml:space="preserve">(Nay là phường An Hải, thành phố H</w:t>
                      </w:r>
                      <w:r>
                        <w:rPr>
                          <w:i/>
                          <w:iCs/>
                          <w:color w:val="000000"/>
                        </w:rPr>
                        <w:t xml:space="preserve">ải Phòng)</w:t>
                      </w:r>
                      <w:r>
                        <w:rPr>
                          <w:color w:val="000000"/>
                        </w:rPr>
                        <w:t xml:space="preserve"> theo 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Nguyễn Thị </w:t>
                      </w:r>
                      <w:r>
                        <w:rPr>
                          <w:color w:val="000000" w:themeColor="text1"/>
                        </w:rPr>
                        <w:t xml:space="preserve">Huấn</w:t>
                      </w:r>
                      <w:r>
                        <w:rPr>
                          <w:color w:val="000000" w:themeColor="text1"/>
                        </w:rPr>
                        <w:t xml:space="preserve">.</w:t>
                      </w:r>
                      <w:r>
                        <w:rPr>
                          <w:bCs/>
                          <w:i/>
                          <w:iCs/>
                          <w:color w:val="ff0000"/>
                        </w:rPr>
                      </w:r>
                      <w:r>
                        <w:rPr>
                          <w:bCs/>
                          <w:i/>
                          <w:iCs/>
                          <w:color w:val="ff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4527" w:type="dxa"/>
        <w:tblBorders/>
        <w:tblLayout w:type="fixed"/>
        <w:tblLook w:val="04A0" w:firstRow="1" w:lastRow="0" w:firstColumn="1" w:lastColumn="0" w:noHBand="0" w:noVBand="1"/>
      </w:tblPr>
      <w:tblGrid>
        <w:gridCol w:w="113"/>
        <w:gridCol w:w="1446"/>
        <w:gridCol w:w="2126"/>
        <w:gridCol w:w="10842"/>
      </w:tblGrid>
      <w:tr>
        <w:trPr>
          <w:gridBefore w:val="1"/>
          <w:trHeight w:val="1152"/>
        </w:trPr>
        <w:tc>
          <w:tcPr>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9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685"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275/2026/0711/VFI-CT.24.A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42" w:type="dxa"/>
            <w:textDirection w:val="lrTb"/>
            <w:noWrap w:val="false"/>
          </w:tcPr>
          <w:p>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pacing w:val="-8"/>
          <w:sz w:val="24"/>
        </w:rPr>
        <w:t xml:space="preserve">Bà Phạm Tú Quỳnh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275/2026/0711/VFI-HĐTĐ.24.A</w:t>
      </w:r>
      <w:r>
        <w:rPr>
          <w:spacing w:val="-4"/>
          <w:lang w:val="vi-VN"/>
        </w:rPr>
        <w:t xml:space="preserve"> ký ngày </w:t>
      </w:r>
      <w:r>
        <w:rPr>
          <w:color w:val="000000" w:themeColor="text1"/>
          <w:spacing w:val="-4"/>
        </w:rPr>
        <w:t xml:space="preserve">12 tháng 5 năm 2026</w:t>
      </w:r>
      <w:r>
        <w:rPr>
          <w:spacing w:val="-4"/>
          <w:lang w:val="vi-VN"/>
        </w:rPr>
        <w:t xml:space="preserve"> </w:t>
      </w:r>
      <w:r>
        <w:rPr>
          <w:spacing w:val="-4"/>
          <w:lang w:val="vi-VN"/>
        </w:rPr>
        <w:t xml:space="preserve">giữa </w:t>
      </w:r>
      <w:r>
        <w:rPr>
          <w:color w:val="000000" w:themeColor="text1"/>
          <w:spacing w:val="-4"/>
        </w:rPr>
        <w:t xml:space="preserve">Bà Phạm Tú Quỳnh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275/2026/0711/VFI-BC.24.A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1729"/>
        <w:gridCol w:w="425"/>
        <w:gridCol w:w="7371"/>
      </w:tblGrid>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hanging="462" w:left="462"/>
              <w:jc w:val="both"/>
              <w:rPr/>
            </w:pPr>
            <w:r>
              <w:rPr>
                <w:rFonts w:ascii="Times New Roman" w:hAnsi="Times New Roman" w:eastAsia="Times New Roman" w:cs="Times New Roman"/>
                <w:color w:val="000000"/>
                <w:sz w:val="24"/>
              </w:rPr>
              <w:t xml:space="preserve">Tên khách hàng</w:t>
            </w:r>
            <w:r/>
          </w:p>
        </w:tc>
        <w:tc>
          <w:tcPr>
            <w:shd w:val="clear" w:color="auto" w:fill="auto"/>
            <w:tcBorders/>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3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Phạm Tú Quỳnh Anh</w:t>
            </w:r>
            <w:r/>
          </w:p>
        </w:tc>
      </w:tr>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3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031181004214</w:t>
            </w:r>
            <w:r/>
          </w:p>
        </w:tc>
      </w:tr>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3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29 Tống Trân, Quang Trung, TP. Hưng Yên, tỉnh Hưng Yên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i/>
                <w:color w:val="000000"/>
                <w:sz w:val="24"/>
              </w:rPr>
              <w:t xml:space="preserve">(Nay là phường Lê Lợi, thành phố Hưng Yên)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1763"/>
        <w:gridCol w:w="283"/>
        <w:gridCol w:w="7627"/>
      </w:tblGrid>
      <w:tr>
        <w:trPr>
          <w:trHeight w:val="20"/>
        </w:trPr>
        <w:tc>
          <w:tcPr>
            <w:tcBorders/>
            <w:tcW w:w="1763"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ight="-201" w:firstLine="0" w:left="0"/>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763"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763"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27"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763"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763"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763"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763"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7"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763"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7"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Giá trị quyền sử dụng đất tại thửa đất số: 407 (tách từ thửa 224); tờ bản đồ số 11,  địa chỉ: Thôn Vĩnh Khê, xã An Đồng, huyện An Dương, thành phố Hải Phòng </w:t>
      </w:r>
      <w:r>
        <w:rPr>
          <w:i/>
          <w:iCs/>
          <w:color w:val="000000"/>
        </w:rPr>
        <w:t xml:space="preserve">(Nay là phường An Hải, thành phố H</w:t>
      </w:r>
      <w:r>
        <w:rPr>
          <w:i/>
          <w:iCs/>
          <w:color w:val="000000"/>
        </w:rPr>
        <w:t xml:space="preserve">ải Phòng)</w:t>
      </w:r>
      <w:r>
        <w:rPr>
          <w:color w:val="000000"/>
        </w:rPr>
        <w:t xml:space="preserve"> theo Giấy chứng nhận quyền sử dụng đất, quyền sở hữu nhà ở và tài sản khác gắn liền với đất số: DB 250275, số vào sổ cấp GCN: CS 00127 do Sở Tài nguyên và Môi </w:t>
      </w:r>
      <w:r>
        <w:rPr>
          <w:color w:val="000000" w:themeColor="text1"/>
        </w:rPr>
        <w:t xml:space="preserve">trường thành phố Hải Phòng cấp ngày 01/3/2011 cho Ông Phan Quốc Dũng và vợ là Bà Nguyễn Thị </w:t>
      </w:r>
      <w:r>
        <w:rPr>
          <w:color w:val="000000" w:themeColor="text1"/>
        </w:rPr>
        <w:t xml:space="preserve">Huấn</w:t>
      </w:r>
      <w:r>
        <w:rPr>
          <w:i/>
          <w:iCs/>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496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517"/>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thửa đất số: 407 (tách từ thửa 224); tờ bản đồ số 11,  địa chỉ: Thôn Vĩnh Khê, xã An Đồng, huyện An Dương, thành phố Hải Phòng </w:t>
            </w:r>
            <w:r>
              <w:rPr>
                <w:b/>
                <w:bCs/>
                <w:i/>
                <w:iCs/>
                <w:color w:val="000000"/>
              </w:rPr>
              <w:t xml:space="preserve">(Nay là phường An Hải, thành phố H</w:t>
            </w:r>
            <w:r>
              <w:rPr>
                <w:b/>
                <w:bCs/>
                <w:i/>
                <w:iCs/>
                <w:color w:val="000000"/>
              </w:rPr>
              <w:t xml:space="preserve">ải Phòng)</w:t>
            </w:r>
            <w:r>
              <w:rPr>
                <w:b/>
                <w:bCs/>
                <w:color w:val="000000"/>
              </w:rPr>
              <w:t xml:space="preserve"> theo 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w:t>
            </w:r>
            <w:r>
              <w:rPr>
                <w:b/>
                <w:bCs/>
                <w:color w:val="000000" w:themeColor="text1"/>
              </w:rPr>
              <w:t xml:space="preserve">uyễn Thị </w:t>
            </w:r>
            <w:r>
              <w:rPr>
                <w:b/>
                <w:bCs/>
                <w:color w:val="000000" w:themeColor="text1"/>
              </w:rPr>
              <w:t xml:space="preserve">Huấn.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ight="-81" w:firstLine="0" w:left="0"/>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52,0</w:t>
            </w:r>
            <w:r>
              <w:rPr>
                <w:b w:val="0"/>
                <w:bCs w:val="0"/>
                <w:color w:val="000000"/>
              </w:rPr>
            </w:r>
            <w:r>
              <w:rPr>
                <w:b w:val="0"/>
                <w:bCs w:val="0"/>
                <w:color w:val="000000"/>
              </w:rPr>
            </w:r>
          </w:p>
        </w:tc>
        <w:tc>
          <w:tcPr>
            <w:shd w:val="clear" w:color="000000" w:fill="ffffff"/>
            <w:tcBorders/>
            <w:tcW w:w="23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45.000.000</w:t>
            </w:r>
            <w:r>
              <w:rPr>
                <w:b w:val="0"/>
                <w:bCs w:val="0"/>
              </w:rPr>
            </w:r>
            <w:r>
              <w:rPr>
                <w:b w:val="0"/>
                <w:bCs w:val="0"/>
              </w:rPr>
            </w:r>
          </w:p>
        </w:tc>
        <w:tc>
          <w:tcPr>
            <w:shd w:val="clear" w:color="000000" w:fill="ffffff"/>
            <w:tcBorders/>
            <w:tcW w:w="2164"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2.340.000.000</w:t>
            </w:r>
            <w:r>
              <w:rPr>
                <w:b w:val="0"/>
                <w:bCs w:val="0"/>
              </w:rPr>
            </w:r>
            <w:r>
              <w:rPr>
                <w:b w:val="0"/>
                <w:bCs w:val="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2.340.000.000</w:t>
            </w:r>
            <w:r>
              <w:rPr>
                <w:b/>
                <w:bCs/>
                <w:color w:val="000000"/>
              </w:rPr>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2.340.000.000</w:t>
            </w:r>
            <w:r>
              <w:rPr>
                <w:b/>
                <w:bCs/>
                <w:color w:val="000000"/>
              </w:rPr>
            </w:r>
            <w:r>
              <w:rPr>
                <w:b/>
                <w:bCs/>
                <w:color w:val="000000"/>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ba trăm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252" w:type="dxa"/>
        <w:tblW w:w="5112" w:type="pct"/>
        <w:tblBorders/>
        <w:tblLayout w:type="fixed"/>
        <w:tblLook w:val="01E0" w:firstRow="1" w:lastRow="1" w:firstColumn="1" w:lastColumn="1" w:noHBand="0" w:noVBand="0"/>
      </w:tblPr>
      <w:tblGrid>
        <w:gridCol w:w="4428"/>
        <w:gridCol w:w="531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843"/>
        <w:gridCol w:w="2693"/>
        <w:gridCol w:w="5528"/>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4535"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275/2026/0711/VFI-BC.24.A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28"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275/2026/0711/VFI-CT.24.A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046"/>
        <w:gridCol w:w="283"/>
        <w:gridCol w:w="7451"/>
        <w:gridCol w:w="202"/>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654"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046"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ayout w:type="fixed"/>
        <w:tblLook w:val="04A0" w:firstRow="1" w:lastRow="0" w:firstColumn="1" w:lastColumn="0" w:noHBand="0" w:noVBand="1"/>
      </w:tblPr>
      <w:tblGrid>
        <w:gridCol w:w="2647"/>
        <w:gridCol w:w="216"/>
        <w:gridCol w:w="6884"/>
      </w:tblGrid>
      <w:tr>
        <w:trPr>
          <w:trHeight w:val="20"/>
        </w:trPr>
        <w:tc>
          <w:tcPr>
            <w:tcBorders/>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hanging="462" w:left="462"/>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Bà Phạm Tú Quỳnh 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031181004214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6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29 Tống Trân, Quang Trung, TP. Hưng Yên, tỉnh Hưng Yên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i/>
                <w:color w:val="000000"/>
                <w:sz w:val="24"/>
              </w:rPr>
              <w:t xml:space="preserve">(Nay là phường Lê Lợi, thành phố Hưng Yên)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20"/>
        </w:trPr>
        <w:tc>
          <w:tcPr>
            <w:tcBorders/>
            <w:tcW w:w="2647"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16" w:type="dxa"/>
            <w:vAlign w:val="center"/>
            <w:textDirection w:val="lrTb"/>
            <w:noWrap w:val="false"/>
          </w:tcPr>
          <w:p>
            <w:pPr>
              <w:pStyle w:val="1029"/>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884"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themeColor="text1"/>
              </w:rPr>
              <w:t xml:space="preserve">Giá trị quyền sử dụng đất tại thửa đất số: 407 (tách từ thửa 224); tờ bản đồ số 11,  địa chỉ: Thôn Vĩnh Khê, xã An Đồng, huyện An Dương, thành phố Hải Phòng </w:t>
            </w:r>
            <w:r>
              <w:rPr>
                <w:i/>
                <w:iCs/>
                <w:color w:val="000000" w:themeColor="text1"/>
              </w:rPr>
              <w:t xml:space="preserve">(Nay là phường An Hải, thành phố H</w:t>
            </w:r>
            <w:r>
              <w:rPr>
                <w:i/>
                <w:iCs/>
                <w:color w:val="000000" w:themeColor="text1"/>
              </w:rPr>
              <w:t xml:space="preserve">ải Phòng)</w:t>
            </w:r>
            <w:r>
              <w:rPr>
                <w:color w:val="000000" w:themeColor="text1"/>
              </w:rPr>
              <w:t xml:space="preserve"> theo 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Nguyễn Thị </w:t>
            </w:r>
            <w:r>
              <w:rPr>
                <w:color w:val="000000" w:themeColor="text1"/>
              </w:rPr>
              <w:t xml:space="preserve">Huấn.</w:t>
            </w:r>
            <w:r>
              <w:rPr>
                <w:b/>
                <w:bCs/>
                <w:color w:val="000000" w:themeColor="text1"/>
                <w:spacing w:val="2"/>
                <w:lang w:val="vi-VN"/>
              </w:rPr>
            </w:r>
            <w:r>
              <w:rPr>
                <w:b/>
                <w:bCs/>
                <w:color w:val="000000" w:themeColor="text1"/>
                <w:spacing w:val="2"/>
              </w:rPr>
            </w:r>
          </w:p>
        </w:tc>
      </w:tr>
      <w:tr>
        <w:trPr>
          <w:trHeight w:val="776"/>
        </w:trPr>
        <w:tc>
          <w:tcPr>
            <w:tcBorders/>
            <w:tcW w:w="2647"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647"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647"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647"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bCs w:val="0"/>
                <w:i w:val="0"/>
                <w:color w:val="ee0000"/>
              </w:rPr>
            </w:pPr>
            <w:r>
              <w:rPr>
                <w:color w:val="000000" w:themeColor="text1"/>
                <w:lang w:val="pt-BR"/>
              </w:rPr>
            </w:r>
            <w:r>
              <w:rPr>
                <w:bCs/>
                <w:i w:val="0"/>
                <w:iCs w:val="0"/>
                <w:color w:val="000000" w:themeColor="text1"/>
                <w:lang w:val="pt-BR"/>
              </w:rPr>
              <w:t xml:space="preserve">Phường An Hải, thành phố H</w:t>
            </w:r>
            <w:r>
              <w:rPr>
                <w:bCs/>
                <w:i w:val="0"/>
                <w:iCs w:val="0"/>
                <w:color w:val="000000" w:themeColor="text1"/>
                <w:lang w:val="pt-BR"/>
              </w:rPr>
              <w:t xml:space="preserve">ải Phòng.</w:t>
            </w:r>
            <w:r>
              <w:rPr>
                <w:bCs w:val="0"/>
                <w:i w:val="0"/>
                <w:color w:val="ee0000"/>
              </w:rPr>
            </w:r>
            <w:r>
              <w:rPr>
                <w:bCs w:val="0"/>
                <w:i w:val="0"/>
                <w:color w:val="ee0000"/>
              </w:rPr>
            </w:r>
          </w:p>
        </w:tc>
      </w:tr>
      <w:tr>
        <w:trPr>
          <w:trHeight w:val="20"/>
        </w:trPr>
        <w:tc>
          <w:tcPr>
            <w:tcBorders/>
            <w:tcW w:w="2647"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20.8603785, 106.6447888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647"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16"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Nguyễn Thị </w:t>
      </w:r>
      <w:r>
        <w:rPr>
          <w:color w:val="ff0000"/>
        </w:rPr>
        <w:t xml:space="preserve">Huấn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275/2026/0711/VFI-HĐTĐ.24.A ngày 12/5/2026 giữa Bà Phạm Tú Quỳnh Anh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i/>
          <w:color w:val="000000"/>
          <w:sz w:val="24"/>
        </w:rPr>
        <w:t xml:space="preserve">Số lượng dự án bất động sản tăng gần gấp đôi trong 5 năm qua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w:t>
      </w:r>
      <w:r>
        <w:rPr>
          <w:rFonts w:ascii="Times New Roman" w:hAnsi="Times New Roman" w:eastAsia="Times New Roman" w:cs="Times New Roman"/>
          <w:color w:val="000000"/>
          <w:sz w:val="24"/>
        </w:rPr>
        <w:t xml:space="preserve"> tư từ nhiều địa phương như Hà Nội, Hải Dương, Hưng Yên, và cả từ phía Nam, tìm kiếm cơ hội mua bất động sản. Khu vực Thuỷ Nguyên, An Dương và Dương Kinh là những điểm đến được họ chú ý nhiều nhất.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anh Tiến, sự thay đổi này là rất rõ rệt so với 3-4 năm trước bởi bất động sản Hải Phòng trước đây khá khép kín, với ít sự tham gia của nhà đầu tư từ tỉnh khác, nhất là khi so sánh với Quảng Ninh. Quảng Ninh đã phát triển thị trường sớm hơn, với sự đa</w:t>
      </w:r>
      <w:r>
        <w:rPr>
          <w:rFonts w:ascii="Times New Roman" w:hAnsi="Times New Roman" w:eastAsia="Times New Roman" w:cs="Times New Roman"/>
          <w:color w:val="000000"/>
          <w:sz w:val="24"/>
        </w:rPr>
        <w:t xml:space="preserve"> dạng về sản phẩm phục vụ nhu cầu ở, dịch vụ và nghỉ dưỡng cao cấp.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và giá nhà đất tăng 10–30% tùy khu vực trong quý 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quý I/2025, ông Nguyễn Quang Văn - Chủ tịch Hiệp hội Bất động sản Hải Phòng, cho biết các sàn giao dịch trong thành phố ghi nhận lượng giao dịch tăng khoảng 30% so với cùng kỳ năm 2024, với giá cả biến động 10-30% tùy thuộc vào từng phân khúc và khu</w:t>
      </w:r>
      <w:r>
        <w:rPr>
          <w:rFonts w:ascii="Times New Roman" w:hAnsi="Times New Roman" w:eastAsia="Times New Roman" w:cs="Times New Roman"/>
          <w:color w:val="000000"/>
          <w:sz w:val="24"/>
        </w:rPr>
        <w:t xml:space="preserve"> vực. Đặc biệt, giá đất nền thay đổi mạnh mẽ tại Thủy Nguyên, Tràng Cát và Dương Kinh. Hiệp hội Môi giới Bất động sản Việt Nam (VARS) cũng cho hay lượng giao dịch và giá bán thứ cấp tại Hải Phòng đang có xu hướng tăng bình quân từ 5-10%, riêng Thủy Nguyên </w:t>
      </w:r>
      <w:r>
        <w:rPr>
          <w:rFonts w:ascii="Times New Roman" w:hAnsi="Times New Roman" w:eastAsia="Times New Roman" w:cs="Times New Roman"/>
          <w:color w:val="000000"/>
          <w:sz w:val="24"/>
        </w:rPr>
        <w:t xml:space="preserve">ghi nhận mức tăng lên tới 30%. Các dự án nhà thấp tầng và nhà xã hội mới mở bán cũng đạt tỷ lệ hấp thụ trên 60%.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thu hút nhà đầu tư khắp cả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đánh giá từ các đơn vị nghiên cứu và giới chuyên gia, một trong những lý do chủ yếu khiến Hải Phòng trở thành một trong những thị trường bất động sản sôi động và được chú ý hàng đầu tại miền Bắc, nhất là Hà Nội, Hưng Yên và miền Nam với hàng loạt dự </w:t>
      </w:r>
      <w:r>
        <w:rPr>
          <w:rFonts w:ascii="Times New Roman" w:hAnsi="Times New Roman" w:eastAsia="Times New Roman" w:cs="Times New Roman"/>
          <w:color w:val="000000"/>
          <w:sz w:val="24"/>
        </w:rPr>
        <w:t xml:space="preserve">án khu đô thị và chung cư cao cấp. Trong khoảng một năm qua, số lượng dự án khu đô thị, chung cư thương mại và nhà xã hội được đầu tư tại thành phố cảng cũng nằm trong nhóm cao nhất toàn quốc.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Hạ tầng và vị thế kinh tế tạo lực đẩy cho thị trường địa ốc Hải Phòng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cho biết Hải Phòng đang có nhiều yếu tố thuận lợi để thị trường địa ốc tiếp tục phát triển trong thời gian tới. Thành phố này nằm trong vùng tam giác kinh tế phát triển cùng với Hà Nội và Quảng Ninh, sở hữu hệ thống cảng biển lớn nhất miền Bắc và </w:t>
      </w:r>
      <w:r>
        <w:rPr>
          <w:rFonts w:ascii="Times New Roman" w:hAnsi="Times New Roman" w:eastAsia="Times New Roman" w:cs="Times New Roman"/>
          <w:color w:val="000000"/>
          <w:sz w:val="24"/>
        </w:rPr>
        <w:t xml:space="preserve">hạ tầng giao thông đa dạng.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tháng vừa qua, Hải Phòng đã đưa vào hoạt động thêm 2 bến cảng nước sâu (số 3 và 4) thuộc cụm cảng Lạch Huyện, với tổng giá trị 7.000 tỷ đồng, có khả năng xử lý sản lượng hàng hóa lên tới 1,5 triệu TEU mỗi năm. Trước đó, bến cảng số 5 và 6 cũng đã ch</w:t>
      </w:r>
      <w:r>
        <w:rPr>
          <w:rFonts w:ascii="Times New Roman" w:hAnsi="Times New Roman" w:eastAsia="Times New Roman" w:cs="Times New Roman"/>
          <w:color w:val="000000"/>
          <w:sz w:val="24"/>
        </w:rPr>
        <w:t xml:space="preserve">ính thức hoạt động, cho phép đón cùng lúc 2 tàu container lớn nhất thế giới hiện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Sân bay quốc tế Cát Bi cũng đang được mở rộng sân đỗ và sẽ xây dựng nhà ga hành khách T2, được thiết kế với công suất 5 triệu hành khách mỗi năm khi hoàn thành. Một tuyến giao thông quan trọng khác, có vai trò lớn trong sự phát triển của thành phố trong t</w:t>
      </w:r>
      <w:r>
        <w:rPr>
          <w:rFonts w:ascii="Times New Roman" w:hAnsi="Times New Roman" w:eastAsia="Times New Roman" w:cs="Times New Roman"/>
          <w:color w:val="000000"/>
          <w:sz w:val="24"/>
        </w:rPr>
        <w:t xml:space="preserve">ương lai, là đường sắt Lào Cai - Hà Nội - Hải Phòng, với tổng mức đầu tư dự kiến là 11 tỷ USD. Mới đây, Thủ tướng đã yêu cầu khởi công dự án này vào cuối năm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lĩnh vực bất động sản khu công nghiệp, Hải Phòng cũng là một trong những địa phương phát triển mạnh mẽ nhất cả nước, với các khu công nghiệp như Tràng Duệ, VSIP, Đình Vũ, Deep C thu hút nhiều doanh nghiệp nổi tiếng trong và ngoài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Sáp nhập Hải Dương – Hải Phòng: Gia tăng nhu cầu nhà ở, dịch vụ</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w:t>
      </w:r>
      <w:r>
        <w:rPr>
          <w:rFonts w:ascii="Times New Roman" w:hAnsi="Times New Roman" w:eastAsia="Times New Roman" w:cs="Times New Roman"/>
          <w:color w:val="000000"/>
          <w:sz w:val="24"/>
        </w:rPr>
        <w:t xml:space="preserve">ực lân cận, góp phần làm phong phú thêm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w:t>
      </w:r>
      <w:r>
        <w:rPr>
          <w:rFonts w:ascii="Times New Roman" w:hAnsi="Times New Roman" w:eastAsia="Times New Roman" w:cs="Times New Roman"/>
          <w:color w:val="000000"/>
          <w:sz w:val="24"/>
        </w:rPr>
        <w:t xml:space="preserve">tư và doanh nghiệp khai thác tiềm năng phát triển của thành phố.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Hải Phòng hấp dẫn doanh nghiệp và người dân đến an cư,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Hiện nay, Hải Phòng có diện tích tự nhiên vượt quá 1.500 km² và dân số đạt hơn 2,1 triệu người. Năm 2024, thành phố ghi nhận tốc độ tăng trưởng tổng sản phẩm trên địa bàn (GRDP) khoảng 11%, xếp thứ ba trong cả nước. Đây cũng là năm thứ mười liên tiếp Hải </w:t>
      </w:r>
      <w:r>
        <w:rPr>
          <w:rFonts w:ascii="Times New Roman" w:hAnsi="Times New Roman" w:eastAsia="Times New Roman" w:cs="Times New Roman"/>
          <w:color w:val="000000"/>
          <w:sz w:val="24"/>
        </w:rPr>
        <w:t xml:space="preserve">Phòng duy trì được mức tăng trưởng hai con số.</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w:t>
      </w:r>
      <w:r>
        <w:rPr>
          <w:rFonts w:ascii="Times New Roman" w:hAnsi="Times New Roman" w:eastAsia="Times New Roman" w:cs="Times New Roman"/>
          <w:color w:val="000000"/>
          <w:sz w:val="24"/>
        </w:rPr>
        <w:t xml:space="preserve">tương lai kinh tế vững mạnh cho thành phố cảng.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i/>
          <w:color w:val="000000"/>
          <w:sz w:val="24"/>
          <w:u w:val="none"/>
        </w:rPr>
        <w:t xml:space="preserve">(Nguồn tham khảo: </w:t>
      </w:r>
      <w:hyperlink r:id="rId17" w:tooltip="https://onehousing.vn/blog/bat-dong-san-hai-phong-nam-2025-troi-day-manh-me-nho-loat-dai-du-an-ty-do-n17t)" w:history="1">
        <w:r>
          <w:rPr>
            <w:rStyle w:val="1019"/>
            <w:rFonts w:ascii="Times New Roman" w:hAnsi="Times New Roman" w:eastAsia="Times New Roman" w:cs="Times New Roman"/>
            <w:i/>
            <w:color w:val="000000"/>
            <w:sz w:val="24"/>
            <w:u w:val="none"/>
          </w:rPr>
          <w:t xml:space="preserve">https://onehousing.vn/blog/bat-dong-san-hai-phong-nam-2025-troi-day-manh-me-nho-loat-dai-du-an-ty-do-n17t)</w:t>
        </w:r>
      </w:hyperlink>
      <w:r>
        <w:rPr>
          <w:u w:val="none"/>
        </w:rPr>
      </w:r>
      <w:r>
        <w:rPr>
          <w:u w:val="none"/>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341"/>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b/>
                <w:bCs/>
                <w:color w:val="000000" w:themeColor="text1"/>
              </w:rPr>
              <w:t xml:space="preserve">Quyền sử dụng đất tại thửa đất số: 407 (tách từ thửa 224); tờ bản đồ số 11,  địa chỉ: Thôn Vĩnh Khê, xã An Đồng, huyện An Dương, thành phố Hải Phòng </w:t>
            </w:r>
            <w:r>
              <w:rPr>
                <w:b/>
                <w:bCs/>
                <w:i/>
                <w:iCs/>
                <w:color w:val="000000" w:themeColor="text1"/>
              </w:rPr>
              <w:t xml:space="preserve">(Nay là phường An Hải, thành phố H</w:t>
            </w:r>
            <w:r>
              <w:rPr>
                <w:b/>
                <w:bCs/>
                <w:i/>
                <w:iCs/>
                <w:color w:val="000000" w:themeColor="text1"/>
              </w:rPr>
              <w:t xml:space="preserve">ải Phòng)</w:t>
            </w:r>
            <w:r>
              <w:rPr>
                <w:b/>
                <w:bCs/>
                <w:color w:val="000000" w:themeColor="text1"/>
              </w:rPr>
              <w:t xml:space="preserve"> theo Giấy chứng nhận quyền sử dụng đất, quyền sở hữu nhà ở và tài sản khác gắn liền với đất số: DB 250275, số vào sổ cấp GCN: CS 00127 do Sở Tài nguyên và Môi trường thành phố Hải Phòng cấp ngày 01/3/2011 cho Ông Phan Quốc Dũng và vợ là Bà Nguyễn Thị </w:t>
            </w:r>
            <w:r>
              <w:rPr>
                <w:b/>
                <w:bCs/>
                <w:color w:val="000000" w:themeColor="text1"/>
              </w:rPr>
              <w:t xml:space="preserve">Huấn.</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407 (tách từ thửa 224)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Vĩnh Khê, xã An Đồng, huyện An Dương, thành phố Hải Phòng </w:t>
            </w:r>
            <w:r>
              <w:rPr>
                <w:rFonts w:ascii="Times New Roman" w:hAnsi="Times New Roman" w:eastAsia="Times New Roman" w:cs="Times New Roman"/>
                <w:i/>
                <w:color w:val="000000"/>
                <w:sz w:val="24"/>
              </w:rPr>
              <w:t xml:space="preserve">(Nay là phường An Hải, thành phố Hải Phòng)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02 mặt ngõ</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Máng nước khoảng 300m.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Hướng Nam và hướng Tây: giáp ngõ bê tông;</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Các hướng còn lại tiép giáp các thửa liền kề</w:t>
            </w:r>
            <w:r>
              <w:rPr>
                <w:rFonts w:ascii="Times New Roman" w:hAnsi="Times New Roman" w:eastAsia="Times New Roman" w:cs="Times New Roman"/>
                <w:sz w:val="24"/>
              </w:rPr>
            </w:r>
            <w:bookmarkStart w:id="3" w:name="OLE_LINK1"/>
            <w:r>
              <w:rPr>
                <w:color w:val="000000" w:themeColor="text1"/>
              </w:rPr>
            </w:r>
            <w:bookmarkEnd w:id="3"/>
            <w:r>
              <w:rPr>
                <w:rFonts w:ascii="Times New Roman" w:hAnsi="Times New Roman" w:eastAsia="Times New Roman" w:cs="Times New Roman"/>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20.8603785</w:t>
            </w:r>
            <w:r>
              <w:rPr>
                <w:color w:val="000000"/>
              </w:rPr>
              <w:t xml:space="preserve">, </w:t>
            </w:r>
            <w:r>
              <w:rPr>
                <w:color w:val="000000"/>
              </w:rPr>
              <w:t xml:space="preserve">106.6447888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42595" cy="246961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42594" cy="2469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8pt;height:194.4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firstLine="709"/>
              <w:jc w:val="left"/>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xây dựng là nhà 03 tầng, kết cấu bê tông cốt thép, diện tích xây dựng: 52m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diện tích sàn xây dựng: 165m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đã hoàn thiện đang sử dụng bình thường. Công trình xây dựng chưa được chứng nhận trên GCN số: DB 250275. </w:t>
            </w:r>
            <w:r>
              <w:rPr>
                <w:rFonts w:ascii="Times New Roman" w:hAnsi="Times New Roman" w:eastAsia="Times New Roman" w:cs="Times New Roman"/>
                <w:color w:val="000000"/>
                <w:sz w:val="24"/>
              </w:rPr>
              <w:t xml:space="preserve">Do đó, theo đề nghị của Ngân hàng/khách hàng, Tổ thẩm định  không xác định giá trị của công trình xây dựng.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1167"/>
        <w:gridCol w:w="1663"/>
        <w:gridCol w:w="2012"/>
        <w:gridCol w:w="1843"/>
        <w:gridCol w:w="1134"/>
        <w:gridCol w:w="1697"/>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12"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97"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012" w:type="dxa"/>
            <w:vAlign w:val="center"/>
            <w:textDirection w:val="lrTb"/>
            <w:noWrap w:val="false"/>
          </w:tcPr>
          <w:p>
            <w:pPr>
              <w:pBdr/>
              <w:spacing/>
              <w:ind/>
              <w:jc w:val="center"/>
              <w:rPr/>
            </w:pPr>
            <w:r>
              <w:t xml:space="preserve">thôn Vĩnh Khê xã An Đồng huyện An Dương thành phố Hải Phòng</w:t>
            </w:r>
            <w:r/>
          </w:p>
        </w:tc>
        <w:tc>
          <w:tcPr>
            <w:tcBorders/>
            <w:tcW w:w="1843" w:type="dxa"/>
            <w:vAlign w:val="center"/>
            <w:textDirection w:val="lrTb"/>
            <w:noWrap w:val="false"/>
          </w:tcPr>
          <w:p>
            <w:pPr>
              <w:pBdr/>
              <w:spacing/>
              <w:ind/>
              <w:jc w:val="center"/>
              <w:rPr/>
            </w:pPr>
            <w:r>
              <w:t xml:space="preserve">phường An Hải, thành phố Hải Phòng</w:t>
            </w:r>
            <w:r>
              <w:t xml:space="preserve"> ✔</w:t>
            </w:r>
            <w:r/>
          </w:p>
        </w:tc>
        <w:tc>
          <w:tcPr>
            <w:tcBorders/>
            <w:tcW w:w="1134" w:type="dxa"/>
            <w:vAlign w:val="center"/>
            <w:textDirection w:val="lrTb"/>
            <w:noWrap w:val="false"/>
          </w:tcPr>
          <w:p>
            <w:pPr>
              <w:pBdr/>
              <w:spacing/>
              <w:ind/>
              <w:jc w:val="center"/>
              <w:rPr/>
            </w:pPr>
            <w:r>
              <w:t xml:space="preserve">Có</w:t>
            </w:r>
            <w:r/>
          </w:p>
        </w:tc>
        <w:tc>
          <w:tcPr>
            <w:tcBorders/>
            <w:tcW w:w="1697" w:type="dxa"/>
            <w:vAlign w:val="center"/>
            <w:textDirection w:val="lrTb"/>
            <w:noWrap w:val="false"/>
          </w:tcPr>
          <w:p>
            <w:pPr>
              <w:pBdr/>
              <w:spacing/>
              <w:ind/>
              <w:jc w:val="center"/>
              <w:rPr/>
            </w:pPr>
            <w:r>
              <w:t xml:space="preserve">Sáp nhập địa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012"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43"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012" w:type="dxa"/>
            <w:vAlign w:val="center"/>
            <w:textDirection w:val="lrTb"/>
            <w:noWrap w:val="false"/>
          </w:tcPr>
          <w:p>
            <w:pPr>
              <w:pBdr/>
              <w:spacing/>
              <w:ind/>
              <w:jc w:val="center"/>
              <w:rPr/>
            </w:pPr>
            <w:r>
              <w:t xml:space="preserve">Đất ở tại nông thôn</w:t>
            </w:r>
            <w:r/>
          </w:p>
        </w:tc>
        <w:tc>
          <w:tcPr>
            <w:tcBorders/>
            <w:tcW w:w="1843" w:type="dxa"/>
            <w:vAlign w:val="center"/>
            <w:textDirection w:val="lrTb"/>
            <w:noWrap w:val="false"/>
          </w:tcPr>
          <w:p>
            <w:pPr>
              <w:pBdr/>
              <w:spacing/>
              <w:ind/>
              <w:jc w:val="center"/>
              <w:rPr/>
            </w:pPr>
            <w:r>
              <w:t xml:space="preserve">Đất ở tại nông thôn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012" w:type="dxa"/>
            <w:vAlign w:val="center"/>
            <w:textDirection w:val="lrTb"/>
            <w:noWrap w:val="false"/>
          </w:tcPr>
          <w:p>
            <w:pPr>
              <w:pBdr/>
              <w:spacing/>
              <w:ind/>
              <w:jc w:val="center"/>
              <w:rPr/>
            </w:pPr>
            <w:r>
              <w:t xml:space="preserve">Lâu dài</w:t>
            </w:r>
            <w:r/>
          </w:p>
        </w:tc>
        <w:tc>
          <w:tcPr>
            <w:tcBorders/>
            <w:tcW w:w="1843" w:type="dxa"/>
            <w:vAlign w:val="center"/>
            <w:textDirection w:val="lrTb"/>
            <w:noWrap w:val="false"/>
          </w:tcPr>
          <w:p>
            <w:pPr>
              <w:pBdr/>
              <w:spacing/>
              <w:ind/>
              <w:jc w:val="center"/>
              <w:rPr/>
            </w:pPr>
            <w:r>
              <w:t xml:space="preserve">Lâu dài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012" w:type="dxa"/>
            <w:vAlign w:val="center"/>
            <w:textDirection w:val="lrTb"/>
            <w:noWrap w:val="false"/>
          </w:tcPr>
          <w:p>
            <w:pPr>
              <w:pBdr/>
              <w:spacing/>
              <w:ind/>
              <w:jc w:val="center"/>
              <w:rPr/>
            </w:pPr>
            <w:r>
              <w:t xml:space="preserve">3,0</w:t>
            </w:r>
            <w:r/>
          </w:p>
        </w:tc>
        <w:tc>
          <w:tcPr>
            <w:tcBorders/>
            <w:tcW w:w="1843" w:type="dxa"/>
            <w:vAlign w:val="center"/>
            <w:textDirection w:val="lrTb"/>
            <w:noWrap w:val="false"/>
          </w:tcPr>
          <w:p>
            <w:pPr>
              <w:pBdr/>
              <w:spacing/>
              <w:ind/>
              <w:jc w:val="center"/>
              <w:rPr/>
            </w:pPr>
            <w:r>
              <w:t xml:space="preserve">4,0 ✔</w:t>
            </w:r>
            <w:r/>
          </w:p>
        </w:tc>
        <w:tc>
          <w:tcPr>
            <w:tcBorders/>
            <w:tcW w:w="1134" w:type="dxa"/>
            <w:vAlign w:val="center"/>
            <w:textDirection w:val="lrTb"/>
            <w:noWrap w:val="false"/>
          </w:tcPr>
          <w:p>
            <w:pPr>
              <w:pBdr/>
              <w:spacing/>
              <w:ind/>
              <w:jc w:val="center"/>
              <w:rPr/>
            </w:pPr>
            <w:r>
              <w:t xml:space="preserve">0</w:t>
            </w:r>
            <w:r/>
          </w:p>
        </w:tc>
        <w:tc>
          <w:tcPr>
            <w:tcBorders/>
            <w:tcW w:w="1697" w:type="dxa"/>
            <w:vAlign w:val="center"/>
            <w:textDirection w:val="lrTb"/>
            <w:noWrap w:val="false"/>
          </w:tcPr>
          <w:p>
            <w:pPr>
              <w:pBdr/>
              <w:spacing/>
              <w:ind/>
              <w:jc w:val="center"/>
              <w:rPr/>
            </w:pPr>
            <w:r>
              <w:t xml:space="preserve">Đo đạc theo hiện trạng</w:t>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2012" w:type="dxa"/>
            <w:vAlign w:val="center"/>
            <w:textDirection w:val="lrTb"/>
            <w:noWrap w:val="false"/>
          </w:tcPr>
          <w:p>
            <w:pPr>
              <w:pBdr/>
              <w:spacing/>
              <w:ind/>
              <w:jc w:val="center"/>
              <w:rPr/>
            </w:pPr>
            <w:r>
              <w:t xml:space="preserve">52,0</w:t>
            </w:r>
            <w:r/>
          </w:p>
        </w:tc>
        <w:tc>
          <w:tcPr>
            <w:tcBorders/>
            <w:tcW w:w="1843" w:type="dxa"/>
            <w:vAlign w:val="center"/>
            <w:textDirection w:val="lrTb"/>
            <w:noWrap w:val="false"/>
          </w:tcPr>
          <w:p>
            <w:pPr>
              <w:pBdr/>
              <w:spacing/>
              <w:ind/>
              <w:jc w:val="center"/>
              <w:rPr/>
            </w:pPr>
            <w:r>
              <w:t xml:space="preserve">52,0 ✔</w:t>
            </w:r>
            <w:r/>
          </w:p>
        </w:tc>
        <w:tc>
          <w:tcPr>
            <w:tcBorders/>
            <w:tcW w:w="1134" w:type="dxa"/>
            <w:vAlign w:val="center"/>
            <w:textDirection w:val="lrTb"/>
            <w:noWrap w:val="false"/>
          </w:tcPr>
          <w:p>
            <w:pPr>
              <w:pBdr/>
              <w:spacing/>
              <w:ind/>
              <w:jc w:val="center"/>
              <w:rPr/>
            </w:pPr>
            <w:r>
              <w:t xml:space="preserve">0</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2012" w:type="dxa"/>
            <w:vAlign w:val="center"/>
            <w:textDirection w:val="lrTb"/>
            <w:noWrap w:val="false"/>
          </w:tcPr>
          <w:p>
            <w:pPr>
              <w:pBdr/>
              <w:spacing/>
              <w:ind/>
              <w:jc w:val="center"/>
              <w:rPr/>
            </w:pPr>
            <w:r>
              <w:t xml:space="preserve">5,2</w:t>
            </w:r>
            <w:r/>
          </w:p>
        </w:tc>
        <w:tc>
          <w:tcPr>
            <w:tcBorders/>
            <w:tcW w:w="1843" w:type="dxa"/>
            <w:vAlign w:val="center"/>
            <w:textDirection w:val="lrTb"/>
            <w:noWrap w:val="false"/>
          </w:tcPr>
          <w:p>
            <w:pPr>
              <w:pBdr/>
              <w:spacing/>
              <w:ind/>
              <w:jc w:val="center"/>
              <w:rPr/>
            </w:pPr>
            <w:r>
              <w:t xml:space="preserve">5,2 ✔</w:t>
            </w:r>
            <w:r/>
          </w:p>
        </w:tc>
        <w:tc>
          <w:tcPr>
            <w:tcBorders/>
            <w:tcW w:w="1134" w:type="dxa"/>
            <w:vAlign w:val="center"/>
            <w:textDirection w:val="lrTb"/>
            <w:noWrap w:val="false"/>
          </w:tcPr>
          <w:p>
            <w:pPr>
              <w:pBdr/>
              <w:spacing/>
              <w:ind/>
              <w:jc w:val="center"/>
              <w:rPr/>
            </w:pPr>
            <w:r>
              <w:t xml:space="preserve">0</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2012" w:type="dxa"/>
            <w:vAlign w:val="center"/>
            <w:textDirection w:val="lrTb"/>
            <w:noWrap w:val="false"/>
          </w:tcPr>
          <w:p>
            <w:pPr>
              <w:pBdr/>
              <w:spacing/>
              <w:ind/>
              <w:jc w:val="center"/>
              <w:rPr/>
            </w:pPr>
            <w:r>
              <w:t xml:space="preserve">Tiếp giáp 2 mặt ngõ</w:t>
            </w:r>
            <w:r/>
          </w:p>
        </w:tc>
        <w:tc>
          <w:tcPr>
            <w:tcBorders/>
            <w:tcW w:w="1843" w:type="dxa"/>
            <w:vAlign w:val="center"/>
            <w:textDirection w:val="lrTb"/>
            <w:noWrap w:val="false"/>
          </w:tcPr>
          <w:p>
            <w:pPr>
              <w:pBdr/>
              <w:spacing/>
              <w:ind/>
              <w:jc w:val="center"/>
              <w:rPr/>
            </w:pPr>
            <w:r>
              <w:t xml:space="preserve">Tiếp giáp 2 mặt ngõ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2012" w:type="dxa"/>
            <w:vAlign w:val="center"/>
            <w:textDirection w:val="lrTb"/>
            <w:noWrap w:val="false"/>
          </w:tcPr>
          <w:p>
            <w:pPr>
              <w:pBdr/>
              <w:spacing/>
              <w:ind/>
              <w:jc w:val="center"/>
              <w:rPr/>
            </w:pPr>
            <w:r>
              <w:t xml:space="preserve">Hình chữ nhật</w:t>
            </w:r>
            <w:r/>
          </w:p>
        </w:tc>
        <w:tc>
          <w:tcPr>
            <w:tcBorders/>
            <w:tcW w:w="1843" w:type="dxa"/>
            <w:vAlign w:val="center"/>
            <w:textDirection w:val="lrTb"/>
            <w:noWrap w:val="false"/>
          </w:tcPr>
          <w:p>
            <w:pPr>
              <w:pBdr/>
              <w:spacing/>
              <w:ind/>
              <w:jc w:val="center"/>
              <w:rPr/>
            </w:pPr>
            <w:r>
              <w:t xml:space="preserve">Hình chữ nhật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2012" w:type="dxa"/>
            <w:vAlign w:val="center"/>
            <w:textDirection w:val="lrTb"/>
            <w:noWrap w:val="false"/>
          </w:tcPr>
          <w:p>
            <w:pPr>
              <w:pBdr/>
              <w:spacing/>
              <w:ind/>
              <w:jc w:val="center"/>
              <w:rPr/>
            </w:pPr>
            <w:r>
              <w:t xml:space="preserve">Tây và Nam</w:t>
            </w:r>
            <w:r/>
          </w:p>
        </w:tc>
        <w:tc>
          <w:tcPr>
            <w:tcBorders/>
            <w:tcW w:w="1843" w:type="dxa"/>
            <w:vAlign w:val="center"/>
            <w:textDirection w:val="lrTb"/>
            <w:noWrap w:val="false"/>
          </w:tcPr>
          <w:p>
            <w:pPr>
              <w:pBdr/>
              <w:spacing/>
              <w:ind/>
              <w:jc w:val="center"/>
              <w:rPr/>
            </w:pPr>
            <w:r>
              <w:t xml:space="preserve">Tây và Nam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134"/>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134"/>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rFonts w:ascii="Times New Roman" w:hAnsi="Times New Roman" w:eastAsia="Times New Roman" w:cs="Times New Roman"/>
          <w:color w:val="000000"/>
          <w:sz w:val="24"/>
        </w:rPr>
        <w:t xml:space="preserve">Tại thời điểm khảo sát trên đất có công trình xây dựng là nhà 03 tầng, kết cấu bê tông cốt thép, diện tích xây dựng: 52m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diện tích sàn xây dựng: 165m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đã hoàn thiện đang sử dụng bình thường. Công trình xây dựng chưa được chứng nhận trên GCN số: DB 250275, </w:t>
      </w:r>
      <w:r>
        <w:rPr>
          <w:rFonts w:ascii="Times New Roman" w:hAnsi="Times New Roman" w:eastAsia="Times New Roman" w:cs="Times New Roman"/>
          <w:color w:val="000000"/>
          <w:sz w:val="24"/>
        </w:rPr>
        <w:t xml:space="preserve">do đó, theo đề nghị của Ngân hàng/khách hàng, Tổ thẩm định không xác định giá trị của công trình xây dựng.</w:t>
      </w:r>
      <w:r>
        <w:rPr>
          <w:spacing w:val="-2"/>
          <w:highlight w:val="none"/>
          <w:lang w:val="pt-BR"/>
        </w:rPr>
        <w:t xml:space="preserve"> Tuy nhiên, công trình xây dựng là một phần không thể tách rời của tài sản thẩm định. Đề nghị các bên sử dụng kết quả lưu ý.</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spacing w:val="-2"/>
          <w:lang w:val="pt-BR"/>
        </w:rPr>
        <w:t xml:space="preserve">.</w:t>
      </w:r>
      <w:r>
        <w:rPr>
          <w:lang w:val="de-DE"/>
        </w:rPr>
      </w:r>
      <w:r>
        <w:rPr>
          <w:lang w:val="de-DE"/>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Hải, thành phố Hải Phòng</w:t>
            </w:r>
            <w:r>
              <w:rPr>
                <w:sz w:val="22"/>
                <w:szCs w:val="22"/>
              </w:rPr>
            </w:r>
            <w:r>
              <w:rPr>
                <w:sz w:val="22"/>
                <w:szCs w:val="22"/>
              </w:rPr>
            </w:r>
          </w:p>
        </w:tc>
      </w:tr>
      <w:tr>
        <w:trPr>
          <w:trHeight w:val="16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https://www.facebook.com/groups/www.nhadathaiphong.vn/posts/3125393890985841/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https://www.facebook.com/groups/www.nhadathaiphong.vn/posts/3148806495311247/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0915.075.517</w:t>
            </w:r>
            <w:r>
              <w:rPr>
                <w:sz w:val="22"/>
                <w:szCs w:val="22"/>
              </w:rPr>
              <w:t xml:space="preserve"> </w:t>
            </w:r>
            <w:r>
              <w:rPr>
                <w:sz w:val="22"/>
                <w:szCs w:val="22"/>
              </w:rPr>
              <w:br/>
              <w:t xml:space="preserve">(</w:t>
            </w:r>
            <w:r>
              <w:rPr>
                <w:sz w:val="22"/>
                <w:szCs w:val="22"/>
              </w:rPr>
              <w:t xml:space="preserve">Thảo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0915.075.517</w:t>
            </w:r>
            <w:r>
              <w:rPr>
                <w:sz w:val="22"/>
                <w:szCs w:val="22"/>
              </w:rPr>
              <w:br/>
            </w:r>
            <w:r>
              <w:rPr>
                <w:sz w:val="22"/>
                <w:szCs w:val="22"/>
              </w:rPr>
              <w:t xml:space="preserve">(</w:t>
            </w:r>
            <w:r>
              <w:rPr>
                <w:sz w:val="22"/>
                <w:szCs w:val="22"/>
              </w:rPr>
              <w:t xml:space="preserve">Thảo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0934.336646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3.051.000.000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i/>
                <w:color w:val="000000" w:themeColor="text1"/>
                <w:sz w:val="22"/>
                <w:szCs w:val="22"/>
                <w14:ligatures w14:val="none"/>
              </w:rPr>
            </w:pPr>
            <w:r>
              <w:rPr>
                <w:b/>
                <w:bCs/>
                <w:i/>
                <w:iCs/>
                <w:color w:val="000000" w:themeColor="text1"/>
                <w:sz w:val="22"/>
                <w:szCs w:val="22"/>
              </w:rPr>
              <w:t xml:space="preserve">971.214.599</w:t>
            </w:r>
            <w:r>
              <w:rPr>
                <w:b/>
                <w:bCs/>
                <w:i/>
                <w:color w:val="000000" w:themeColor="text1"/>
                <w:sz w:val="22"/>
                <w:szCs w:val="22"/>
                <w14:ligatures w14:val="none"/>
              </w:rPr>
            </w:r>
            <w:r>
              <w:rPr>
                <w:b/>
                <w:bCs/>
                <w:i/>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i/>
                <w:color w:val="000000" w:themeColor="text1"/>
                <w:sz w:val="22"/>
                <w:szCs w:val="22"/>
                <w14:ligatures w14:val="none"/>
              </w:rPr>
            </w:pPr>
            <w:r>
              <w:rPr>
                <w:b/>
                <w:bCs/>
                <w:i/>
                <w:iCs/>
                <w:color w:val="000000" w:themeColor="text1"/>
                <w:sz w:val="22"/>
                <w:szCs w:val="22"/>
              </w:rPr>
              <w:t xml:space="preserve">973.811.430</w:t>
            </w:r>
            <w:r>
              <w:rPr>
                <w:b/>
                <w:bCs/>
                <w:i/>
                <w:color w:val="000000" w:themeColor="text1"/>
                <w:sz w:val="22"/>
                <w:szCs w:val="22"/>
                <w14:ligatures w14:val="none"/>
              </w:rPr>
            </w:r>
            <w:r>
              <w:rPr>
                <w:b/>
                <w:bCs/>
                <w:i/>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i/>
                <w:color w:val="000000" w:themeColor="text1"/>
                <w:sz w:val="22"/>
                <w:szCs w:val="22"/>
                <w14:ligatures w14:val="none"/>
              </w:rPr>
            </w:pPr>
            <w:r>
              <w:rPr>
                <w:b/>
                <w:bCs/>
                <w:i/>
                <w:iCs/>
                <w:color w:val="000000" w:themeColor="text1"/>
                <w:sz w:val="22"/>
                <w:szCs w:val="22"/>
              </w:rPr>
              <w:t xml:space="preserve">941.351.049</w:t>
            </w:r>
            <w:r>
              <w:rPr>
                <w:b/>
                <w:bCs/>
                <w:i/>
                <w:color w:val="000000" w:themeColor="text1"/>
                <w:sz w:val="22"/>
                <w:szCs w:val="22"/>
                <w14:ligatures w14:val="none"/>
              </w:rPr>
            </w:r>
            <w:r>
              <w:rPr>
                <w:b/>
                <w:bCs/>
                <w:i/>
                <w:color w:val="000000" w:themeColor="text1"/>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suất vốn 425/QĐ-BXD</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color w:val="000000" w:themeColor="text1"/>
                <w:sz w:val="22"/>
                <w:szCs w:val="22"/>
              </w:rPr>
            </w:pPr>
            <w:r>
              <w:rPr>
                <w:b w:val="0"/>
                <w:bCs w:val="0"/>
                <w:i/>
                <w:iCs/>
                <w:color w:val="000000" w:themeColor="text1"/>
                <w:sz w:val="22"/>
                <w:szCs w:val="22"/>
              </w:rPr>
              <w:t xml:space="preserve">7.213.418</w:t>
            </w:r>
            <w:r>
              <w:rPr>
                <w:b w:val="0"/>
                <w:bCs/>
                <w:i/>
                <w:color w:val="000000" w:themeColor="text1"/>
                <w:sz w:val="22"/>
                <w:szCs w:val="22"/>
              </w:rPr>
            </w:r>
            <w:r>
              <w:rPr>
                <w:b w:val="0"/>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rPr>
            </w:pPr>
            <w:r>
              <w:rPr>
                <w:b w:val="0"/>
                <w:bCs w:val="0"/>
                <w:i/>
                <w:iCs/>
                <w:color w:val="000000" w:themeColor="text1"/>
                <w:sz w:val="22"/>
                <w:szCs w:val="22"/>
              </w:rPr>
              <w:t xml:space="preserve">7.213.418</w:t>
            </w:r>
            <w:r>
              <w:rPr>
                <w:b w:val="0"/>
                <w:bCs/>
                <w:i/>
              </w:rPr>
            </w:r>
            <w:r>
              <w:rPr>
                <w:b w:val="0"/>
                <w:bCs/>
                <w:i/>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i/>
              </w:rPr>
            </w:pPr>
            <w:r>
              <w:rPr>
                <w:b w:val="0"/>
                <w:bCs w:val="0"/>
                <w:i/>
                <w:iCs/>
                <w:color w:val="000000" w:themeColor="text1"/>
                <w:sz w:val="22"/>
                <w:szCs w:val="22"/>
              </w:rPr>
              <w:t xml:space="preserve">7.213.418</w:t>
            </w:r>
            <w:r>
              <w:rPr>
                <w:b w:val="0"/>
                <w:bCs/>
                <w:i/>
              </w:rPr>
            </w:r>
            <w:r>
              <w:rPr>
                <w:b w:val="0"/>
                <w:bCs/>
                <w:i/>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rPr>
            </w:pPr>
            <w:r>
              <w:rPr>
                <w:b w:val="0"/>
                <w:bCs w:val="0"/>
                <w:color w:val="000000"/>
                <w:sz w:val="22"/>
                <w:szCs w:val="22"/>
              </w:rPr>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85%</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90%</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90%</w:t>
            </w:r>
            <w:r>
              <w:rPr>
                <w:b w:val="0"/>
                <w:bCs w:val="0"/>
                <w:color w:val="000000" w:themeColor="text1"/>
                <w:sz w:val="22"/>
                <w:szCs w:val="22"/>
              </w:rPr>
            </w:r>
            <w:r>
              <w:rPr>
                <w:b w:val="0"/>
                <w:bCs w:val="0"/>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2.043.785.401</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2.311.188.570</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2.109.648.951</w:t>
            </w:r>
            <w:r>
              <w:rPr>
                <w:b/>
                <w:bCs/>
                <w:color w:val="000000" w:themeColor="text1"/>
                <w:sz w:val="22"/>
                <w:szCs w:val="22"/>
                <w14:ligatures w14:val="none"/>
              </w:rPr>
            </w:r>
            <w:r>
              <w:rPr>
                <w:b/>
                <w:bCs/>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38.708.057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46.223.771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39.</w:t>
            </w:r>
            <w:r>
              <w:rPr>
                <w:b/>
                <w:bCs/>
                <w:color w:val="000000" w:themeColor="text1"/>
                <w:sz w:val="22"/>
                <w:szCs w:val="22"/>
              </w:rPr>
              <w:t xml:space="preserve">804</w:t>
            </w:r>
            <w:r>
              <w:rPr>
                <w:b/>
                <w:bCs/>
                <w:color w:val="000000" w:themeColor="text1"/>
                <w:sz w:val="22"/>
                <w:szCs w:val="22"/>
              </w:rPr>
              <w:t xml:space="preserve">.697</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2.043.785.401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2.311.188.570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2.109.648.951</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38.708.057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46.223.771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39.804.697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37.626.044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37.626.044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37.626.044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40.643.460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40.643.460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40.643.460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45.141.759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37.007.796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1.161.242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1.175.767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41.804.702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47.610.484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40.368.004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2.220.468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44.062.265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47.610.484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42.588.472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44.062.265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47.610.484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42.588.472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44.062.265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47.610.484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43.200.932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44.957.894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3"/>
            <w:shd w:val="clear" w:color="000000" w:fill="ffffff"/>
            <w:tcBorders/>
            <w:tcW w:w="4317"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5.354.208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1.386.713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3.396.235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5.354.208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1.386.713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3.396.235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-3,91</w:t>
      </w:r>
      <w:r>
        <w:t xml:space="preserve">% đến</w:t>
      </w:r>
      <w:r>
        <w:t xml:space="preserve"> </w:t>
      </w:r>
      <w:r>
        <w:t xml:space="preserve"> </w:t>
      </w:r>
      <w:r>
        <w:t xml:space="preserve">5,9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44.062.265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11.015.566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47.610.484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19.044.194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43.200.932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15.120.326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45.180.086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r>
        <w:rPr>
          <w:highlight w:val="none"/>
        </w:rPr>
      </w:r>
    </w:p>
    <w:tbl>
      <w:tblPr>
        <w:tblW w:w="496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517"/>
        <w:gridCol w:w="1802"/>
        <w:gridCol w:w="2308"/>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thửa đất số: 407 (tách từ thửa 224); tờ bản đồ số 11,  địa chỉ: Thôn Vĩnh Khê, xã An Đồng, huyện An Dương, thành phố Hải Phòng </w:t>
            </w:r>
            <w:r>
              <w:rPr>
                <w:b/>
                <w:bCs/>
                <w:i/>
                <w:iCs/>
                <w:color w:val="000000"/>
              </w:rPr>
              <w:t xml:space="preserve">(Nay là phường An Hải, thành phố H</w:t>
            </w:r>
            <w:r>
              <w:rPr>
                <w:b/>
                <w:bCs/>
                <w:i/>
                <w:iCs/>
                <w:color w:val="000000"/>
              </w:rPr>
              <w:t xml:space="preserve">ải Phòng)</w:t>
            </w:r>
            <w:r>
              <w:rPr>
                <w:b/>
                <w:bCs/>
                <w:color w:val="000000"/>
              </w:rPr>
              <w:t xml:space="preserve"> theo Giấy chứng nhận quyền sử dụng đất, quyền sở hữu nhà ở và tài sản khác gắn liền với đất số: DB 250275, số vào sổ cấp GCN: CS 00127 do Sở Tài nguyên và Môi trường thành phố Hải Phòng c</w:t>
            </w:r>
            <w:r>
              <w:rPr>
                <w:b/>
                <w:bCs/>
                <w:color w:val="000000" w:themeColor="text1"/>
              </w:rPr>
              <w:t xml:space="preserve">ấp ngày 01/3/2011 cho Ông Phan Quốc Dũng và vợ là Bà Nguyễn Thị </w:t>
            </w:r>
            <w:r>
              <w:rPr>
                <w:b/>
                <w:bCs/>
                <w:color w:val="000000" w:themeColor="text1"/>
              </w:rPr>
              <w:t xml:space="preserve">Huấn.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ight="-81" w:firstLine="0" w:left="0"/>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52,0</w:t>
            </w:r>
            <w:r>
              <w:rPr>
                <w:b w:val="0"/>
                <w:bCs w:val="0"/>
                <w:color w:val="000000"/>
              </w:rPr>
            </w:r>
            <w:r>
              <w:rPr>
                <w:b w:val="0"/>
                <w:bCs w:val="0"/>
                <w:color w:val="000000"/>
              </w:rPr>
            </w:r>
          </w:p>
        </w:tc>
        <w:tc>
          <w:tcPr>
            <w:shd w:val="clear" w:color="000000" w:fill="ffffff"/>
            <w:tcBorders/>
            <w:tcW w:w="2308"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45.000.000</w:t>
            </w:r>
            <w:r>
              <w:rPr>
                <w:b w:val="0"/>
                <w:bCs w:val="0"/>
              </w:rPr>
            </w:r>
            <w:r>
              <w:rPr>
                <w:b w:val="0"/>
                <w:bCs w:val="0"/>
              </w:rPr>
            </w:r>
          </w:p>
        </w:tc>
        <w:tc>
          <w:tcPr>
            <w:shd w:val="clear" w:color="000000" w:fill="ffffff"/>
            <w:tcBorders/>
            <w:tcW w:w="2164"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2.340.000.000</w:t>
            </w:r>
            <w:r>
              <w:rPr>
                <w:b w:val="0"/>
                <w:bCs w:val="0"/>
              </w:rPr>
            </w:r>
            <w:r>
              <w:rPr>
                <w:b w:val="0"/>
                <w:bCs w:val="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2.340.000.000</w:t>
            </w:r>
            <w:r>
              <w:rPr>
                <w:b/>
                <w:bCs/>
                <w:color w:val="000000"/>
              </w:rPr>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2.340.000.000</w:t>
            </w:r>
            <w:r>
              <w:rPr>
                <w:b/>
                <w:bCs/>
                <w:color w:val="000000"/>
              </w:rPr>
            </w:r>
            <w:r>
              <w:rPr>
                <w:b/>
                <w:bCs/>
                <w:color w:val="000000"/>
              </w:rPr>
            </w:r>
          </w:p>
        </w:tc>
      </w:tr>
      <w:tr>
        <w:trPr>
          <w:trHeight w:val="20"/>
        </w:trPr>
        <w:tc>
          <w:tcPr>
            <w:gridSpan w:val="5"/>
            <w:tcBorders/>
            <w:tcW w:w="946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ba trăm bốn mươi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5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5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5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5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5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5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5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5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5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5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5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5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5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5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5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5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5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5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5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5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9"/>
        </w:numPr>
        <w:pBdr/>
        <w:tabs>
          <w:tab w:val="left" w:leader="none" w:pos="993"/>
        </w:tabs>
        <w:spacing w:after="120" w:before="120" w:line="252" w:lineRule="auto"/>
        <w:ind/>
        <w:jc w:val="both"/>
        <w:rPr>
          <w:spacing w:val="-2"/>
          <w:lang w:val="pt-BR"/>
        </w:rPr>
      </w:pPr>
      <w:r>
        <w:rPr>
          <w:spacing w:val="-2"/>
          <w:highlight w:val="none"/>
          <w:lang w:val="pt-BR"/>
        </w:rPr>
      </w:r>
      <w:r>
        <w:rPr>
          <w:rFonts w:ascii="Times New Roman" w:hAnsi="Times New Roman" w:eastAsia="Times New Roman" w:cs="Times New Roman"/>
          <w:color w:val="000000"/>
          <w:sz w:val="24"/>
        </w:rPr>
        <w:t xml:space="preserve">Tại thời điểm khảo sát trên đất có công trình xây dựng là nhà 03 tầng, kết cấu bê tông cốt thép, diện tích xây dựng: 52m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diện tích sàn xây dựng: 165m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đã hoàn thiện đang sử dụng bình thường. Công trình xây dựng chưa được chứng nhận trên GCN số: DB 250275, </w:t>
      </w:r>
      <w:r>
        <w:rPr>
          <w:rFonts w:ascii="Times New Roman" w:hAnsi="Times New Roman" w:eastAsia="Times New Roman" w:cs="Times New Roman"/>
          <w:color w:val="000000"/>
          <w:sz w:val="24"/>
        </w:rPr>
        <w:t xml:space="preserve">do đó, theo đề nghị của Ngân hàng/khách hàng, Tổ thẩm định không xác định giá trị của công trình xây dựng</w:t>
      </w:r>
      <w:r>
        <w:rPr>
          <w:spacing w:val="-2"/>
          <w:highlight w:val="none"/>
          <w:lang w:val="pt-BR"/>
        </w:rPr>
        <w:t xml:space="preserve">. Tuy nhiên, công trình xây dựng là một phần không thể tách rời của tài sản thẩm định. Đề nghị các bên sử dụng kết quả lưu ý.</w:t>
      </w:r>
      <w:r>
        <w:rPr>
          <w:spacing w:val="-2"/>
          <w:lang w:val="pt-BR"/>
        </w:rPr>
      </w:r>
      <w:r>
        <w:rPr>
          <w:spacing w:val="-2"/>
          <w:lang w:val="pt-BR"/>
        </w:rPr>
      </w:r>
    </w:p>
    <w:p>
      <w:pPr>
        <w:pStyle w:val="1029"/>
        <w:numPr>
          <w:ilvl w:val="0"/>
          <w:numId w:val="3"/>
        </w:numPr>
        <w:pBdr/>
        <w:tabs>
          <w:tab w:val="left" w:leader="none" w:pos="993"/>
        </w:tabs>
        <w:spacing w:after="120" w:before="120" w:line="25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5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5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29"/>
        <w:numPr>
          <w:ilvl w:val="0"/>
          <w:numId w:val="5"/>
        </w:numPr>
        <w:pBdr/>
        <w:tabs>
          <w:tab w:val="left" w:leader="none" w:pos="993"/>
        </w:tabs>
        <w:spacing w:after="120" w:before="120" w:line="252" w:lineRule="auto"/>
        <w:ind w:hanging="357" w:left="357"/>
        <w:jc w:val="both"/>
        <w:rPr>
          <w:color w:val="000000" w:themeColor="text1"/>
          <w:highlight w:val="white"/>
        </w:rPr>
      </w:pPr>
      <w:r>
        <w:rPr>
          <w:color w:val="000000" w:themeColor="text1"/>
          <w:highlight w:val="white"/>
          <w:lang w:val="pt-BR" w:bidi="pt-BR"/>
        </w:rPr>
      </w:r>
      <w:r>
        <w:rPr>
          <w:color w:val="000000" w:themeColor="text1"/>
          <w:highlight w:val="white"/>
          <w:lang w:val="pt-BR" w:bidi="pt-BR"/>
        </w:rPr>
        <w:t xml:space="preserve">Mức giá tại chứng thư, báo cáo thẩm định giá có sự khác biệt so với mức giá tại Bảng giá đất đã ban hành tại báo cáo số </w:t>
      </w:r>
      <w:r>
        <w:rPr>
          <w:color w:val="000000" w:themeColor="text1"/>
          <w:highlight w:val="white"/>
          <w:lang w:val="pt-BR" w:bidi="pt-BR"/>
        </w:rPr>
        <w:t xml:space="preserve">275/2025/0012/VFI-BCCN.57.A </w:t>
      </w:r>
      <w:r>
        <w:rPr>
          <w:color w:val="000000" w:themeColor="text1"/>
          <w:highlight w:val="white"/>
          <w:lang w:val="pt-BR" w:bidi="pt-BR"/>
        </w:rPr>
        <w:t xml:space="preserve">là do tài sản có đặc điểm về diện tích, vị trí lợi thế hơn so với thửa đất tiêu chuẩn trong </w:t>
      </w:r>
      <w:r>
        <w:rPr>
          <w:color w:val="000000" w:themeColor="text1"/>
          <w:highlight w:val="white"/>
          <w:lang w:val="pt-BR" w:bidi="pt-BR"/>
        </w:rPr>
        <w:t xml:space="preserve">Bảng giá đất đã ban hành</w:t>
      </w:r>
      <w:r>
        <w:rPr>
          <w:color w:val="000000" w:themeColor="text1"/>
          <w:highlight w:val="white"/>
          <w:lang w:val="pt-BR" w:bidi="pt-BR"/>
        </w:rPr>
        <w:t xml:space="preserve">.</w:t>
      </w:r>
      <w:r>
        <w:rPr>
          <w:color w:val="000000" w:themeColor="text1"/>
          <w:highlight w:val="white"/>
        </w:rPr>
      </w:r>
      <w:r>
        <w:rPr>
          <w:color w:val="000000" w:themeColor="text1"/>
          <w:highlight w:val="white"/>
        </w:rPr>
      </w:r>
    </w:p>
    <w:p>
      <w:pPr>
        <w:pBdr/>
        <w:spacing w:after="120" w:before="120" w:line="25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5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52"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w:t>
      </w:r>
      <w:r>
        <w:rPr>
          <w:color w:val="000000" w:themeColor="text1"/>
          <w:lang w:val="vi-VN"/>
        </w:rPr>
        <w:t xml:space="preserve">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275/2026/0711/VFI-CT.24.A</w:t>
      </w:r>
      <w:r>
        <w:rPr>
          <w:color w:val="000000" w:themeColor="text1"/>
          <w:lang w:val="vi-VN"/>
        </w:rPr>
        <w:t xml:space="preserve"> </w:t>
      </w:r>
      <w:r>
        <w:rPr>
          <w:color w:val="000000" w:themeColor="text1"/>
        </w:rPr>
        <w:t xml:space="preserve">ngày 12 tháng 5 năm 2026</w:t>
      </w:r>
      <w:r>
        <w:rPr>
          <w:color w:val="000000" w:themeColor="text1"/>
        </w:rPr>
        <w:t xml:space="preserve"> </w:t>
      </w:r>
      <w:r>
        <w:rPr>
          <w:color w:val="000000" w:themeColor="text1"/>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275/2026/0711/VFI-BC.24.A</w:t>
      </w:r>
      <w:r>
        <w:rPr>
          <w:i/>
          <w:lang w:val="pt-BR"/>
        </w:rPr>
        <w:t xml:space="preserve"> </w:t>
      </w:r>
      <w:r>
        <w:rPr>
          <w:i/>
          <w:lang w:val="pt-BR"/>
        </w:rPr>
        <w:t xml:space="preserve">ngày 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58427" cy="199173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543" name=""/>
                              <pic:cNvPicPr>
                                <a:picLocks noChangeAspect="1"/>
                              </pic:cNvPicPr>
                              <pic:nvPr/>
                            </pic:nvPicPr>
                            <pic:blipFill rotWithShape="1">
                              <a:blip r:embed="rId19"/>
                              <a:stretch/>
                            </pic:blipFill>
                            <pic:spPr bwMode="auto">
                              <a:xfrm flipH="0" flipV="0">
                                <a:off x="0" y="0"/>
                                <a:ext cx="2658427" cy="19917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9.32pt;height:156.8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color w:val="ff0000"/>
                <w:highlight w:val="white"/>
              </w:rPr>
            </w:pPr>
            <w:r>
              <w:rPr>
                <w:b/>
                <w:bCs/>
                <w:i/>
                <w:color w:val="ff0000"/>
                <w:highlight w:val="white"/>
                <w:lang w:val="pt-BR"/>
              </w:rPr>
              <w:t xml:space="preserve">Người hướng dẫn</w:t>
            </w:r>
            <w:r>
              <w:rPr>
                <w:b/>
                <w:bCs/>
                <w:i/>
                <w:color w:val="ff0000"/>
                <w:highlight w:val="white"/>
              </w:rPr>
            </w:r>
            <w:r>
              <w:rPr>
                <w:b/>
                <w:bCs/>
                <w:i/>
                <w:color w:val="ff0000"/>
                <w:highlight w:val="white"/>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275/2026/0711/VFI-BC.24.A</w:t>
      </w:r>
      <w:r>
        <w:rPr>
          <w:i/>
          <w:lang w:val="pt-BR"/>
        </w:rPr>
        <w:t xml:space="preserve"> </w:t>
      </w:r>
      <w:r>
        <w:rPr>
          <w:i/>
          <w:lang w:val="pt-BR"/>
        </w:rPr>
        <w:t xml:space="preserve">ngày 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https://www.facebook.com/groups/www.nhadathaiphong.vn/posts/3125393890985841/</w:t>
            </w:r>
            <w:r>
              <w:rPr>
                <w:color w:val="000000" w:themeColor="text1"/>
                <w:sz w:val="22"/>
                <w:szCs w:val="22"/>
              </w:rPr>
              <w:br/>
              <w:t xml:space="preserve">0915.075.517</w:t>
            </w:r>
            <w:r>
              <w:rPr>
                <w:sz w:val="22"/>
                <w:szCs w:val="22"/>
              </w:rPr>
              <w:t xml:space="preserve"> </w:t>
            </w:r>
            <w:r>
              <w:rPr>
                <w:sz w:val="22"/>
                <w:szCs w:val="22"/>
              </w:rP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(52,8m²)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709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270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2.8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34170" cy="27363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4434169" cy="2736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9.15pt;height:215.4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0915.075.517</w:t>
            </w:r>
            <w:r>
              <w:rPr>
                <w:sz w:val="22"/>
                <w:szCs w:val="22"/>
              </w:rPr>
              <w:t xml:space="preserve"> </w:t>
            </w:r>
            <w:r>
              <w:rPr>
                <w:sz w:val="22"/>
                <w:szCs w:val="22"/>
              </w:rPr>
              <w:b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112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11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1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https://www.facebook.com/groups/www.nhadathaiphong.vn/posts/3148806495311247/</w:t>
            </w:r>
            <w:r>
              <w:rPr>
                <w:color w:val="000000" w:themeColor="text1"/>
                <w:sz w:val="22"/>
                <w:szCs w:val="22"/>
              </w:rPr>
              <w:br/>
            </w:r>
            <w:r>
              <w:rPr>
                <w:sz w:val="22"/>
                <w:szCs w:val="22"/>
              </w:rPr>
              <w:t xml:space="preserve">SĐT: </w:t>
            </w:r>
            <w:r>
              <w:rPr>
                <w:color w:val="000000" w:themeColor="text1"/>
                <w:sz w:val="22"/>
                <w:szCs w:val="22"/>
              </w:rPr>
              <w:t xml:space="preserve">0934.336646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An Hải, khoảng cách ra đường chính Cách đường Máng Nước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146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5014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3.1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3913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9391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88.9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GIẤY CHỨNG NHẬN VÀ BIÊN BẢN KHẢO SÁT</w:t>
      </w:r>
      <w:r>
        <w:rPr>
          <w:b/>
          <w:bCs/>
          <w:iCs/>
        </w:rPr>
      </w:r>
    </w:p>
    <w:p>
      <w:pPr>
        <w:pBdr/>
        <w:spacing w:after="200" w:line="276" w:lineRule="auto"/>
        <w:ind/>
        <w:jc w:val="center"/>
        <w:rPr>
          <w:b/>
          <w:bCs/>
          <w:highlight w:val="none"/>
          <w:lang w:val="pt-BR"/>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5562038" cy="357351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53920" name=""/>
                        <pic:cNvPicPr>
                          <a:picLocks noChangeAspect="1"/>
                        </pic:cNvPicPr>
                        <pic:nvPr/>
                      </pic:nvPicPr>
                      <pic:blipFill rotWithShape="1">
                        <a:blip r:embed="rId32"/>
                        <a:stretch/>
                      </pic:blipFill>
                      <pic:spPr bwMode="auto">
                        <a:xfrm flipH="0" flipV="0">
                          <a:off x="0" y="0"/>
                          <a:ext cx="5562038" cy="3573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7.96pt;height:281.38pt;mso-wrap-distance-left:0.00pt;mso-wrap-distance-top:0.00pt;mso-wrap-distance-right:0.00pt;mso-wrap-distance-bottom:0.00pt;z-index:1;" stroked="false">
                <v:imagedata r:id="rId32" o:title=""/>
                <o:lock v:ext="edit" rotation="t"/>
              </v:shape>
            </w:pict>
          </mc:Fallback>
        </mc:AlternateConten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5772490" cy="432484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10305" name=""/>
                        <pic:cNvPicPr>
                          <a:picLocks noChangeAspect="1"/>
                        </pic:cNvPicPr>
                        <pic:nvPr/>
                      </pic:nvPicPr>
                      <pic:blipFill rotWithShape="1">
                        <a:blip r:embed="rId33"/>
                        <a:stretch/>
                      </pic:blipFill>
                      <pic:spPr bwMode="auto">
                        <a:xfrm flipH="0" flipV="0">
                          <a:off x="0" y="0"/>
                          <a:ext cx="5772489" cy="4324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4.53pt;height:340.54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p>
    <w:p>
      <w:pPr>
        <w:pBdr/>
        <w:spacing/>
        <w:ind/>
        <w:rPr/>
      </w:pPr>
      <w:r/>
      <w:r/>
    </w:p>
    <w:p>
      <w:pPr>
        <w:pBdr/>
        <w:tabs>
          <w:tab w:val="left" w:leader="none" w:pos="2926"/>
        </w:tabs>
        <w:spacing/>
        <w:ind/>
        <w:rPr/>
      </w:pPr>
      <w:r>
        <w:tab/>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15529"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ai-phong-nam-2025-troi-day-manh-me-nho-loat-dai-du-an-ty-do-n17t)"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283</cp:revision>
  <dcterms:created xsi:type="dcterms:W3CDTF">2025-09-15T09:58:00Z</dcterms:created>
  <dcterms:modified xsi:type="dcterms:W3CDTF">2026-05-13T08:27:13Z</dcterms:modified>
</cp:coreProperties>
</file>