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t xml:space="preserve"> </w: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569880" cy="327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69879" cy="3277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275/2026/0739/VFI-CT.24.A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Bất động sản Lan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 tờ bản đồ số 3; có địa chỉ thôn Bùi xá, xã Ngũ Thái, huyện Thuận Thành, tỉnh Bắc Ninh </w:t>
                            </w:r>
                            <w:r>
                              <w:rPr>
                                <w:i/>
                                <w:iCs/>
                                <w:color w:val="000000"/>
                              </w:rPr>
                              <w:t xml:space="preserve">(Nay là phường Song Liễu,</w:t>
                            </w:r>
                            <w:r>
                              <w:rPr>
                                <w:i/>
                                <w:iCs/>
                                <w:color w:val="000000"/>
                              </w:rPr>
                              <w:t xml:space="preserve"> tỉnh Bắc Ni</w:t>
                            </w:r>
                            <w:r>
                              <w:rPr>
                                <w:i/>
                                <w:iCs/>
                                <w:color w:val="000000"/>
                              </w:rPr>
                              <w:t xml:space="preserve">n</w:t>
                            </w:r>
                            <w:r>
                              <w:rPr>
                                <w:i/>
                                <w:iCs/>
                                <w:color w:val="000000"/>
                              </w:rPr>
                              <w:t xml:space="preserve">h) </w:t>
                            </w:r>
                            <w:r>
                              <w:rPr>
                                <w:color w:val="000000"/>
                              </w:rPr>
                              <w:t xml:space="preserve">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8.57pt;height:25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275/2026/0739/VFI-CT.24.A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Bất động sản Lan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 tờ bản đồ số 3; có địa chỉ thôn Bùi xá, xã Ngũ Thái, huyện Thuận Thành, tỉnh Bắc Ninh </w:t>
                      </w:r>
                      <w:r>
                        <w:rPr>
                          <w:i/>
                          <w:iCs/>
                          <w:color w:val="000000"/>
                        </w:rPr>
                        <w:t xml:space="preserve">(Nay là phường Song Liễu,</w:t>
                      </w:r>
                      <w:r>
                        <w:rPr>
                          <w:i/>
                          <w:iCs/>
                          <w:color w:val="000000"/>
                        </w:rPr>
                        <w:t xml:space="preserve"> tỉnh Bắc Ni</w:t>
                      </w:r>
                      <w:r>
                        <w:rPr>
                          <w:i/>
                          <w:iCs/>
                          <w:color w:val="000000"/>
                        </w:rPr>
                        <w:t xml:space="preserve">n</w:t>
                      </w:r>
                      <w:r>
                        <w:rPr>
                          <w:i/>
                          <w:iCs/>
                          <w:color w:val="000000"/>
                        </w:rPr>
                        <w:t xml:space="preserve">h) </w:t>
                      </w:r>
                      <w:r>
                        <w:rPr>
                          <w:color w:val="000000"/>
                        </w:rPr>
                        <w:t xml:space="preserve">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063" w:type="dxa"/>
        <w:tblBorders/>
        <w:tblLayout w:type="fixed"/>
        <w:tblLook w:val="04A0" w:firstRow="1" w:lastRow="0" w:firstColumn="1" w:lastColumn="0" w:noHBand="0" w:noVBand="1"/>
      </w:tblPr>
      <w:tblGrid>
        <w:gridCol w:w="113"/>
        <w:gridCol w:w="1588"/>
        <w:gridCol w:w="2126"/>
        <w:gridCol w:w="6236"/>
      </w:tblGrid>
      <w:tr>
        <w:trPr>
          <w:gridBefore w:val="1"/>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82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275/2026/0739/VFI-CT.24.A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16 tháng 5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Bất động sản Lan Hưng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275/2026/0726/VFI-HĐTĐ.24.A</w:t>
      </w:r>
      <w:r>
        <w:rPr>
          <w:spacing w:val="-4"/>
          <w:lang w:val="vi-VN"/>
        </w:rPr>
        <w:t xml:space="preserve"> ký ngày </w:t>
      </w:r>
      <w:r>
        <w:rPr>
          <w:color w:val="000000" w:themeColor="text1"/>
          <w:spacing w:val="-4"/>
        </w:rPr>
        <w:t xml:space="preserve">14 tháng 5 năm 2026</w:t>
      </w:r>
      <w:r>
        <w:rPr>
          <w:spacing w:val="-4"/>
          <w:lang w:val="vi-VN"/>
        </w:rPr>
        <w:t xml:space="preserve"> </w:t>
      </w:r>
      <w:r>
        <w:rPr>
          <w:spacing w:val="-4"/>
          <w:lang w:val="vi-VN"/>
        </w:rPr>
        <w:t xml:space="preserve">giữa </w:t>
      </w:r>
      <w:r>
        <w:rPr>
          <w:color w:val="000000" w:themeColor="text1"/>
          <w:spacing w:val="-4"/>
        </w:rPr>
        <w:t xml:space="preserve">Công ty Cổ phần tập đoàn Bất động sản Lan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275/2026/0739/VFI-BC.24.A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1871"/>
        <w:gridCol w:w="283"/>
        <w:gridCol w:w="7371"/>
      </w:tblGrid>
      <w:tr>
        <w:trPr>
          <w:trHeight w:val="20"/>
        </w:trPr>
        <w:tc>
          <w:tcPr>
            <w:shd w:val="clear" w:color="auto" w:fill="auto"/>
            <w:tcBorders/>
            <w:tcW w:w="1871"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t xml:space="preserve">Tên khách hàng</w:t>
            </w:r>
            <w:bookmarkStart w:id="0" w:name="_Hlk117252695"/>
            <w:r>
              <w:rPr>
                <w:bCs/>
                <w:color w:val="000000" w:themeColor="text1"/>
              </w:rPr>
            </w:r>
            <w:r>
              <w:rPr>
                <w:bCs/>
                <w:color w:val="000000" w:themeColor="text1"/>
              </w:rPr>
            </w:r>
          </w:p>
        </w:tc>
        <w:tc>
          <w:tcPr>
            <w:shd w:val="clear" w:color="auto" w:fill="auto"/>
            <w:tcBorders/>
            <w:tcW w:w="283" w:type="dxa"/>
            <w:vAlign w:val="center"/>
            <w:textDirection w:val="lrTb"/>
            <w:noWrap w:val="false"/>
          </w:tcPr>
          <w:p>
            <w:pPr>
              <w:pBdr/>
              <w:spacing w:after="58" w:afterAutospacing="0" w:before="58" w:beforeAutospacing="0" w:line="276" w:lineRule="auto"/>
              <w:ind w:right="-9"/>
              <w:contextualSpacing w:val="fals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371" w:type="dxa"/>
            <w:vAlign w:val="center"/>
            <w:textDirection w:val="lrTb"/>
            <w:noWrap w:val="false"/>
          </w:tcPr>
          <w:p>
            <w:pPr>
              <w:keepNext w:val="true"/>
              <w:pBdr/>
              <w:spacing w:after="58" w:afterAutospacing="0" w:before="58" w:beforeAutospacing="0" w:line="276" w:lineRule="auto"/>
              <w:ind/>
              <w:contextualSpacing w:val="false"/>
              <w:outlineLvl w:val="0"/>
              <w:rPr>
                <w:b/>
                <w:color w:val="000000" w:themeColor="text1"/>
                <w:spacing w:val="-8"/>
              </w:rPr>
            </w:pPr>
            <w:r>
              <w:rPr>
                <w:b/>
                <w:color w:val="000000" w:themeColor="text1"/>
                <w:spacing w:val="-8"/>
                <w:lang w:val="vi-VN"/>
              </w:rPr>
              <w:t xml:space="preserve">CÔNG TY CỔ PHẦN TẬP ĐOÀN BẤT ĐỘNG SẢN LAN HƯNG</w:t>
            </w:r>
            <w:bookmarkEnd w:id="0"/>
            <w:r>
              <w:rPr>
                <w:b/>
                <w:color w:val="000000" w:themeColor="text1"/>
                <w:spacing w:val="-8"/>
              </w:rPr>
            </w:r>
            <w:r>
              <w:rPr>
                <w:b/>
                <w:color w:val="000000" w:themeColor="text1"/>
                <w:spacing w:val="-8"/>
              </w:rPr>
            </w:r>
          </w:p>
        </w:tc>
      </w:tr>
      <w:tr>
        <w:trPr>
          <w:trHeight w:val="20"/>
        </w:trPr>
        <w:tc>
          <w:tcPr>
            <w:shd w:val="clear" w:color="auto" w:fill="auto"/>
            <w:tcBorders/>
            <w:tcW w:w="1871"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rPr>
                <w:bCs/>
                <w:color w:val="000000" w:themeColor="text1"/>
                <w:lang w:val="pt-BR"/>
              </w:rPr>
              <w:t xml:space="preserve">Mã số thuế</w:t>
            </w:r>
            <w:r>
              <w:rPr>
                <w:bCs/>
                <w:color w:val="000000" w:themeColor="text1"/>
              </w:rPr>
            </w:r>
            <w:r>
              <w:rPr>
                <w:bCs/>
                <w:color w:val="000000" w:themeColor="text1"/>
              </w:rPr>
            </w:r>
          </w:p>
        </w:tc>
        <w:tc>
          <w:tcPr>
            <w:shd w:val="clear" w:color="auto" w:fill="auto"/>
            <w:tcBorders/>
            <w:tcW w:w="283" w:type="dxa"/>
            <w:vAlign w:val="center"/>
            <w:textDirection w:val="lrTb"/>
            <w:noWrap w:val="false"/>
          </w:tcPr>
          <w:p>
            <w:pPr>
              <w:pBdr/>
              <w:spacing w:after="58" w:afterAutospacing="0" w:before="58" w:beforeAutospacing="0" w:line="276" w:lineRule="auto"/>
              <w:ind/>
              <w:contextualSpacing w:val="fals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7371" w:type="dxa"/>
            <w:vAlign w:val="center"/>
            <w:textDirection w:val="lrTb"/>
            <w:noWrap w:val="false"/>
          </w:tcPr>
          <w:p>
            <w:pPr>
              <w:pBdr/>
              <w:spacing w:after="58" w:afterAutospacing="0" w:before="58" w:beforeAutospacing="0" w:line="276" w:lineRule="auto"/>
              <w:ind/>
              <w:contextualSpacing w:val="false"/>
              <w:rPr>
                <w:bCs/>
                <w:color w:val="000000" w:themeColor="text1"/>
                <w:lang w:val="vi-VN"/>
              </w:rPr>
            </w:pPr>
            <w:r>
              <w:rPr>
                <w:color w:val="000000" w:themeColor="text1"/>
              </w:rPr>
              <w:t xml:space="preserve">2300946056</w:t>
            </w:r>
            <w:r>
              <w:rPr>
                <w:bCs/>
                <w:color w:val="000000" w:themeColor="text1"/>
                <w:lang w:val="vi-VN"/>
              </w:rPr>
            </w:r>
            <w:r>
              <w:rPr>
                <w:bCs/>
                <w:color w:val="000000" w:themeColor="text1"/>
                <w:lang w:val="vi-VN"/>
              </w:rPr>
            </w:r>
          </w:p>
        </w:tc>
      </w:tr>
      <w:tr>
        <w:trPr>
          <w:trHeight w:val="20"/>
        </w:trPr>
        <w:tc>
          <w:tcPr>
            <w:shd w:val="clear" w:color="auto" w:fill="auto"/>
            <w:tcBorders/>
            <w:tcW w:w="1871"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shd w:val="clear" w:color="auto" w:fill="auto"/>
            <w:tcBorders/>
            <w:tcW w:w="283" w:type="dxa"/>
            <w:vAlign w:val="center"/>
            <w:textDirection w:val="lrTb"/>
            <w:noWrap w:val="false"/>
          </w:tcPr>
          <w:p>
            <w:pPr>
              <w:pBdr/>
              <w:spacing w:after="58" w:afterAutospacing="0" w:before="58" w:beforeAutospacing="0" w:line="276" w:lineRule="auto"/>
              <w:ind/>
              <w:contextualSpacing w:val="fals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371" w:type="dxa"/>
            <w:vAlign w:val="center"/>
            <w:textDirection w:val="lrTb"/>
            <w:noWrap w:val="false"/>
          </w:tcPr>
          <w:p>
            <w:pPr>
              <w:pBdr/>
              <w:spacing w:after="58" w:afterAutospacing="0" w:before="58" w:beforeAutospacing="0" w:line="276" w:lineRule="auto"/>
              <w:ind/>
              <w:contextualSpacing w:val="false"/>
              <w:rPr>
                <w:bCs/>
                <w:color w:val="000000" w:themeColor="text1"/>
              </w:rPr>
            </w:pPr>
            <w:r>
              <w:rPr>
                <w:color w:val="000000" w:themeColor="text1"/>
                <w:lang w:val="vi-VN"/>
              </w:rPr>
              <w:t xml:space="preserve">Khu nhà ở xã hội Lan Hưng, Đường Kinh Dương Vương, Phường Hồ, Thị xã Thuận Thành, Tỉnh Bắc Ninh</w:t>
            </w:r>
            <w:r>
              <w:rPr>
                <w:bCs/>
                <w:color w:val="000000" w:themeColor="text1"/>
              </w:rPr>
            </w:r>
            <w:r>
              <w:rPr>
                <w:bCs/>
                <w:color w:val="000000" w:themeColor="text1"/>
              </w:rPr>
            </w:r>
          </w:p>
        </w:tc>
      </w:tr>
      <w:tr>
        <w:trPr>
          <w:trHeight w:val="20"/>
        </w:trPr>
        <w:tc>
          <w:tcPr>
            <w:shd w:val="clear" w:color="ffffff" w:fill="ffffff"/>
            <w:tcBorders/>
            <w:tcW w:w="1871" w:type="dxa"/>
            <w:vAlign w:val="center"/>
            <w:vMerge w:val="restart"/>
            <w:textDirection w:val="lrTb"/>
            <w:noWrap w:val="false"/>
          </w:tcPr>
          <w:p>
            <w:pPr>
              <w:pBdr/>
              <w:spacing w:after="58" w:afterAutospacing="0" w:before="58" w:beforeAutospacing="0" w:line="276" w:lineRule="auto"/>
              <w:ind/>
              <w:contextualSpacing w:val="false"/>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83" w:type="dxa"/>
            <w:vAlign w:val="center"/>
            <w:vMerge w:val="restart"/>
            <w:textDirection w:val="lrTb"/>
            <w:noWrap w:val="false"/>
          </w:tcPr>
          <w:p>
            <w:pPr>
              <w:pBdr/>
              <w:spacing w:after="58" w:afterAutospacing="0" w:before="58" w:beforeAutospacing="0" w:line="276" w:lineRule="auto"/>
              <w:ind/>
              <w:contextualSpacing w:val="false"/>
              <w:jc w:val="center"/>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371" w:type="dxa"/>
            <w:vAlign w:val="center"/>
            <w:vMerge w:val="restart"/>
            <w:textDirection w:val="lrTb"/>
            <w:noWrap w:val="false"/>
          </w:tcPr>
          <w:p>
            <w:pPr>
              <w:pBdr/>
              <w:spacing w:after="58" w:afterAutospacing="0" w:before="58" w:beforeAutospacing="0" w:line="276" w:lineRule="auto"/>
              <w:ind/>
              <w:contextualSpacing w:val="false"/>
              <w:rPr>
                <w:b/>
                <w:bCs/>
                <w:color w:val="000000" w:themeColor="text1"/>
              </w:rPr>
            </w:pPr>
            <w:r>
              <w:rPr>
                <w:b/>
                <w:bCs/>
                <w:color w:val="000000" w:themeColor="text1"/>
              </w:rPr>
              <w:t xml:space="preserve">Bà Nguyễn Thị Hưng</w:t>
            </w:r>
            <w:r>
              <w:rPr>
                <w:b/>
                <w:bCs/>
                <w:color w:val="000000" w:themeColor="text1"/>
              </w:rPr>
            </w:r>
            <w:r>
              <w:rPr>
                <w:b/>
                <w:bCs/>
                <w:color w:val="000000" w:themeColor="text1"/>
              </w:rPr>
            </w:r>
          </w:p>
        </w:tc>
      </w:tr>
      <w:tr>
        <w:trPr>
          <w:trHeight w:val="20"/>
        </w:trPr>
        <w:tc>
          <w:tcPr>
            <w:shd w:val="clear" w:color="auto" w:fill="auto"/>
            <w:tcBorders/>
            <w:tcW w:w="1871" w:type="dxa"/>
            <w:vAlign w:val="center"/>
            <w:textDirection w:val="lrTb"/>
            <w:noWrap w:val="false"/>
          </w:tcPr>
          <w:p>
            <w:pPr>
              <w:pBdr/>
              <w:spacing w:after="58" w:afterAutospacing="0" w:before="58" w:beforeAutospacing="0" w:line="276" w:lineRule="auto"/>
              <w:ind/>
              <w:contextualSpacing w:val="false"/>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pPr>
              <w:pBdr/>
              <w:spacing w:after="58" w:afterAutospacing="0" w:before="58" w:beforeAutospacing="0" w:line="276" w:lineRule="auto"/>
              <w:ind/>
              <w:contextualSpacing w:val="false"/>
              <w:jc w:val="center"/>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371" w:type="dxa"/>
            <w:vAlign w:val="center"/>
            <w:textDirection w:val="lrTb"/>
            <w:noWrap w:val="false"/>
          </w:tcPr>
          <w:p>
            <w:pPr>
              <w:pBdr/>
              <w:spacing w:after="58" w:afterAutospacing="0" w:before="58" w:beforeAutospacing="0" w:line="276" w:lineRule="auto"/>
              <w:ind/>
              <w:contextualSpacing w:val="false"/>
              <w:rPr>
                <w:color w:val="000000" w:themeColor="text1"/>
              </w:rPr>
            </w:pPr>
            <w:r>
              <w:rPr>
                <w:b/>
                <w:bCs/>
                <w:color w:val="000000" w:themeColor="text1"/>
              </w:rPr>
              <w:t xml:space="preserve">Tổng Giám đốc</w:t>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42" w:type="dxa"/>
        <w:tblBorders/>
        <w:tblLayout w:type="fixed"/>
        <w:tblLook w:val="04A0" w:firstRow="1" w:lastRow="0" w:firstColumn="1" w:lastColumn="0" w:noHBand="0" w:noVBand="1"/>
      </w:tblPr>
      <w:tblGrid>
        <w:gridCol w:w="1905"/>
        <w:gridCol w:w="283"/>
        <w:gridCol w:w="7654"/>
      </w:tblGrid>
      <w:tr>
        <w:trPr>
          <w:trHeight w:val="20"/>
        </w:trPr>
        <w:tc>
          <w:tcPr>
            <w:tcBorders/>
            <w:tcW w:w="1905"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54"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54"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54"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54"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54"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54"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54"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54"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23, tờ bản đồ số 3; có địa chỉ thôn Bùi xá, xã Ngũ Thái, huyện Thuận Thành, tỉnh Bắc Ninh </w:t>
      </w:r>
      <w:r>
        <w:rPr>
          <w:i/>
          <w:iCs/>
          <w:color w:val="000000" w:themeColor="text1"/>
        </w:rPr>
        <w:t xml:space="preserve">(Nay là phường Song Liễu,</w:t>
      </w:r>
      <w:r>
        <w:rPr>
          <w:i/>
          <w:iCs/>
          <w:color w:val="000000" w:themeColor="text1"/>
        </w:rPr>
        <w:t xml:space="preserve"> tỉnh Bắc Ninh) </w:t>
      </w:r>
      <w:r>
        <w:rPr>
          <w:color w:val="000000" w:themeColor="text1"/>
        </w:rPr>
        <w:t xml:space="preserve">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976"/>
        <w:gridCol w:w="1701"/>
        <w:gridCol w:w="2089"/>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6"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23, tờ bản đồ số 3; có địa chỉ thôn Bùi xá, xã Ngũ Thái, huyện Thuận Thành, tỉnh Bắc Ninh </w:t>
            </w:r>
            <w:r>
              <w:rPr>
                <w:b/>
                <w:bCs/>
                <w:i/>
                <w:iCs/>
                <w:color w:val="000000"/>
              </w:rPr>
              <w:t xml:space="preserve">(Nay là phường Song Liễu,</w:t>
            </w:r>
            <w:r>
              <w:rPr>
                <w:b/>
                <w:bCs/>
                <w:i/>
                <w:iCs/>
                <w:color w:val="000000"/>
              </w:rPr>
              <w:t xml:space="preserve"> tỉnh Bắc Ninh)</w:t>
            </w:r>
            <w:r>
              <w:rPr>
                <w:b/>
                <w:bCs/>
                <w:color w:val="000000"/>
              </w:rPr>
              <w:t xml:space="preserve"> 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24.000.000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5.760.000.000</w:t>
            </w: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976"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319</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90.000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28.710.000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rPr>
              <w:t xml:space="preserve">5.788.710.000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5.788.000.000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bảy trăm tám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252" w:type="dxa"/>
        <w:tblW w:w="5159" w:type="pct"/>
        <w:tblBorders/>
        <w:tblLayout w:type="fixed"/>
        <w:tblLook w:val="01E0" w:firstRow="1" w:lastRow="1" w:firstColumn="1" w:lastColumn="1" w:noHBand="0" w:noVBand="0"/>
      </w:tblPr>
      <w:tblGrid>
        <w:gridCol w:w="4608"/>
        <w:gridCol w:w="5220"/>
      </w:tblGrid>
      <w:tr>
        <w:trPr>
          <w:trHeight w:val="20"/>
        </w:trPr>
        <w:tc>
          <w:tcPr>
            <w:tcBorders/>
            <w:tcW w:w="460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08"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0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9"/>
        <w:gridCol w:w="1787"/>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275/2026/0739/VFI-BC.24.A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16 tháng 5 năm 2026</w:t>
            </w:r>
            <w:r>
              <w:rPr>
                <w:color w:val="000000" w:themeColor="text1"/>
                <w:sz w:val="24"/>
                <w:szCs w:val="24"/>
                <w:lang w:val="vi-VN"/>
              </w:rPr>
            </w:r>
            <w:r>
              <w:rPr>
                <w:color w:val="000000" w:themeColor="text1"/>
                <w:sz w:val="24"/>
                <w:szCs w:val="24"/>
                <w:lang w:val="vi-VN"/>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275/2026/0739/VFI-BC.24.A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046"/>
        <w:gridCol w:w="283"/>
        <w:gridCol w:w="7451"/>
        <w:gridCol w:w="202"/>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654"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046"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58" w:afterAutospacing="0" w:before="58" w:beforeAutospacing="0" w:line="276" w:lineRule="auto"/>
              <w:ind w:right="-9"/>
              <w:contextualSpacing w:val="fals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6945" w:type="dxa"/>
            <w:vAlign w:val="center"/>
            <w:textDirection w:val="lrTb"/>
            <w:noWrap w:val="false"/>
          </w:tcPr>
          <w:p>
            <w:pPr>
              <w:keepNext w:val="true"/>
              <w:pBdr/>
              <w:spacing w:after="58" w:afterAutospacing="0" w:before="58" w:beforeAutospacing="0" w:line="276" w:lineRule="auto"/>
              <w:ind/>
              <w:contextualSpacing w:val="false"/>
              <w:outlineLvl w:val="0"/>
              <w:rPr>
                <w:b/>
                <w:color w:val="000000" w:themeColor="text1"/>
                <w:spacing w:val="-8"/>
              </w:rPr>
            </w:pPr>
            <w:r>
              <w:rPr>
                <w:b/>
                <w:color w:val="000000" w:themeColor="text1"/>
                <w:spacing w:val="-8"/>
                <w:lang w:val="vi-VN"/>
              </w:rPr>
              <w:t xml:space="preserve">CÔNG TY CỔ PHẦN TẬP ĐOÀN BẤT ĐỘNG SẢN LAN HƯNG</w:t>
            </w:r>
            <w:r>
              <w:rPr>
                <w:b/>
                <w:color w:val="000000" w:themeColor="text1"/>
                <w:spacing w:val="-8"/>
              </w:rPr>
            </w:r>
            <w:r>
              <w:rPr>
                <w:b/>
                <w:color w:val="000000" w:themeColor="text1"/>
                <w:spacing w:val="-8"/>
              </w:rPr>
            </w:r>
          </w:p>
        </w:tc>
      </w:tr>
      <w:tr>
        <w:trPr>
          <w:trHeight w:val="20"/>
        </w:trPr>
        <w:tc>
          <w:tcPr>
            <w:tcBorders/>
            <w:tcW w:w="2518"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rPr>
                <w:bCs/>
                <w:color w:val="000000" w:themeColor="text1"/>
                <w:lang w:val="pt-BR"/>
              </w:rPr>
              <w:t xml:space="preserve">Mã số thuế</w:t>
            </w:r>
            <w:r>
              <w:rPr>
                <w:bCs/>
                <w:color w:val="000000" w:themeColor="text1"/>
              </w:rPr>
            </w:r>
            <w:r>
              <w:rPr>
                <w:bCs/>
                <w:color w:val="000000" w:themeColor="text1"/>
              </w:rPr>
            </w:r>
          </w:p>
        </w:tc>
        <w:tc>
          <w:tcPr>
            <w:tcBorders/>
            <w:tcW w:w="284" w:type="dxa"/>
            <w:vAlign w:val="center"/>
            <w:textDirection w:val="lrTb"/>
            <w:noWrap w:val="false"/>
          </w:tcPr>
          <w:p>
            <w:pPr>
              <w:pBdr/>
              <w:spacing w:after="58" w:afterAutospacing="0" w:before="58" w:beforeAutospacing="0" w:line="276" w:lineRule="auto"/>
              <w:ind/>
              <w:contextualSpacing w:val="fals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6945" w:type="dxa"/>
            <w:vAlign w:val="center"/>
            <w:textDirection w:val="lrTb"/>
            <w:noWrap w:val="false"/>
          </w:tcPr>
          <w:p>
            <w:pPr>
              <w:pBdr/>
              <w:spacing w:after="58" w:afterAutospacing="0" w:before="58" w:beforeAutospacing="0" w:line="276" w:lineRule="auto"/>
              <w:ind/>
              <w:contextualSpacing w:val="false"/>
              <w:rPr>
                <w:bCs/>
                <w:color w:val="000000" w:themeColor="text1"/>
                <w:lang w:val="vi-VN"/>
              </w:rPr>
            </w:pPr>
            <w:r>
              <w:rPr>
                <w:color w:val="000000" w:themeColor="text1"/>
              </w:rPr>
              <w:t xml:space="preserve">2300946056</w:t>
            </w:r>
            <w:r>
              <w:rPr>
                <w:bCs/>
                <w:color w:val="000000" w:themeColor="text1"/>
                <w:lang w:val="vi-VN"/>
              </w:rPr>
            </w:r>
            <w:r>
              <w:rPr>
                <w:bCs/>
                <w:color w:val="000000" w:themeColor="text1"/>
                <w:lang w:val="vi-VN"/>
              </w:rPr>
            </w:r>
          </w:p>
        </w:tc>
      </w:tr>
      <w:tr>
        <w:trPr>
          <w:trHeight w:val="20"/>
        </w:trPr>
        <w:tc>
          <w:tcPr>
            <w:tcBorders/>
            <w:tcW w:w="2518" w:type="dxa"/>
            <w:vAlign w:val="center"/>
            <w:textDirection w:val="lrTb"/>
            <w:noWrap w:val="false"/>
          </w:tcPr>
          <w:p>
            <w:pPr>
              <w:pBdr/>
              <w:spacing w:after="58" w:afterAutospacing="0" w:before="58" w:beforeAutospacing="0" w:line="276" w:lineRule="auto"/>
              <w:ind/>
              <w:contextualSpacing w:val="fals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tcBorders/>
            <w:tcW w:w="284" w:type="dxa"/>
            <w:vAlign w:val="center"/>
            <w:textDirection w:val="lrTb"/>
            <w:noWrap w:val="false"/>
          </w:tcPr>
          <w:p>
            <w:pPr>
              <w:pBdr/>
              <w:spacing w:after="58" w:afterAutospacing="0" w:before="58" w:beforeAutospacing="0" w:line="276" w:lineRule="auto"/>
              <w:ind/>
              <w:contextualSpacing w:val="fals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58" w:afterAutospacing="0" w:before="58" w:beforeAutospacing="0" w:line="276" w:lineRule="auto"/>
              <w:ind/>
              <w:contextualSpacing w:val="false"/>
              <w:rPr>
                <w:bCs/>
                <w:color w:val="000000" w:themeColor="text1"/>
              </w:rPr>
            </w:pPr>
            <w:r>
              <w:rPr>
                <w:color w:val="000000" w:themeColor="text1"/>
                <w:lang w:val="vi-VN"/>
              </w:rPr>
              <w:t xml:space="preserve">Khu nhà ở xã hội Lan Hưng, Đường Kinh Dương Vương, Phường Hồ, Thị xã Thuận Thành, Tỉnh Bắc Ninh</w:t>
            </w:r>
            <w:r>
              <w:rPr>
                <w:bCs/>
                <w:color w:val="000000" w:themeColor="text1"/>
              </w:rPr>
            </w:r>
            <w:r>
              <w:rPr>
                <w:bCs/>
                <w:color w:val="000000" w:themeColor="text1"/>
              </w:rPr>
            </w:r>
          </w:p>
        </w:tc>
      </w:tr>
      <w:tr>
        <w:trPr>
          <w:trHeight w:val="20"/>
        </w:trPr>
        <w:tc>
          <w:tcPr>
            <w:tcBorders/>
            <w:tcW w:w="2518" w:type="dxa"/>
            <w:vAlign w:val="center"/>
            <w:vMerge w:val="restart"/>
            <w:textDirection w:val="lrTb"/>
            <w:noWrap w:val="false"/>
          </w:tcPr>
          <w:p>
            <w:pPr>
              <w:pBdr/>
              <w:spacing w:after="58" w:afterAutospacing="0" w:before="58" w:beforeAutospacing="0" w:line="276" w:lineRule="auto"/>
              <w:ind/>
              <w:contextualSpacing w:val="false"/>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58" w:afterAutospacing="0" w:before="58" w:beforeAutospacing="0" w:line="276" w:lineRule="auto"/>
              <w:ind/>
              <w:contextualSpacing w:val="false"/>
              <w:jc w:val="center"/>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58" w:afterAutospacing="0" w:before="58" w:beforeAutospacing="0" w:line="276" w:lineRule="auto"/>
              <w:ind/>
              <w:contextualSpacing w:val="false"/>
              <w:rPr>
                <w:b/>
                <w:bCs/>
                <w:color w:val="000000" w:themeColor="text1"/>
              </w:rPr>
            </w:pPr>
            <w:r>
              <w:rPr>
                <w:b/>
                <w:bCs/>
                <w:color w:val="000000" w:themeColor="text1"/>
              </w:rPr>
              <w:t xml:space="preserve">Bà Nguyễn Thị Hưng</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58" w:afterAutospacing="0" w:before="58" w:beforeAutospacing="0" w:line="276" w:lineRule="auto"/>
              <w:ind/>
              <w:contextualSpacing w:val="false"/>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58" w:afterAutospacing="0" w:before="58" w:beforeAutospacing="0" w:line="276" w:lineRule="auto"/>
              <w:ind/>
              <w:contextualSpacing w:val="false"/>
              <w:jc w:val="center"/>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58" w:afterAutospacing="0" w:before="58" w:beforeAutospacing="0" w:line="276" w:lineRule="auto"/>
              <w:ind/>
              <w:contextualSpacing w:val="false"/>
              <w:rPr>
                <w:color w:val="000000" w:themeColor="text1"/>
              </w:rPr>
            </w:pPr>
            <w:r>
              <w:rPr>
                <w:b/>
                <w:bCs/>
                <w:color w:val="000000" w:themeColor="text1"/>
              </w:rPr>
              <w:t xml:space="preserve">Tổng Giám 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23, tờ bản đồ số 3; có địa chỉ thôn Bùi xá, xã Ngũ Thái, huyện Thuận Thành, tỉnh Bắc Ninh </w:t>
            </w:r>
            <w:r>
              <w:rPr>
                <w:bCs/>
                <w:i/>
                <w:iCs/>
                <w:color w:val="000000" w:themeColor="text1"/>
                <w:lang w:val="pt-BR"/>
              </w:rPr>
              <w:t xml:space="preserve">(Nay là phường Song Liễu,</w:t>
            </w:r>
            <w:r>
              <w:rPr>
                <w:bCs/>
                <w:i/>
                <w:iCs/>
                <w:color w:val="000000" w:themeColor="text1"/>
                <w:lang w:val="pt-BR"/>
              </w:rPr>
              <w:t xml:space="preserve"> tỉnh Bắc Ninh) </w:t>
            </w:r>
            <w:r>
              <w:rPr>
                <w:bCs/>
                <w:color w:val="000000" w:themeColor="text1"/>
                <w:lang w:val="pt-BR"/>
              </w:rPr>
              <w:t xml:space="preserve">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Song Liễu,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21.013888888889, 106.03569444444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14/05/2026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N</w:t>
      </w:r>
      <w:r>
        <w:t xml:space="preserve">ghị quyết số 128/2025/NQ-HĐND ngày 26/12/2025 của Hội đồng nhân dân tỉnh Bắc Ninh về việc quy định </w:t>
      </w:r>
      <w:r>
        <w:t xml:space="preserve">tiêu chỉ cụ thể để xác định vị trí đói với từng loại đất, số lượng vị trí đất trong bằng giá đất và bảng giá các loại đất trên địa bản tỉnh Bắc Ninh</w:t>
      </w:r>
      <w:r>
        <w:rPr>
          <w:bCs/>
          <w:spacing w:val="-4"/>
          <w:lang w:val="pt-BR"/>
        </w:rPr>
        <w:t xml:space="preserve">;</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CX 425221 số vào sổ cấp GCN CS00521 t</w:t>
      </w:r>
      <w:r>
        <w:rPr>
          <w:bCs/>
          <w:color w:val="000000" w:themeColor="text1"/>
          <w:lang w:val="pt-BR"/>
        </w:rPr>
        <w:t xml:space="preserve">ại thửa đất số 23, tờ bản đồ số 3; có địa chỉ thôn Bùi xá, xã Ngũ Thái, huyện Thuận Thành, tỉnh Bắc Ninh do Sở Tài nguyên và Môi truòng tỉnh Bắc Ninh cấp ngày 26/11/2020 cho ông Vương Quốc Toàn và bà Nguyễn Thị Hưng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275/2026/0726/VFI-HĐTĐ.24.A ngày 14/05/2026 giữa Công ty Cổ phần Tập đoàn bất động sản Lan Hưng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41"/>
        <w:numPr>
          <w:ilvl w:val="0"/>
          <w:numId w:val="2"/>
        </w:numPr>
        <w:pBdr/>
        <w:tabs>
          <w:tab w:val="left" w:leader="none" w:pos="993"/>
        </w:tabs>
        <w:spacing w:after="120" w:before="120" w:line="276" w:lineRule="auto"/>
        <w:ind/>
        <w:jc w:val="both"/>
        <w:rPr>
          <w:iCs/>
          <w:color w:val="000000" w:themeColor="text1"/>
          <w:lang w:val="pt-BR"/>
          <w14:ligatures w14:val="none"/>
        </w:rPr>
      </w:pPr>
      <w:r>
        <w:rPr>
          <w:color w:val="000000" w:themeColor="text1"/>
          <w:lang w:val="pt-BR"/>
        </w:rPr>
        <w:t xml:space="preserve">Năm 2026 đánh dấu giai đoạn thị trường bất động sản Bắc Ninh bước vào chu kỳ tăng trưởng ổn định thay vì tăng nóng như các năm trước. Với lợi thế nằm sát Hà Nội cùng nền tảng công nghiệp phát triển mạnh, Bắc Ninh tiếp tục trở thành điểm đến hấp dẫn của dòn</w:t>
      </w:r>
      <w:r>
        <w:rPr>
          <w:color w:val="000000" w:themeColor="text1"/>
          <w:lang w:val="pt-BR"/>
        </w:rPr>
        <w:t xml:space="preserve">g tiền đầu tư</w:t>
      </w:r>
      <w:r>
        <w:rPr>
          <w:color w:val="000000" w:themeColor="text1"/>
          <w:lang w:val="pt-BR" w:bidi="pt-BR"/>
        </w:rPr>
        <w:t xml:space="preserve">;</w:t>
      </w:r>
      <w:r>
        <w:rPr>
          <w:iCs/>
          <w:color w:val="000000" w:themeColor="text1"/>
          <w:lang w:val="pt-BR"/>
          <w14:ligatures w14:val="none"/>
        </w:rPr>
      </w:r>
      <w:r>
        <w:rPr>
          <w:iCs/>
          <w:color w:val="000000" w:themeColor="text1"/>
          <w:lang w:val="pt-BR"/>
          <w14:ligatures w14:val="none"/>
        </w:rPr>
      </w:r>
    </w:p>
    <w:p>
      <w:pPr>
        <w:pStyle w:val="104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Bắc Ninh chứng kiến sự bứt phá mạnh mẽ về hạ tầng giao thông:</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Cầu Kênh Vàng:</w:t>
      </w:r>
      <w:r>
        <w:rPr>
          <w:color w:val="000000" w:themeColor="text1"/>
          <w:lang w:val="pt-BR"/>
        </w:rPr>
        <w:t xml:space="preserve"> Dự kiến hoàn thành 2027, kết nối Bắc Ninh với Hải Dương, Hải Phòng.</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Đường </w:t>
      </w:r>
      <w:r>
        <w:rPr>
          <w:color w:val="000000" w:themeColor="text1"/>
          <w:lang w:val="pt-BR"/>
        </w:rPr>
        <w:t xml:space="preserve">sắt tốc độ cao Hà Nội - Quảng Ninh:</w:t>
      </w:r>
      <w:r>
        <w:rPr>
          <w:color w:val="000000" w:themeColor="text1"/>
          <w:lang w:val="pt-BR"/>
        </w:rPr>
        <w:t xml:space="preserve"> Dự kiến vận hành thương mại từ Quý I/2028.</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Nhiều tuyến đường liên vùng được nâng cấp, rút ngắn thời gian di chuyển.</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Hạ tầng tốt luôn đi kèm với tăng giá bất động sản bền vững.</w:t>
      </w:r>
      <w:r>
        <w:rPr>
          <w:color w:val="000000" w:themeColor="text1"/>
          <w:lang w:val="pt-BR"/>
          <w14:ligatures w14:val="none"/>
        </w:rPr>
      </w:r>
      <w:r>
        <w:rPr>
          <w:color w:val="000000" w:themeColor="text1"/>
          <w:lang w:val="pt-BR"/>
          <w14:ligatures w14:val="none"/>
        </w:rPr>
      </w:r>
    </w:p>
    <w:p>
      <w:pPr>
        <w:pStyle w:val="104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Những xu hướng đáng chú ý</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+Đất nền:</w:t>
      </w:r>
      <w:r>
        <w:rPr>
          <w:color w:val="000000" w:themeColor="text1"/>
          <w:lang w:val="pt-BR"/>
        </w:rPr>
        <w:t xml:space="preserve"> Tiếp tục chiếm ưu thế nhờ tính thanh khoản cao và phù hợp nhiều mức tài chính.</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+BĐS Thương mại:</w:t>
      </w:r>
      <w:r>
        <w:rPr>
          <w:color w:val="000000" w:themeColor="text1"/>
          <w:lang w:val="pt-BR"/>
        </w:rPr>
        <w:t xml:space="preserve"> Shophouse tại các khu đô thị đông dân cư có cơ hội khai thác dòng tiền đều đặn.</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color w:val="000000" w:themeColor="text1"/>
          <w:lang w:val="pt-BR"/>
          <w14:ligatures w14:val="none"/>
        </w:rPr>
      </w:pPr>
      <w:r>
        <w:rPr>
          <w:color w:val="000000" w:themeColor="text1"/>
          <w:lang w:val="pt-BR"/>
        </w:rPr>
        <w:t xml:space="preserve">+ N</w:t>
      </w:r>
      <w:r>
        <w:rPr>
          <w:color w:val="000000" w:themeColor="text1"/>
          <w:lang w:val="pt-BR"/>
        </w:rPr>
        <w:t xml:space="preserve">hu cầu thật:</w:t>
      </w:r>
      <w:r>
        <w:rPr>
          <w:color w:val="000000" w:themeColor="text1"/>
          <w:lang w:val="pt-BR"/>
        </w:rPr>
        <w:t xml:space="preserve"> Người mua ưu tiên giá trị sử dụng hơn là đầu cơ ngắn hạn.</w:t>
      </w:r>
      <w:r>
        <w:rPr>
          <w:color w:val="000000" w:themeColor="text1"/>
          <w:lang w:val="pt-BR"/>
          <w14:ligatures w14:val="none"/>
        </w:rPr>
      </w:r>
      <w:r>
        <w:rPr>
          <w:color w:val="000000" w:themeColor="text1"/>
          <w:lang w:val="pt-BR"/>
          <w14:ligatures w14:val="none"/>
        </w:rPr>
      </w:r>
    </w:p>
    <w:p>
      <w:pPr>
        <w:pStyle w:val="104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Thị trường bất động sản Bắc Ninh dự kiến tiếp tục đi lên ổn định, ít xảy ra sốt đất ảo. Giá trị sẽ tập trung vào các khu vực có hạ tầng và dân cư phát triển. Kế hoạch xúc tiến thương mại giai đoạn 2026-2030 của tỉnh sẽ là đòn bẩy quan trọng cho thị trường.</w:t>
      </w:r>
      <w:r>
        <w:rPr>
          <w:color w:val="000000" w:themeColor="text1"/>
          <w:lang w:val="pt-BR"/>
          <w14:ligatures w14:val="none"/>
        </w:rPr>
      </w:r>
      <w:r>
        <w:rPr>
          <w:color w:val="000000" w:themeColor="text1"/>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bCs/>
          <w:i/>
          <w:color w:val="000000" w:themeColor="text1"/>
          <w14:ligatures w14:val="none"/>
        </w:rPr>
      </w:pPr>
      <w:r>
        <w:rPr>
          <w:color w:val="000000" w:themeColor="text1"/>
          <w:highlight w:val="none"/>
          <w:lang w:val="pt-BR" w:bidi="pt-BR"/>
        </w:rPr>
        <w:t xml:space="preserve">Nguồn: </w:t>
      </w:r>
      <w:r>
        <w:rPr>
          <w:i/>
          <w:iCs/>
          <w:color w:val="000000" w:themeColor="text1"/>
          <w:highlight w:val="none"/>
          <w:lang w:val="pt-BR" w:bidi="pt-BR"/>
        </w:rPr>
        <w:t xml:space="preserve">https://www.batdongsannew.com/2026/03/thi-truong-bat-ong-san-bac-ninh-2026-co.html</w:t>
      </w:r>
      <w:r>
        <w:rPr>
          <w:bCs/>
          <w:i/>
          <w:color w:val="000000" w:themeColor="text1"/>
          <w14:ligatures w14:val="none"/>
        </w:rPr>
      </w:r>
      <w:r>
        <w:rPr>
          <w:bCs/>
          <w:i/>
          <w:color w:val="000000" w:themeColor="text1"/>
          <w14:ligatures w14:val="none"/>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23, tờ bản đồ số 3; có địa chỉ thôn Bùi xá, xã Ngũ Thái, huyện Thuận Thành, tỉnh Bắc Ninh (</w:t>
            </w:r>
            <w:r>
              <w:rPr>
                <w:b/>
                <w:bCs/>
                <w:i/>
                <w:iCs/>
                <w:color w:val="000000"/>
              </w:rPr>
              <w:t xml:space="preserve">Nay là phường Song Liễu,</w:t>
            </w:r>
            <w:r>
              <w:rPr>
                <w:b/>
                <w:bCs/>
                <w:i/>
                <w:iCs/>
                <w:color w:val="000000"/>
              </w:rPr>
              <w:t xml:space="preserve"> tỉnh Bắc Ninh) </w:t>
            </w:r>
            <w:r>
              <w:rPr>
                <w:b/>
                <w:bCs/>
                <w:color w:val="000000"/>
              </w:rPr>
              <w:t xml:space="preserve">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Cs/>
                <w:i/>
                <w:color w:val="000000"/>
              </w:rPr>
            </w:pPr>
            <w:r>
              <w:rPr>
                <w:color w:val="000000"/>
              </w:rPr>
              <w:t xml:space="preserve">Thôn Bùi Xá, Xã Ngũ Thái, Huyện Thuận Thành, Tỉnh Bắc Ninh. </w:t>
            </w:r>
            <w:r>
              <w:rPr>
                <w:i/>
                <w:iCs/>
                <w:color w:val="000000"/>
              </w:rPr>
              <w:t xml:space="preserve">(Nay là phường Song Liễu, tỉnh Bắc Ninh)</w:t>
            </w:r>
            <w:r>
              <w:rPr>
                <w:bCs/>
                <w:i/>
                <w:color w:val="000000"/>
              </w:rPr>
            </w:r>
            <w:r>
              <w:rPr>
                <w:bCs/>
                <w:i/>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 240</w:t>
            </w:r>
            <w:r>
              <w:rPr>
                <w:color w:val="000000"/>
              </w:rPr>
              <w:t xml:space="preserve">m²</w:t>
            </w:r>
            <w:r>
              <w:rPr>
                <w:color w:val="000000" w:themeColor="text1"/>
              </w:rPr>
              <w:t xml:space="preserve">, </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319</w:t>
            </w:r>
            <w:r>
              <w:rPr>
                <w:color w:val="000000"/>
              </w:rPr>
              <w:t xml:space="preserve">m²</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Đất ở tại nông thôn: Lâu dài</w:t>
            </w:r>
            <w:r>
              <w:rPr>
                <w:color w:val="000000" w:themeColor="text1"/>
              </w:rPr>
              <w:t xml:space="preserve">, </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w:t>
            </w:r>
            <w:r>
              <w:rPr>
                <w:color w:val="000000"/>
              </w:rPr>
              <w:t xml:space="preserve">đến ngày 10/10/2047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Trúng đấu giá được công nhận QSDĐ như giao đất có thu tiền sử dụng đất: 240</w:t>
            </w:r>
            <w:r>
              <w:rPr>
                <w:color w:val="000000"/>
              </w:rPr>
              <w:t xml:space="preserve">m²</w:t>
            </w:r>
            <w:r>
              <w:rPr>
                <w:color w:val="000000"/>
                <w:highlight w:val="none"/>
              </w:rPr>
            </w:r>
            <w:r>
              <w:rPr>
                <w:color w:val="000000"/>
                <w:highlight w:val="none"/>
              </w:rPr>
            </w:r>
          </w:p>
          <w:p>
            <w:pPr>
              <w:pBdr/>
              <w:spacing/>
              <w:ind/>
              <w:jc w:val="both"/>
              <w:rPr>
                <w:color w:val="000000"/>
                <w:highlight w:val="none"/>
              </w:rPr>
            </w:pPr>
            <w:r>
              <w:rPr>
                <w:color w:val="000000"/>
              </w:rPr>
              <w:t xml:space="preserve">Trúng đấu giá được công nhận QSDĐ như giao đất không thu tiền sử dụng đất: 319</w:t>
            </w:r>
            <w:r>
              <w:rPr>
                <w:color w:val="000000"/>
              </w:rPr>
              <w:t xml:space="preserve">m²</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highlight w:val="none"/>
              </w:rPr>
              <w:t xml:space="preserve">Cách đường Nguyễn Gia Thiều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-Hướng Đông Nam giáp ngõ bê tông</w:t>
            </w:r>
            <w:r>
              <w:rPr>
                <w:color w:val="000000" w:themeColor="text1"/>
                <w:highlight w:val="none"/>
              </w:rPr>
            </w:r>
            <w:r>
              <w:rPr>
                <w:color w:val="000000" w:themeColor="text1"/>
                <w:highlight w:val="none"/>
              </w:rPr>
            </w:r>
          </w:p>
          <w:p>
            <w:pPr>
              <w:pBdr/>
              <w:spacing/>
              <w:ind/>
              <w:jc w:val="both"/>
              <w:rPr>
                <w:color w:val="000000"/>
              </w:rPr>
            </w:pPr>
            <w:r>
              <w:rPr>
                <w:color w:val="000000" w:themeColor="text1"/>
                <w:highlight w:val="none"/>
              </w:rPr>
              <w:t xml:space="preserve">-Các hướng còn lại tiếp giáp BĐS khác liền kề</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Vị trí theo quy định uỷ ban</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themeColor="text1"/>
              </w:rPr>
            </w:pPr>
            <w:r>
              <w:rPr>
                <w:color w:val="000000" w:themeColor="text1"/>
              </w:rPr>
              <w:t xml:space="preserve">Vị trí 4 đường Nguyễn Gia Thiều </w:t>
            </w:r>
            <w:r>
              <w:rPr>
                <w:color w:val="000000" w:themeColor="text1"/>
              </w:rPr>
              <w:t xml:space="preserve">Đoạn từ Tổ dân phố Tứ Cờ đến Nhà Lưu niệm Bác Hồ theo </w:t>
            </w:r>
            <w:r>
              <w:rPr>
                <w:bCs/>
                <w:spacing w:val="-4"/>
                <w:lang w:val="pt-BR"/>
              </w:rPr>
              <w:t xml:space="preserve">N</w:t>
            </w:r>
            <w:r>
              <w:t xml:space="preserve">ghị quyết số 128/2025/NQ-HĐND ngày 26/12/2025 của Hội đồng nhân dân tỉnh Bắc Ninh có đơn giá đất ở là</w:t>
            </w:r>
            <w:r>
              <w:rPr>
                <w:color w:val="000000" w:themeColor="text1"/>
              </w:rPr>
              <w:t xml:space="preserve">: </w:t>
            </w:r>
            <w:r>
              <w:rPr>
                <w:i/>
                <w:iCs/>
                <w:color w:val="000000" w:themeColor="text1"/>
              </w:rPr>
              <w:t xml:space="preserve">4.700.000 đồng/m2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21.013888888889</w:t>
            </w:r>
            <w:r>
              <w:rPr>
                <w:color w:val="000000"/>
              </w:rPr>
              <w:t xml:space="preserve">, </w:t>
            </w:r>
            <w:r>
              <w:rPr>
                <w:color w:val="000000"/>
              </w:rPr>
              <w:t xml:space="preserve">106.03569444444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75442" cy="267953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175442" cy="26795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7.52pt;height:210.9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Công trình xây dựng trên đất là nhà cấp IV cũ đã hoàn thiện và đang sử dụng bình thường. Công trình chưa được chứng nhận trên GCN số </w:t>
            </w:r>
            <w:r>
              <w:rPr>
                <w:b w:val="0"/>
                <w:bCs w:val="0"/>
                <w:color w:val="000000"/>
              </w:rPr>
              <w:t xml:space="preserve">CX 425221. Do đó, theo đề nghị của khách hàng tổ thẩm định không xác định giá trị công trình xây dựng.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ayout w:type="fixed"/>
        <w:tblLook w:val="04A0" w:firstRow="1" w:lastRow="0" w:firstColumn="1" w:lastColumn="0" w:noHBand="0" w:noVBand="1"/>
      </w:tblPr>
      <w:tblGrid>
        <w:gridCol w:w="732"/>
        <w:gridCol w:w="1984"/>
        <w:gridCol w:w="1984"/>
        <w:gridCol w:w="1984"/>
        <w:gridCol w:w="1134"/>
        <w:gridCol w:w="1697"/>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984"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984"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984"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97"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984" w:type="dxa"/>
            <w:vAlign w:val="center"/>
            <w:textDirection w:val="lrTb"/>
            <w:noWrap w:val="false"/>
          </w:tcPr>
          <w:p>
            <w:pPr>
              <w:pBdr/>
              <w:spacing/>
              <w:ind/>
              <w:jc w:val="center"/>
              <w:rPr/>
            </w:pPr>
            <w:r>
              <w:t xml:space="preserve">Địa chỉ</w:t>
            </w:r>
            <w:r/>
          </w:p>
        </w:tc>
        <w:tc>
          <w:tcPr>
            <w:tcBorders/>
            <w:tcW w:w="1984" w:type="dxa"/>
            <w:vAlign w:val="center"/>
            <w:textDirection w:val="lrTb"/>
            <w:noWrap w:val="false"/>
          </w:tcPr>
          <w:p>
            <w:pPr>
              <w:pBdr/>
              <w:spacing/>
              <w:ind/>
              <w:jc w:val="center"/>
              <w:rPr/>
            </w:pPr>
            <w:r>
              <w:t xml:space="preserve">Bùi Xá xã Ngũ Thái huyện Thuận Thành tỉnh Bắc Ninh</w:t>
            </w:r>
            <w:r/>
          </w:p>
        </w:tc>
        <w:tc>
          <w:tcPr>
            <w:tcBorders/>
            <w:tcW w:w="1984" w:type="dxa"/>
            <w:vAlign w:val="center"/>
            <w:textDirection w:val="lrTb"/>
            <w:noWrap w:val="false"/>
          </w:tcPr>
          <w:p>
            <w:pPr>
              <w:pBdr/>
              <w:spacing/>
              <w:ind/>
              <w:jc w:val="center"/>
              <w:rPr/>
            </w:pPr>
            <w:r>
              <w:t xml:space="preserve">Phường Song Liễu, Tỉnh Bắc Ninh ✔</w:t>
            </w:r>
            <w:r/>
          </w:p>
        </w:tc>
        <w:tc>
          <w:tcPr>
            <w:tcBorders/>
            <w:tcW w:w="1134" w:type="dxa"/>
            <w:vAlign w:val="center"/>
            <w:textDirection w:val="lrTb"/>
            <w:noWrap w:val="false"/>
          </w:tcPr>
          <w:p>
            <w:pPr>
              <w:pBdr/>
              <w:spacing/>
              <w:ind/>
              <w:jc w:val="center"/>
              <w:rPr/>
            </w:pPr>
            <w:r>
              <w:t xml:space="preserve">Có</w:t>
            </w:r>
            <w:r/>
          </w:p>
        </w:tc>
        <w:tc>
          <w:tcPr>
            <w:tcBorders/>
            <w:tcW w:w="1697" w:type="dxa"/>
            <w:vAlign w:val="center"/>
            <w:textDirection w:val="lrTb"/>
            <w:noWrap w:val="false"/>
          </w:tcPr>
          <w:p>
            <w:pPr>
              <w:pBdr/>
              <w:spacing/>
              <w:ind/>
              <w:jc w:val="center"/>
              <w:rPr/>
            </w:pPr>
            <w:r>
              <w:t xml:space="preserve">Thay đổi sau sáp nhập</w:t>
            </w:r>
            <w:r/>
          </w:p>
        </w:tc>
      </w:tr>
      <w:tr>
        <w:trPr>
          <w:jc w:val="center"/>
        </w:trPr>
        <w:tc>
          <w:tcPr>
            <w:tcBorders/>
            <w:tcW w:w="732" w:type="dxa"/>
            <w:vAlign w:val="center"/>
            <w:textDirection w:val="lrTb"/>
            <w:noWrap w:val="false"/>
          </w:tcPr>
          <w:p>
            <w:pPr>
              <w:pBdr/>
              <w:spacing/>
              <w:ind/>
              <w:jc w:val="center"/>
              <w:rPr/>
            </w:pPr>
            <w:r>
              <w:t xml:space="preserve">2</w:t>
            </w:r>
            <w:r/>
          </w:p>
        </w:tc>
        <w:tc>
          <w:tcPr>
            <w:tcBorders/>
            <w:tcW w:w="1984" w:type="dxa"/>
            <w:vAlign w:val="center"/>
            <w:textDirection w:val="lrTb"/>
            <w:noWrap w:val="false"/>
          </w:tcPr>
          <w:p>
            <w:pPr>
              <w:pBdr/>
              <w:spacing/>
              <w:ind/>
              <w:jc w:val="center"/>
              <w:rPr/>
            </w:pPr>
            <w:r>
              <w:t xml:space="preserve">Pháp lý</w:t>
            </w:r>
            <w:r/>
          </w:p>
        </w:tc>
        <w:tc>
          <w:tcPr>
            <w:tcBorders/>
            <w:tcW w:w="1984"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984"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984" w:type="dxa"/>
            <w:vAlign w:val="center"/>
            <w:textDirection w:val="lrTb"/>
            <w:noWrap w:val="false"/>
          </w:tcPr>
          <w:p>
            <w:pPr>
              <w:pBdr/>
              <w:spacing/>
              <w:ind/>
              <w:jc w:val="center"/>
              <w:rPr/>
            </w:pPr>
            <w:r>
              <w:t xml:space="preserve">Loại đất</w:t>
            </w:r>
            <w:r/>
          </w:p>
        </w:tc>
        <w:tc>
          <w:tcPr>
            <w:tcBorders/>
            <w:tcW w:w="1984" w:type="dxa"/>
            <w:vAlign w:val="center"/>
            <w:textDirection w:val="lrTb"/>
            <w:noWrap w:val="false"/>
          </w:tcPr>
          <w:p>
            <w:pPr>
              <w:pBdr/>
              <w:spacing/>
              <w:ind/>
              <w:jc w:val="center"/>
              <w:rPr/>
            </w:pPr>
            <w:r>
              <w:t xml:space="preserve">Đất ở tại nông thôn, Đất trồng cây lâu năm ✔</w:t>
            </w:r>
            <w:r/>
          </w:p>
        </w:tc>
        <w:tc>
          <w:tcPr>
            <w:tcBorders/>
            <w:tcW w:w="1984" w:type="dxa"/>
            <w:vAlign w:val="center"/>
            <w:textDirection w:val="lrTb"/>
            <w:noWrap w:val="false"/>
          </w:tcPr>
          <w:p>
            <w:pPr>
              <w:pBdr/>
              <w:spacing/>
              <w:ind/>
              <w:jc w:val="center"/>
              <w:rPr/>
            </w:pPr>
            <w:r>
              <w:t xml:space="preserve">Đất ở tại nông thôn, Đất trồng cây lâu năm ✔</w:t>
            </w:r>
            <w:r/>
          </w:p>
        </w:tc>
        <w:tc>
          <w:tcPr>
            <w:tcBorders/>
            <w:tcW w:w="1134" w:type="dxa"/>
            <w:vAlign w:val="center"/>
            <w:textDirection w:val="lrTb"/>
            <w:noWrap w:val="false"/>
          </w:tcPr>
          <w:p>
            <w:pPr>
              <w:pBdr/>
              <w:spacing/>
              <w:ind/>
              <w:jc w:val="center"/>
              <w:rPr/>
            </w:pPr>
            <w:r>
              <w:t xml:space="preserve">Không</w:t>
            </w:r>
            <w:r/>
          </w:p>
          <w:p>
            <w:pPr>
              <w:pBdr/>
              <w:spacing/>
              <w:ind/>
              <w:jc w:val="center"/>
              <w:rPr/>
            </w:pPr>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984" w:type="dxa"/>
            <w:vAlign w:val="center"/>
            <w:textDirection w:val="lrTb"/>
            <w:noWrap w:val="false"/>
          </w:tcPr>
          <w:p>
            <w:pPr>
              <w:pBdr/>
              <w:spacing/>
              <w:ind/>
              <w:jc w:val="center"/>
              <w:rPr/>
            </w:pPr>
            <w:r>
              <w:t xml:space="preserve">Thời hạn sử dụng</w:t>
            </w:r>
            <w:r/>
          </w:p>
        </w:tc>
        <w:tc>
          <w:tcPr>
            <w:tcBorders/>
            <w:tcW w:w="1984" w:type="dxa"/>
            <w:vAlign w:val="center"/>
            <w:textDirection w:val="lrTb"/>
            <w:noWrap w:val="false"/>
          </w:tcPr>
          <w:p>
            <w:pPr>
              <w:pBdr/>
              <w:spacing/>
              <w:ind/>
              <w:jc w:val="center"/>
              <w:rPr>
                <w:color w:val="000000" w:themeColor="text1"/>
              </w:rPr>
            </w:pPr>
            <w:r>
              <w:rPr>
                <w:color w:val="000000" w:themeColor="text1"/>
              </w:rPr>
              <w:t xml:space="preserve">Đất ở tại nông thôn: Lâu dài</w:t>
            </w:r>
            <w:r>
              <w:rPr>
                <w:color w:val="000000" w:themeColor="text1"/>
              </w:rPr>
              <w:t xml:space="preserve">, </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w:t>
            </w:r>
            <w:r>
              <w:rPr>
                <w:color w:val="000000"/>
              </w:rPr>
              <w:t xml:space="preserve">đến ngày 10/10/2047</w:t>
            </w:r>
            <w:r>
              <w:rPr>
                <w:color w:val="000000"/>
              </w:rPr>
            </w:r>
            <w:r>
              <w:rPr>
                <w:color w:val="000000"/>
              </w:rPr>
            </w:r>
          </w:p>
        </w:tc>
        <w:tc>
          <w:tcPr>
            <w:tcBorders/>
            <w:tcW w:w="1984" w:type="dxa"/>
            <w:vAlign w:val="center"/>
            <w:textDirection w:val="lrTb"/>
            <w:noWrap w:val="false"/>
          </w:tcPr>
          <w:p>
            <w:pPr>
              <w:pBdr/>
              <w:spacing/>
              <w:ind/>
              <w:jc w:val="center"/>
              <w:rPr>
                <w:color w:val="000000" w:themeColor="text1"/>
              </w:rPr>
            </w:pPr>
            <w:r>
              <w:rPr>
                <w:color w:val="000000" w:themeColor="text1"/>
              </w:rPr>
              <w:t xml:space="preserve">Đất ở tại nông thôn: Lâu dài</w:t>
            </w:r>
            <w:r>
              <w:rPr>
                <w:color w:val="000000" w:themeColor="text1"/>
              </w:rPr>
              <w:t xml:space="preserve">, </w:t>
            </w:r>
            <w:r>
              <w:rPr>
                <w:color w:val="000000" w:themeColor="text1"/>
              </w:rPr>
            </w:r>
            <w:r>
              <w:rPr>
                <w:color w:val="000000" w:themeColor="text1"/>
              </w:rPr>
            </w:r>
          </w:p>
          <w:p>
            <w:pPr>
              <w:pBdr/>
              <w:spacing/>
              <w:ind/>
              <w:jc w:val="center"/>
              <w:rPr>
                <w:color w:val="000000"/>
              </w:rPr>
            </w:pPr>
            <w:r>
              <w:rPr>
                <w:color w:val="000000" w:themeColor="text1"/>
              </w:rPr>
              <w:t xml:space="preserve">Đất trồng cây lâu năm: </w:t>
            </w:r>
            <w:r>
              <w:rPr>
                <w:color w:val="000000"/>
              </w:rPr>
              <w:t xml:space="preserve">đến ngày 10/10/2047</w:t>
            </w:r>
            <w:r>
              <w:t xml:space="preserve"> ✔</w:t>
            </w:r>
            <w:r>
              <w:rPr>
                <w:color w:val="000000"/>
              </w:rPr>
            </w:r>
            <w:r>
              <w:rPr>
                <w:color w:val="000000"/>
              </w:rP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984" w:type="dxa"/>
            <w:vAlign w:val="center"/>
            <w:textDirection w:val="lrTb"/>
            <w:noWrap w:val="false"/>
          </w:tcPr>
          <w:p>
            <w:pPr>
              <w:pBdr/>
              <w:spacing/>
              <w:ind/>
              <w:jc w:val="center"/>
              <w:rPr/>
            </w:pPr>
            <w:r>
              <w:t xml:space="preserve">Mặt cắt đường trước nhà</w:t>
            </w:r>
            <w:r/>
          </w:p>
        </w:tc>
        <w:tc>
          <w:tcPr>
            <w:tcBorders/>
            <w:tcW w:w="1984" w:type="dxa"/>
            <w:vAlign w:val="center"/>
            <w:textDirection w:val="lrTb"/>
            <w:noWrap w:val="false"/>
          </w:tcPr>
          <w:p>
            <w:pPr>
              <w:pBdr/>
              <w:spacing/>
              <w:ind/>
              <w:jc w:val="center"/>
              <w:rPr/>
            </w:pPr>
            <w:r>
              <w:t xml:space="preserve">2,4</w:t>
            </w:r>
            <w:r/>
          </w:p>
        </w:tc>
        <w:tc>
          <w:tcPr>
            <w:tcBorders/>
            <w:tcW w:w="1984" w:type="dxa"/>
            <w:vAlign w:val="center"/>
            <w:textDirection w:val="lrTb"/>
            <w:noWrap w:val="false"/>
          </w:tcPr>
          <w:p>
            <w:pPr>
              <w:pBdr/>
              <w:spacing/>
              <w:ind/>
              <w:jc w:val="center"/>
              <w:rPr/>
            </w:pPr>
            <w:r>
              <w:t xml:space="preserve">2,4 ✔</w:t>
            </w:r>
            <w:r/>
          </w:p>
        </w:tc>
        <w:tc>
          <w:tcPr>
            <w:tcBorders/>
            <w:tcW w:w="1134" w:type="dxa"/>
            <w:vAlign w:val="center"/>
            <w:textDirection w:val="lrTb"/>
            <w:noWrap w:val="false"/>
          </w:tcPr>
          <w:p>
            <w:pPr>
              <w:pBdr/>
              <w:spacing/>
              <w:ind/>
              <w:jc w:val="center"/>
              <w:rPr/>
            </w:pPr>
            <w:r>
              <w:t xml:space="preserve">0</w:t>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984" w:type="dxa"/>
            <w:vAlign w:val="center"/>
            <w:textDirection w:val="lrTb"/>
            <w:noWrap w:val="false"/>
          </w:tcPr>
          <w:p>
            <w:pPr>
              <w:pBdr/>
              <w:spacing/>
              <w:ind/>
              <w:jc w:val="center"/>
              <w:rPr/>
            </w:pPr>
            <w:r>
              <w:t xml:space="preserve">Diện tích</w:t>
            </w:r>
            <w:r/>
          </w:p>
        </w:tc>
        <w:tc>
          <w:tcPr>
            <w:tcBorders/>
            <w:tcW w:w="1984" w:type="dxa"/>
            <w:vAlign w:val="center"/>
            <w:textDirection w:val="lrTb"/>
            <w:noWrap w:val="false"/>
          </w:tcPr>
          <w:p>
            <w:pPr>
              <w:pBdr/>
              <w:spacing/>
              <w:ind/>
              <w:jc w:val="center"/>
              <w:rPr/>
            </w:pPr>
            <w:r>
              <w:t xml:space="preserve">559</w:t>
            </w:r>
            <w:r/>
          </w:p>
        </w:tc>
        <w:tc>
          <w:tcPr>
            <w:tcBorders/>
            <w:tcW w:w="1984" w:type="dxa"/>
            <w:vAlign w:val="center"/>
            <w:textDirection w:val="lrTb"/>
            <w:noWrap w:val="false"/>
          </w:tcPr>
          <w:p>
            <w:pPr>
              <w:pBdr/>
              <w:spacing/>
              <w:ind/>
              <w:jc w:val="center"/>
              <w:rPr/>
            </w:pPr>
            <w:r>
              <w:t xml:space="preserve">559 ✔</w:t>
            </w:r>
            <w:r/>
          </w:p>
        </w:tc>
        <w:tc>
          <w:tcPr>
            <w:tcBorders/>
            <w:tcW w:w="1134" w:type="dxa"/>
            <w:vAlign w:val="center"/>
            <w:textDirection w:val="lrTb"/>
            <w:noWrap w:val="false"/>
          </w:tcPr>
          <w:p>
            <w:pPr>
              <w:pBdr/>
              <w:spacing/>
              <w:ind/>
              <w:jc w:val="center"/>
              <w:rPr/>
            </w:pPr>
            <w:r>
              <w:t xml:space="preserve">0</w:t>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984" w:type="dxa"/>
            <w:vAlign w:val="center"/>
            <w:textDirection w:val="lrTb"/>
            <w:noWrap w:val="false"/>
          </w:tcPr>
          <w:p>
            <w:pPr>
              <w:pBdr/>
              <w:spacing/>
              <w:ind/>
              <w:jc w:val="center"/>
              <w:rPr/>
            </w:pPr>
            <w:r>
              <w:t xml:space="preserve">Mặt tiếp giáp</w:t>
            </w:r>
            <w:r/>
          </w:p>
        </w:tc>
        <w:tc>
          <w:tcPr>
            <w:tcBorders/>
            <w:tcW w:w="1984" w:type="dxa"/>
            <w:vAlign w:val="center"/>
            <w:textDirection w:val="lrTb"/>
            <w:noWrap w:val="false"/>
          </w:tcPr>
          <w:p>
            <w:pPr>
              <w:pBdr/>
              <w:spacing/>
              <w:ind/>
              <w:jc w:val="center"/>
              <w:rPr/>
            </w:pPr>
            <w:r>
              <w:t xml:space="preserve">Tiếp giáp 1 mặt tiền</w:t>
            </w:r>
            <w:r/>
          </w:p>
        </w:tc>
        <w:tc>
          <w:tcPr>
            <w:tcBorders/>
            <w:tcW w:w="1984" w:type="dxa"/>
            <w:vAlign w:val="center"/>
            <w:textDirection w:val="lrTb"/>
            <w:noWrap w:val="false"/>
          </w:tcPr>
          <w:p>
            <w:pPr>
              <w:pBdr/>
              <w:spacing/>
              <w:ind/>
              <w:jc w:val="center"/>
              <w:rPr/>
            </w:pPr>
            <w:r>
              <w:t xml:space="preserve">Tiếp giáp 1 mặt tiền ✔</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984" w:type="dxa"/>
            <w:vAlign w:val="center"/>
            <w:textDirection w:val="lrTb"/>
            <w:noWrap w:val="false"/>
          </w:tcPr>
          <w:p>
            <w:pPr>
              <w:pBdr/>
              <w:spacing/>
              <w:ind/>
              <w:jc w:val="center"/>
              <w:rPr/>
            </w:pPr>
            <w:r>
              <w:t xml:space="preserve">Hình dạng thửa đất</w:t>
            </w:r>
            <w:r/>
          </w:p>
        </w:tc>
        <w:tc>
          <w:tcPr>
            <w:tcBorders/>
            <w:tcW w:w="1984" w:type="dxa"/>
            <w:vAlign w:val="center"/>
            <w:textDirection w:val="lrTb"/>
            <w:noWrap w:val="false"/>
          </w:tcPr>
          <w:p>
            <w:pPr>
              <w:pBdr/>
              <w:spacing/>
              <w:ind/>
              <w:jc w:val="center"/>
              <w:rPr/>
            </w:pPr>
            <w:r>
              <w:t xml:space="preserve">Tương đối vuông vức</w:t>
            </w:r>
            <w:r/>
          </w:p>
        </w:tc>
        <w:tc>
          <w:tcPr>
            <w:tcBorders/>
            <w:tcW w:w="1984" w:type="dxa"/>
            <w:vAlign w:val="center"/>
            <w:textDirection w:val="lrTb"/>
            <w:noWrap w:val="false"/>
          </w:tcPr>
          <w:p>
            <w:pPr>
              <w:pBdr/>
              <w:spacing/>
              <w:ind/>
              <w:jc w:val="center"/>
              <w:rPr/>
            </w:pPr>
            <w:r>
              <w:t xml:space="preserve">Tương đối vuông vức</w:t>
            </w:r>
            <w:r>
              <w:t xml:space="preserve">✔</w:t>
            </w:r>
            <w:r/>
          </w:p>
        </w:tc>
        <w:tc>
          <w:tcPr>
            <w:tcBorders/>
            <w:tcW w:w="1134" w:type="dxa"/>
            <w:vAlign w:val="center"/>
            <w:textDirection w:val="lrTb"/>
            <w:noWrap w:val="false"/>
          </w:tcPr>
          <w:p>
            <w:pPr>
              <w:pBdr/>
              <w:spacing/>
              <w:ind/>
              <w:jc w:val="center"/>
              <w:rPr/>
            </w:pPr>
            <w:r>
              <w:t xml:space="preserve">Không</w:t>
            </w:r>
            <w:r/>
          </w:p>
        </w:tc>
        <w:tc>
          <w:tcPr>
            <w:tcBorders/>
            <w:tcW w:w="1697"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811"/>
        <w:gridCol w:w="992"/>
        <w:gridCol w:w="198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811"/>
        <w:gridCol w:w="992"/>
        <w:gridCol w:w="198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503"/>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466"/>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462"/>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color w:val="000000"/>
        </w:rPr>
        <w:t xml:space="preserve">Công trình xây dựng trên đất là nhà cấp IV cũ đã hoàn thiện và đang sử dụng bình thường. Công trình chưa được chứng nhận trên GCN số </w:t>
      </w:r>
      <w:r>
        <w:rPr>
          <w:b w:val="0"/>
          <w:bCs w:val="0"/>
          <w:color w:val="000000"/>
        </w:rPr>
        <w:t xml:space="preserve">CX 425221. Do đó, theo đề nghị của khách hàng tổ thẩm định không xác định giá trị công trình xây dựng</w:t>
      </w:r>
      <w:r>
        <w:rPr>
          <w:spacing w:val="-2"/>
          <w:highlight w:val="none"/>
          <w:lang w:val="pt-BR"/>
        </w:rPr>
        <w:t xml:space="preserve"> tuy nhiên vẫn là một phần không thể tách rời của tài sản thẩm định. Đề nghị các bên sử dụng kết quả lưu ý!</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rFonts w:ascii="Times New Roman" w:hAnsi="Times New Roman" w:eastAsia="Times New Roman" w:cs="Times New Roman"/>
          <w:color w:val="000000"/>
          <w:sz w:val="24"/>
        </w:rPr>
        <w:t xml:space="preserve">Tà</w:t>
      </w:r>
      <w:r>
        <w:rPr>
          <w:rFonts w:ascii="Times New Roman" w:hAnsi="Times New Roman" w:eastAsia="Times New Roman" w:cs="Times New Roman"/>
          <w:color w:val="000000"/>
          <w:sz w:val="24"/>
        </w:rPr>
        <w:t xml:space="preserve">i</w:t>
      </w:r>
      <w:r>
        <w:rPr>
          <w:rFonts w:ascii="Times New Roman" w:hAnsi="Times New Roman" w:eastAsia="Times New Roman" w:cs="Times New Roman"/>
          <w:color w:val="000000"/>
          <w:sz w:val="24"/>
        </w:rPr>
        <w:t xml:space="preserve"> sản thẩm định có diện tích 559 m²; trong đó 240 m²: Đất ở và 319m²: Đất TCLN; không phân chia ranh giới rõ ràng cho từng diện tích đất. Do đó đảm bảo nguyên tắc sử dụng tốt nhất và hiệu quả nhất, tổ thẩm định lựa chọn thửa đất ở của tài sản là thửa đất có</w:t>
      </w:r>
      <w:r>
        <w:rPr>
          <w:rFonts w:ascii="Times New Roman" w:hAnsi="Times New Roman" w:eastAsia="Times New Roman" w:cs="Times New Roman"/>
          <w:color w:val="000000"/>
          <w:sz w:val="24"/>
        </w:rPr>
        <w:t xml:space="preserve"> diện tích 240m²; mặt tiền rộng 18m; hình dáng tương đối vuông vức để làm căn cứ xác định giá trị của phần đất ở tại nông thôn</w:t>
      </w:r>
      <w:r>
        <w:rPr>
          <w:spacing w:val="-2"/>
          <w:highlight w:val="none"/>
          <w:lang w:val="pt-BR"/>
        </w:rPr>
        <w:t xml:space="preserve">.</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Quyền sử dụng đất</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tại nông thôn</w:t>
      </w:r>
      <w:r>
        <w:rPr>
          <w:b/>
          <w:lang w:val="pt-BR"/>
        </w:rPr>
        <w:t xml:space="preserve">:</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Tà</w:t>
      </w:r>
      <w:r>
        <w:rPr>
          <w:rFonts w:ascii="Times New Roman" w:hAnsi="Times New Roman" w:eastAsia="Times New Roman" w:cs="Times New Roman"/>
          <w:color w:val="000000"/>
          <w:sz w:val="24"/>
        </w:rPr>
        <w:t xml:space="preserve">i sản thẩm định có diện tích 559 m² trong đó 240 m²: Đất ở và 319m²: Đất TCLN; không phân chia ranh giới rõ ràng cho từng diện tích đất. Do đó đảm bảo nguyên tắc sử dụng tốt nhất và hiệu quả nhất, tổ thẩm định lựa chọn thửa đất ở của tài sản là thửa đất có</w:t>
      </w:r>
      <w:r>
        <w:rPr>
          <w:rFonts w:ascii="Times New Roman" w:hAnsi="Times New Roman" w:eastAsia="Times New Roman" w:cs="Times New Roman"/>
          <w:color w:val="000000"/>
          <w:sz w:val="24"/>
        </w:rPr>
        <w:t xml:space="preserve"> diện tích 240m²; mặt tiền rộng 18m; hình dáng tương đối vuông vức để làm căn cứ xác định giá trị của phần đất ở tại nông thôn.</w:t>
      </w: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Song Liễu,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Song Liễu,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Song Liễu,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Song Liễu, Tỉnh Bắc Ninh</w:t>
            </w:r>
            <w:r>
              <w:rPr>
                <w:sz w:val="22"/>
                <w:szCs w:val="22"/>
              </w:rPr>
            </w:r>
            <w:r/>
          </w:p>
        </w:tc>
      </w:tr>
      <w:tr>
        <w:trPr>
          <w:trHeight w:val="5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tiêp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0972.522.570</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0972.522.570</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0965 394 634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none"/>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Lâu dài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Lâu dài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highlight w:val="none"/>
              </w:rPr>
              <w:t xml:space="preserve">Lâu dài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Song Liễu, Tỉnh Bắc Ninh, khoảng cách ra đường chính Cách đường Nguyễn Gia Thiều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Song Liễu, Tỉnh Bắc Ninh, khoảng cách ra đường chính Cách đường Nguyễn Gia Thiều khoảng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Song Liễu, Tỉnh Bắc Ninh, khoảng cách ra đường chính Cách đường Nguyễn Gia Thiều khoảng 250m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phường Song Liễu, Tỉnh Bắc Ninh, khoảng cách ra đường chính Cách đường Nguyễn Gia Thiều khoảng 600m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Style w:val="1022"/>
              <w:pBdr/>
              <w:spacing/>
              <w:ind/>
              <w:jc w:val="center"/>
              <w:rPr>
                <w:color w:val="000000"/>
                <w:sz w:val="22"/>
                <w:szCs w:val="22"/>
              </w:rPr>
            </w:pPr>
            <w:r>
              <w:rPr>
                <w:color w:val="000000" w:themeColor="text1"/>
                <w:sz w:val="22"/>
                <w:szCs w:val="22"/>
              </w:rPr>
              <w:t xml:space="preserve">59,8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xây dựng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2.700.000.000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2.100.000.000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2.160.000.000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2.430.000.000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1.890.000.000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1.890.000.000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40.635.452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200m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200m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250m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600m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67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62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40.635.452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-6.095.318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-5.400.000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34.540.134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21.600.000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34.540.134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21.600.000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-6.480.000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-7.314.381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24.120.000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27.225.753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17.550.000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4,02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3.250.836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2.430.000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30.476.589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19.980.000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-3.250.836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27.225.753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6" w:lineRule="auto"/>
              <w:ind/>
              <w:jc w:val="center"/>
              <w:rPr>
                <w:color w:val="000000"/>
                <w:sz w:val="22"/>
                <w:szCs w:val="22"/>
              </w:rPr>
            </w:pPr>
            <w:r>
              <w:rPr>
                <w:color w:val="000000" w:themeColor="text1"/>
                <w:sz w:val="22"/>
                <w:szCs w:val="22"/>
              </w:rPr>
              <w:t xml:space="preserve">19.980.000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6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val="0"/>
                <w:bCs w:val="0"/>
                <w:color w:val="000000"/>
                <w:sz w:val="22"/>
                <w:szCs w:val="22"/>
              </w:rPr>
            </w:pPr>
            <w:r>
              <w:rPr>
                <w:b w:val="0"/>
                <w:bCs w:val="0"/>
                <w:color w:val="000000"/>
                <w:sz w:val="22"/>
                <w:szCs w:val="22"/>
              </w:rPr>
              <w:t xml:space="preserve">Tương đối vuông vức</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1"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1"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1"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1"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themeColor="text1"/>
                <w:sz w:val="22"/>
                <w:szCs w:val="22"/>
              </w:rPr>
              <w:t xml:space="preserve">-2.031.773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1"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1"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themeColor="text1"/>
                <w:sz w:val="22"/>
                <w:szCs w:val="22"/>
              </w:rPr>
              <w:t xml:space="preserve">25.200.000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themeColor="text1"/>
                <w:sz w:val="22"/>
                <w:szCs w:val="22"/>
              </w:rPr>
              <w:t xml:space="preserve">25.193.980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22.140.000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1"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1"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1"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1" w:lineRule="auto"/>
              <w:ind/>
              <w:jc w:val="center"/>
              <w:rPr>
                <w:b/>
                <w:bCs/>
                <w:color w:val="000000"/>
                <w:sz w:val="22"/>
                <w:szCs w:val="22"/>
              </w:rPr>
            </w:pPr>
            <w:r>
              <w:rPr>
                <w:b/>
                <w:bCs/>
                <w:color w:val="000000" w:themeColor="text1"/>
                <w:sz w:val="22"/>
                <w:szCs w:val="22"/>
              </w:rPr>
              <w:t xml:space="preserve">25.200.000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1" w:lineRule="auto"/>
              <w:ind/>
              <w:jc w:val="center"/>
              <w:rPr>
                <w:b/>
                <w:bCs/>
                <w:color w:val="000000"/>
                <w:sz w:val="22"/>
                <w:szCs w:val="22"/>
              </w:rPr>
            </w:pPr>
            <w:r>
              <w:rPr>
                <w:b/>
                <w:bCs/>
                <w:color w:val="000000" w:themeColor="text1"/>
                <w:sz w:val="22"/>
                <w:szCs w:val="22"/>
              </w:rPr>
              <w:t xml:space="preserve">25.193.980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themeColor="text1"/>
                <w:sz w:val="22"/>
                <w:szCs w:val="22"/>
              </w:rPr>
              <w:t xml:space="preserve">22.140.000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1"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1"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71" w:lineRule="auto"/>
              <w:ind/>
              <w:jc w:val="center"/>
              <w:rPr>
                <w:b/>
                <w:bCs/>
                <w:color w:val="000000"/>
                <w:sz w:val="22"/>
                <w:szCs w:val="22"/>
              </w:rPr>
            </w:pPr>
            <w:r>
              <w:rPr>
                <w:b/>
                <w:bCs/>
                <w:color w:val="000000" w:themeColor="text1"/>
                <w:sz w:val="22"/>
                <w:szCs w:val="22"/>
              </w:rPr>
              <w:t xml:space="preserve">24.177.993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1"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1"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1"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themeColor="text1"/>
                <w:sz w:val="22"/>
                <w:szCs w:val="22"/>
              </w:rPr>
              <w:t xml:space="preserve">4,23%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1" w:lineRule="auto"/>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-8,43%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1"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1"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1"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1"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1"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16.560.000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21.943.144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b/>
                <w:bCs/>
                <w:color w:val="000000"/>
                <w:sz w:val="22"/>
                <w:szCs w:val="22"/>
              </w:rPr>
            </w:pPr>
            <w:r>
              <w:rPr>
                <w:color w:val="000000" w:themeColor="text1"/>
                <w:sz w:val="22"/>
                <w:szCs w:val="22"/>
              </w:rPr>
              <w:t xml:space="preserve">14.040.000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64"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10.800.000</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15.441.472</w:t>
            </w:r>
            <w:r>
              <w:rPr>
                <w:sz w:val="22"/>
                <w:szCs w:val="22"/>
              </w:rPr>
            </w:r>
            <w:r>
              <w:rPr>
                <w:sz w:val="22"/>
                <w:szCs w:val="22"/>
              </w:rPr>
            </w:r>
          </w:p>
        </w:tc>
        <w:tc>
          <w:tcPr>
            <w:shd w:val="clear" w:color="000000" w:fill="ffffff"/>
            <w:tcBorders/>
            <w:tcW w:w="1522" w:type="dxa"/>
            <w:vAlign w:val="center"/>
            <w:textDirection w:val="lrTb"/>
            <w:noWrap/>
          </w:tcPr>
          <w:p>
            <w:pPr>
              <w:pBdr/>
              <w:spacing w:line="264" w:lineRule="auto"/>
              <w:ind/>
              <w:jc w:val="center"/>
              <w:rPr>
                <w:sz w:val="22"/>
                <w:szCs w:val="22"/>
              </w:rPr>
            </w:pPr>
            <w:r>
              <w:rPr>
                <w:color w:val="000000" w:themeColor="text1"/>
                <w:sz w:val="22"/>
                <w:szCs w:val="22"/>
              </w:rPr>
              <w:t xml:space="preserve">4.860.000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-8,43</w:t>
      </w:r>
      <w:r>
        <w:t xml:space="preserve">% đến</w:t>
      </w:r>
      <w:r>
        <w:t xml:space="preserve"> </w:t>
      </w:r>
      <w:r>
        <w:t xml:space="preserve"> </w:t>
      </w:r>
      <w:r>
        <w:t xml:space="preserve">4,23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58" w:afterAutospacing="0" w:before="58" w:beforeAutospacing="0"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25.200.000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8.820.000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58" w:afterAutospacing="0" w:before="58" w:beforeAutospacing="0"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25.193.980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7.558.194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58" w:afterAutospacing="0" w:before="58" w:beforeAutospacing="0"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22.140.000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color w:val="000000"/>
              </w:rPr>
            </w:pPr>
            <w:r>
              <w:rPr>
                <w:color w:val="000000"/>
              </w:rPr>
              <w:t xml:space="preserve">7.749.000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b/>
                <w:bCs/>
                <w:color w:val="000000"/>
              </w:rPr>
            </w:pPr>
            <w:r>
              <w:rPr>
                <w:b/>
                <w:bCs/>
                <w:color w:val="000000" w:themeColor="text1"/>
                <w:lang w:val="vi-VN"/>
              </w:rPr>
              <w:t xml:space="preserve">24.127.194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58" w:afterAutospacing="0" w:before="58" w:beforeAutospacing="0"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58" w:afterAutospacing="0" w:before="58" w:beforeAutospacing="0" w:line="276" w:lineRule="auto"/>
              <w:ind/>
              <w:jc w:val="center"/>
              <w:rPr>
                <w:b/>
                <w:bCs/>
                <w:color w:val="000000"/>
              </w:rPr>
            </w:pPr>
            <w:r>
              <w:rPr>
                <w:b/>
                <w:bCs/>
                <w:color w:val="000000" w:themeColor="text1"/>
                <w:lang w:val="vi-VN"/>
              </w:rPr>
              <w:t xml:space="preserve">24.000.000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Quyền sử dụng đất trồng cây lâu năm</w:t>
      </w:r>
      <w:r>
        <w:rPr>
          <w:b/>
          <w:bCs/>
        </w:rPr>
      </w:r>
      <w:r>
        <w:rPr>
          <w:b/>
          <w:bCs/>
        </w:rPr>
      </w:r>
    </w:p>
    <w:p>
      <w:pPr>
        <w:pStyle w:val="1041"/>
        <w:numPr>
          <w:ilvl w:val="0"/>
          <w:numId w:val="4"/>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Phần </w:t>
      </w:r>
      <w:r>
        <w:rPr>
          <w:rFonts w:ascii="Times New Roman" w:hAnsi="Times New Roman" w:eastAsia="Times New Roman" w:cs="Times New Roman"/>
          <w:color w:val="000000"/>
          <w:sz w:val="24"/>
        </w:rPr>
        <w:t xml:space="preserve">diện tích đất trồng cây lâu năm rộng 319m² theo GCN số CX425221 của tài sản thẩm định, tổ thẩm định xác định bằng đơn giá đất theo quy định của UBND tỉnh Bắc Ninh.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41"/>
        <w:numPr>
          <w:ilvl w:val="0"/>
          <w:numId w:val="4"/>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N</w:t>
      </w:r>
      <w:r>
        <w:t xml:space="preserve">ghị quyết </w:t>
      </w:r>
      <w:r>
        <w:t xml:space="preserve">số 128/2025/NQ-HĐND ngày 26/12/2025 của Hội đồng nhân dân tỉnh Bắc Ninh về việc quy định </w:t>
      </w:r>
      <w:r>
        <w:t xml:space="preserve">tiêu chỉ cụ thể để xác định vị trí đối với từng loại đất, số lượng vị trí đất trong bảng giá đất và </w:t>
      </w:r>
      <w:r>
        <w:rPr>
          <w:rFonts w:ascii="Times New Roman" w:hAnsi="Times New Roman" w:eastAsia="Times New Roman" w:cs="Times New Roman"/>
          <w:color w:val="000000"/>
          <w:sz w:val="24"/>
          <w:szCs w:val="24"/>
          <w:highlight w:val="none"/>
        </w:rPr>
        <w:t xml:space="preserve">bảng </w:t>
      </w:r>
      <w:r>
        <w:t xml:space="preserve">giá các loại đất trên địa bản tỉnh Bắc Ninh</w:t>
      </w:r>
      <w:r>
        <w:rPr>
          <w:rFonts w:ascii="Times New Roman" w:hAnsi="Times New Roman" w:eastAsia="Times New Roman" w:cs="Times New Roman"/>
          <w:color w:val="000000"/>
          <w:sz w:val="24"/>
        </w:rPr>
        <w:t xml:space="preserve">, đơn giá đất trồng cây lâu năm trên địa bàn phường Song Liễu là: 90.000 đồng/m2.</w:t>
      </w:r>
      <w:r/>
    </w:p>
    <w:p>
      <w:pPr>
        <w:pStyle w:val="1041"/>
        <w:numPr>
          <w:ilvl w:val="0"/>
          <w:numId w:val="4"/>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Đơn giá đất </w:t>
      </w:r>
      <w:r>
        <w:rPr>
          <w:rFonts w:ascii="Times New Roman" w:hAnsi="Times New Roman" w:eastAsia="Times New Roman" w:cs="Times New Roman"/>
          <w:color w:val="000000"/>
          <w:sz w:val="24"/>
        </w:rPr>
        <w:t xml:space="preserve">trồng cây lâu năm của TSTĐ là: </w:t>
      </w:r>
      <w:r>
        <w:rPr>
          <w:rFonts w:ascii="Times New Roman" w:hAnsi="Times New Roman" w:eastAsia="Times New Roman" w:cs="Times New Roman"/>
          <w:b/>
          <w:i/>
          <w:color w:val="000000"/>
          <w:sz w:val="24"/>
        </w:rPr>
        <w:t xml:space="preserve">90.000 đồng/m².</w:t>
      </w:r>
      <w:r/>
    </w:p>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976"/>
        <w:gridCol w:w="1701"/>
        <w:gridCol w:w="2089"/>
        <w:gridCol w:w="2164"/>
      </w:tblGrid>
      <w:tr>
        <w:trPr>
          <w:trHeight w:val="20"/>
        </w:trPr>
        <w:tc>
          <w:tcPr>
            <w:shd w:val="clear" w:color="000000" w:fill="ffffff"/>
            <w:tcBorders/>
            <w:tcW w:w="595" w:type="dxa"/>
            <w:vAlign w:val="center"/>
            <w:textDirection w:val="lrTb"/>
            <w:noWrap w:val="false"/>
          </w:tcPr>
          <w:p>
            <w:pPr>
              <w:pBdr/>
              <w:spacing w:after="72" w:afterAutospacing="0" w:before="72" w:beforeAutospacing="0" w:line="276" w:lineRule="auto"/>
              <w:ind/>
              <w:jc w:val="center"/>
              <w:rPr>
                <w:b/>
                <w:bCs/>
              </w:rPr>
            </w:pPr>
            <w:r>
              <w:rPr>
                <w:b/>
                <w:bCs/>
              </w:rPr>
              <w:t xml:space="preserve">TT</w:t>
            </w:r>
            <w:r>
              <w:rPr>
                <w:b/>
                <w:bCs/>
              </w:rPr>
            </w:r>
            <w:r>
              <w:rPr>
                <w:b/>
                <w:bCs/>
              </w:rPr>
            </w:r>
          </w:p>
        </w:tc>
        <w:tc>
          <w:tcPr>
            <w:shd w:val="clear" w:color="000000" w:fill="ffffff"/>
            <w:tcBorders/>
            <w:tcW w:w="2976" w:type="dxa"/>
            <w:vAlign w:val="center"/>
            <w:textDirection w:val="lrTb"/>
            <w:noWrap w:val="false"/>
          </w:tcPr>
          <w:p>
            <w:pPr>
              <w:pBdr/>
              <w:spacing w:after="72" w:afterAutospacing="0" w:before="72" w:beforeAutospacing="0" w:line="276"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72" w:afterAutospacing="0" w:before="72" w:beforeAutospacing="0" w:line="276"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72" w:afterAutospacing="0" w:before="72" w:beforeAutospacing="0" w:line="276"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72" w:afterAutospacing="0" w:before="72" w:beforeAutospacing="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72" w:afterAutospacing="0" w:before="72" w:beforeAutospacing="0" w:line="276" w:lineRule="auto"/>
              <w:ind/>
              <w:jc w:val="center"/>
              <w:rPr>
                <w:b/>
                <w:bCs/>
              </w:rPr>
            </w:pPr>
            <w:r>
              <w:rPr>
                <w:b/>
                <w:bCs/>
              </w:rPr>
              <w:t xml:space="preserve"> </w:t>
            </w:r>
            <w:r>
              <w:rPr>
                <w:b/>
                <w:bCs/>
              </w:rPr>
            </w:r>
            <w:r>
              <w:rPr>
                <w:b/>
                <w:bCs/>
              </w:rPr>
            </w:r>
          </w:p>
        </w:tc>
        <w:tc>
          <w:tcPr>
            <w:gridSpan w:val="3"/>
            <w:shd w:val="clear" w:color="000000" w:fill="ffffff"/>
            <w:tcBorders/>
            <w:tcW w:w="6766" w:type="dxa"/>
            <w:vAlign w:val="center"/>
            <w:textDirection w:val="lrTb"/>
            <w:noWrap w:val="false"/>
          </w:tcPr>
          <w:p>
            <w:pPr>
              <w:pBdr/>
              <w:spacing w:after="72" w:afterAutospacing="0" w:before="72" w:beforeAutospacing="0" w:line="276" w:lineRule="auto"/>
              <w:ind/>
              <w:jc w:val="both"/>
              <w:rPr>
                <w:b/>
                <w:bCs/>
              </w:rPr>
            </w:pPr>
            <w:r>
              <w:rPr>
                <w:b/>
                <w:bCs/>
                <w:color w:val="000000"/>
              </w:rPr>
              <w:t xml:space="preserve">Quyền sử dụng đất tại thửa đất số 23, tờ bản đồ số 3; có địa chỉ thôn Bùi xá, xã Ngũ Thái, huyện Thuận Thành, tỉnh Bắc Ninh </w:t>
            </w:r>
            <w:r>
              <w:rPr>
                <w:b/>
                <w:bCs/>
                <w:i/>
                <w:iCs/>
                <w:color w:val="000000"/>
              </w:rPr>
              <w:t xml:space="preserve">(Nay là phường Song Liễu,</w:t>
            </w:r>
            <w:r>
              <w:rPr>
                <w:b/>
                <w:bCs/>
                <w:i/>
                <w:iCs/>
                <w:color w:val="000000"/>
              </w:rPr>
              <w:t xml:space="preserve"> tỉnh Bắc Ninh)</w:t>
            </w:r>
            <w:r>
              <w:rPr>
                <w:b/>
                <w:bCs/>
                <w:color w:val="000000"/>
              </w:rPr>
              <w:t xml:space="preserve"> theo Giấy chứng nhận quyền sử dụng đất quyền sở hữu nhà ở và tài sản khác gắn liền với đất số CX 425221 số vào sổ cấp GCN CS00521 do Sở Tài nguyên và Môi truòng tỉnh Bắc Ninh cấp ngày 26/11/2020 cho ông Vương Quốc Toàn và bà Nguyễn Thị Hưng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72" w:afterAutospacing="0" w:before="72" w:beforeAutospacing="0" w:line="276"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72" w:afterAutospacing="0" w:before="72" w:beforeAutospacing="0" w:line="276" w:lineRule="auto"/>
              <w:ind/>
              <w:jc w:val="center"/>
              <w:rPr>
                <w:b w:val="0"/>
                <w:bCs w:val="0"/>
              </w:rPr>
            </w:pPr>
            <w:r>
              <w:rPr>
                <w:b w:val="0"/>
                <w:bCs w:val="0"/>
              </w:rPr>
              <w:t xml:space="preserve">1</w:t>
            </w:r>
            <w:r>
              <w:rPr>
                <w:b w:val="0"/>
                <w:bCs w:val="0"/>
              </w:rPr>
            </w:r>
            <w:r>
              <w:rPr>
                <w:b w:val="0"/>
                <w:bCs w:val="0"/>
              </w:rPr>
            </w:r>
          </w:p>
        </w:tc>
        <w:tc>
          <w:tcPr>
            <w:shd w:val="clear" w:color="000000" w:fill="ffffff"/>
            <w:tcBorders/>
            <w:tcW w:w="2976" w:type="dxa"/>
            <w:vAlign w:val="center"/>
            <w:textDirection w:val="lrTb"/>
            <w:noWrap w:val="false"/>
          </w:tcPr>
          <w:p>
            <w:pPr>
              <w:pBdr/>
              <w:spacing w:after="72" w:afterAutospacing="0" w:before="72" w:beforeAutospacing="0" w:line="276" w:lineRule="auto"/>
              <w:ind/>
              <w:rPr>
                <w:b w:val="0"/>
                <w:bCs w:val="0"/>
              </w:rPr>
            </w:pPr>
            <w:r>
              <w:rPr>
                <w:b w:val="0"/>
                <w:bCs w:val="0"/>
              </w:rPr>
              <w:t xml:space="preserve">Đất ở tại nông thôn</w:t>
            </w:r>
            <w:r>
              <w:rPr>
                <w:b w:val="0"/>
                <w:bCs w:val="0"/>
              </w:rPr>
            </w:r>
            <w:r>
              <w:rPr>
                <w:b w:val="0"/>
                <w:bCs w:val="0"/>
              </w:rPr>
            </w:r>
          </w:p>
        </w:tc>
        <w:tc>
          <w:tcPr>
            <w:tcBorders/>
            <w:tcW w:w="1701" w:type="dxa"/>
            <w:vAlign w:val="center"/>
            <w:textDirection w:val="lrTb"/>
            <w:noWrap/>
          </w:tcPr>
          <w:p>
            <w:pPr>
              <w:pBdr/>
              <w:spacing w:after="72" w:afterAutospacing="0" w:before="72" w:beforeAutospacing="0" w:line="276"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2089" w:type="dxa"/>
            <w:vAlign w:val="center"/>
            <w:textDirection w:val="lrTb"/>
            <w:noWrap w:val="false"/>
          </w:tcPr>
          <w:p>
            <w:pPr>
              <w:pBdr/>
              <w:spacing w:after="72" w:afterAutospacing="0" w:before="72" w:beforeAutospacing="0" w:line="276" w:lineRule="auto"/>
              <w:ind/>
              <w:jc w:val="center"/>
              <w:rPr/>
            </w:pPr>
            <w:r>
              <w:rPr>
                <w:color w:val="000000" w:themeColor="text1"/>
              </w:rPr>
              <w:t xml:space="preserve">24.000.000</w:t>
            </w:r>
            <w:r/>
          </w:p>
        </w:tc>
        <w:tc>
          <w:tcPr>
            <w:shd w:val="clear" w:color="000000" w:fill="ffffff"/>
            <w:tcBorders/>
            <w:tcW w:w="2164" w:type="dxa"/>
            <w:vAlign w:val="center"/>
            <w:textDirection w:val="lrTb"/>
            <w:noWrap w:val="false"/>
          </w:tcPr>
          <w:p>
            <w:pPr>
              <w:pBdr/>
              <w:spacing w:after="72" w:afterAutospacing="0" w:before="72" w:beforeAutospacing="0" w:line="276" w:lineRule="auto"/>
              <w:ind/>
              <w:jc w:val="right"/>
              <w:rPr/>
            </w:pPr>
            <w:r>
              <w:rPr>
                <w:color w:val="000000" w:themeColor="text1"/>
              </w:rPr>
              <w:t xml:space="preserve">5.760.000.000</w:t>
            </w:r>
            <w:r/>
          </w:p>
        </w:tc>
      </w:tr>
      <w:tr>
        <w:trPr>
          <w:trHeight w:val="20"/>
        </w:trPr>
        <w:tc>
          <w:tcPr>
            <w:shd w:val="clear" w:color="000000" w:fill="ffffff"/>
            <w:tcBorders/>
            <w:tcW w:w="595" w:type="dxa"/>
            <w:vAlign w:val="center"/>
            <w:textDirection w:val="lrTb"/>
            <w:noWrap w:val="false"/>
          </w:tcPr>
          <w:p>
            <w:pPr>
              <w:pBdr/>
              <w:spacing w:after="72" w:afterAutospacing="0" w:before="72" w:beforeAutospacing="0" w:line="276" w:lineRule="auto"/>
              <w:ind/>
              <w:jc w:val="center"/>
              <w:rPr>
                <w:b w:val="0"/>
                <w:bCs w:val="0"/>
              </w:rPr>
            </w:pPr>
            <w:r>
              <w:rPr>
                <w:b w:val="0"/>
                <w:bCs w:val="0"/>
              </w:rPr>
              <w:t xml:space="preserve">2</w:t>
            </w:r>
            <w:r>
              <w:rPr>
                <w:b w:val="0"/>
                <w:bCs w:val="0"/>
              </w:rPr>
            </w:r>
            <w:r>
              <w:rPr>
                <w:b w:val="0"/>
                <w:bCs w:val="0"/>
              </w:rPr>
            </w:r>
          </w:p>
        </w:tc>
        <w:tc>
          <w:tcPr>
            <w:shd w:val="clear" w:color="000000" w:fill="ffffff"/>
            <w:tcBorders/>
            <w:tcW w:w="2976" w:type="dxa"/>
            <w:vAlign w:val="center"/>
            <w:textDirection w:val="lrTb"/>
            <w:noWrap w:val="false"/>
          </w:tcPr>
          <w:p>
            <w:pPr>
              <w:pBdr/>
              <w:spacing w:after="72" w:afterAutospacing="0" w:before="72" w:beforeAutospacing="0" w:line="276" w:lineRule="auto"/>
              <w:ind/>
              <w:rPr>
                <w:b w:val="0"/>
                <w:bCs w:val="0"/>
              </w:rPr>
            </w:pPr>
            <w:r>
              <w:rPr>
                <w:b w:val="0"/>
                <w:bCs w:val="0"/>
              </w:rPr>
              <w:t xml:space="preserve">Đất trồng cây lâu năm</w:t>
            </w:r>
            <w:r>
              <w:rPr>
                <w:b w:val="0"/>
                <w:bCs w:val="0"/>
              </w:rPr>
            </w:r>
            <w:r>
              <w:rPr>
                <w:b w:val="0"/>
                <w:bCs w:val="0"/>
              </w:rPr>
            </w:r>
          </w:p>
        </w:tc>
        <w:tc>
          <w:tcPr>
            <w:tcBorders/>
            <w:tcW w:w="1701" w:type="dxa"/>
            <w:vAlign w:val="center"/>
            <w:textDirection w:val="lrTb"/>
            <w:noWrap/>
          </w:tcPr>
          <w:p>
            <w:pPr>
              <w:pBdr/>
              <w:spacing w:after="72" w:afterAutospacing="0" w:before="72" w:beforeAutospacing="0" w:line="276" w:lineRule="auto"/>
              <w:ind/>
              <w:jc w:val="center"/>
              <w:rPr>
                <w:color w:val="000000"/>
              </w:rPr>
            </w:pPr>
            <w:r>
              <w:rPr>
                <w:color w:val="000000" w:themeColor="text1"/>
              </w:rPr>
              <w:t xml:space="preserve">319</w:t>
            </w:r>
            <w:r>
              <w:rPr>
                <w:color w:val="000000"/>
              </w:rPr>
            </w:r>
            <w:r>
              <w:rPr>
                <w:color w:val="000000"/>
              </w:rPr>
            </w:r>
          </w:p>
        </w:tc>
        <w:tc>
          <w:tcPr>
            <w:shd w:val="clear" w:color="000000" w:fill="ffffff"/>
            <w:tcBorders/>
            <w:tcW w:w="2089" w:type="dxa"/>
            <w:vAlign w:val="center"/>
            <w:textDirection w:val="lrTb"/>
            <w:noWrap w:val="false"/>
          </w:tcPr>
          <w:p>
            <w:pPr>
              <w:pBdr/>
              <w:spacing w:after="72" w:afterAutospacing="0" w:before="72" w:beforeAutospacing="0" w:line="276" w:lineRule="auto"/>
              <w:ind/>
              <w:jc w:val="center"/>
              <w:rPr/>
            </w:pPr>
            <w:r>
              <w:rPr>
                <w:color w:val="000000" w:themeColor="text1"/>
              </w:rPr>
              <w:t xml:space="preserve">90.000</w:t>
            </w:r>
            <w:r/>
          </w:p>
        </w:tc>
        <w:tc>
          <w:tcPr>
            <w:shd w:val="clear" w:color="000000" w:fill="ffffff"/>
            <w:tcBorders/>
            <w:tcW w:w="2164" w:type="dxa"/>
            <w:vAlign w:val="center"/>
            <w:textDirection w:val="lrTb"/>
            <w:noWrap w:val="false"/>
          </w:tcPr>
          <w:p>
            <w:pPr>
              <w:pBdr/>
              <w:spacing w:after="72" w:afterAutospacing="0" w:before="72" w:beforeAutospacing="0" w:line="276" w:lineRule="auto"/>
              <w:ind/>
              <w:jc w:val="right"/>
              <w:rPr/>
            </w:pPr>
            <w:r>
              <w:rPr>
                <w:color w:val="000000" w:themeColor="text1"/>
              </w:rPr>
              <w:t xml:space="preserve">28.710.000</w:t>
            </w:r>
            <w:r/>
          </w:p>
        </w:tc>
      </w:tr>
      <w:tr>
        <w:trPr>
          <w:trHeight w:val="20"/>
        </w:trPr>
        <w:tc>
          <w:tcPr>
            <w:gridSpan w:val="4"/>
            <w:tcBorders/>
            <w:tcW w:w="7361" w:type="dxa"/>
            <w:vAlign w:val="center"/>
            <w:textDirection w:val="lrTb"/>
            <w:noWrap/>
          </w:tcPr>
          <w:p>
            <w:pPr>
              <w:pBdr/>
              <w:spacing w:after="72" w:afterAutospacing="0" w:before="72" w:beforeAutospacing="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72" w:afterAutospacing="0" w:before="72" w:beforeAutospacing="0" w:line="276" w:lineRule="auto"/>
              <w:ind/>
              <w:jc w:val="right"/>
              <w:rPr>
                <w:b/>
                <w:bCs/>
                <w:color w:val="000000"/>
              </w:rPr>
            </w:pPr>
            <w:r>
              <w:rPr>
                <w:b/>
                <w:bCs/>
              </w:rPr>
              <w:t xml:space="preserve">5.788.710.000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72" w:afterAutospacing="0" w:before="72" w:beforeAutospacing="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72" w:afterAutospacing="0" w:before="72" w:beforeAutospacing="0" w:line="276" w:lineRule="auto"/>
              <w:ind/>
              <w:jc w:val="right"/>
              <w:rPr>
                <w:b/>
                <w:bCs/>
                <w:color w:val="000000"/>
              </w:rPr>
            </w:pPr>
            <w:r>
              <w:rPr>
                <w:b/>
                <w:bCs/>
                <w:color w:val="000000"/>
              </w:rPr>
              <w:t xml:space="preserve">5.788.000.000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72" w:afterAutospacing="0" w:before="72" w:beforeAutospacing="0" w:line="276" w:lineRule="auto"/>
              <w:ind/>
              <w:jc w:val="center"/>
              <w:rPr>
                <w:b/>
                <w:bCs/>
                <w:i/>
                <w:iCs/>
                <w:color w:val="000000"/>
              </w:rPr>
            </w:pPr>
            <w:r>
              <w:rPr>
                <w:b/>
                <w:bCs/>
                <w:i/>
                <w:iCs/>
                <w:color w:val="000000"/>
              </w:rPr>
              <w:t xml:space="preserve">(Bằng chữ: </w:t>
            </w:r>
            <w:r>
              <w:rPr>
                <w:b/>
                <w:bCs/>
                <w:i/>
                <w:iCs/>
                <w:color w:val="000000"/>
              </w:rPr>
              <w:t xml:space="preserve">Năm tỷ, bảy trăm tám mươi tám triệu 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44" w:afterAutospacing="0" w:before="144" w:beforeAutospacing="0" w:line="30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44" w:afterAutospacing="0" w:before="144" w:beforeAutospacing="0" w:line="300"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44" w:afterAutospacing="0" w:before="144" w:beforeAutospacing="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r>
      <w:r>
        <w:rPr>
          <w:rFonts w:ascii="Times New Roman" w:hAnsi="Times New Roman" w:eastAsia="Times New Roman" w:cs="Times New Roman"/>
          <w:color w:val="000000"/>
          <w:sz w:val="24"/>
          <w:highlight w:val="white"/>
        </w:rPr>
        <w:t xml:space="preserve">Kết quả thẩm định giá chỉ được sử dụng cho một “mục đích thẩm định giá” duy nhất theo yêu cầu </w:t>
      </w:r>
      <w:r>
        <w:rPr>
          <w:lang w:val="pt-BR"/>
        </w:rPr>
        <w:t xml:space="preserve">của </w:t>
      </w:r>
      <w:r>
        <w:rPr>
          <w:rFonts w:ascii="Times New Roman" w:hAnsi="Times New Roman" w:eastAsia="Times New Roman" w:cs="Times New Roman"/>
          <w:color w:val="000000"/>
          <w:sz w:val="24"/>
          <w:highlight w:val="white"/>
        </w:rPr>
        <w:t xml:space="preserve">khách hàng đã được ghi tại phần đầu của chứng thư. Khách hàng phải hoàn toàn chịu  trách nhiệm khi sử dụng sai mục đích đã yêu cầu</w:t>
      </w:r>
      <w:r>
        <w:rPr>
          <w:lang w:val="pt-BR"/>
        </w:rPr>
        <w:t xml:space="preserve">;</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44" w:afterAutospacing="0" w:before="144" w:beforeAutospacing="0" w:line="30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44" w:afterAutospacing="0" w:before="144" w:beforeAutospacing="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44" w:afterAutospacing="0" w:before="144" w:beforeAutospacing="0" w:line="300"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44" w:afterAutospacing="0" w:before="144" w:beforeAutospacing="0" w:line="30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44" w:afterAutospacing="0" w:before="144" w:beforeAutospacing="0" w:line="30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1"/>
        <w:numPr>
          <w:ilvl w:val="0"/>
          <w:numId w:val="5"/>
        </w:numPr>
        <w:pBdr/>
        <w:spacing w:after="144" w:afterAutospacing="0" w:before="144" w:beforeAutospacing="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3"/>
        </w:numPr>
        <w:pBdr/>
        <w:tabs>
          <w:tab w:val="left" w:leader="none" w:pos="993"/>
        </w:tabs>
        <w:spacing w:after="144" w:afterAutospacing="0" w:before="144" w:beforeAutospacing="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44" w:afterAutospacing="0" w:before="144" w:beforeAutospacing="0" w:line="30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44" w:afterAutospacing="0" w:before="144" w:beforeAutospacing="0" w:line="30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44" w:afterAutospacing="0" w:before="144" w:beforeAutospacing="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44" w:afterAutospacing="0" w:before="144" w:beforeAutospacing="0" w:line="300"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44" w:afterAutospacing="0" w:before="144" w:beforeAutospacing="0" w:line="300"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41"/>
        <w:pBdr/>
        <w:tabs>
          <w:tab w:val="left" w:leader="none" w:pos="993"/>
        </w:tabs>
        <w:spacing w:after="144" w:afterAutospacing="0" w:before="144" w:beforeAutospacing="0" w:line="300" w:lineRule="auto"/>
        <w:ind w:left="0"/>
        <w:jc w:val="both"/>
        <w:rPr>
          <w:lang w:val="vi-VN"/>
        </w:rPr>
      </w:pPr>
      <w:r>
        <w:rPr>
          <w:lang w:val="vi-VN"/>
        </w:rPr>
      </w:r>
      <w:r>
        <w:rPr>
          <w:lang w:val="vi-VN"/>
        </w:rPr>
      </w:r>
      <w:r>
        <w:rPr>
          <w:lang w:val="vi-VN"/>
        </w:rPr>
      </w:r>
    </w:p>
    <w:p>
      <w:pPr>
        <w:pStyle w:val="1041"/>
        <w:pBdr/>
        <w:tabs>
          <w:tab w:val="left" w:leader="none" w:pos="993"/>
        </w:tabs>
        <w:spacing w:after="144" w:afterAutospacing="0" w:before="144" w:beforeAutospacing="0" w:line="300" w:lineRule="auto"/>
        <w:ind w:left="0"/>
        <w:jc w:val="both"/>
        <w:rPr>
          <w:lang w:val="vi-VN"/>
        </w:rPr>
      </w:pPr>
      <w:r>
        <w:rPr>
          <w:lang w:val="vi-VN"/>
        </w:rPr>
        <w:br w:type="page" w:clear="all"/>
      </w:r>
      <w:r>
        <w:rPr>
          <w:lang w:val="vi-VN"/>
        </w:rPr>
      </w:r>
      <w:r>
        <w:rPr>
          <w:lang w:val="vi-VN"/>
        </w:rPr>
      </w:r>
    </w:p>
    <w:p>
      <w:pPr>
        <w:pStyle w:val="1041"/>
        <w:pBdr/>
        <w:tabs>
          <w:tab w:val="left" w:leader="none" w:pos="993"/>
        </w:tabs>
        <w:spacing w:after="144" w:afterAutospacing="0" w:before="144" w:beforeAutospacing="0" w:line="300"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275/2026/0739/VFI-CT.24.A</w:t>
      </w:r>
      <w:r>
        <w:rPr>
          <w:color w:val="ff0000"/>
          <w:lang w:val="vi-VN"/>
        </w:rPr>
        <w:t xml:space="preserve"> </w:t>
      </w:r>
      <w:r>
        <w:rPr>
          <w:color w:val="000000" w:themeColor="text1"/>
        </w:rPr>
        <w:t xml:space="preserve">ngày 16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162" w:type="dxa"/>
        <w:tblW w:w="5159" w:type="pct"/>
        <w:tblBorders/>
        <w:tblLayout w:type="fixed"/>
        <w:tblLook w:val="01E0" w:firstRow="1" w:lastRow="1" w:firstColumn="1" w:lastColumn="1" w:noHBand="0" w:noVBand="0"/>
      </w:tblPr>
      <w:tblGrid>
        <w:gridCol w:w="4687"/>
        <w:gridCol w:w="5141"/>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41"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41"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41"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275/2026/0739/VFI-BC.24.A</w:t>
      </w:r>
      <w:r>
        <w:rPr>
          <w:i/>
          <w:lang w:val="pt-BR"/>
        </w:rPr>
        <w:t xml:space="preserve"> </w:t>
      </w:r>
      <w:r>
        <w:rPr>
          <w:i/>
          <w:lang w:val="pt-BR"/>
        </w:rPr>
        <w:t xml:space="preserve">ngày 16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275/2026/0739/VFI-BC.24.A</w:t>
      </w:r>
      <w:r>
        <w:rPr>
          <w:i/>
          <w:lang w:val="pt-BR"/>
        </w:rPr>
        <w:t xml:space="preserve"> </w:t>
      </w:r>
      <w:r>
        <w:rPr>
          <w:i/>
          <w:lang w:val="pt-BR"/>
        </w:rPr>
        <w:t xml:space="preserve">ngày 16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tiêp:</w:t>
            </w:r>
            <w:r>
              <w:rPr>
                <w:color w:val="000000" w:themeColor="text1"/>
                <w:sz w:val="22"/>
                <w:szCs w:val="22"/>
              </w:rPr>
              <w:t xml:space="preserve"> 0972.522.570</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565" cy="3066144"/>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483565" cy="3066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1.78pt;height:241.4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070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5607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0.3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0972.522.570</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(59.8m²)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250m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455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44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8.7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070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5607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0.3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SĐT: </w:t>
            </w:r>
            <w:r>
              <w:rPr>
                <w:color w:val="000000" w:themeColor="text1"/>
                <w:sz w:val="22"/>
                <w:szCs w:val="22"/>
              </w:rPr>
              <w:t xml:space="preserve">0965 394 634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Song Liễu, Tỉnh Bắc Ninh, khoảng cách ra đường chính Cách đường Nguyễn Gia Thiều khoảng 600m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4040" cy="2991216"/>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474039" cy="29912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1.03pt;height:235.5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24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3724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44.2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hd w:val="nil"/>
        <w:spacing/>
        <w:ind/>
        <w:rPr>
          <w:lang w:val="pt-BR"/>
        </w:rPr>
      </w:pPr>
      <w:r>
        <w:rPr>
          <w:iCs/>
          <w:lang w:val="pt-BR"/>
        </w:rPr>
        <w:br w:type="page" w:clear="all"/>
      </w:r>
      <w:r>
        <w:rPr>
          <w:iCs/>
          <w:lang w:val="pt-BR"/>
        </w:rPr>
      </w:r>
      <w:r>
        <w:rPr>
          <w:iCs/>
          <w:lang w:val="pt-BR"/>
        </w:rPr>
      </w:r>
    </w:p>
    <w:tbl>
      <w:tblPr>
        <w:tblStyle w:val="1045"/>
        <w:tblW w:w="0" w:type="auto"/>
        <w:tblBorders/>
        <w:tblLook w:val="04A0" w:firstRow="1" w:lastRow="0" w:firstColumn="1" w:lastColumn="0" w:noHBand="0" w:noVBand="1"/>
      </w:tblPr>
      <w:tblGrid>
        <w:gridCol w:w="4762"/>
        <w:gridCol w:w="4762"/>
      </w:tblGrid>
      <w:tr>
        <w:trPr/>
        <w:tc>
          <w:tcPr>
            <w:tcBorders/>
            <w:tcW w:w="4762" w:type="dxa"/>
            <w:textDirection w:val="lrTb"/>
            <w:noWrap w:val="false"/>
          </w:tcPr>
          <w:p>
            <w:pPr>
              <w:pBdr/>
              <w:spacing w:after="200" w:line="276" w:lineRule="auto"/>
              <w:ind/>
              <w:rPr>
                <w:lang w:val="pt-BR"/>
              </w:rPr>
            </w:pPr>
            <w:r>
              <w:rPr>
                <w:lang w:val="pt-BR" w:bidi="pt-BR"/>
              </w:rPr>
            </w:r>
            <w:r>
              <w:rPr>
                <w:lang w:val="pt-BR" w:bidi="pt-BR"/>
              </w:rPr>
              <mc:AlternateContent>
                <mc:Choice Requires="wpg">
                  <w:drawing>
                    <wp:inline xmlns:wp="http://schemas.openxmlformats.org/drawingml/2006/wordprocessingDrawing" distT="0" distB="0" distL="0" distR="0">
                      <wp:extent cx="3043773" cy="380471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51512" name=""/>
                              <pic:cNvPicPr>
                                <a:picLocks noChangeAspect="1"/>
                              </pic:cNvPicPr>
                              <pic:nvPr/>
                            </pic:nvPicPr>
                            <pic:blipFill rotWithShape="1">
                              <a:blip r:embed="rId34"/>
                              <a:stretch/>
                            </pic:blipFill>
                            <pic:spPr bwMode="auto">
                              <a:xfrm flipH="0" flipV="0">
                                <a:off x="0" y="0"/>
                                <a:ext cx="3043773" cy="38047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9.67pt;height:299.58pt;mso-wrap-distance-left:0.00pt;mso-wrap-distance-top:0.00pt;mso-wrap-distance-right:0.00pt;mso-wrap-distance-bottom:0.00pt;z-index:1;" stroked="false">
                      <v:imagedata r:id="rId34" o:title=""/>
                      <o:lock v:ext="edit" rotation="t"/>
                    </v:shape>
                  </w:pict>
                </mc:Fallback>
              </mc:AlternateContent>
            </w:r>
            <w:r>
              <w:rPr>
                <w:lang w:val="pt-BR" w:bidi="pt-BR"/>
              </w:rPr>
            </w:r>
            <w:r>
              <w:rPr>
                <w:lang w:val="pt-BR"/>
              </w:rPr>
            </w:r>
          </w:p>
        </w:tc>
        <w:tc>
          <w:tcPr>
            <w:tcBorders/>
            <w:tcW w:w="4762" w:type="dxa"/>
            <w:textDirection w:val="lrTb"/>
            <w:noWrap w:val="false"/>
          </w:tcPr>
          <w:p>
            <w:pPr>
              <w:pBdr/>
              <w:spacing w:after="200" w:line="276" w:lineRule="auto"/>
              <w:ind/>
              <w:rPr>
                <w:lang w:val="pt-BR"/>
              </w:rPr>
            </w:pPr>
            <w:r>
              <w:rPr>
                <w:lang w:val="pt-BR" w:bidi="pt-BR"/>
              </w:rPr>
            </w:r>
            <w:r>
              <w:rPr>
                <w:lang w:val="pt-BR" w:bidi="pt-BR"/>
              </w:rPr>
              <mc:AlternateContent>
                <mc:Choice Requires="wpg">
                  <w:drawing>
                    <wp:inline xmlns:wp="http://schemas.openxmlformats.org/drawingml/2006/wordprocessingDrawing" distT="0" distB="0" distL="0" distR="0">
                      <wp:extent cx="2841647" cy="380471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34307" name=""/>
                              <pic:cNvPicPr>
                                <a:picLocks noChangeAspect="1"/>
                              </pic:cNvPicPr>
                              <pic:nvPr/>
                            </pic:nvPicPr>
                            <pic:blipFill rotWithShape="1">
                              <a:blip r:embed="rId35"/>
                              <a:stretch/>
                            </pic:blipFill>
                            <pic:spPr bwMode="auto">
                              <a:xfrm flipH="0" flipV="0">
                                <a:off x="0" y="0"/>
                                <a:ext cx="2841647" cy="38047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3.75pt;height:299.58pt;mso-wrap-distance-left:0.00pt;mso-wrap-distance-top:0.00pt;mso-wrap-distance-right:0.00pt;mso-wrap-distance-bottom:0.00pt;z-index:1;" stroked="false">
                      <v:imagedata r:id="rId35" o:title=""/>
                      <o:lock v:ext="edit" rotation="t"/>
                    </v:shape>
                  </w:pict>
                </mc:Fallback>
              </mc:AlternateContent>
            </w:r>
            <w:r>
              <w:rPr>
                <w:lang w:val="pt-BR" w:bidi="pt-BR"/>
              </w:rPr>
            </w:r>
            <w:r>
              <w:rPr>
                <w:lang w:val="pt-BR" w:bidi="pt-BR"/>
              </w:rPr>
            </w:r>
            <w:r/>
            <w:r>
              <w:rPr>
                <w:lang w:val="pt-BR" w:bidi="pt-BR"/>
              </w:rPr>
            </w:r>
            <w:r>
              <w:rPr>
                <w:lang w:val="pt-BR" w:bidi="pt-BR"/>
              </w:rPr>
            </w:r>
            <w:r/>
            <w:r>
              <w:rPr>
                <w:lang w:val="pt-BR" w:bidi="pt-BR"/>
              </w:rPr>
            </w:r>
            <w:r>
              <w:rPr>
                <w:lang w:val="pt-BR"/>
              </w:rPr>
            </w:r>
          </w:p>
        </w:tc>
      </w:tr>
      <w:tr>
        <w:trPr/>
        <w:tc>
          <w:tcPr>
            <w:tcBorders/>
            <w:tcW w:w="4762" w:type="dxa"/>
            <w:textDirection w:val="lrTb"/>
            <w:noWrap w:val="false"/>
          </w:tcPr>
          <w:p>
            <w:pPr>
              <w:pBdr/>
              <w:spacing w:after="200" w:line="276" w:lineRule="auto"/>
              <w:ind/>
              <w:rPr>
                <w:lang w:val="pt-BR"/>
              </w:rPr>
            </w:pPr>
            <w:r>
              <w:rPr>
                <w:lang w:val="pt-BR" w:bidi="pt-BR"/>
              </w:rPr>
            </w:r>
            <w:r>
              <w:rPr>
                <w:lang w:val="pt-BR" w:bidi="pt-BR"/>
              </w:rPr>
            </w:r>
            <w:r>
              <w:rPr>
                <w:lang w:val="pt-BR" w:bidi="pt-BR"/>
              </w:rPr>
            </w:r>
            <w:r>
              <w:rPr>
                <w:lang w:val="pt-BR" w:bidi="pt-BR"/>
              </w:rPr>
              <mc:AlternateContent>
                <mc:Choice Requires="wpg">
                  <w:drawing>
                    <wp:inline xmlns:wp="http://schemas.openxmlformats.org/drawingml/2006/wordprocessingDrawing" distT="0" distB="0" distL="0" distR="0">
                      <wp:extent cx="3159651" cy="402023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76396" name=""/>
                              <pic:cNvPicPr>
                                <a:picLocks noChangeAspect="1"/>
                              </pic:cNvPicPr>
                              <pic:nvPr/>
                            </pic:nvPicPr>
                            <pic:blipFill rotWithShape="1">
                              <a:blip r:embed="rId36"/>
                              <a:stretch/>
                            </pic:blipFill>
                            <pic:spPr bwMode="auto">
                              <a:xfrm rot="0" flipH="0" flipV="0">
                                <a:off x="0" y="0"/>
                                <a:ext cx="3159650" cy="4020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48.79pt;height:316.55pt;mso-wrap-distance-left:0.00pt;mso-wrap-distance-top:0.00pt;mso-wrap-distance-right:0.00pt;mso-wrap-distance-bottom:0.00pt;rotation:0;z-index:1;" stroked="false">
                      <v:imagedata r:id="rId36" o:title=""/>
                      <o:lock v:ext="edit" rotation="t"/>
                    </v:shape>
                  </w:pict>
                </mc:Fallback>
              </mc:AlternateContent>
            </w:r>
            <w:r>
              <w:rPr>
                <w:lang w:val="pt-BR" w:bidi="pt-BR"/>
              </w:rPr>
            </w:r>
            <w:r>
              <w:rPr>
                <w:lang w:val="pt-BR" w:bidi="pt-BR"/>
              </w:rPr>
            </w:r>
            <w:r/>
            <w:r>
              <w:rPr>
                <w:lang w:val="pt-BR" w:bidi="pt-BR"/>
              </w:rPr>
            </w:r>
            <w:r>
              <w:rPr>
                <w:lang w:val="pt-BR"/>
              </w:rPr>
            </w:r>
          </w:p>
        </w:tc>
        <w:tc>
          <w:tcPr>
            <w:tcBorders/>
            <w:tcW w:w="4762" w:type="dxa"/>
            <w:textDirection w:val="lrTb"/>
            <w:noWrap w:val="false"/>
          </w:tcPr>
          <w:p>
            <w:pPr>
              <w:pBdr/>
              <w:spacing w:after="200" w:line="276" w:lineRule="auto"/>
              <w:ind/>
              <w:rPr>
                <w:lang w:val="pt-BR"/>
              </w:rPr>
            </w:pPr>
            <w:r>
              <w:rPr>
                <w:lang w:val="pt-BR" w:bidi="pt-BR"/>
              </w:rPr>
            </w:r>
            <w:r>
              <w:rPr>
                <w:lang w:val="pt-BR" w:bidi="pt-BR"/>
              </w:rPr>
              <mc:AlternateContent>
                <mc:Choice Requires="wpg">
                  <w:drawing>
                    <wp:inline xmlns:wp="http://schemas.openxmlformats.org/drawingml/2006/wordprocessingDrawing" distT="0" distB="0" distL="0" distR="0">
                      <wp:extent cx="2824894" cy="389640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99753" name=""/>
                              <pic:cNvPicPr>
                                <a:picLocks noChangeAspect="1"/>
                              </pic:cNvPicPr>
                              <pic:nvPr/>
                            </pic:nvPicPr>
                            <pic:blipFill rotWithShape="1">
                              <a:blip r:embed="rId37"/>
                              <a:stretch/>
                            </pic:blipFill>
                            <pic:spPr bwMode="auto">
                              <a:xfrm rot="0" flipH="0" flipV="0">
                                <a:off x="0" y="0"/>
                                <a:ext cx="2824894" cy="3896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43pt;height:306.80pt;mso-wrap-distance-left:0.00pt;mso-wrap-distance-top:0.00pt;mso-wrap-distance-right:0.00pt;mso-wrap-distance-bottom:0.00pt;rotation:0;z-index:1;" stroked="false">
                      <v:imagedata r:id="rId37" o:title=""/>
                      <o:lock v:ext="edit" rotation="t"/>
                    </v:shape>
                  </w:pict>
                </mc:Fallback>
              </mc:AlternateContent>
            </w:r>
            <w:r/>
            <w:r>
              <w:rPr>
                <w:lang w:val="pt-BR" w:bidi="pt-BR"/>
              </w:rPr>
            </w:r>
            <w:r>
              <w:rPr>
                <w:lang w:val="pt-BR"/>
              </w:rPr>
            </w:r>
          </w:p>
        </w:tc>
      </w:tr>
    </w:tbl>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19133"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32D035E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0206D09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32F1284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284</cp:revision>
  <dcterms:created xsi:type="dcterms:W3CDTF">2025-09-15T09:58:00Z</dcterms:created>
  <dcterms:modified xsi:type="dcterms:W3CDTF">2026-05-19T02:10:38Z</dcterms:modified>
</cp:coreProperties>
</file>