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7314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7314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275/2026/0689/VFI-CT.51.A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CHU THỊ XOAN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w:t>
                            </w:r>
                            <w:r>
                              <w:t xml:space="preserve">Thửa đất số: 557 tờ bản đồ số: 29</w:t>
                            </w:r>
                            <w:r>
                              <w:rPr>
                                <w:rFonts w:ascii="Times New Roman" w:hAnsi="Times New Roman" w:eastAsia="Times New Roman" w:cs="Times New Roman"/>
                                <w:color w:val="000000"/>
                                <w:sz w:val="24"/>
                              </w:rPr>
                              <w:t xml:space="preserve"> có địa chỉ: </w:t>
                            </w:r>
                            <w:r>
                              <w:t xml:space="preserve">Số nhà 47A, ngõ 66 đường Hồ Tùng Mậu, tổ 19, phường Mai Dịch, quận Cầu Giấy, Thành phố Hà Nội (Nay là phường Phú Diễn,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DP 890045, Số vào sổ cấp GCN: CN </w:t>
                            </w:r>
                            <w:r>
                              <w:rPr>
                                <w:rFonts w:ascii="Times New Roman" w:hAnsi="Times New Roman" w:eastAsia="Times New Roman" w:cs="Times New Roman"/>
                                <w:color w:val="000000"/>
                                <w:sz w:val="24"/>
                              </w:rPr>
                              <w:t xml:space="preserve">02858 do Chi nhánh văn phòng đăng ký đất đai quận Cầu Giấy - Hà Nội  cấp ngày 25/12/2024 cho bà Chu Thị Xoan.</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2.8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275/2026/0689/VFI-CT.51.A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BÀ CHU THỊ XOAN</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i/>
                          <w:iCs/>
                          <w:highlight w:val="none"/>
                        </w:rPr>
                      </w:pPr>
                      <w:r>
                        <w:rPr>
                          <w:b/>
                        </w:rPr>
                        <w:t xml:space="preserve">Tài sản thẩm </w:t>
                      </w:r>
                      <w:r>
                        <w:rPr>
                          <w:b/>
                        </w:rPr>
                        <w:t xml:space="preserve">định: </w:t>
                      </w:r>
                      <w:r>
                        <w:rPr>
                          <w:rFonts w:ascii="Times New Roman" w:hAnsi="Times New Roman" w:eastAsia="Times New Roman" w:cs="Times New Roman"/>
                          <w:color w:val="000000"/>
                          <w:sz w:val="24"/>
                        </w:rPr>
                        <w:t xml:space="preserve">Quyền sử dụng đất và tài sản gắn liền với đất tại </w:t>
                      </w:r>
                      <w:r>
                        <w:t xml:space="preserve">Thửa đất số: 557 tờ bản đồ số: 29</w:t>
                      </w:r>
                      <w:r>
                        <w:rPr>
                          <w:rFonts w:ascii="Times New Roman" w:hAnsi="Times New Roman" w:eastAsia="Times New Roman" w:cs="Times New Roman"/>
                          <w:color w:val="000000"/>
                          <w:sz w:val="24"/>
                        </w:rPr>
                        <w:t xml:space="preserve"> có địa chỉ: </w:t>
                      </w:r>
                      <w:r>
                        <w:t xml:space="preserve">Số nhà 47A, ngõ 66 đường Hồ Tùng Mậu, tổ 19, phường Mai Dịch, quận Cầu Giấy, Thành phố Hà Nội (Nay là phường Phú Diễn,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DP 890045, Số vào sổ cấp GCN: CN </w:t>
                      </w:r>
                      <w:r>
                        <w:rPr>
                          <w:rFonts w:ascii="Times New Roman" w:hAnsi="Times New Roman" w:eastAsia="Times New Roman" w:cs="Times New Roman"/>
                          <w:color w:val="000000"/>
                          <w:sz w:val="24"/>
                        </w:rPr>
                        <w:t xml:space="preserve">02858 do Chi nhánh văn phòng đăng ký đất đai quận Cầu Giấy - Hà Nội  cấp ngày 25/12/2024 cho bà Chu Thị Xoan.</w:t>
                      </w:r>
                      <w:r>
                        <w:rPr>
                          <w:i/>
                          <w:iCs/>
                          <w:highlight w:val="none"/>
                        </w:rPr>
                      </w:r>
                      <w:r>
                        <w:rPr>
                          <w:i/>
                          <w:iCs/>
                          <w:highlight w:val="none"/>
                        </w:rPr>
                      </w:r>
                    </w:p>
                    <w:p>
                      <w:pPr>
                        <w:pBdr/>
                        <w:spacing w:after="120" w:before="120" w:line="360" w:lineRule="auto"/>
                        <w:ind/>
                        <w:jc w:val="both"/>
                        <w:rPr>
                          <w:bCs/>
                          <w:i/>
                        </w:rPr>
                      </w:pPr>
                      <w:r>
                        <w:rPr>
                          <w:bCs/>
                          <w:i/>
                          <w:iCs/>
                          <w:highlight w:val="none"/>
                        </w:rPr>
                      </w:r>
                      <w:r>
                        <w:rPr>
                          <w:bCs/>
                          <w:i/>
                        </w:rPr>
                      </w:r>
                      <w:r>
                        <w:rPr>
                          <w:bCs/>
                          <w:i/>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05/2026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5"/>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45"/>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1871"/>
        <w:gridCol w:w="1701"/>
        <w:gridCol w:w="10813"/>
        <w:gridCol w:w="29"/>
      </w:tblGrid>
      <w:tr>
        <w:trPr>
          <w:trHeight w:val="1152"/>
        </w:trPr>
        <w:tc>
          <w:tcPr>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543"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3572" w:type="dxa"/>
            <w:textDirection w:val="lrTb"/>
            <w:noWrap w:val="false"/>
          </w:tcPr>
          <w:p>
            <w:pPr>
              <w:pStyle w:val="1044"/>
              <w:pBdr/>
              <w:spacing w:after="60"/>
              <w:ind/>
              <w:rPr>
                <w:color w:val="000000" w:themeColor="text1"/>
                <w:sz w:val="24"/>
                <w:szCs w:val="24"/>
              </w:rPr>
            </w:pPr>
            <w:r>
              <w:rPr>
                <w:rStyle w:val="1043"/>
                <w:rFonts w:ascii="Times New Roman" w:hAnsi="Times New Roman"/>
                <w:color w:val="000000" w:themeColor="text1"/>
                <w:lang w:val="pt-BR"/>
              </w:rPr>
              <w:t xml:space="preserve">Số: </w:t>
            </w:r>
            <w:r>
              <w:rPr>
                <w:rStyle w:val="1043"/>
                <w:rFonts w:ascii="Times New Roman" w:hAnsi="Times New Roman"/>
                <w:color w:val="000000" w:themeColor="text1"/>
                <w:lang w:val="pt-BR"/>
              </w:rPr>
              <w:t xml:space="preserve">275/2026/0689/VFI-CT.51.A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0813" w:type="dxa"/>
            <w:textDirection w:val="lrTb"/>
            <w:noWrap w:val="false"/>
          </w:tcPr>
          <w:p>
            <w:pPr>
              <w:pStyle w:val="1044"/>
              <w:pBdr/>
              <w:spacing w:after="60"/>
              <w:ind w:right="-56"/>
              <w:jc w:val="left"/>
              <w:rPr>
                <w:color w:val="000000" w:themeColor="text1"/>
                <w:sz w:val="24"/>
                <w:szCs w:val="24"/>
                <w:lang w:val="vi-VN"/>
              </w:rPr>
            </w:pPr>
            <w:r>
              <w:rPr>
                <w:rStyle w:val="1043"/>
                <w:rFonts w:ascii="Times New Roman" w:hAnsi="Times New Roman"/>
                <w:i/>
                <w:color w:val="auto"/>
              </w:rPr>
              <w:t xml:space="preserve">                                                    TP. Hà 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7 tháng 5 năm 2026</w:t>
            </w:r>
            <w:r>
              <w:rPr>
                <w:color w:val="000000" w:themeColor="text1"/>
                <w:sz w:val="24"/>
                <w:szCs w:val="24"/>
                <w:lang w:val="vi-VN"/>
              </w:rPr>
            </w:r>
            <w:r>
              <w:rPr>
                <w:color w:val="000000" w:themeColor="text1"/>
                <w:sz w:val="24"/>
                <w:szCs w:val="24"/>
                <w:lang w:val="vi-VN"/>
              </w:rPr>
            </w:r>
          </w:p>
        </w:tc>
      </w:tr>
    </w:tbl>
    <w:p>
      <w:pPr>
        <w:pStyle w:val="1044"/>
        <w:pBdr/>
        <w:spacing w:after="120" w:before="200" w:line="288" w:lineRule="auto"/>
        <w:ind/>
        <w:jc w:val="center"/>
        <w:rPr>
          <w:rStyle w:val="1043"/>
          <w:rFonts w:ascii="Times New Roman" w:hAnsi="Times New Roman"/>
          <w:b/>
          <w:bCs/>
          <w:color w:val="auto"/>
          <w:sz w:val="30"/>
          <w:szCs w:val="30"/>
          <w:lang w:val="vi-VN"/>
        </w:rPr>
      </w:pPr>
      <w:r>
        <w:rPr>
          <w:rStyle w:val="1043"/>
          <w:rFonts w:ascii="Times New Roman" w:hAnsi="Times New Roman"/>
          <w:b/>
          <w:bCs/>
          <w:color w:val="auto"/>
          <w:sz w:val="30"/>
          <w:szCs w:val="30"/>
          <w:lang w:val="vi-VN"/>
        </w:rPr>
        <w:t xml:space="preserve">CHỨNG THƯ THẨM ĐỊNH GIÁ</w:t>
      </w:r>
      <w:r>
        <w:rPr>
          <w:rStyle w:val="1043"/>
          <w:rFonts w:ascii="Times New Roman" w:hAnsi="Times New Roman"/>
          <w:b/>
          <w:bCs/>
          <w:color w:val="auto"/>
          <w:sz w:val="30"/>
          <w:szCs w:val="30"/>
          <w:lang w:val="vi-VN"/>
        </w:rPr>
      </w:r>
      <w:r>
        <w:rPr>
          <w:rStyle w:val="104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Chu Thị Xoan</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275/2026/0689/VFI-HĐTĐ.51.A</w:t>
      </w:r>
      <w:r>
        <w:rPr>
          <w:spacing w:val="-4"/>
          <w:lang w:val="vi-VN"/>
        </w:rPr>
        <w:t xml:space="preserve"> ký ngày </w:t>
      </w:r>
      <w:r>
        <w:rPr>
          <w:color w:val="000000" w:themeColor="text1"/>
          <w:spacing w:val="-4"/>
        </w:rPr>
        <w:t xml:space="preserve">6 tháng 5 năm 2026</w:t>
      </w:r>
      <w:r>
        <w:rPr>
          <w:spacing w:val="-4"/>
          <w:lang w:val="vi-VN"/>
        </w:rPr>
        <w:t xml:space="preserve"> </w:t>
      </w:r>
      <w:r>
        <w:rPr>
          <w:spacing w:val="-4"/>
          <w:lang w:val="vi-VN"/>
        </w:rPr>
        <w:t xml:space="preserve">giữa </w:t>
      </w:r>
      <w:r>
        <w:rPr>
          <w:color w:val="000000" w:themeColor="text1"/>
          <w:spacing w:val="-4"/>
        </w:rPr>
        <w:t xml:space="preserve">Chu Thị Xoan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275/2026/0689/VFI-BC.51.A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6 tháng 5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Chu Thị Xoan</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015176000020</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1976</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1, Mai Dịch, Cầu Giấy, Hà Nội</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rFonts w:ascii="Times New Roman" w:hAnsi="Times New Roman" w:eastAsia="Times New Roman" w:cs="Times New Roman"/>
          <w:color w:val="000000"/>
          <w:sz w:val="24"/>
        </w:rPr>
        <w:t xml:space="preserve">Quyền sử dụng đất và tài sản gắn liền với đất tại </w:t>
      </w:r>
      <w:r>
        <w:t xml:space="preserve">Thửa đất số: 557 tờ bản đồ số: 29</w:t>
      </w:r>
      <w:r>
        <w:rPr>
          <w:rFonts w:ascii="Times New Roman" w:hAnsi="Times New Roman" w:eastAsia="Times New Roman" w:cs="Times New Roman"/>
          <w:color w:val="000000"/>
          <w:sz w:val="24"/>
        </w:rPr>
        <w:t xml:space="preserve"> có địa chỉ: </w:t>
      </w:r>
      <w:r>
        <w:t xml:space="preserve">Số nhà 47A, ngõ 66 đường Hồ Tùng Mậu, tổ 19, phường Mai Dịch, quận Cầu Giấy, Thành phố Hà Nội (Nay là phường Phú Diễn,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DP 890045, Số vào sổ cấp GCN: CN </w:t>
      </w:r>
      <w:r>
        <w:rPr>
          <w:rFonts w:ascii="Times New Roman" w:hAnsi="Times New Roman" w:eastAsia="Times New Roman" w:cs="Times New Roman"/>
          <w:color w:val="000000"/>
          <w:sz w:val="24"/>
        </w:rPr>
        <w:t xml:space="preserve">02858 do Chi nhánh văn phòng đăng ký đất đai quận Cầu Giấy - Hà Nội  cấp ngày 25/12/2024 cho bà Chu Thị Xoan.</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05/2026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05/2026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Style w:val="104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03"/>
        <w:gridCol w:w="1960"/>
        <w:gridCol w:w="1417"/>
        <w:gridCol w:w="2268"/>
        <w:gridCol w:w="992"/>
        <w:gridCol w:w="1985"/>
      </w:tblGrid>
      <w:tr>
        <w:trPr>
          <w:trHeight w:val="924"/>
        </w:trPr>
        <w:tc>
          <w:tcPr>
            <w:shd w:val="clear" w:color="ffffff" w:fill="ffffff"/>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903"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1960"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1417"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2268"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992"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Tỷ lệ CLCL (%)</w:t>
            </w:r>
            <w:r/>
          </w:p>
        </w:tc>
        <w:tc>
          <w:tcPr>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1985"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Thành tiền (đồng)</w:t>
            </w:r>
            <w:r/>
          </w:p>
        </w:tc>
      </w:tr>
      <w:tr>
        <w:trPr>
          <w:trHeight w:val="3180"/>
        </w:trPr>
        <w:tc>
          <w:tcPr>
            <w:shd w:val="clear" w:color="ffffff" w:fill="ffffff"/>
            <w:tcBorders>
              <w:left w:val="single" w:color="000000" w:sz="5" w:space="0"/>
              <w:bottom w:val="single" w:color="000000" w:sz="5" w:space="0"/>
              <w:right w:val="single" w:color="000000" w:sz="5" w:space="0"/>
            </w:tcBorders>
            <w:tcMar>
              <w:left w:w="15" w:type="dxa"/>
              <w:top w:w="15" w:type="dxa"/>
              <w:right w:w="15" w:type="dxa"/>
              <w:bottom w:w="0" w:type="dxa"/>
            </w:tcMar>
            <w:tcW w:w="903"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5645" w:type="dxa"/>
            <w:vAlign w:val="center"/>
            <w:textDirection w:val="lrTb"/>
            <w:noWrap w:val="false"/>
          </w:tcPr>
          <w:p>
            <w:pPr>
              <w:suppressLineNumbers w:val="false"/>
              <w:pBdr/>
              <w:spacing w:after="0" w:before="0" w:line="276" w:lineRule="auto"/>
              <w:ind w:right="115" w:left="115"/>
              <w:jc w:val="both"/>
              <w:rPr/>
            </w:pPr>
            <w:r>
              <w:rPr>
                <w:rFonts w:ascii="Times New Roman" w:hAnsi="Times New Roman" w:eastAsia="Times New Roman" w:cs="Times New Roman"/>
                <w:b/>
                <w:color w:val="000000"/>
                <w:sz w:val="24"/>
              </w:rPr>
              <w:t xml:space="preserve">Quyền sử dụng đất và tài sản gắn liền với đất tại Thửa đất số: 557 tờ bản đồ số: 29 có địa chỉ: Số nhà 47A, ngõ 66 đường Hồ Tùng Mậu, tổ 19, phường Mai Dịch, quận Cầu Giấy, Thành phố Hà Nội (Nay là phường Phú Diễn, Thành phố Hà Nội) theo Giấy chứng nhận qu</w:t>
            </w:r>
            <w:r>
              <w:rPr>
                <w:rFonts w:ascii="Times New Roman" w:hAnsi="Times New Roman" w:eastAsia="Times New Roman" w:cs="Times New Roman"/>
                <w:b/>
                <w:color w:val="000000"/>
                <w:sz w:val="24"/>
              </w:rPr>
              <w:t xml:space="preserve">yền sử dụng đất, quyền sở hữu nhà ở và tài sản khác gắn liền với đất  số: DP 890045, Số vào sổ cấp GCN: CN 02858 do Chi nhánh văn phòng đăng ký đất đai quận Cầu Giấy - Hà Nội  cấp ngày 25/12/2024 cho bà Chu Thị Xoan.</w:t>
            </w:r>
            <w:r/>
          </w:p>
        </w:tc>
        <w:tc>
          <w:tcPr>
            <w:shd w:val="clear" w:color="ffffff" w:fill="ffffff"/>
            <w:tcBorders>
              <w:bottom w:val="single" w:color="000000" w:sz="5" w:space="0"/>
              <w:right w:val="single" w:color="000000" w:sz="5" w:space="0"/>
            </w:tcBorders>
            <w:tcMar>
              <w:left w:w="15" w:type="dxa"/>
              <w:top w:w="15" w:type="dxa"/>
              <w:right w:w="15" w:type="dxa"/>
              <w:bottom w:w="0" w:type="dxa"/>
            </w:tcMar>
            <w:tcW w:w="992" w:type="dxa"/>
            <w:vAlign w:val="center"/>
            <w:textDirection w:val="lrTb"/>
            <w:noWrap w:val="false"/>
          </w:tcPr>
          <w:p>
            <w:pPr>
              <w:suppressLineNumbers w:val="false"/>
              <w:pBdr/>
              <w:spacing w:after="0" w:before="0" w:line="276" w:lineRule="auto"/>
              <w:ind w:right="115" w:left="115"/>
              <w:jc w:val="both"/>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15" w:type="dxa"/>
              <w:top w:w="15" w:type="dxa"/>
              <w:right w:w="15" w:type="dxa"/>
              <w:bottom w:w="0" w:type="dxa"/>
            </w:tcMar>
            <w:tcW w:w="1985" w:type="dxa"/>
            <w:vAlign w:val="center"/>
            <w:textDirection w:val="lrTb"/>
            <w:noWrap w:val="false"/>
          </w:tcPr>
          <w:p>
            <w:pPr>
              <w:suppressLineNumbers w:val="false"/>
              <w:pBdr/>
              <w:spacing w:after="0" w:before="0" w:line="276" w:lineRule="auto"/>
              <w:ind w:right="115" w:left="115"/>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5" w:space="0"/>
              <w:bottom w:val="single" w:color="000000" w:sz="5" w:space="0"/>
              <w:right w:val="single" w:color="000000" w:sz="5" w:space="0"/>
            </w:tcBorders>
            <w:tcMar>
              <w:left w:w="15" w:type="dxa"/>
              <w:top w:w="15" w:type="dxa"/>
              <w:right w:w="15" w:type="dxa"/>
              <w:bottom w:w="0" w:type="dxa"/>
            </w:tcMar>
            <w:tcW w:w="903"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1</w:t>
            </w:r>
            <w:r/>
          </w:p>
        </w:tc>
        <w:tc>
          <w:tcPr>
            <w:shd w:val="clear" w:color="ffffff" w:fill="ffffff"/>
            <w:tcBorders>
              <w:bottom w:val="single" w:color="000000" w:sz="5" w:space="0"/>
              <w:right w:val="single" w:color="000000" w:sz="5" w:space="0"/>
            </w:tcBorders>
            <w:tcMar>
              <w:left w:w="15" w:type="dxa"/>
              <w:top w:w="15" w:type="dxa"/>
              <w:right w:w="15" w:type="dxa"/>
              <w:bottom w:w="0" w:type="dxa"/>
            </w:tcMar>
            <w:tcW w:w="1960" w:type="dxa"/>
            <w:vAlign w:val="center"/>
            <w:textDirection w:val="lrTb"/>
            <w:noWrap w:val="false"/>
          </w:tcPr>
          <w:p>
            <w:pPr>
              <w:suppressLineNumbers w:val="false"/>
              <w:pBdr/>
              <w:spacing w:after="0" w:before="0" w:line="276" w:lineRule="auto"/>
              <w:ind w:right="115" w:left="115"/>
              <w:rPr/>
            </w:pPr>
            <w:r>
              <w:rPr>
                <w:rFonts w:ascii="Times New Roman" w:hAnsi="Times New Roman" w:eastAsia="Times New Roman" w:cs="Times New Roman"/>
                <w:color w:val="000000"/>
                <w:sz w:val="24"/>
              </w:rPr>
              <w:t xml:space="preserve">Đất ở tại đô thị</w:t>
            </w:r>
            <w:r/>
          </w:p>
        </w:tc>
        <w:tc>
          <w:tcPr>
            <w:tcBorders>
              <w:bottom w:val="single" w:color="000000" w:sz="5" w:space="0"/>
              <w:right w:val="single" w:color="000000" w:sz="5" w:space="0"/>
            </w:tcBorders>
            <w:tcMar>
              <w:left w:w="15" w:type="dxa"/>
              <w:top w:w="15" w:type="dxa"/>
              <w:right w:w="15" w:type="dxa"/>
              <w:bottom w:w="0" w:type="dxa"/>
            </w:tcMar>
            <w:tcW w:w="1417"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4"/>
              </w:rPr>
              <w:t xml:space="preserve">52,2</w:t>
            </w:r>
            <w:r/>
          </w:p>
        </w:tc>
        <w:tc>
          <w:tcPr>
            <w:shd w:val="clear" w:color="ffffff" w:fill="ffffff"/>
            <w:tcBorders>
              <w:bottom w:val="single" w:color="000000" w:sz="5" w:space="0"/>
              <w:right w:val="single" w:color="000000" w:sz="5" w:space="0"/>
            </w:tcBorders>
            <w:tcMar>
              <w:left w:w="15" w:type="dxa"/>
              <w:top w:w="15" w:type="dxa"/>
              <w:right w:w="15" w:type="dxa"/>
              <w:bottom w:w="0" w:type="dxa"/>
            </w:tcMar>
            <w:tcW w:w="2268"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4"/>
              </w:rPr>
              <w:t xml:space="preserve">200.000.000</w:t>
            </w:r>
            <w:r/>
          </w:p>
        </w:tc>
        <w:tc>
          <w:tcPr>
            <w:shd w:val="clear" w:color="ffffff" w:fill="ffffff"/>
            <w:tcBorders>
              <w:bottom w:val="single" w:color="000000" w:sz="5" w:space="0"/>
              <w:right w:val="single" w:color="000000" w:sz="5" w:space="0"/>
            </w:tcBorders>
            <w:tcMar>
              <w:left w:w="15" w:type="dxa"/>
              <w:top w:w="15" w:type="dxa"/>
              <w:right w:w="15" w:type="dxa"/>
              <w:bottom w:w="0" w:type="dxa"/>
            </w:tcMar>
            <w:tcW w:w="992"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15" w:type="dxa"/>
              <w:top w:w="15" w:type="dxa"/>
              <w:right w:w="15" w:type="dxa"/>
              <w:bottom w:w="0" w:type="dxa"/>
            </w:tcMar>
            <w:tcW w:w="1985"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4"/>
              </w:rPr>
              <w:t xml:space="preserve">10.440.000.000</w:t>
            </w:r>
            <w:r/>
          </w:p>
        </w:tc>
      </w:tr>
      <w:tr>
        <w:trPr>
          <w:trHeight w:val="379"/>
        </w:trPr>
        <w:tc>
          <w:tcPr>
            <w:tcBorders>
              <w:left w:val="single" w:color="000000" w:sz="5" w:space="0"/>
              <w:bottom w:val="single" w:color="000000" w:sz="5" w:space="0"/>
              <w:right w:val="single" w:color="000000" w:sz="5" w:space="0"/>
            </w:tcBorders>
            <w:tcMar>
              <w:left w:w="15" w:type="dxa"/>
              <w:top w:w="15" w:type="dxa"/>
              <w:right w:w="15" w:type="dxa"/>
              <w:bottom w:w="0" w:type="dxa"/>
            </w:tcMar>
            <w:tcW w:w="903" w:type="dxa"/>
            <w:vAlign w:val="bottom"/>
            <w:textDirection w:val="lrTb"/>
            <w:noWrap/>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15" w:type="dxa"/>
              <w:top w:w="15" w:type="dxa"/>
              <w:right w:w="15" w:type="dxa"/>
              <w:bottom w:w="0" w:type="dxa"/>
            </w:tcMar>
            <w:tcW w:w="1960" w:type="dxa"/>
            <w:vAlign w:val="bottom"/>
            <w:textDirection w:val="lrTb"/>
            <w:noWrap/>
          </w:tcPr>
          <w:p>
            <w:pPr>
              <w:suppressLineNumbers w:val="false"/>
              <w:pBdr/>
              <w:spacing w:after="0" w:before="0" w:line="276" w:lineRule="auto"/>
              <w:ind w:right="115" w:left="115"/>
              <w:rPr/>
            </w:pPr>
            <w:r>
              <w:rPr>
                <w:rFonts w:ascii="Times New Roman" w:hAnsi="Times New Roman" w:eastAsia="Times New Roman" w:cs="Times New Roman"/>
                <w:color w:val="000000"/>
                <w:sz w:val="22"/>
              </w:rPr>
              <w:t xml:space="preserve">Nhà 5 tầng 1 tum</w:t>
            </w:r>
            <w:r/>
          </w:p>
        </w:tc>
        <w:tc>
          <w:tcPr>
            <w:tcBorders>
              <w:bottom w:val="single" w:color="000000" w:sz="5" w:space="0"/>
              <w:right w:val="single" w:color="000000" w:sz="5" w:space="0"/>
            </w:tcBorders>
            <w:tcMar>
              <w:left w:w="15" w:type="dxa"/>
              <w:top w:w="15" w:type="dxa"/>
              <w:right w:w="15" w:type="dxa"/>
              <w:bottom w:w="0" w:type="dxa"/>
            </w:tcMar>
            <w:tcW w:w="1417" w:type="dxa"/>
            <w:vAlign w:val="bottom"/>
            <w:textDirection w:val="lrTb"/>
            <w:noWrap/>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2"/>
              </w:rPr>
              <w:t xml:space="preserve">261,3</w:t>
            </w:r>
            <w:r/>
          </w:p>
        </w:tc>
        <w:tc>
          <w:tcPr>
            <w:tcBorders/>
            <w:tcMar>
              <w:left w:w="15" w:type="dxa"/>
              <w:top w:w="15" w:type="dxa"/>
              <w:right w:w="15" w:type="dxa"/>
              <w:bottom w:w="0" w:type="dxa"/>
            </w:tcMar>
            <w:tcW w:w="2268" w:type="dxa"/>
            <w:vAlign w:val="center"/>
            <w:textDirection w:val="lrTb"/>
            <w:noWrap/>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2"/>
              </w:rPr>
              <w:t xml:space="preserve">8.089.144</w:t>
            </w:r>
            <w:r/>
          </w:p>
        </w:tc>
        <w:tc>
          <w:tcPr>
            <w:tcBorders>
              <w:left w:val="single" w:color="000000" w:sz="5" w:space="0"/>
              <w:bottom w:val="single" w:color="000000" w:sz="5" w:space="0"/>
              <w:right w:val="single" w:color="000000" w:sz="5" w:space="0"/>
            </w:tcBorders>
            <w:tcMar>
              <w:left w:w="15" w:type="dxa"/>
              <w:top w:w="15" w:type="dxa"/>
              <w:right w:w="15" w:type="dxa"/>
              <w:bottom w:w="0" w:type="dxa"/>
            </w:tcMar>
            <w:tcW w:w="992" w:type="dxa"/>
            <w:vAlign w:val="bottom"/>
            <w:textDirection w:val="lrTb"/>
            <w:noWrap/>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2"/>
              </w:rPr>
              <w:t xml:space="preserve">96%</w:t>
            </w:r>
            <w:r/>
          </w:p>
        </w:tc>
        <w:tc>
          <w:tcPr>
            <w:tcBorders>
              <w:bottom w:val="single" w:color="000000" w:sz="5" w:space="0"/>
              <w:right w:val="single" w:color="000000" w:sz="5" w:space="0"/>
            </w:tcBorders>
            <w:tcMar>
              <w:left w:w="15" w:type="dxa"/>
              <w:top w:w="15" w:type="dxa"/>
              <w:right w:w="15" w:type="dxa"/>
              <w:bottom w:w="0" w:type="dxa"/>
            </w:tcMar>
            <w:tcW w:w="1985" w:type="dxa"/>
            <w:vAlign w:val="bottom"/>
            <w:textDirection w:val="lrTb"/>
            <w:noWrap/>
          </w:tcPr>
          <w:p>
            <w:pPr>
              <w:suppressLineNumbers w:val="false"/>
              <w:pBdr/>
              <w:spacing w:after="0" w:before="0" w:line="276" w:lineRule="auto"/>
              <w:ind w:right="115" w:left="115"/>
              <w:rPr/>
            </w:pPr>
            <w:r>
              <w:rPr>
                <w:rFonts w:ascii="Times New Roman" w:hAnsi="Times New Roman" w:eastAsia="Times New Roman" w:cs="Times New Roman"/>
                <w:color w:val="000000"/>
                <w:sz w:val="22"/>
              </w:rPr>
              <w:t xml:space="preserve">      2.029.145.594 </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548"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15" w:type="dxa"/>
              <w:top w:w="15" w:type="dxa"/>
              <w:right w:w="15" w:type="dxa"/>
              <w:bottom w:w="0" w:type="dxa"/>
            </w:tcMar>
            <w:tcW w:w="992"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 </w:t>
            </w:r>
            <w:r/>
          </w:p>
        </w:tc>
        <w:tc>
          <w:tcPr>
            <w:tcBorders>
              <w:bottom w:val="single" w:color="000000" w:sz="5" w:space="0"/>
              <w:right w:val="single" w:color="000000" w:sz="5" w:space="0"/>
            </w:tcBorders>
            <w:tcMar>
              <w:left w:w="15" w:type="dxa"/>
              <w:top w:w="15" w:type="dxa"/>
              <w:right w:w="15" w:type="dxa"/>
              <w:bottom w:w="0" w:type="dxa"/>
            </w:tcMar>
            <w:tcW w:w="1985"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4"/>
              </w:rPr>
              <w:t xml:space="preserve">12.469.145.594</w:t>
            </w:r>
            <w:r/>
          </w:p>
        </w:tc>
      </w:tr>
      <w:tr>
        <w:trPr>
          <w:trHeight w:val="648"/>
        </w:trPr>
        <w:tc>
          <w:tcPr>
            <w:gridSpan w:val="4"/>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548"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15" w:type="dxa"/>
              <w:top w:w="15" w:type="dxa"/>
              <w:right w:w="15" w:type="dxa"/>
              <w:bottom w:w="0" w:type="dxa"/>
            </w:tcMar>
            <w:tcW w:w="992"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 </w:t>
            </w:r>
            <w:r/>
          </w:p>
        </w:tc>
        <w:tc>
          <w:tcPr>
            <w:tcBorders>
              <w:bottom w:val="single" w:color="000000" w:sz="5" w:space="0"/>
              <w:right w:val="single" w:color="000000" w:sz="5" w:space="0"/>
            </w:tcBorders>
            <w:tcMar>
              <w:left w:w="15" w:type="dxa"/>
              <w:top w:w="15" w:type="dxa"/>
              <w:right w:w="15" w:type="dxa"/>
              <w:bottom w:w="0" w:type="dxa"/>
            </w:tcMar>
            <w:tcW w:w="1985"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12.469.000.000</w:t>
            </w:r>
            <w:r/>
          </w:p>
        </w:tc>
      </w:tr>
      <w:tr>
        <w:trPr>
          <w:trHeight w:val="324"/>
        </w:trPr>
        <w:tc>
          <w:tcPr>
            <w:gridSpan w:val="6"/>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9525"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i/>
                <w:color w:val="000000"/>
                <w:sz w:val="24"/>
              </w:rPr>
              <w:t xml:space="preserve">(Bằng chữ: Mười hai tỷ, bốn trăm sáu mươi chín triệu đồng chẵn./.)</w:t>
            </w: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Đỗ Thanh Thảo</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1588"/>
        <w:gridCol w:w="1843"/>
        <w:gridCol w:w="10959"/>
        <w:gridCol w:w="29"/>
      </w:tblGrid>
      <w:tr>
        <w:trPr>
          <w:trHeight w:val="1843"/>
        </w:trPr>
        <w:tc>
          <w:tcPr>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1283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3430" w:type="dxa"/>
            <w:textDirection w:val="lrTb"/>
            <w:noWrap w:val="false"/>
          </w:tcPr>
          <w:p>
            <w:pPr>
              <w:pStyle w:val="1044"/>
              <w:pBdr/>
              <w:spacing w:after="60"/>
              <w:ind/>
              <w:rPr>
                <w:color w:val="000000" w:themeColor="text1"/>
                <w:sz w:val="24"/>
                <w:szCs w:val="24"/>
              </w:rPr>
            </w:pPr>
            <w:r>
              <w:rPr>
                <w:rStyle w:val="1043"/>
                <w:rFonts w:ascii="Times New Roman" w:hAnsi="Times New Roman"/>
                <w:color w:val="000000" w:themeColor="text1"/>
                <w:lang w:val="pt-BR"/>
              </w:rPr>
              <w:t xml:space="preserve">Số: </w:t>
            </w:r>
            <w:r>
              <w:rPr>
                <w:rStyle w:val="1043"/>
                <w:rFonts w:ascii="Times New Roman" w:hAnsi="Times New Roman"/>
                <w:color w:val="000000" w:themeColor="text1"/>
                <w:lang w:val="pt-BR"/>
              </w:rPr>
              <w:t xml:space="preserve">275/2026/0689/VFI-BC.51.A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10959" w:type="dxa"/>
            <w:textDirection w:val="lrTb"/>
            <w:noWrap w:val="false"/>
          </w:tcPr>
          <w:p>
            <w:pPr>
              <w:pStyle w:val="1044"/>
              <w:pBdr/>
              <w:spacing w:after="60"/>
              <w:ind w:right="-56"/>
              <w:jc w:val="left"/>
              <w:rPr>
                <w:color w:val="000000" w:themeColor="text1"/>
                <w:sz w:val="24"/>
                <w:szCs w:val="24"/>
                <w:lang w:val="vi-VN"/>
              </w:rPr>
            </w:pPr>
            <w:r>
              <w:rPr>
                <w:rStyle w:val="1043"/>
                <w:rFonts w:ascii="Times New Roman" w:hAnsi="Times New Roman"/>
                <w:i/>
                <w:color w:val="auto"/>
              </w:rPr>
              <w:t xml:space="preserve">                                                  TP. Hà Nội</w:t>
            </w:r>
            <w:r>
              <w:rPr>
                <w:rStyle w:val="1043"/>
                <w:rFonts w:ascii="Times New Roman" w:hAnsi="Times New Roman"/>
                <w:i/>
                <w:color w:val="auto"/>
                <w:lang w:val="vi-VN"/>
              </w:rPr>
              <w:t xml:space="preserve">, </w:t>
            </w:r>
            <w:r>
              <w:rPr>
                <w:rStyle w:val="1043"/>
                <w:rFonts w:ascii="Times New Roman" w:hAnsi="Times New Roman"/>
                <w:i/>
                <w:color w:val="000000" w:themeColor="text1"/>
                <w:lang w:val="vi-VN"/>
              </w:rPr>
              <w:t xml:space="preserve">ngày 7 tháng 5 năm 2026</w:t>
            </w:r>
            <w:r>
              <w:rPr>
                <w:color w:val="000000" w:themeColor="text1"/>
                <w:sz w:val="24"/>
                <w:szCs w:val="24"/>
                <w:lang w:val="vi-VN"/>
              </w:rPr>
            </w:r>
            <w:r>
              <w:rPr>
                <w:color w:val="000000" w:themeColor="text1"/>
                <w:sz w:val="24"/>
                <w:szCs w:val="24"/>
                <w:lang w:val="vi-VN"/>
              </w:rPr>
            </w:r>
          </w:p>
        </w:tc>
      </w:tr>
    </w:tbl>
    <w:p>
      <w:pPr>
        <w:pStyle w:val="104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275/2026/0689/VFI-CT.51.A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7 tháng 5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Chu Thị Xoan</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015176000020</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1976</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Tổ 1, Mai Dịch, Cầu Giấy,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r>
            <w:r>
              <w:rPr>
                <w:rFonts w:ascii="Times New Roman" w:hAnsi="Times New Roman" w:eastAsia="Times New Roman" w:cs="Times New Roman"/>
                <w:color w:val="000000"/>
                <w:sz w:val="24"/>
              </w:rPr>
              <w:t xml:space="preserve">Quyền sử dụng đất và tài sản gắn liền với đất tại </w:t>
            </w:r>
            <w:r>
              <w:t xml:space="preserve">Thửa đất số: 557 tờ bản đồ số: 29</w:t>
            </w:r>
            <w:r>
              <w:rPr>
                <w:rFonts w:ascii="Times New Roman" w:hAnsi="Times New Roman" w:eastAsia="Times New Roman" w:cs="Times New Roman"/>
                <w:color w:val="000000"/>
                <w:sz w:val="24"/>
              </w:rPr>
              <w:t xml:space="preserve"> có địa chỉ: </w:t>
            </w:r>
            <w:r>
              <w:t xml:space="preserve">Số nhà 47A, ngõ 66 đường Hồ Tùng Mậu, tổ 19, phường Mai Dịch, quận Cầu Giấy, Thành phố Hà Nội (Nay là phường Phú Diễn, Thành phố Hà Nội)</w:t>
            </w:r>
            <w:r>
              <w:rPr>
                <w:rFonts w:ascii="Times New Roman" w:hAnsi="Times New Roman" w:eastAsia="Times New Roman" w:cs="Times New Roman"/>
                <w:color w:val="000000"/>
                <w:sz w:val="24"/>
              </w:rPr>
              <w:t xml:space="preserve"> theo 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DP 890045, Số vào sổ cấp GCN: CN </w:t>
            </w:r>
            <w:r>
              <w:rPr>
                <w:rFonts w:ascii="Times New Roman" w:hAnsi="Times New Roman" w:eastAsia="Times New Roman" w:cs="Times New Roman"/>
                <w:color w:val="000000"/>
                <w:sz w:val="24"/>
              </w:rPr>
              <w:t xml:space="preserve">02858 do Chi nhánh văn phòng đăng ký đất đai quận Cầu Giấy - Hà Nội  cấp ngày 25/12/2024 cho bà Chu Thị Xoan.</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05/2026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t xml:space="preserve">Phường Phú Diễn,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21.038666666667, 105.77738888889</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5"/>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5"/>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5"/>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numPr>
          <w:ilvl w:val="0"/>
          <w:numId w:val="43"/>
        </w:num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jc w:val="both"/>
        <w:rPr/>
      </w:pPr>
      <w:r>
        <w:rPr>
          <w:rFonts w:ascii="Times New Roman" w:hAnsi="Times New Roman" w:eastAsia="Times New Roman" w:cs="Times New Roman"/>
          <w:color w:val="000000"/>
          <w:spacing w:val="-2"/>
          <w:sz w:val="24"/>
          <w:highlight w:val="white"/>
        </w:rPr>
        <w:t xml:space="preserve">Quyết</w:t>
      </w:r>
      <w:r>
        <w:rPr>
          <w:rFonts w:ascii="Times New Roman" w:hAnsi="Times New Roman" w:eastAsia="Times New Roman" w:cs="Times New Roman"/>
          <w:color w:val="000000"/>
          <w:spacing w:val="-10"/>
          <w:sz w:val="24"/>
          <w:highlight w:val="white"/>
        </w:rPr>
        <w:t xml:space="preserve"> </w:t>
      </w:r>
      <w:r>
        <w:rPr>
          <w:rFonts w:ascii="Times New Roman" w:hAnsi="Times New Roman" w:eastAsia="Times New Roman" w:cs="Times New Roman"/>
          <w:color w:val="000000"/>
          <w:spacing w:val="-2"/>
          <w:sz w:val="24"/>
          <w:highlight w:val="white"/>
        </w:rPr>
        <w:t xml:space="preserve">định</w:t>
      </w:r>
      <w:r>
        <w:rPr>
          <w:rFonts w:ascii="Times New Roman" w:hAnsi="Times New Roman" w:eastAsia="Times New Roman" w:cs="Times New Roman"/>
          <w:color w:val="000000"/>
          <w:spacing w:val="-10"/>
          <w:sz w:val="24"/>
          <w:highlight w:val="white"/>
        </w:rPr>
        <w:t xml:space="preserve"> </w:t>
      </w:r>
      <w:r>
        <w:rPr>
          <w:rFonts w:ascii="Times New Roman" w:hAnsi="Times New Roman" w:eastAsia="Times New Roman" w:cs="Times New Roman"/>
          <w:color w:val="000000"/>
          <w:spacing w:val="-2"/>
          <w:sz w:val="24"/>
          <w:highlight w:val="white"/>
        </w:rPr>
        <w:t xml:space="preserve">số</w:t>
      </w:r>
      <w:r>
        <w:rPr>
          <w:rFonts w:ascii="Times New Roman" w:hAnsi="Times New Roman" w:eastAsia="Times New Roman" w:cs="Times New Roman"/>
          <w:color w:val="000000"/>
          <w:spacing w:val="-10"/>
          <w:sz w:val="24"/>
          <w:highlight w:val="white"/>
        </w:rPr>
        <w:t xml:space="preserve"> </w:t>
      </w:r>
      <w:r>
        <w:rPr>
          <w:rFonts w:ascii="Times New Roman" w:hAnsi="Times New Roman" w:eastAsia="Times New Roman" w:cs="Times New Roman"/>
          <w:color w:val="000000"/>
          <w:spacing w:val="-2"/>
          <w:sz w:val="24"/>
          <w:highlight w:val="white"/>
        </w:rPr>
        <w:t xml:space="preserve">425/QĐ-BXD</w:t>
      </w:r>
      <w:r>
        <w:rPr>
          <w:rFonts w:ascii="Times New Roman" w:hAnsi="Times New Roman" w:eastAsia="Times New Roman" w:cs="Times New Roman"/>
          <w:color w:val="000000"/>
          <w:spacing w:val="-11"/>
          <w:sz w:val="24"/>
          <w:highlight w:val="white"/>
        </w:rPr>
        <w:t xml:space="preserve"> </w:t>
      </w:r>
      <w:r>
        <w:rPr>
          <w:rFonts w:ascii="Times New Roman" w:hAnsi="Times New Roman" w:eastAsia="Times New Roman" w:cs="Times New Roman"/>
          <w:color w:val="000000"/>
          <w:spacing w:val="-2"/>
          <w:sz w:val="24"/>
          <w:highlight w:val="white"/>
        </w:rPr>
        <w:t xml:space="preserve">ngày</w:t>
      </w:r>
      <w:r>
        <w:rPr>
          <w:rFonts w:ascii="Times New Roman" w:hAnsi="Times New Roman" w:eastAsia="Times New Roman" w:cs="Times New Roman"/>
          <w:color w:val="000000"/>
          <w:spacing w:val="-13"/>
          <w:sz w:val="24"/>
          <w:highlight w:val="white"/>
        </w:rPr>
        <w:t xml:space="preserve"> </w:t>
      </w:r>
      <w:r>
        <w:rPr>
          <w:rFonts w:ascii="Times New Roman" w:hAnsi="Times New Roman" w:eastAsia="Times New Roman" w:cs="Times New Roman"/>
          <w:color w:val="000000"/>
          <w:spacing w:val="-2"/>
          <w:sz w:val="24"/>
          <w:highlight w:val="white"/>
        </w:rPr>
        <w:t xml:space="preserve">30/3/2026</w:t>
      </w:r>
      <w:r>
        <w:rPr>
          <w:rFonts w:ascii="Times New Roman" w:hAnsi="Times New Roman" w:eastAsia="Times New Roman" w:cs="Times New Roman"/>
          <w:color w:val="000000"/>
          <w:spacing w:val="-10"/>
          <w:sz w:val="24"/>
          <w:highlight w:val="white"/>
        </w:rPr>
        <w:t xml:space="preserve"> </w:t>
      </w:r>
      <w:r>
        <w:rPr>
          <w:rFonts w:ascii="Times New Roman" w:hAnsi="Times New Roman" w:eastAsia="Times New Roman" w:cs="Times New Roman"/>
          <w:color w:val="000000"/>
          <w:spacing w:val="-2"/>
          <w:sz w:val="24"/>
          <w:highlight w:val="white"/>
        </w:rPr>
        <w:t xml:space="preserve">của</w:t>
      </w:r>
      <w:r>
        <w:rPr>
          <w:rFonts w:ascii="Times New Roman" w:hAnsi="Times New Roman" w:eastAsia="Times New Roman" w:cs="Times New Roman"/>
          <w:color w:val="000000"/>
          <w:spacing w:val="-11"/>
          <w:sz w:val="24"/>
          <w:highlight w:val="white"/>
        </w:rPr>
        <w:t xml:space="preserve"> </w:t>
      </w:r>
      <w:r>
        <w:rPr>
          <w:rFonts w:ascii="Times New Roman" w:hAnsi="Times New Roman" w:eastAsia="Times New Roman" w:cs="Times New Roman"/>
          <w:color w:val="000000"/>
          <w:spacing w:val="-2"/>
          <w:sz w:val="24"/>
          <w:highlight w:val="white"/>
        </w:rPr>
        <w:t xml:space="preserve">Bộ</w:t>
      </w:r>
      <w:r>
        <w:rPr>
          <w:rFonts w:ascii="Times New Roman" w:hAnsi="Times New Roman" w:eastAsia="Times New Roman" w:cs="Times New Roman"/>
          <w:color w:val="000000"/>
          <w:spacing w:val="-10"/>
          <w:sz w:val="24"/>
          <w:highlight w:val="white"/>
        </w:rPr>
        <w:t xml:space="preserve"> </w:t>
      </w:r>
      <w:r>
        <w:rPr>
          <w:rFonts w:ascii="Times New Roman" w:hAnsi="Times New Roman" w:eastAsia="Times New Roman" w:cs="Times New Roman"/>
          <w:color w:val="000000"/>
          <w:spacing w:val="-2"/>
          <w:sz w:val="24"/>
          <w:highlight w:val="white"/>
        </w:rPr>
        <w:t xml:space="preserve">Xây</w:t>
      </w:r>
      <w:r>
        <w:rPr>
          <w:rFonts w:ascii="Times New Roman" w:hAnsi="Times New Roman" w:eastAsia="Times New Roman" w:cs="Times New Roman"/>
          <w:color w:val="000000"/>
          <w:spacing w:val="-13"/>
          <w:sz w:val="24"/>
          <w:highlight w:val="white"/>
        </w:rPr>
        <w:t xml:space="preserve"> </w:t>
      </w:r>
      <w:r>
        <w:rPr>
          <w:rFonts w:ascii="Times New Roman" w:hAnsi="Times New Roman" w:eastAsia="Times New Roman" w:cs="Times New Roman"/>
          <w:color w:val="000000"/>
          <w:spacing w:val="-2"/>
          <w:sz w:val="24"/>
          <w:highlight w:val="white"/>
        </w:rPr>
        <w:t xml:space="preserve">dựng</w:t>
      </w:r>
      <w:r>
        <w:rPr>
          <w:rFonts w:ascii="Times New Roman" w:hAnsi="Times New Roman" w:eastAsia="Times New Roman" w:cs="Times New Roman"/>
          <w:color w:val="000000"/>
          <w:spacing w:val="-10"/>
          <w:sz w:val="24"/>
          <w:highlight w:val="white"/>
        </w:rPr>
        <w:t xml:space="preserve"> </w:t>
      </w:r>
      <w:r>
        <w:rPr>
          <w:rFonts w:ascii="Times New Roman" w:hAnsi="Times New Roman" w:eastAsia="Times New Roman" w:cs="Times New Roman"/>
          <w:color w:val="000000"/>
          <w:spacing w:val="-2"/>
          <w:sz w:val="24"/>
          <w:highlight w:val="white"/>
        </w:rPr>
        <w:t xml:space="preserve">về</w:t>
      </w:r>
      <w:r>
        <w:rPr>
          <w:rFonts w:ascii="Times New Roman" w:hAnsi="Times New Roman" w:eastAsia="Times New Roman" w:cs="Times New Roman"/>
          <w:color w:val="000000"/>
          <w:spacing w:val="-11"/>
          <w:sz w:val="24"/>
          <w:highlight w:val="white"/>
        </w:rPr>
        <w:t xml:space="preserve"> </w:t>
      </w:r>
      <w:r>
        <w:rPr>
          <w:rFonts w:ascii="Times New Roman" w:hAnsi="Times New Roman" w:eastAsia="Times New Roman" w:cs="Times New Roman"/>
          <w:color w:val="000000"/>
          <w:spacing w:val="-2"/>
          <w:sz w:val="24"/>
          <w:highlight w:val="white"/>
        </w:rPr>
        <w:t xml:space="preserve">việc</w:t>
      </w:r>
      <w:r>
        <w:rPr>
          <w:rFonts w:ascii="Times New Roman" w:hAnsi="Times New Roman" w:eastAsia="Times New Roman" w:cs="Times New Roman"/>
          <w:color w:val="000000"/>
          <w:spacing w:val="-11"/>
          <w:sz w:val="24"/>
          <w:highlight w:val="white"/>
        </w:rPr>
        <w:t xml:space="preserve"> </w:t>
      </w:r>
      <w:r>
        <w:rPr>
          <w:rFonts w:ascii="Times New Roman" w:hAnsi="Times New Roman" w:eastAsia="Times New Roman" w:cs="Times New Roman"/>
          <w:color w:val="000000"/>
          <w:spacing w:val="-2"/>
          <w:sz w:val="24"/>
          <w:highlight w:val="white"/>
        </w:rPr>
        <w:t xml:space="preserve">công</w:t>
      </w:r>
      <w:r>
        <w:rPr>
          <w:rFonts w:ascii="Times New Roman" w:hAnsi="Times New Roman" w:eastAsia="Times New Roman" w:cs="Times New Roman"/>
          <w:color w:val="000000"/>
          <w:spacing w:val="-10"/>
          <w:sz w:val="24"/>
          <w:highlight w:val="white"/>
        </w:rPr>
        <w:t xml:space="preserve"> </w:t>
      </w:r>
      <w:r>
        <w:rPr>
          <w:rFonts w:ascii="Times New Roman" w:hAnsi="Times New Roman" w:eastAsia="Times New Roman" w:cs="Times New Roman"/>
          <w:color w:val="000000"/>
          <w:spacing w:val="-2"/>
          <w:sz w:val="24"/>
          <w:highlight w:val="white"/>
        </w:rPr>
        <w:t xml:space="preserve">bố</w:t>
      </w:r>
      <w:r>
        <w:rPr>
          <w:rFonts w:ascii="Times New Roman" w:hAnsi="Times New Roman" w:eastAsia="Times New Roman" w:cs="Times New Roman"/>
          <w:color w:val="000000"/>
          <w:spacing w:val="-13"/>
          <w:sz w:val="24"/>
          <w:highlight w:val="white"/>
        </w:rPr>
        <w:t xml:space="preserve"> </w:t>
      </w:r>
      <w:r>
        <w:rPr>
          <w:rFonts w:ascii="Times New Roman" w:hAnsi="Times New Roman" w:eastAsia="Times New Roman" w:cs="Times New Roman"/>
          <w:color w:val="000000"/>
          <w:spacing w:val="-2"/>
          <w:sz w:val="24"/>
          <w:highlight w:val="white"/>
        </w:rPr>
        <w:t xml:space="preserve">suất</w:t>
      </w:r>
      <w:r>
        <w:rPr>
          <w:rFonts w:ascii="Times New Roman" w:hAnsi="Times New Roman" w:eastAsia="Times New Roman" w:cs="Times New Roman"/>
          <w:color w:val="000000"/>
          <w:spacing w:val="-12"/>
          <w:sz w:val="24"/>
          <w:highlight w:val="white"/>
        </w:rPr>
        <w:t xml:space="preserve"> </w:t>
      </w:r>
      <w:r>
        <w:rPr>
          <w:rFonts w:ascii="Times New Roman" w:hAnsi="Times New Roman" w:eastAsia="Times New Roman" w:cs="Times New Roman"/>
          <w:color w:val="000000"/>
          <w:spacing w:val="-2"/>
          <w:sz w:val="24"/>
          <w:highlight w:val="white"/>
        </w:rPr>
        <w:t xml:space="preserve">vốn</w:t>
      </w:r>
      <w:r>
        <w:rPr>
          <w:rFonts w:ascii="Times New Roman" w:hAnsi="Times New Roman" w:eastAsia="Times New Roman" w:cs="Times New Roman"/>
          <w:color w:val="000000"/>
          <w:spacing w:val="-13"/>
          <w:sz w:val="24"/>
          <w:highlight w:val="white"/>
        </w:rPr>
        <w:t xml:space="preserve"> </w:t>
      </w:r>
      <w:r>
        <w:rPr>
          <w:rFonts w:ascii="Times New Roman" w:hAnsi="Times New Roman" w:eastAsia="Times New Roman" w:cs="Times New Roman"/>
          <w:color w:val="000000"/>
          <w:spacing w:val="-2"/>
          <w:sz w:val="24"/>
          <w:highlight w:val="white"/>
        </w:rPr>
        <w:t xml:space="preserve">đầu </w:t>
      </w:r>
      <w:r>
        <w:rPr>
          <w:rFonts w:ascii="Times New Roman" w:hAnsi="Times New Roman" w:eastAsia="Times New Roman" w:cs="Times New Roman"/>
          <w:color w:val="000000"/>
          <w:sz w:val="24"/>
          <w:highlight w:val="white"/>
        </w:rPr>
        <w:t xml:space="preserve">tư xây dựng và giá xây dựng tổng hợp bộ phận kết cấu công trình năm 2025</w:t>
      </w:r>
      <w:r>
        <w:rPr>
          <w:rFonts w:ascii="Times New Roman" w:hAnsi="Times New Roman" w:eastAsia="Times New Roman" w:cs="Times New Roman"/>
          <w:sz w:val="24"/>
        </w:rPr>
      </w:r>
      <w:r/>
    </w:p>
    <w:p>
      <w:pPr>
        <w:pStyle w:val="1045"/>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4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5"/>
        <w:numPr>
          <w:ilvl w:val="0"/>
          <w:numId w:val="2"/>
        </w:numPr>
        <w:pBdr/>
        <w:tabs>
          <w:tab w:val="left" w:leader="none" w:pos="993"/>
        </w:tabs>
        <w:spacing w:after="120" w:before="120" w:line="276" w:lineRule="auto"/>
        <w:ind/>
        <w:jc w:val="both"/>
        <w:rPr>
          <w:i/>
          <w:iCs/>
          <w:lang w:val="pt-BR"/>
        </w:rPr>
      </w:pPr>
      <w:r>
        <w:rPr>
          <w:bCs/>
          <w:color w:val="000000" w:themeColor="text1"/>
          <w:lang w:val="pt-BR"/>
        </w:rPr>
      </w:r>
      <w:r>
        <w:rPr>
          <w:rFonts w:ascii="Times New Roman" w:hAnsi="Times New Roman" w:eastAsia="Times New Roman" w:cs="Times New Roman"/>
          <w:color w:val="000000"/>
          <w:sz w:val="24"/>
        </w:rPr>
        <w:t xml:space="preserve">Giấy chứng nhận quyền sử dụng đất, quyền sở hữu nhà ở và tài sản khác gắn liền với đất  số: </w:t>
      </w:r>
      <w:r>
        <w:rPr>
          <w:rFonts w:ascii="Times New Roman" w:hAnsi="Times New Roman" w:eastAsia="Times New Roman" w:cs="Times New Roman"/>
          <w:color w:val="000000"/>
          <w:sz w:val="24"/>
        </w:rPr>
        <w:t xml:space="preserve">DP 890045, Số vào sổ cấp GCN: CN </w:t>
      </w:r>
      <w:r>
        <w:rPr>
          <w:rFonts w:ascii="Times New Roman" w:hAnsi="Times New Roman" w:eastAsia="Times New Roman" w:cs="Times New Roman"/>
          <w:color w:val="000000"/>
          <w:sz w:val="24"/>
        </w:rPr>
        <w:t xml:space="preserve">02858 do Chi nhánh văn phòng đăng ký đất đai quận Cầu Giấy - Hà Nội  cấp ngày 25/12/2024 cho bà Chu Thị Xoan.</w:t>
      </w:r>
      <w:r>
        <w:rPr>
          <w:i/>
          <w:iCs/>
          <w:lang w:val="pt-BR"/>
        </w:rPr>
      </w:r>
      <w:r>
        <w:rPr>
          <w:i/>
          <w:iCs/>
          <w:lang w:val="pt-BR"/>
        </w:rPr>
      </w:r>
    </w:p>
    <w:p>
      <w:pPr>
        <w:numPr>
          <w:ilvl w:val="0"/>
          <w:numId w:val="39"/>
        </w:numPr>
        <w:pBdr>
          <w:top w:val="none" w:color="000000" w:sz="4" w:space="0"/>
          <w:left w:val="none" w:color="000000" w:sz="4" w:space="0"/>
          <w:bottom w:val="none" w:color="000000" w:sz="4" w:space="0"/>
          <w:right w:val="none" w:color="000000" w:sz="4" w:space="0"/>
        </w:pBdr>
        <w:spacing w:after="120" w:before="120" w:line="276" w:lineRule="auto"/>
        <w:ind w:right="0" w:hanging="450" w:left="360"/>
        <w:jc w:val="both"/>
        <w:rPr/>
      </w:pPr>
      <w:r>
        <w:rPr>
          <w:rFonts w:ascii="Times New Roman" w:hAnsi="Times New Roman" w:eastAsia="Times New Roman" w:cs="Times New Roman"/>
          <w:color w:val="000000"/>
          <w:sz w:val="24"/>
        </w:rPr>
        <w:t xml:space="preserve">Giấy phép xây dựng số 569/GPXD do Ủy ban nhân dân quận Cầu Giấy cũ cấp ngày 26/12/2023 </w:t>
      </w:r>
      <w:r>
        <w:rPr>
          <w:rFonts w:ascii="Times New Roman" w:hAnsi="Times New Roman" w:eastAsia="Times New Roman" w:cs="Times New Roman"/>
          <w:sz w:val="24"/>
        </w:rPr>
      </w: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5"/>
        <w:numPr>
          <w:ilvl w:val="0"/>
          <w:numId w:val="2"/>
        </w:numPr>
        <w:pBdr/>
        <w:tabs>
          <w:tab w:val="left" w:leader="none" w:pos="993"/>
        </w:tabs>
        <w:spacing w:after="120" w:before="120" w:line="276" w:lineRule="auto"/>
        <w:ind/>
        <w:jc w:val="both"/>
        <w:rPr>
          <w:b/>
          <w:lang w:val="pt-BR"/>
        </w:rPr>
      </w:pPr>
      <w:r>
        <w:rPr>
          <w:color w:val="000000" w:themeColor="text1"/>
          <w:lang w:val="pt-BR"/>
        </w:rPr>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275/2026/0689/VFI-HĐTĐ.51.A</w:t>
      </w:r>
      <w:r>
        <w:rPr>
          <w:spacing w:val="-4"/>
          <w:lang w:val="vi-VN"/>
        </w:rPr>
        <w:t xml:space="preserve"> ký ngày </w:t>
      </w:r>
      <w:r>
        <w:rPr>
          <w:color w:val="000000" w:themeColor="text1"/>
          <w:spacing w:val="-4"/>
        </w:rPr>
        <w:t xml:space="preserve">6 tháng 5 năm 2026</w:t>
      </w:r>
      <w:r>
        <w:rPr>
          <w:spacing w:val="-4"/>
          <w:lang w:val="vi-VN"/>
        </w:rPr>
        <w:t xml:space="preserve"> </w:t>
      </w:r>
      <w:r>
        <w:rPr>
          <w:spacing w:val="-4"/>
          <w:lang w:val="vi-VN"/>
        </w:rPr>
        <w:t xml:space="preserve">giữa </w:t>
      </w:r>
      <w:r>
        <w:rPr>
          <w:color w:val="000000" w:themeColor="text1"/>
          <w:spacing w:val="-4"/>
        </w:rPr>
        <w:t xml:space="preserve">Chu Thị Xoan</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b/>
          <w:lang w:val="pt-BR"/>
        </w:rPr>
      </w:r>
      <w:r>
        <w:rPr>
          <w:b/>
          <w:lang w:val="pt-BR"/>
        </w:rPr>
      </w:r>
    </w:p>
    <w:p>
      <w:pPr>
        <w:pStyle w:val="104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Style w:val="1045"/>
        <w:numPr>
          <w:ilvl w:val="0"/>
          <w:numId w:val="40"/>
        </w:numPr>
        <w:pBdr/>
        <w:shd w:val="nil" w:color="auto"/>
        <w:tabs>
          <w:tab w:val="left" w:leader="none" w:pos="360"/>
        </w:tabs>
        <w:spacing/>
        <w:ind w:right="0" w:firstLine="0" w:left="0"/>
        <w:jc w:val="both"/>
        <w:rPr>
          <w:iCs/>
          <w:lang w:val="pt-BR"/>
          <w14:ligatures w14:val="none"/>
        </w:rPr>
      </w:pPr>
      <w:r>
        <w:rPr>
          <w:lang w:val="pt-BR"/>
        </w:rPr>
      </w:r>
      <w:r>
        <w:rPr>
          <w:highlight w:val="white"/>
        </w:rPr>
        <w:t xml:space="preserve">Sau khi Quận Cầu Giấy tiến hành sáp nhập phường theo Nghị quyết 1656/NQ-UBTVQH15, thị trường bất động sản khu vực đang ghi nhận nhiều chuyển biến tích cực. Bài viết này sẽ giúp bạn phân tích những biến động về</w:t>
      </w:r>
      <w:r>
        <w:rPr>
          <w:highlight w:val="white"/>
        </w:rPr>
        <w:t xml:space="preserve"> giá nhà đất Quận Cầu Giấy sau sáp nhập </w:t>
      </w:r>
      <w:r>
        <w:rPr>
          <w:highlight w:val="white"/>
        </w:rPr>
        <w:t xml:space="preserve">cũng như dự đoán xu hướng giá nhà đất khu vực trong tương lai để bạn có thể đưa ra quyết định đầu tư hiệu quả.</w:t>
      </w:r>
      <w:r>
        <w:rPr>
          <w:iCs/>
          <w:lang w:val="pt-BR"/>
          <w14:ligatures w14:val="none"/>
        </w:rPr>
      </w:r>
      <w:r>
        <w:rPr>
          <w:iCs/>
          <w:lang w:val="pt-BR"/>
          <w14:ligatures w14:val="none"/>
        </w:rPr>
      </w:r>
    </w:p>
    <w:p>
      <w:pPr>
        <w:pStyle w:val="1045"/>
        <w:numPr>
          <w:ilvl w:val="0"/>
          <w:numId w:val="40"/>
        </w:numPr>
        <w:pBdr/>
        <w:shd w:val="nil" w:color="auto"/>
        <w:tabs>
          <w:tab w:val="left" w:leader="none" w:pos="360"/>
        </w:tabs>
        <w:spacing/>
        <w:ind w:right="0" w:firstLine="0" w:left="0"/>
        <w:jc w:val="both"/>
        <w:rPr>
          <w:lang w:val="pt-BR"/>
          <w14:ligatures w14:val="none"/>
        </w:rPr>
      </w:pPr>
      <w:r>
        <w:rPr>
          <w:lang w:val="pt-BR"/>
        </w:rPr>
      </w:r>
      <w:r>
        <w:rPr>
          <w:highlight w:val="white"/>
        </w:rPr>
        <w:t xml:space="preserve">Sau khi Quận Cầu Giấy tiến hành sáp nhập phường, thị trường bất động sản địa phương chịu tác động bởi nhiều yếu tố mới, từ thay đổi hành chính – quy hoạch cho đến hạ tầng và tâm lý thị trường.</w:t>
      </w:r>
      <w:r>
        <w:rPr>
          <w:lang w:val="pt-BR"/>
          <w14:ligatures w14:val="none"/>
        </w:rPr>
      </w:r>
      <w:r>
        <w:rPr>
          <w:lang w:val="pt-BR"/>
          <w14:ligatures w14:val="none"/>
        </w:rPr>
      </w:r>
    </w:p>
    <w:p>
      <w:pPr>
        <w:pStyle w:val="1045"/>
        <w:numPr>
          <w:ilvl w:val="0"/>
          <w:numId w:val="40"/>
        </w:numPr>
        <w:pBdr/>
        <w:shd w:val="nil" w:color="auto"/>
        <w:tabs>
          <w:tab w:val="left" w:leader="none" w:pos="360"/>
        </w:tabs>
        <w:spacing/>
        <w:ind w:right="0" w:firstLine="0" w:left="0"/>
        <w:jc w:val="both"/>
        <w:rPr>
          <w:lang w:val="pt-BR"/>
          <w14:ligatures w14:val="none"/>
        </w:rPr>
      </w:pPr>
      <w:r>
        <w:rPr>
          <w:lang w:val="pt-BR"/>
        </w:rPr>
      </w:r>
      <w:r>
        <w:rPr>
          <w:highlight w:val="white"/>
        </w:rPr>
        <w:t xml:space="preserve">Việc hợp nhất phường không chỉ làm gia tăng quy mô dân số, mà còn ảnh hưởng trực tiếp đến cung – cầu bất động sản. Các khu vực vừa sáp nhập có thể được rà soát và điều chỉnh quy hoạch đất ở, đất thương mại – dịch vụ. Điều này mở ra cơ hội tăng giá cho nhiề</w:t>
      </w:r>
      <w:r>
        <w:rPr>
          <w:highlight w:val="white"/>
        </w:rPr>
        <w:t xml:space="preserve">u khu đất trước đây vốn là đất nông nghiệp, đất xen kẽ, khi được chuyển đổi mục đích sử dụng sang đất ở hoặc đất dịch vụ.</w:t>
      </w:r>
      <w:r>
        <w:rPr>
          <w:lang w:val="pt-BR"/>
          <w14:ligatures w14:val="none"/>
        </w:rPr>
      </w:r>
      <w:r>
        <w:rPr>
          <w:lang w:val="pt-BR"/>
          <w14:ligatures w14:val="none"/>
        </w:rPr>
      </w:r>
    </w:p>
    <w:p>
      <w:pPr>
        <w:pStyle w:val="1045"/>
        <w:numPr>
          <w:ilvl w:val="0"/>
          <w:numId w:val="40"/>
        </w:numPr>
        <w:pBdr/>
        <w:shd w:val="nil" w:color="auto"/>
        <w:tabs>
          <w:tab w:val="left" w:leader="none" w:pos="360"/>
        </w:tabs>
        <w:spacing/>
        <w:ind w:right="0" w:firstLine="0" w:left="0"/>
        <w:jc w:val="both"/>
        <w:rPr>
          <w:lang w:val="pt-BR"/>
          <w14:ligatures w14:val="none"/>
        </w:rPr>
      </w:pPr>
      <w:r>
        <w:rPr>
          <w:lang w:val="pt-BR"/>
        </w:rPr>
      </w:r>
      <w:r>
        <w:rPr>
          <w:highlight w:val="white"/>
        </w:rPr>
        <w:t xml:space="preserve">Trong tương lai gần, khi các quy hoạch chi tiết được công bố, tác động của sáp nhập sẽ càng rõ nét hơn, cụ thể: giá bất động sản tại các trục đường chính và khu vực có hạ tầng mới dự kiến vẫn tiếp tục đi lên, trong khi những nơi chưa có quy hoạch cụ thể có</w:t>
      </w:r>
      <w:r>
        <w:rPr>
          <w:highlight w:val="white"/>
        </w:rPr>
        <w:t xml:space="preserve"> thể đối mặt với biến động và nguy cơ “sốt ảo”.</w:t>
      </w:r>
      <w:r>
        <w:rPr>
          <w:lang w:val="pt-BR"/>
          <w14:ligatures w14:val="none"/>
        </w:rPr>
      </w:r>
      <w:r>
        <w:rPr>
          <w:lang w:val="pt-BR"/>
          <w14:ligatures w14:val="none"/>
        </w:rPr>
      </w:r>
    </w:p>
    <w:p>
      <w:pPr>
        <w:pStyle w:val="1045"/>
        <w:numPr>
          <w:ilvl w:val="0"/>
          <w:numId w:val="40"/>
        </w:numPr>
        <w:pBdr/>
        <w:shd w:val="nil" w:color="auto"/>
        <w:tabs>
          <w:tab w:val="left" w:leader="none" w:pos="360"/>
        </w:tabs>
        <w:spacing/>
        <w:ind w:right="0" w:firstLine="0" w:left="0"/>
        <w:jc w:val="both"/>
        <w:rPr>
          <w:lang w:val="pt-BR"/>
          <w14:ligatures w14:val="none"/>
        </w:rPr>
      </w:pPr>
      <w:r>
        <w:rPr>
          <w:lang w:val="pt-BR"/>
        </w:rPr>
      </w:r>
      <w:r>
        <w:rPr>
          <w:highlight w:val="white"/>
        </w:rPr>
        <w:t xml:space="preserve">Sau khi sáp nhập, Quận Cầu Giấy tiếp tục khẳng định vị thế là khu vực trung tâm kết nối quan trọng của Hà Nội nhờ hệ thống giao thông huyết mạch như các tuyến đường Cầu Giấy – Xuân Thủy, Trần Duy Hưng, Hoàng Quốc Việt, Phạm Hùng cùng các trục vành đai 2, 3</w:t>
      </w:r>
      <w:r>
        <w:rPr>
          <w:highlight w:val="white"/>
        </w:rPr>
        <w:t xml:space="preserve">. Đặc biệt, tuyến metro số 3 (Nhổn – Ga Hà Nội) đi qua địa bàn được kỳ vọng sẽ thúc đẩy mạnh mẽ giá trị bất động sản tại các khu vực lân cận.</w:t>
      </w:r>
      <w:r>
        <w:rPr>
          <w:lang w:val="pt-BR"/>
          <w14:ligatures w14:val="none"/>
        </w:rPr>
      </w:r>
      <w:r>
        <w:rPr>
          <w:lang w:val="pt-BR"/>
          <w14:ligatures w14:val="none"/>
        </w:rPr>
      </w:r>
    </w:p>
    <w:p>
      <w:pPr>
        <w:pStyle w:val="1045"/>
        <w:numPr>
          <w:ilvl w:val="0"/>
          <w:numId w:val="40"/>
        </w:numPr>
        <w:pBdr/>
        <w:shd w:val="nil" w:color="auto"/>
        <w:tabs>
          <w:tab w:val="left" w:leader="none" w:pos="360"/>
        </w:tabs>
        <w:spacing/>
        <w:ind w:right="0" w:firstLine="0" w:left="0"/>
        <w:jc w:val="both"/>
        <w:rPr>
          <w:lang w:val="pt-BR"/>
          <w14:ligatures w14:val="none"/>
        </w:rPr>
      </w:pPr>
      <w:r>
        <w:rPr>
          <w:lang w:val="pt-BR"/>
        </w:rPr>
      </w:r>
      <w:r>
        <w:rPr>
          <w:highlight w:val="white"/>
        </w:rPr>
        <w:t xml:space="preserve">Bên cạnh đó, các dự án hạ tầng mới như cầu vượt, hầm chui và mở rộng đường đã góp phần mở rộng không gian đô thị, tăng cường kết nối với các khu vực ven đô. Do đó, yếu tố hạ tầng giao thông trở thành nhân tố then chốt, tạo ra sự chênh lệch rõ rệt về giá nh</w:t>
      </w:r>
      <w:r>
        <w:rPr>
          <w:highlight w:val="white"/>
        </w:rPr>
        <w:t xml:space="preserve">à đất giữa khu vực trung tâm và vùng ngoại vi. Những khu vực được hưởng lợi trực tiếp từ các dự án hạ tầng này ngày càng thu hút sự quan tâm của người mua và nhà đầu tư, đẩy giá bất động sản tăng cao.</w:t>
      </w:r>
      <w:r>
        <w:rPr>
          <w:lang w:val="pt-BR"/>
          <w14:ligatures w14:val="none"/>
        </w:rPr>
      </w:r>
      <w:r>
        <w:rPr>
          <w:lang w:val="pt-BR"/>
          <w14:ligatures w14:val="none"/>
        </w:rPr>
      </w:r>
    </w:p>
    <w:p>
      <w:pPr>
        <w:pStyle w:val="1045"/>
        <w:numPr>
          <w:ilvl w:val="0"/>
          <w:numId w:val="40"/>
        </w:numPr>
        <w:pBdr/>
        <w:shd w:val="nil" w:color="auto"/>
        <w:tabs>
          <w:tab w:val="left" w:leader="none" w:pos="360"/>
        </w:tabs>
        <w:spacing/>
        <w:ind w:right="0" w:firstLine="0" w:left="0"/>
        <w:jc w:val="both"/>
        <w:rPr>
          <w:lang w:val="pt-BR"/>
          <w14:ligatures w14:val="none"/>
        </w:rPr>
      </w:pPr>
      <w:r>
        <w:rPr>
          <w:lang w:val="pt-BR"/>
        </w:rPr>
      </w:r>
      <w:r>
        <w:rPr>
          <w:highlight w:val="white"/>
        </w:rPr>
        <w:t xml:space="preserve">Việc mở rộng địa giới hành chính sau sáp nhập giúp quỹ đất tại quận Cầu Giấy được bổ sung thêm, kéo theo đó là khả năng gia tăng nguồn cung bất động sản. Tuy nhiên, phần cầu lại chịu tác động mạnh từ vị trí trung tâm, sự phát triển hạ tầng và tiềm năng thư</w:t>
      </w:r>
      <w:r>
        <w:rPr>
          <w:highlight w:val="white"/>
        </w:rPr>
        <w:t xml:space="preserve">ơng mại – dịch vụ.</w:t>
      </w:r>
      <w:r>
        <w:rPr>
          <w:lang w:val="pt-BR"/>
          <w14:ligatures w14:val="none"/>
        </w:rPr>
      </w:r>
      <w:r>
        <w:rPr>
          <w:lang w:val="pt-BR"/>
          <w14:ligatures w14:val="none"/>
        </w:rPr>
      </w:r>
    </w:p>
    <w:p>
      <w:pPr>
        <w:pStyle w:val="1045"/>
        <w:numPr>
          <w:ilvl w:val="0"/>
          <w:numId w:val="40"/>
        </w:numPr>
        <w:pBdr/>
        <w:shd w:val="nil" w:color="auto"/>
        <w:tabs>
          <w:tab w:val="left" w:leader="none" w:pos="360"/>
        </w:tabs>
        <w:spacing/>
        <w:ind w:right="0" w:firstLine="0" w:left="0"/>
        <w:jc w:val="both"/>
        <w:rPr>
          <w:lang w:val="pt-BR"/>
          <w14:ligatures w14:val="none"/>
        </w:rPr>
      </w:pPr>
      <w:r>
        <w:rPr>
          <w:lang w:val="pt-BR"/>
        </w:rPr>
      </w:r>
      <w:r>
        <w:rPr>
          <w:highlight w:val="white"/>
        </w:rPr>
        <w:t xml:space="preserve">Trong bối cảnh này, nếu tốc độ tăng cầu lớn hơn tăng cung, đặc biệt ở các trục đường huyết mạch và khu vực trung tâm, giá đất có xu hướng tiếp tục leo thang. Ngược lại, những khu vực xa trục chính hoặc ven đô, nơi nguồn cung dồi dào nhưng nhu cầu chưa đủ m</w:t>
      </w:r>
      <w:r>
        <w:rPr>
          <w:highlight w:val="white"/>
        </w:rPr>
        <w:t xml:space="preserve">ạnh, thị trường có thể chứng kiến sự cạnh tranh về giá, khiến giá ổn định hoặc chỉ tăng nhẹ.</w:t>
      </w:r>
      <w:r>
        <w:rPr>
          <w:lang w:val="pt-BR"/>
          <w14:ligatures w14:val="none"/>
        </w:rPr>
      </w:r>
      <w:r>
        <w:rPr>
          <w:lang w:val="pt-BR"/>
          <w14:ligatures w14:val="none"/>
        </w:rPr>
      </w:r>
    </w:p>
    <w:p>
      <w:pPr>
        <w:pStyle w:val="1045"/>
        <w:numPr>
          <w:ilvl w:val="0"/>
          <w:numId w:val="40"/>
        </w:numPr>
        <w:pBdr/>
        <w:shd w:val="nil" w:color="auto"/>
        <w:tabs>
          <w:tab w:val="left" w:leader="none" w:pos="360"/>
        </w:tabs>
        <w:spacing/>
        <w:ind w:right="0" w:firstLine="0" w:left="0"/>
        <w:jc w:val="both"/>
        <w:rPr>
          <w14:ligatures w14:val="none"/>
        </w:rPr>
      </w:pPr>
      <w:r>
        <w:t xml:space="preserve">Ngay sau khi có thông tin sáp nhập, thị trường Cầu Giấy ghi nhận tâm lý “đón đầu” và “kỳ vọng tăng giá” khá rõ rệt. Nhiều nhà đầu tư nhanh chóng gom đất hoặc tìm mua bất động sản tại những khu vực được dự đoán sẽ trở thành trung tâm hành chính mới, hoặc có</w:t>
      </w:r>
      <w:r>
        <w:t xml:space="preserve"> khả năng điều chỉnh quy hoạch theo hướng đất ở, đất thương mại – dịch vụ.</w:t>
      </w:r>
      <w:r>
        <w:rPr>
          <w14:ligatures w14:val="none"/>
        </w:rPr>
      </w:r>
      <w:r>
        <w:rPr>
          <w14:ligatures w14:val="none"/>
        </w:rPr>
      </w:r>
    </w:p>
    <w:p>
      <w:pPr>
        <w:pStyle w:val="1045"/>
        <w:numPr>
          <w:ilvl w:val="0"/>
          <w:numId w:val="40"/>
        </w:numPr>
        <w:pBdr/>
        <w:shd w:val="nil" w:color="auto"/>
        <w:tabs>
          <w:tab w:val="left" w:leader="none" w:pos="360"/>
        </w:tabs>
        <w:spacing/>
        <w:ind w:right="0" w:firstLine="0" w:left="0"/>
        <w:jc w:val="both"/>
        <w:rPr>
          <w14:ligatures w14:val="none"/>
        </w:rPr>
      </w:pPr>
      <w:r>
        <w:t xml:space="preserve">Tâm lý này khiến lượng giao dịch tăng mạnh, nhất là tại các tuyến phố trung tâm, từ đó đẩy mặt bằng giá lên nhanh chóng. Trong khi đó, những nơi chưa có quy hoạch rõ ràng hoặc ở xa hạ tầng trọng điểm thường ghi nhận giao dịch cầm chừng hơn, giá tăng chậm h</w:t>
      </w:r>
      <w:r>
        <w:t xml:space="preserve">oặc đi ngang.</w:t>
      </w:r>
      <w:r>
        <w:rPr>
          <w14:ligatures w14:val="none"/>
        </w:rPr>
      </w:r>
      <w:r>
        <w:rPr>
          <w14:ligatures w14:val="none"/>
        </w:rPr>
      </w:r>
    </w:p>
    <w:p>
      <w:pPr>
        <w:pStyle w:val="1045"/>
        <w:numPr>
          <w:ilvl w:val="0"/>
          <w:numId w:val="40"/>
        </w:numPr>
        <w:pBdr/>
        <w:shd w:val="nil" w:color="auto"/>
        <w:tabs>
          <w:tab w:val="left" w:leader="none" w:pos="360"/>
        </w:tabs>
        <w:spacing/>
        <w:ind w:right="0" w:firstLine="0" w:left="0"/>
        <w:jc w:val="both"/>
        <w:rPr>
          <w:highlight w:val="white"/>
          <w14:ligatures w14:val="none"/>
        </w:rPr>
      </w:pPr>
      <w:r>
        <w:rPr>
          <w:lang w:val="pt-BR"/>
        </w:rPr>
      </w:r>
      <w:r>
        <w:rPr>
          <w:highlight w:val="white"/>
        </w:rPr>
        <w:t xml:space="preserve">Bên cạnh đó, sự minh bạch trong thông tin quy hoạch từ UBND Hà Nội cùng các chính sách khuyến khích phát triển hạ tầng, thương mại – dịch vụ cũng đóng vai trò quan trọng. Khi thông tin rõ ràng, niềm tin thị trường được củng cố, dòng vốn đầu tư có xu hướng </w:t>
      </w:r>
      <w:r>
        <w:rPr>
          <w:highlight w:val="white"/>
        </w:rPr>
        <w:t xml:space="preserve">đổ mạnh vào Cầu Giấy, tạo thêm áp lực tăng giá bất động sản tại khu vực này</w:t>
      </w:r>
      <w:r>
        <w:rPr>
          <w:highlight w:val="white"/>
        </w:rPr>
        <w:t xml:space="preserve">.</w:t>
      </w:r>
      <w:r>
        <w:rPr>
          <w:highlight w:val="white"/>
          <w14:ligatures w14:val="none"/>
        </w:rPr>
      </w:r>
      <w:r>
        <w:rPr>
          <w:highlight w:val="white"/>
          <w14:ligatures w14:val="none"/>
        </w:rPr>
      </w:r>
    </w:p>
    <w:p>
      <w:pPr>
        <w:pBdr/>
        <w:shd w:val="nil" w:color="auto"/>
        <w:tabs>
          <w:tab w:val="left" w:leader="none" w:pos="360"/>
        </w:tabs>
        <w:spacing/>
        <w:ind w:right="0" w:firstLine="0" w:left="0"/>
        <w:jc w:val="center"/>
        <w:rPr>
          <w:highlight w:val="white"/>
          <w14:ligatures w14:val="none"/>
        </w:rPr>
      </w:pPr>
      <w:r>
        <w:rPr>
          <w:highlight w:val="white"/>
        </w:rPr>
      </w:r>
      <w:r>
        <w:rPr>
          <w:highlight w:val="none"/>
        </w:rPr>
        <w:t xml:space="preserve">(Nguồn:</w:t>
      </w:r>
      <w:r>
        <w:rPr>
          <w:lang w:val="pt-BR"/>
        </w:rPr>
        <w:t xml:space="preserve">https://mogi.vn/news/gia-nha-dat-quan-cau-giay-sau-sap-nhap-282420/</w:t>
      </w:r>
      <w:r>
        <w:rPr>
          <w:lang w:val="pt-BR"/>
        </w:rPr>
        <w:t xml:space="preserve">)</w:t>
        <w:tab/>
      </w:r>
      <w:r>
        <w:rPr>
          <w:highlight w:val="white"/>
          <w14:ligatures w14:val="none"/>
        </w:rPr>
      </w:r>
      <w:r>
        <w:rPr>
          <w:highlight w:val="white"/>
          <w14:ligatures w14:val="none"/>
        </w:rPr>
      </w:r>
    </w:p>
    <w:p>
      <w:pPr>
        <w:pStyle w:val="104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after="60" w:before="60" w:line="276" w:lineRule="auto"/>
              <w:ind/>
              <w:jc w:val="both"/>
              <w:rPr>
                <w:b/>
                <w:bCs/>
                <w:spacing w:val="2"/>
              </w:rPr>
            </w:pPr>
            <w:r>
              <w:rPr>
                <w:bCs/>
                <w:color w:val="000000" w:themeColor="text1"/>
                <w:lang w:val="pt-BR"/>
              </w:rPr>
            </w:r>
            <w:r>
              <w:rPr>
                <w:rFonts w:ascii="Times New Roman" w:hAnsi="Times New Roman" w:eastAsia="Times New Roman" w:cs="Times New Roman"/>
                <w:b/>
                <w:bCs/>
                <w:color w:val="000000"/>
                <w:sz w:val="24"/>
              </w:rPr>
              <w:t xml:space="preserve">Quyền sử dụng đất và tài sản gắn liền với đất tại </w:t>
            </w:r>
            <w:r>
              <w:rPr>
                <w:b/>
                <w:bCs/>
              </w:rPr>
              <w:t xml:space="preserve">Thửa đất số: 557 tờ bản đồ số: 29</w:t>
            </w:r>
            <w:r>
              <w:rPr>
                <w:rFonts w:ascii="Times New Roman" w:hAnsi="Times New Roman" w:eastAsia="Times New Roman" w:cs="Times New Roman"/>
                <w:b/>
                <w:bCs/>
                <w:color w:val="000000"/>
                <w:sz w:val="24"/>
              </w:rPr>
              <w:t xml:space="preserve"> có địa chỉ: </w:t>
            </w:r>
            <w:r>
              <w:rPr>
                <w:b/>
                <w:bCs/>
              </w:rPr>
              <w:t xml:space="preserve">Số nhà 47A, ngõ 66 đường Hồ Tùng Mậu, tổ 19, phường Mai Dịch, quận Cầu Giấy, Thành phố Hà Nội (Nay là phường Phú Diễn, Thành phố Hà Nội)</w:t>
            </w:r>
            <w:r>
              <w:rPr>
                <w:rFonts w:ascii="Times New Roman" w:hAnsi="Times New Roman" w:eastAsia="Times New Roman" w:cs="Times New Roman"/>
                <w:b/>
                <w:bCs/>
                <w:color w:val="000000"/>
                <w:sz w:val="24"/>
              </w:rPr>
              <w:t xml:space="preserve"> theo Giấy chứng nhận quyền sử dụng đất, quyền sở hữu nhà ở và tài sản khác gắn liền với đất  số: </w:t>
            </w:r>
            <w:r>
              <w:rPr>
                <w:rFonts w:ascii="Times New Roman" w:hAnsi="Times New Roman" w:eastAsia="Times New Roman" w:cs="Times New Roman"/>
                <w:b/>
                <w:bCs/>
                <w:color w:val="000000"/>
                <w:sz w:val="24"/>
              </w:rPr>
              <w:t xml:space="preserve">DP 890045, Số vào sổ cấp GCN: CN </w:t>
            </w:r>
            <w:r>
              <w:rPr>
                <w:rFonts w:ascii="Times New Roman" w:hAnsi="Times New Roman" w:eastAsia="Times New Roman" w:cs="Times New Roman"/>
                <w:b/>
                <w:bCs/>
                <w:color w:val="000000"/>
                <w:sz w:val="24"/>
              </w:rPr>
              <w:t xml:space="preserve">02858 do Chi nhánh văn phòng đăng ký đất đai quận Cầu Giấy - Hà Nội  cấp ngày 25/12/2024 cho bà Chu Thị Xoan.</w:t>
            </w:r>
            <w:r>
              <w:rPr>
                <w:b/>
                <w:bCs/>
                <w:spacing w:val="2"/>
              </w:rPr>
            </w:r>
            <w:r>
              <w:rPr>
                <w:b/>
                <w:bCs/>
                <w:spacing w:val="2"/>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557</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29</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b w:val="0"/>
                <w:bCs w:val="0"/>
                <w:color w:val="000000"/>
              </w:rPr>
            </w:pPr>
            <w:r>
              <w:rPr>
                <w:color w:val="000000"/>
              </w:rPr>
            </w:r>
            <w:r>
              <w:rPr>
                <w:b w:val="0"/>
                <w:bCs w:val="0"/>
              </w:rPr>
              <w:t xml:space="preserve">Số nhà 47A, ngõ 66 đường Hồ Tùng Mậu, tổ 19, phường Mai Dịch, quận Cầu Giấy, Thành phố Hà Nội (Nay là phường Phú Diễn, Thành phố Hà Nội)</w:t>
            </w:r>
            <w:r>
              <w:rPr>
                <w:b w:val="0"/>
                <w:bCs w:val="0"/>
                <w:color w:val="000000"/>
              </w:rPr>
            </w:r>
            <w:r>
              <w:rPr>
                <w:b w:val="0"/>
                <w:bCs w:val="0"/>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522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w:t xml:space="preserve"> Nhận chuyển nhượng đất được Công nhận QSDĐ như giao đất có thu tiền sử dụng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hd w:val="nil" w:color="auto"/>
              <w:spacing/>
              <w:ind/>
              <w:jc w:val="both"/>
              <w:rPr>
                <w14:ligatures w14:val="none"/>
              </w:rPr>
            </w:pPr>
            <w:r>
              <w:rPr>
                <w:color w:val="000000"/>
              </w:rPr>
            </w:r>
            <w:r>
              <w:rPr>
                <w:highlight w:val="white"/>
              </w:rPr>
              <w:t xml:space="preserve">Tại thời </w:t>
            </w:r>
            <w:r>
              <w:rPr>
                <w:sz w:val="24"/>
                <w:szCs w:val="24"/>
                <w:highlight w:val="white"/>
              </w:rPr>
              <w:t xml:space="preserve">điểm thẩm định giá, tổ thẩm định tiến hành kiểm tra quy hoạch trên app Meeymap. Tổ thẩm định xác định thửa đất nằm trong khu vực đất ở đô thị</w:t>
            </w:r>
            <w:r>
              <w:rPr>
                <w14:ligatures w14:val="none"/>
              </w:rPr>
            </w:r>
            <w:r>
              <w:rPr>
                <w14:ligatures w14:val="none"/>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gridSpan w:val="4"/>
            <w:tcBorders/>
            <w:tcW w:w="8781" w:type="dxa"/>
            <w:vAlign w:val="center"/>
            <w:vMerge w:val="restart"/>
            <w:textDirection w:val="lrTb"/>
            <w:noWrap w:val="false"/>
          </w:tcPr>
          <w:p>
            <w:pPr>
              <w:pBdr/>
              <w:spacing/>
              <w:ind/>
              <w:jc w:val="center"/>
              <w:rPr>
                <w:color w:val="000000"/>
              </w:rPr>
            </w:pPr>
            <w:r>
              <w:rPr>
                <w:color w:val="000000"/>
              </w:rPr>
            </w:r>
            <w:r>
              <mc:AlternateContent>
                <mc:Choice Requires="wpg">
                  <w:drawing>
                    <wp:inline xmlns:wp="http://schemas.openxmlformats.org/drawingml/2006/wordprocessingDrawing" distT="0" distB="0" distL="0" distR="0">
                      <wp:extent cx="4572000" cy="2130552"/>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020730" name=""/>
                              <pic:cNvPicPr>
                                <a:picLocks noChangeAspect="1"/>
                              </pic:cNvPicPr>
                              <pic:nvPr/>
                            </pic:nvPicPr>
                            <pic:blipFill rotWithShape="1">
                              <a:blip r:embed="rId17"/>
                              <a:stretch/>
                            </pic:blipFill>
                            <pic:spPr bwMode="auto">
                              <a:xfrm rot="0" flipH="0" flipV="0">
                                <a:off x="0" y="0"/>
                                <a:ext cx="4572000" cy="21305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60.00pt;height:167.76pt;mso-wrap-distance-left:0.00pt;mso-wrap-distance-top:0.00pt;mso-wrap-distance-right:0.00pt;mso-wrap-distance-bottom:0.00pt;rotation:0;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bê tông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2,8</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2,8</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rFonts w:ascii="Times New Roman" w:hAnsi="Times New Roman" w:eastAsia="Times New Roman" w:cs="Times New Roman"/>
                <w:color w:val="000000"/>
                <w:sz w:val="24"/>
              </w:rPr>
              <w:t xml:space="preserve">Tài sản nằm cách đường Hồ Tùng Mậu khoảng 200m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pacing w:val="-4"/>
                <w:sz w:val="24"/>
              </w:rPr>
              <w:t xml:space="preserve">+ Hướng Đông Nam: tiếp giáp với đường bê tông rộng 2,8m</w:t>
            </w:r>
            <w:r/>
          </w:p>
          <w:p>
            <w:pPr>
              <w:pBdr/>
              <w:spacing/>
              <w:ind/>
              <w:rPr>
                <w:color w:val="000000" w:themeColor="text1"/>
              </w:rPr>
            </w:pPr>
            <w:r>
              <w:rPr>
                <w:rFonts w:ascii="Times New Roman" w:hAnsi="Times New Roman" w:eastAsia="Times New Roman" w:cs="Times New Roman"/>
                <w:color w:val="000000"/>
                <w:spacing w:val="-4"/>
                <w:sz w:val="24"/>
              </w:rPr>
            </w:r>
            <w:r>
              <w:rPr>
                <w:rFonts w:ascii="Times New Roman" w:hAnsi="Times New Roman" w:eastAsia="Times New Roman" w:cs="Times New Roman"/>
                <w:color w:val="000000"/>
                <w:sz w:val="24"/>
              </w:rPr>
              <w:t xml:space="preserve">+ Các hướng còn lại: tiếp giáp với thửa đất khác.</w:t>
            </w:r>
            <w:bookmarkStart w:id="3" w:name="OLE_LINK1"/>
            <w:r>
              <w:rPr>
                <w:color w:val="000000" w:themeColor="text1"/>
              </w:rPr>
            </w:r>
            <w:bookmarkEnd w:id="3"/>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21.038666666667</w:t>
            </w:r>
            <w:r>
              <w:rPr>
                <w:color w:val="000000"/>
              </w:rPr>
              <w:t xml:space="preserve">, </w:t>
            </w:r>
            <w:r>
              <w:rPr>
                <w:color w:val="000000"/>
              </w:rPr>
              <w:t xml:space="preserve">105.77738888889</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5418667"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8"/>
                              <a:stretch/>
                            </pic:blipFill>
                            <pic:spPr bwMode="auto">
                              <a:xfrm>
                                <a:off x="0" y="0"/>
                                <a:ext cx="5418667"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6.67pt;height:200.00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52,2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10,63 (Cạnh phải) 9,56 (Cạnh trái)</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Đa giác khác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Nam</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top w:val="none" w:color="000000" w:sz="4" w:space="0"/>
                <w:left w:val="none" w:color="000000" w:sz="4" w:space="0"/>
                <w:bottom w:val="none" w:color="000000" w:sz="4" w:space="0"/>
                <w:right w:val="none" w:color="000000" w:sz="4" w:space="0"/>
              </w:pBdr>
              <w:spacing w:after="0" w:afterAutospacing="0" w:before="0" w:beforeAutospacing="0" w:line="240" w:lineRule="auto"/>
              <w:ind w:right="0" w:firstLine="0" w:left="0"/>
              <w:jc w:val="both"/>
              <w:rPr/>
            </w:pPr>
            <w:r>
              <w:rPr>
                <w:b/>
                <w:bCs/>
                <w:color w:val="000000"/>
              </w:rPr>
            </w:r>
            <w:r>
              <w:rPr>
                <w:rFonts w:ascii="Times New Roman" w:hAnsi="Times New Roman" w:eastAsia="Times New Roman" w:cs="Times New Roman"/>
                <w:color w:val="000000"/>
                <w:sz w:val="24"/>
              </w:rPr>
              <w:t xml:space="preserve">Tại thời điểm khảo sát, dưới sự hướng dẫn của chủ tài sản, Tổ thẩm định xác định trên đất có  công trình nhà 5 tầng + 1 tum, </w:t>
            </w:r>
            <w:r>
              <w:t xml:space="preserve">Diện tích xây dựng tầng 1: 52,2 m²</w:t>
            </w:r>
            <w:r>
              <w:rPr>
                <w:rFonts w:ascii="Times New Roman" w:hAnsi="Times New Roman" w:eastAsia="Times New Roman" w:cs="Times New Roman"/>
                <w:color w:val="000000"/>
                <w:sz w:val="24"/>
              </w:rPr>
              <w:t xml:space="preserve">, </w:t>
            </w:r>
            <w:r>
              <w:t xml:space="preserve">Diện tích sàn xây dựng tầng 2, 3, 4: 52,2 m²/sàn</w:t>
            </w:r>
            <w:r>
              <w:rPr>
                <w:rFonts w:ascii="Times New Roman" w:hAnsi="Times New Roman" w:eastAsia="Times New Roman" w:cs="Times New Roman"/>
                <w:color w:val="000000"/>
                <w:sz w:val="24"/>
              </w:rPr>
              <w:t xml:space="preserve">, </w:t>
            </w:r>
            <w:r>
              <w:t xml:space="preserve">Diện tích xây dựng sàn tầng 5: 40,4 m²</w:t>
            </w:r>
            <w:r>
              <w:rPr>
                <w:rFonts w:ascii="Times New Roman" w:hAnsi="Times New Roman" w:eastAsia="Times New Roman" w:cs="Times New Roman"/>
                <w:color w:val="000000"/>
                <w:sz w:val="24"/>
              </w:rPr>
              <w:t xml:space="preserve">, </w:t>
            </w:r>
            <w:r>
              <w:t xml:space="preserve">Diện tích sàn xây dựng tum: 12,1 m²</w:t>
            </w:r>
            <w:r>
              <w:rPr>
                <w:rFonts w:ascii="Times New Roman" w:hAnsi="Times New Roman" w:eastAsia="Times New Roman" w:cs="Times New Roman"/>
                <w:color w:val="000000"/>
                <w:sz w:val="24"/>
              </w:rPr>
              <w:t xml:space="preserve">. </w:t>
            </w:r>
            <w:r>
              <w:t xml:space="preserve">Tổng diện tích sàn xây dựng: 261,3 m²</w:t>
            </w:r>
            <w:r>
              <w:rPr>
                <w:rFonts w:ascii="Times New Roman" w:hAnsi="Times New Roman" w:eastAsia="Times New Roman" w:cs="Times New Roman"/>
                <w:color w:val="000000"/>
                <w:sz w:val="24"/>
              </w:rPr>
              <w:t xml:space="preserve">. Hoàn thành xây dựng vào năm 2024. Công trình đã có </w:t>
            </w:r>
            <w:r>
              <w:rPr>
                <w:rFonts w:ascii="Times New Roman" w:hAnsi="Times New Roman" w:eastAsia="Times New Roman" w:cs="Times New Roman"/>
                <w:color w:val="000000"/>
                <w:sz w:val="24"/>
              </w:rPr>
              <w:t xml:space="preserve">Giấy phép xây dựng số 569/GPXD do Ủy ban nhân dân quận Cầu Giấy cũ cấp ngày 26/12/2023.</w:t>
            </w:r>
            <w:r>
              <w:rPr>
                <w:b/>
                <w:bCs/>
                <w:color w:val="000000"/>
              </w:rPr>
            </w: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5"/>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5"/>
        <w:numPr>
          <w:ilvl w:val="0"/>
          <w:numId w:val="3"/>
        </w:numPr>
        <w:pBdr/>
        <w:spacing w:after="120" w:before="120" w:line="276" w:lineRule="auto"/>
        <w:ind/>
        <w:jc w:val="both"/>
        <w:rPr>
          <w:lang w:val="de-DE"/>
        </w:rPr>
      </w:pPr>
      <w:r>
        <w:rPr>
          <w:spacing w:val="-4"/>
          <w:lang w:val="pt-BR"/>
        </w:rPr>
        <w:t xml:space="preserve">Đối với công trình xây dựng gắn liền trên đất, tại thời điểm thẩm định giá, qua thu thập thông tin từ thị trường, Tổ thẩm định nh</w:t>
      </w:r>
      <w:r>
        <w:rPr>
          <w:spacing w:val="-4"/>
          <w:lang w:val="pt-BR"/>
        </w:rPr>
        <w:t xml:space="preserve">ận thấy thị trường hầu như không phát sinh các giao dịch các công trình xây dựng tương tự tài sản thẩm định. Vì vậy, do hạn chế về mặt thu thập thông tin, Tổ thẩm định chưa có cơ sở tính toán giá trị các công trình xây dựng dựa trên phương pháp so sánh. Ng</w:t>
      </w:r>
      <w:r>
        <w:rPr>
          <w:spacing w:val="-4"/>
          <w:lang w:val="pt-BR"/>
        </w:rPr>
        <w:t xml:space="preserve">oài ra, Tổ thẩm định cũng không được cung cấp thông tin hay có đủ dữ liệu để đánh giá theo cách tiếp cận từ thu nhập. Do vậy, Tổ thẩm định sử dụng cách tiếp cận từ chi phí (phương pháp chi phí thay thế) để xác định giá trị công trình gắn liền trên đất của </w:t>
      </w:r>
      <w:r>
        <w:rPr>
          <w:spacing w:val="-4"/>
          <w:lang w:val="pt-BR"/>
        </w:rPr>
        <w:t xml:space="preserve">tài sản so sánh và </w:t>
      </w:r>
      <w:r>
        <w:rPr>
          <w:spacing w:val="-4"/>
          <w:lang w:val="pt-BR"/>
        </w:rPr>
        <w:t xml:space="preserve">tài sản thẩm định</w:t>
      </w:r>
      <w:r>
        <w:rPr>
          <w:spacing w:val="-2"/>
          <w:lang w:val="pt-BR"/>
        </w:rPr>
        <w:t xml:space="preserve">.</w:t>
      </w:r>
      <w:r>
        <w:rPr>
          <w:lang w:val="de-DE"/>
        </w:rPr>
      </w:r>
      <w:r>
        <w:rPr>
          <w:lang w:val="de-DE"/>
        </w:rPr>
      </w:r>
    </w:p>
    <w:p>
      <w:pPr>
        <w:pStyle w:val="104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4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595"/>
        <w:gridCol w:w="1952"/>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595"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952"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0" w:before="60" w:line="276" w:lineRule="auto"/>
              <w:ind/>
              <w:jc w:val="center"/>
              <w:rPr>
                <w:color w:val="ee0000"/>
                <w:lang w:val="pt-BR"/>
              </w:rPr>
            </w:pPr>
            <w:r>
              <w:rPr>
                <w:color w:val="000000" w:themeColor="text1"/>
                <w:lang w:val="pt-BR"/>
              </w:rPr>
            </w:r>
            <w:r>
              <w:t xml:space="preserve">Phường Phú Diễn, Thành phố Hà Nội</w:t>
            </w:r>
            <w:r>
              <w:rPr>
                <w:color w:val="ee0000"/>
                <w:lang w:val="pt-BR"/>
              </w:rPr>
            </w:r>
            <w:r>
              <w:rPr>
                <w:color w:val="ee0000"/>
                <w:lang w:val="pt-BR"/>
              </w:rPr>
            </w:r>
          </w:p>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60" w:before="60" w:line="276" w:lineRule="auto"/>
              <w:ind/>
              <w:jc w:val="center"/>
              <w:rPr>
                <w:color w:val="ee0000"/>
                <w:lang w:val="pt-BR"/>
              </w:rPr>
            </w:pPr>
            <w:r>
              <w:rPr>
                <w:color w:val="000000" w:themeColor="text1"/>
                <w:lang w:val="pt-BR"/>
              </w:rPr>
            </w:r>
            <w:r>
              <w:t xml:space="preserve">Phường Nghĩa Đô, Thành phố Hà Nội</w:t>
            </w:r>
            <w:r>
              <w:rPr>
                <w:color w:val="ee0000"/>
                <w:lang w:val="pt-BR"/>
              </w:rPr>
            </w:r>
            <w:r>
              <w:rPr>
                <w:color w:val="ee0000"/>
                <w:lang w:val="pt-BR"/>
              </w:rPr>
            </w:r>
          </w:p>
          <w:p>
            <w:pPr>
              <w:pBdr/>
              <w:spacing/>
              <w:ind/>
              <w:jc w:val="center"/>
              <w:rPr>
                <w:sz w:val="22"/>
                <w:szCs w:val="22"/>
              </w:rPr>
            </w:pPr>
            <w:r>
              <w:rPr>
                <w:color w:val="000000" w:themeColor="text1"/>
                <w:sz w:val="22"/>
                <w:szCs w:val="22"/>
              </w:rPr>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lang w:val="pt-BR"/>
              </w:rPr>
            </w:r>
            <w:r>
              <w:t xml:space="preserve">Phường Phú Diễn, Thành phố Hà Nội</w:t>
            </w:r>
            <w:r>
              <w:rPr>
                <w:color w:val="ee0000"/>
                <w:lang w:val="pt-BR"/>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lang w:val="pt-BR"/>
              </w:rPr>
            </w:r>
            <w:r>
              <w:t xml:space="preserve">Phường Phú Diễn, Thành phố Hà Nội</w:t>
            </w:r>
            <w:r>
              <w:rPr>
                <w:color w:val="ee0000"/>
                <w:lang w:val="pt-BR"/>
              </w:rPr>
            </w:r>
            <w:r/>
          </w:p>
        </w:tc>
      </w:tr>
      <w:tr>
        <w:trPr>
          <w:trHeight w:val="154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https://www.facebook.com/groups/hoiniengranghnoi/posts/1647775259807522/</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0986126854</w:t>
            </w:r>
            <w:r>
              <w:rPr>
                <w:sz w:val="22"/>
                <w:szCs w:val="22"/>
              </w:rPr>
              <w:t xml:space="preserve"> </w:t>
            </w:r>
            <w:r>
              <w:rPr>
                <w:sz w:val="22"/>
                <w:szCs w:val="22"/>
              </w:rPr>
              <w:br/>
              <w:t xml:space="preserve">(</w:t>
            </w:r>
            <w:r>
              <w:rPr>
                <w:sz w:val="22"/>
                <w:szCs w:val="22"/>
              </w:rPr>
              <w:t xml:space="preserve">Việt Anh</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0981935356</w:t>
            </w:r>
            <w:r>
              <w:rPr>
                <w:sz w:val="22"/>
                <w:szCs w:val="22"/>
              </w:rPr>
              <w:br/>
            </w:r>
            <w:r>
              <w:rPr>
                <w:sz w:val="22"/>
                <w:szCs w:val="22"/>
              </w:rPr>
              <w:t xml:space="preserve">(</w:t>
            </w:r>
            <w:r>
              <w:rPr>
                <w:sz w:val="22"/>
                <w:szCs w:val="22"/>
              </w:rPr>
              <w:t xml:space="preserve">Hoàng Hà</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0981935356</w:t>
            </w:r>
            <w:r>
              <w:rPr>
                <w:sz w:val="22"/>
                <w:szCs w:val="22"/>
              </w:rPr>
              <w:br/>
            </w:r>
            <w:r>
              <w:rPr>
                <w:sz w:val="22"/>
                <w:szCs w:val="22"/>
              </w:rPr>
              <w:t xml:space="preserve">(</w:t>
            </w:r>
            <w:r>
              <w:rPr>
                <w:sz w:val="22"/>
                <w:szCs w:val="22"/>
              </w:rPr>
              <w:t xml:space="preserve">Hoàng Hà</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Đang giao 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Đang giao 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05/2026</w:t>
            </w:r>
            <w:r>
              <w:rPr>
                <w:color w:val="000000"/>
                <w:sz w:val="22"/>
                <w:szCs w:val="22"/>
              </w:rPr>
            </w:r>
            <w:r>
              <w:rPr>
                <w:color w:val="000000"/>
                <w:sz w:val="22"/>
                <w:szCs w:val="22"/>
              </w:rPr>
            </w:r>
          </w:p>
        </w:tc>
      </w:tr>
      <w:tr>
        <w:trPr>
          <w:trHeight w:val="901"/>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Hồ Tùng Mậu 200m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Hồ Tùng Mậu 500m</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cách đường Hồ Tùng Mậu 200m</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Tài sản cách đường Hồ Tùng Mậu 200m</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6,97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đường trước sau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Đa giác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10.620.000.000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7.470.000.000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1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3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3 tầng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79</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11.800.000.000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9.600.000.000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10.620.000.000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8.640.000.000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7.470.000.000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221.531.114</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758.055.072</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561.434.538</w:t>
            </w:r>
            <w:r>
              <w:rPr>
                <w:sz w:val="22"/>
                <w:szCs w:val="22"/>
                <w14:ligatures w14:val="none"/>
              </w:rPr>
            </w:r>
            <w:r>
              <w:rPr>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595" w:type="dxa"/>
            <w:vAlign w:val="center"/>
            <w:vMerge w:val="restart"/>
            <w:textDirection w:val="lrTb"/>
            <w:noWrap/>
          </w:tcPr>
          <w:p>
            <w:pPr>
              <w:pBdr/>
              <w:spacing/>
              <w:ind/>
              <w:jc w:val="left"/>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952"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120" w:before="120" w:line="276" w:lineRule="auto"/>
              <w:ind w:firstLine="0" w:left="0"/>
              <w:jc w:val="left"/>
              <w:rPr/>
            </w:pPr>
            <w:r>
              <w:rPr>
                <w:rFonts w:ascii="Times New Roman" w:hAnsi="Times New Roman" w:eastAsia="Times New Roman" w:cs="Times New Roman"/>
                <w:color w:val="000000"/>
                <w:spacing w:val="-2"/>
                <w:sz w:val="22"/>
                <w:szCs w:val="22"/>
                <w:highlight w:val="white"/>
              </w:rPr>
              <w:t xml:space="preserve">Quyết</w:t>
            </w:r>
            <w:r>
              <w:rPr>
                <w:rFonts w:ascii="Times New Roman" w:hAnsi="Times New Roman" w:eastAsia="Times New Roman" w:cs="Times New Roman"/>
                <w:color w:val="000000"/>
                <w:spacing w:val="-10"/>
                <w:sz w:val="22"/>
                <w:szCs w:val="22"/>
                <w:highlight w:val="white"/>
              </w:rPr>
              <w:t xml:space="preserve"> </w:t>
            </w:r>
            <w:r>
              <w:rPr>
                <w:rFonts w:ascii="Times New Roman" w:hAnsi="Times New Roman" w:eastAsia="Times New Roman" w:cs="Times New Roman"/>
                <w:color w:val="000000"/>
                <w:spacing w:val="-2"/>
                <w:sz w:val="22"/>
                <w:szCs w:val="22"/>
                <w:highlight w:val="white"/>
              </w:rPr>
              <w:t xml:space="preserve">định</w:t>
            </w:r>
            <w:r>
              <w:rPr>
                <w:rFonts w:ascii="Times New Roman" w:hAnsi="Times New Roman" w:eastAsia="Times New Roman" w:cs="Times New Roman"/>
                <w:color w:val="000000"/>
                <w:spacing w:val="-10"/>
                <w:sz w:val="22"/>
                <w:szCs w:val="22"/>
                <w:highlight w:val="white"/>
              </w:rPr>
              <w:t xml:space="preserve"> </w:t>
            </w:r>
            <w:r>
              <w:rPr>
                <w:rFonts w:ascii="Times New Roman" w:hAnsi="Times New Roman" w:eastAsia="Times New Roman" w:cs="Times New Roman"/>
                <w:color w:val="000000"/>
                <w:spacing w:val="-2"/>
                <w:sz w:val="22"/>
                <w:szCs w:val="22"/>
                <w:highlight w:val="white"/>
              </w:rPr>
              <w:t xml:space="preserve">số</w:t>
            </w:r>
            <w:r>
              <w:rPr>
                <w:rFonts w:ascii="Times New Roman" w:hAnsi="Times New Roman" w:eastAsia="Times New Roman" w:cs="Times New Roman"/>
                <w:color w:val="000000"/>
                <w:spacing w:val="-10"/>
                <w:sz w:val="22"/>
                <w:szCs w:val="22"/>
                <w:highlight w:val="white"/>
              </w:rPr>
              <w:t xml:space="preserve"> </w:t>
            </w:r>
            <w:r>
              <w:rPr>
                <w:rFonts w:ascii="Times New Roman" w:hAnsi="Times New Roman" w:eastAsia="Times New Roman" w:cs="Times New Roman"/>
                <w:color w:val="000000"/>
                <w:spacing w:val="-2"/>
                <w:sz w:val="22"/>
                <w:szCs w:val="22"/>
                <w:highlight w:val="white"/>
              </w:rPr>
              <w:t xml:space="preserve">425/QĐ-BXD</w:t>
            </w:r>
            <w:r>
              <w:rPr>
                <w:rFonts w:ascii="Times New Roman" w:hAnsi="Times New Roman" w:eastAsia="Times New Roman" w:cs="Times New Roman"/>
                <w:color w:val="000000"/>
                <w:spacing w:val="-11"/>
                <w:sz w:val="22"/>
                <w:szCs w:val="22"/>
                <w:highlight w:val="white"/>
              </w:rPr>
              <w:t xml:space="preserve"> </w:t>
            </w:r>
            <w:r>
              <w:rPr>
                <w:rFonts w:ascii="Times New Roman" w:hAnsi="Times New Roman" w:eastAsia="Times New Roman" w:cs="Times New Roman"/>
                <w:color w:val="000000"/>
                <w:spacing w:val="-2"/>
                <w:sz w:val="22"/>
                <w:szCs w:val="22"/>
                <w:highlight w:val="white"/>
              </w:rPr>
              <w:t xml:space="preserve">ngày</w:t>
            </w:r>
            <w:r>
              <w:rPr>
                <w:rFonts w:ascii="Times New Roman" w:hAnsi="Times New Roman" w:eastAsia="Times New Roman" w:cs="Times New Roman"/>
                <w:color w:val="000000"/>
                <w:spacing w:val="-13"/>
                <w:sz w:val="22"/>
                <w:szCs w:val="22"/>
                <w:highlight w:val="white"/>
              </w:rPr>
              <w:t xml:space="preserve"> </w:t>
            </w:r>
            <w:r>
              <w:rPr>
                <w:rFonts w:ascii="Times New Roman" w:hAnsi="Times New Roman" w:eastAsia="Times New Roman" w:cs="Times New Roman"/>
                <w:color w:val="000000"/>
                <w:spacing w:val="-2"/>
                <w:sz w:val="22"/>
                <w:szCs w:val="22"/>
                <w:highlight w:val="white"/>
              </w:rPr>
              <w:t xml:space="preserve">30/3/2026</w:t>
            </w:r>
            <w:r>
              <w:rPr>
                <w:rFonts w:ascii="Times New Roman" w:hAnsi="Times New Roman" w:eastAsia="Times New Roman" w:cs="Times New Roman"/>
                <w:color w:val="000000"/>
                <w:spacing w:val="-10"/>
                <w:sz w:val="22"/>
                <w:szCs w:val="22"/>
                <w:highlight w:val="white"/>
              </w:rPr>
              <w:t xml:space="preserve"> </w:t>
            </w:r>
            <w:r>
              <w:rPr>
                <w:rFonts w:ascii="Times New Roman" w:hAnsi="Times New Roman" w:eastAsia="Times New Roman" w:cs="Times New Roman"/>
                <w:color w:val="000000"/>
                <w:spacing w:val="-2"/>
                <w:sz w:val="22"/>
                <w:szCs w:val="22"/>
                <w:highlight w:val="white"/>
              </w:rPr>
              <w:t xml:space="preserve">của</w:t>
            </w:r>
            <w:r>
              <w:rPr>
                <w:rFonts w:ascii="Times New Roman" w:hAnsi="Times New Roman" w:eastAsia="Times New Roman" w:cs="Times New Roman"/>
                <w:color w:val="000000"/>
                <w:spacing w:val="-11"/>
                <w:sz w:val="22"/>
                <w:szCs w:val="22"/>
                <w:highlight w:val="white"/>
              </w:rPr>
              <w:t xml:space="preserve"> </w:t>
            </w:r>
            <w:r>
              <w:rPr>
                <w:rFonts w:ascii="Times New Roman" w:hAnsi="Times New Roman" w:eastAsia="Times New Roman" w:cs="Times New Roman"/>
                <w:color w:val="000000"/>
                <w:spacing w:val="-2"/>
                <w:sz w:val="22"/>
                <w:szCs w:val="22"/>
                <w:highlight w:val="white"/>
              </w:rPr>
              <w:t xml:space="preserve">Bộ</w:t>
            </w:r>
            <w:r>
              <w:rPr>
                <w:rFonts w:ascii="Times New Roman" w:hAnsi="Times New Roman" w:eastAsia="Times New Roman" w:cs="Times New Roman"/>
                <w:color w:val="000000"/>
                <w:spacing w:val="-10"/>
                <w:sz w:val="22"/>
                <w:szCs w:val="22"/>
                <w:highlight w:val="white"/>
              </w:rPr>
              <w:t xml:space="preserve"> </w:t>
            </w:r>
            <w:r>
              <w:rPr>
                <w:rFonts w:ascii="Times New Roman" w:hAnsi="Times New Roman" w:eastAsia="Times New Roman" w:cs="Times New Roman"/>
                <w:color w:val="000000"/>
                <w:spacing w:val="-2"/>
                <w:sz w:val="22"/>
                <w:szCs w:val="22"/>
                <w:highlight w:val="white"/>
              </w:rPr>
              <w:t xml:space="preserve">Xây</w:t>
            </w:r>
            <w:r>
              <w:rPr>
                <w:rFonts w:ascii="Times New Roman" w:hAnsi="Times New Roman" w:eastAsia="Times New Roman" w:cs="Times New Roman"/>
                <w:color w:val="000000"/>
                <w:spacing w:val="-13"/>
                <w:sz w:val="22"/>
                <w:szCs w:val="22"/>
                <w:highlight w:val="white"/>
              </w:rPr>
              <w:t xml:space="preserve"> </w:t>
            </w:r>
            <w:r>
              <w:rPr>
                <w:rFonts w:ascii="Times New Roman" w:hAnsi="Times New Roman" w:eastAsia="Times New Roman" w:cs="Times New Roman"/>
                <w:color w:val="000000"/>
                <w:spacing w:val="-2"/>
                <w:sz w:val="22"/>
                <w:szCs w:val="22"/>
                <w:highlight w:val="white"/>
              </w:rPr>
              <w:t xml:space="preserve">dựng</w:t>
            </w:r>
            <w:r>
              <w:rPr>
                <w:rFonts w:ascii="Times New Roman" w:hAnsi="Times New Roman" w:eastAsia="Times New Roman" w:cs="Times New Roman"/>
                <w:color w:val="000000"/>
                <w:spacing w:val="-10"/>
                <w:sz w:val="24"/>
                <w:highlight w:val="white"/>
              </w:rPr>
              <w:t xml:space="preserve"> </w:t>
            </w:r>
            <w:r>
              <w:rPr>
                <w:rFonts w:ascii="Times New Roman" w:hAnsi="Times New Roman" w:eastAsia="Times New Roman" w:cs="Times New Roman"/>
                <w:sz w:val="24"/>
              </w:rPr>
            </w: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t xml:space="preserve"> 6.247.000</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t xml:space="preserve">9.124.000</w:t>
            </w:r>
            <w:r>
              <w:rPr>
                <w:sz w:val="22"/>
                <w:szCs w:val="22"/>
                <w14:ligatures w14:val="none"/>
              </w:rPr>
            </w:r>
            <w:r>
              <w:rPr>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hd w:val="nil" w:color="auto"/>
              <w:spacing/>
              <w:ind/>
              <w:jc w:val="center"/>
              <w:rPr>
                <w:sz w:val="22"/>
                <w:szCs w:val="22"/>
                <w14:ligatures w14:val="none"/>
              </w:rPr>
            </w:pPr>
            <w:r>
              <w:rPr>
                <w:sz w:val="22"/>
                <w:szCs w:val="22"/>
              </w:rPr>
              <w:t xml:space="preserve">9.124.000</w:t>
            </w:r>
            <w:r>
              <w:rPr>
                <w:sz w:val="22"/>
                <w:szCs w:val="22"/>
                <w14:ligatures w14:val="none"/>
              </w:rPr>
            </w:r>
            <w:r>
              <w:rPr>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595"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952" w:type="dxa"/>
            <w:vAlign w:val="center"/>
            <w:vMerge w:val="restart"/>
            <w:textDirection w:val="lrTb"/>
            <w:noWrap w:val="false"/>
          </w:tcPr>
          <w:p>
            <w:pPr>
              <w:pBdr/>
              <w:spacing/>
              <w:ind/>
              <w:rPr>
                <w:b w:val="0"/>
                <w:bCs w:val="0"/>
                <w:color w:val="000000"/>
                <w:sz w:val="22"/>
                <w:szCs w:val="22"/>
              </w:rPr>
            </w:pPr>
            <w:r>
              <w:rPr>
                <w:b w:val="0"/>
                <w:bCs w:val="0"/>
                <w:color w:val="000000"/>
                <w:sz w:val="22"/>
                <w:szCs w:val="22"/>
              </w:rPr>
              <w:t xml:space="preserve">Tỷ lệ CLCL (%)</w:t>
            </w:r>
            <w:r>
              <w:rPr>
                <w:b w:val="0"/>
                <w:bCs w:val="0"/>
                <w:color w:val="000000"/>
                <w:sz w:val="22"/>
                <w:szCs w:val="22"/>
              </w:rPr>
            </w:r>
            <w:r>
              <w:rPr>
                <w:b w:val="0"/>
                <w:bCs w:val="0"/>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66,5%</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sz w:val="22"/>
                <w:szCs w:val="22"/>
              </w:rPr>
            </w:pPr>
            <w:r>
              <w:rPr>
                <w:color w:val="000000"/>
                <w:sz w:val="22"/>
                <w:szCs w:val="22"/>
              </w:rPr>
              <w:t xml:space="preserve">90%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10.398.468.886</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7.881.944.928</w:t>
            </w:r>
            <w:r>
              <w:rPr>
                <w:sz w:val="22"/>
                <w:szCs w:val="22"/>
                <w14:ligatures w14:val="none"/>
              </w:rPr>
            </w:r>
            <w:r>
              <w:rPr>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hd w:val="nil" w:color="auto"/>
              <w:spacing/>
              <w:ind/>
              <w:jc w:val="center"/>
              <w:rPr>
                <w:sz w:val="22"/>
                <w:szCs w:val="22"/>
                <w14:ligatures w14:val="none"/>
              </w:rPr>
            </w:pPr>
            <w:r>
              <w:rPr>
                <w:sz w:val="22"/>
                <w:szCs w:val="22"/>
              </w:rPr>
              <w:t xml:space="preserve">6.908.565.462</w:t>
            </w:r>
            <w:r>
              <w:rPr>
                <w:sz w:val="22"/>
                <w:szCs w:val="22"/>
                <w14:ligatures w14:val="none"/>
              </w:rPr>
            </w:r>
            <w:r>
              <w:rPr>
                <w:sz w:val="22"/>
                <w:szCs w:val="22"/>
                <w14:ligatures w14:val="none"/>
              </w:rPr>
            </w:r>
          </w:p>
        </w:tc>
      </w:tr>
      <w:tr>
        <w:trPr>
          <w:trHeight w:val="552"/>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174.470.954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207.419.603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276.342.618</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595"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952"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Ind w:w="-114" w:type="dxa"/>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14"/>
        <w:gridCol w:w="632"/>
        <w:gridCol w:w="1765"/>
        <w:gridCol w:w="1030"/>
        <w:gridCol w:w="1522"/>
        <w:gridCol w:w="1522"/>
        <w:gridCol w:w="1522"/>
        <w:gridCol w:w="1522"/>
      </w:tblGrid>
      <w:tr>
        <w:trPr>
          <w:gridBefore w:val="1"/>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gridBefore w:val="1"/>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10.398.468.886</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7.881.944.928</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6.908.565.462</w:t>
            </w:r>
            <w:r>
              <w:rPr>
                <w:color w:val="000000"/>
                <w:sz w:val="20"/>
                <w:szCs w:val="20"/>
              </w:rPr>
            </w:r>
            <w:r>
              <w:rPr>
                <w:color w:val="000000"/>
                <w:sz w:val="20"/>
                <w:szCs w:val="20"/>
              </w:rPr>
            </w:r>
          </w:p>
        </w:tc>
      </w:tr>
      <w:tr>
        <w:trPr>
          <w:gridBefore w:val="1"/>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174.470.954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207.419.603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276.342.618</w:t>
            </w:r>
            <w:r>
              <w:rPr>
                <w:color w:val="000000"/>
                <w:sz w:val="22"/>
                <w:szCs w:val="22"/>
              </w:rPr>
            </w:r>
            <w:r>
              <w:rPr>
                <w:color w:val="000000"/>
                <w:sz w:val="22"/>
                <w:szCs w:val="22"/>
              </w:rPr>
            </w:r>
          </w:p>
        </w:tc>
      </w:tr>
      <w:tr>
        <w:trPr>
          <w:gridBefore w:val="1"/>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gridBefore w:val="1"/>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174.470.954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207.419.603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276.342.618</w:t>
            </w:r>
            <w:r>
              <w:rPr>
                <w:color w:val="000000"/>
                <w:sz w:val="22"/>
                <w:szCs w:val="22"/>
              </w:rPr>
            </w:r>
            <w:r>
              <w:rPr>
                <w:color w:val="000000"/>
                <w:sz w:val="22"/>
                <w:szCs w:val="22"/>
              </w:rPr>
            </w:r>
          </w:p>
        </w:tc>
      </w:tr>
      <w:tr>
        <w:trPr>
          <w:gridBefore w:val="1"/>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174.470.954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207.419.603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276.342.618</w:t>
            </w:r>
            <w:r>
              <w:rPr>
                <w:color w:val="000000"/>
                <w:sz w:val="22"/>
                <w:szCs w:val="22"/>
              </w:rPr>
            </w:r>
            <w:r>
              <w:rPr>
                <w:color w:val="000000"/>
                <w:sz w:val="22"/>
                <w:szCs w:val="22"/>
              </w:rPr>
            </w:r>
          </w:p>
        </w:tc>
      </w:tr>
      <w:tr>
        <w:trPr>
          <w:gridBefore w:val="1"/>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174.470.954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207.419.603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276.342.618</w:t>
            </w:r>
            <w:r>
              <w:rPr>
                <w:color w:val="000000"/>
                <w:sz w:val="22"/>
                <w:szCs w:val="22"/>
              </w:rPr>
            </w:r>
            <w:r>
              <w:rPr>
                <w:color w:val="000000"/>
                <w:sz w:val="22"/>
                <w:szCs w:val="22"/>
              </w:rPr>
            </w:r>
          </w:p>
        </w:tc>
      </w:tr>
      <w:tr>
        <w:trPr>
          <w:gridBefore w:val="1"/>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Hồ Tùng Mậu 200m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Hồ Tùng Mậu 500m</w:t>
            </w:r>
            <w:r>
              <w:rPr>
                <w:color w:val="000000" w:themeColor="text1"/>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cách đường Hồ Tùng Mậu 200m</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Tài sản cách đường Hồ Tùng Mậu 200m</w:t>
            </w: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13.957.676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188.428.630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207.419.603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276.342.618</w:t>
            </w:r>
            <w:r>
              <w:rPr>
                <w:color w:val="000000"/>
                <w:sz w:val="22"/>
                <w:szCs w:val="22"/>
              </w:rPr>
            </w:r>
            <w:r>
              <w:rPr>
                <w:color w:val="000000"/>
                <w:sz w:val="22"/>
                <w:szCs w:val="22"/>
              </w:rPr>
            </w:r>
          </w:p>
        </w:tc>
      </w:tr>
      <w:tr>
        <w:trPr>
          <w:gridBefore w:val="1"/>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188.428.630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207.419.603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276.342.618</w:t>
            </w:r>
            <w:r>
              <w:rPr>
                <w:color w:val="000000"/>
                <w:sz w:val="22"/>
                <w:szCs w:val="22"/>
              </w:rPr>
            </w:r>
            <w:r>
              <w:rPr>
                <w:color w:val="000000"/>
                <w:sz w:val="22"/>
                <w:szCs w:val="22"/>
              </w:rPr>
            </w:r>
          </w:p>
        </w:tc>
      </w:tr>
      <w:tr>
        <w:trPr>
          <w:gridBefore w:val="1"/>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8.723.548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4.148.392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5.526.852</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197.152.178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211.567.995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281.869.470</w:t>
            </w:r>
            <w:r>
              <w:rPr>
                <w:color w:val="000000"/>
                <w:sz w:val="22"/>
                <w:szCs w:val="22"/>
              </w:rPr>
            </w:r>
            <w:r>
              <w:rPr>
                <w:color w:val="000000"/>
                <w:sz w:val="22"/>
                <w:szCs w:val="22"/>
              </w:rPr>
            </w:r>
          </w:p>
        </w:tc>
      </w:tr>
      <w:tr>
        <w:trPr>
          <w:gridBefore w:val="1"/>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52,2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59,6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-24.890.352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-44.214.819</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205.875.726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190.826.035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243.181.503</w:t>
            </w:r>
            <w:r>
              <w:rPr>
                <w:color w:val="000000"/>
                <w:sz w:val="22"/>
                <w:szCs w:val="22"/>
              </w:rPr>
            </w:r>
            <w:r>
              <w:rPr>
                <w:color w:val="000000"/>
                <w:sz w:val="22"/>
                <w:szCs w:val="22"/>
              </w:rPr>
            </w:r>
          </w:p>
        </w:tc>
      </w:tr>
      <w:tr>
        <w:trPr>
          <w:gridBefore w:val="1"/>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6,97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w:t>
            </w:r>
            <w:r>
              <w:rPr>
                <w:b/>
                <w:bCs/>
                <w:color w:val="000000"/>
                <w:sz w:val="22"/>
                <w:szCs w:val="22"/>
              </w:rPr>
            </w:r>
            <w:r>
              <w:rPr>
                <w:b/>
                <w:bCs/>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8.296.784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11.053.705</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205.875.726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199.122.819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254.235.208</w:t>
            </w:r>
            <w:r>
              <w:rPr>
                <w:color w:val="000000"/>
                <w:sz w:val="22"/>
                <w:szCs w:val="22"/>
              </w:rPr>
            </w:r>
            <w:r>
              <w:rPr>
                <w:color w:val="000000"/>
                <w:sz w:val="22"/>
                <w:szCs w:val="22"/>
              </w:rPr>
            </w:r>
          </w:p>
        </w:tc>
      </w:tr>
      <w:tr>
        <w:trPr>
          <w:gridBefore w:val="1"/>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đường trước sau</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w:t>
            </w:r>
            <w:r>
              <w:rPr>
                <w:b/>
                <w:bCs/>
                <w:color w:val="000000"/>
                <w:sz w:val="22"/>
                <w:szCs w:val="22"/>
              </w:rPr>
            </w:r>
            <w:r>
              <w:rPr>
                <w:b/>
                <w:bCs/>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-6.978.838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-10.370.980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-13.817.131</w:t>
            </w:r>
            <w:r>
              <w:rPr>
                <w:color w:val="000000"/>
                <w:sz w:val="22"/>
                <w:szCs w:val="22"/>
              </w:rPr>
            </w:r>
            <w:r>
              <w:rPr>
                <w:color w:val="000000"/>
                <w:sz w:val="22"/>
                <w:szCs w:val="22"/>
              </w:rPr>
            </w:r>
          </w:p>
        </w:tc>
      </w:tr>
      <w:tr>
        <w:trPr>
          <w:gridBefore w:val="1"/>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198.896.888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188.751.839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240.418.077</w:t>
            </w:r>
            <w:r>
              <w:rPr>
                <w:color w:val="000000"/>
                <w:sz w:val="22"/>
                <w:szCs w:val="22"/>
              </w:rPr>
            </w:r>
            <w:r>
              <w:rPr>
                <w:color w:val="000000"/>
                <w:sz w:val="22"/>
                <w:szCs w:val="22"/>
              </w:rPr>
            </w:r>
          </w:p>
        </w:tc>
      </w:tr>
      <w:tr>
        <w:trPr>
          <w:trHeight w:val="20"/>
        </w:trPr>
        <w:tc>
          <w:tcPr>
            <w:gridSpan w:val="2"/>
            <w:shd w:val="clear" w:color="000000" w:fill="ffffff"/>
            <w:tcBorders/>
            <w:tcW w:w="746"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Đa giác khác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vuông</w:t>
            </w:r>
            <w:r>
              <w:rPr>
                <w:b/>
                <w:bCs/>
                <w:color w:val="000000"/>
                <w:sz w:val="22"/>
                <w:szCs w:val="22"/>
              </w:rPr>
            </w:r>
            <w:r>
              <w:rPr>
                <w:b/>
                <w:bCs/>
                <w:color w:val="000000"/>
                <w:sz w:val="22"/>
                <w:szCs w:val="22"/>
              </w:rPr>
            </w:r>
          </w:p>
        </w:tc>
      </w:tr>
      <w:tr>
        <w:trPr>
          <w:trHeight w:val="20"/>
        </w:trPr>
        <w:tc>
          <w:tcPr>
            <w:gridSpan w:val="2"/>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gridSpan w:val="2"/>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-8.723.548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-6.222.588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-13.817.131</w:t>
            </w:r>
            <w:r>
              <w:rPr>
                <w:color w:val="000000"/>
                <w:sz w:val="22"/>
                <w:szCs w:val="22"/>
              </w:rPr>
            </w:r>
            <w:r>
              <w:rPr>
                <w:color w:val="000000"/>
                <w:sz w:val="22"/>
                <w:szCs w:val="22"/>
              </w:rPr>
            </w:r>
          </w:p>
        </w:tc>
      </w:tr>
      <w:tr>
        <w:trPr>
          <w:trHeight w:val="20"/>
        </w:trPr>
        <w:tc>
          <w:tcPr>
            <w:gridSpan w:val="2"/>
            <w:tcBorders/>
            <w:tcW w:w="746"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190.173.340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182.529.251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226.600.946</w:t>
            </w:r>
            <w:r>
              <w:rPr>
                <w:color w:val="000000"/>
                <w:sz w:val="22"/>
                <w:szCs w:val="22"/>
              </w:rPr>
            </w:r>
            <w:r>
              <w:rPr>
                <w:color w:val="000000"/>
                <w:sz w:val="22"/>
                <w:szCs w:val="22"/>
              </w:rPr>
            </w:r>
          </w:p>
        </w:tc>
      </w:tr>
      <w:tr>
        <w:trPr>
          <w:gridBefore w:val="1"/>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190.173.340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182.529.251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226.600.946</w:t>
            </w:r>
            <w:r>
              <w:rPr>
                <w:b/>
                <w:bCs/>
                <w:color w:val="000000"/>
                <w:sz w:val="22"/>
                <w:szCs w:val="22"/>
              </w:rPr>
            </w:r>
            <w:r>
              <w:rPr>
                <w:b/>
                <w:bCs/>
                <w:color w:val="000000"/>
                <w:sz w:val="22"/>
                <w:szCs w:val="22"/>
              </w:rPr>
            </w:r>
          </w:p>
        </w:tc>
      </w:tr>
      <w:tr>
        <w:trPr>
          <w:gridBefore w:val="1"/>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199.767.846</w:t>
            </w:r>
            <w:r>
              <w:rPr>
                <w:b/>
                <w:bCs/>
                <w:color w:val="000000"/>
                <w:sz w:val="22"/>
                <w:szCs w:val="22"/>
              </w:rPr>
            </w:r>
            <w:r>
              <w:rPr>
                <w:b/>
                <w:bCs/>
                <w:color w:val="000000"/>
                <w:sz w:val="22"/>
                <w:szCs w:val="22"/>
              </w:rPr>
            </w:r>
          </w:p>
        </w:tc>
      </w:tr>
      <w:tr>
        <w:trPr>
          <w:gridBefore w:val="1"/>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-8.63%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13.43%</w:t>
            </w:r>
            <w:r>
              <w:rPr>
                <w:color w:val="000000"/>
                <w:sz w:val="22"/>
                <w:szCs w:val="22"/>
              </w:rPr>
            </w:r>
            <w:r>
              <w:rPr>
                <w:color w:val="000000"/>
                <w:sz w:val="22"/>
                <w:szCs w:val="22"/>
              </w:rPr>
            </w:r>
          </w:p>
        </w:tc>
      </w:tr>
      <w:tr>
        <w:trPr>
          <w:gridBefore w:val="1"/>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gridBefore w:val="1"/>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47.107.158</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58.077.488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93.956.490</w:t>
            </w:r>
            <w:r>
              <w:rPr>
                <w:b/>
                <w:bCs/>
                <w:color w:val="000000"/>
                <w:sz w:val="22"/>
                <w:szCs w:val="22"/>
              </w:rPr>
            </w:r>
            <w:r>
              <w:rPr>
                <w:b/>
                <w:bCs/>
                <w:color w:val="000000"/>
                <w:sz w:val="22"/>
                <w:szCs w:val="22"/>
              </w:rPr>
            </w:r>
          </w:p>
        </w:tc>
      </w:tr>
      <w:tr>
        <w:trPr>
          <w:gridBefore w:val="1"/>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gridBefore w:val="1"/>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- 16%</w:t>
            </w:r>
            <w:r>
              <w:rPr>
                <w:sz w:val="22"/>
                <w:szCs w:val="22"/>
              </w:rPr>
            </w:r>
            <w:r>
              <w:rPr>
                <w:sz w:val="22"/>
                <w:szCs w:val="22"/>
              </w:rPr>
            </w:r>
          </w:p>
        </w:tc>
      </w:tr>
      <w:tr>
        <w:trPr>
          <w:gridBefore w:val="1"/>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15.702.386</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24.890.352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49.741.672</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-8.63</w:t>
      </w:r>
      <w:r>
        <w:t xml:space="preserve">% đến</w:t>
      </w:r>
      <w:r>
        <w:t xml:space="preserve"> </w:t>
      </w:r>
      <w:r>
        <w:t xml:space="preserve"> </w:t>
      </w:r>
      <w:r>
        <w:t xml:space="preserve">13.43</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190.173.340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63.403.792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182.529.251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60.836.999</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226.600.946</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75.526.095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199.766.886</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200.000.000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200.000.000</w:t>
      </w:r>
      <w:r>
        <w:rPr>
          <w:b/>
          <w:bCs/>
          <w:color w:val="000000" w:themeColor="text1"/>
        </w:rPr>
        <w:t xml:space="preserve"> </w:t>
      </w:r>
      <w:r>
        <w:rPr>
          <w:b/>
          <w:bCs/>
        </w:rPr>
        <w:t xml:space="preserve">đồng/m².</w:t>
      </w:r>
      <w:r>
        <w:rPr>
          <w:b/>
          <w:bCs/>
        </w:rPr>
      </w:r>
      <w:r>
        <w:rPr>
          <w:b/>
          <w:bCs/>
        </w:rPr>
      </w:r>
    </w:p>
    <w:p>
      <w:pPr>
        <w:pStyle w:val="1045"/>
        <w:numPr>
          <w:ilvl w:val="0"/>
          <w:numId w:val="26"/>
        </w:numPr>
        <w:pBdr/>
        <w:spacing w:after="120" w:before="120" w:line="276" w:lineRule="auto"/>
        <w:ind w:hanging="357" w:left="357"/>
        <w:jc w:val="both"/>
        <w:rPr>
          <w:b/>
          <w:bCs/>
        </w:rPr>
      </w:pPr>
      <w:r>
        <w:rPr>
          <w:b/>
          <w:bCs/>
        </w:rPr>
        <w:t xml:space="preserve">Xác định giá trị tài sản gắn liền với đất</w:t>
      </w:r>
      <w:r>
        <w:rPr>
          <w:b/>
          <w:bCs/>
        </w:rPr>
      </w:r>
      <w:r>
        <w:rPr>
          <w:b/>
          <w:bCs/>
        </w:rPr>
      </w:r>
    </w:p>
    <w:p>
      <w:pPr>
        <w:numPr>
          <w:ilvl w:val="0"/>
          <w:numId w:val="44"/>
        </w:numPr>
        <w:pBdr>
          <w:top w:val="none" w:color="000000" w:sz="4" w:space="0"/>
          <w:left w:val="none" w:color="000000" w:sz="4" w:space="0"/>
          <w:bottom w:val="none" w:color="000000" w:sz="4" w:space="0"/>
          <w:right w:val="none" w:color="000000" w:sz="4" w:space="0"/>
        </w:pBdr>
        <w:spacing w:after="120" w:before="120"/>
        <w:ind/>
        <w:jc w:val="both"/>
        <w:rPr/>
      </w:pPr>
      <w:r>
        <w:rPr>
          <w:rFonts w:ascii="Times New Roman" w:hAnsi="Times New Roman" w:eastAsia="Times New Roman" w:cs="Times New Roman"/>
          <w:b/>
          <w:color w:val="000000"/>
          <w:sz w:val="24"/>
        </w:rPr>
        <w:t xml:space="preserve">Xác định đơn giá xây mới của công trình xây dựng trên đất:</w:t>
      </w:r>
      <w:r/>
    </w:p>
    <w:p>
      <w:pPr>
        <w:pStyle w:val="1045"/>
        <w:numPr>
          <w:ilvl w:val="0"/>
          <w:numId w:val="46"/>
        </w:numPr>
        <w:pBdr>
          <w:top w:val="none" w:color="000000" w:sz="4" w:space="0"/>
          <w:left w:val="none" w:color="000000" w:sz="4" w:space="0"/>
          <w:bottom w:val="none" w:color="000000" w:sz="4" w:space="0"/>
          <w:right w:val="none" w:color="000000" w:sz="4" w:space="0"/>
        </w:pBdr>
        <w:shd w:val="clear" w:color="ffffff" w:fill="ffffff"/>
        <w:tabs>
          <w:tab w:val="left" w:leader="none" w:pos="180"/>
        </w:tabs>
        <w:spacing w:after="120" w:before="120" w:line="276" w:lineRule="auto"/>
        <w:ind w:right="0" w:firstLine="90" w:left="-90"/>
        <w:jc w:val="both"/>
        <w:rPr>
          <w:rFonts w:ascii="Times New Roman" w:hAnsi="Times New Roman" w:eastAsia="Times New Roman" w:cs="Times New Roman"/>
          <w:sz w:val="24"/>
        </w:rPr>
      </w:pPr>
      <w:r>
        <w:rPr>
          <w:rFonts w:ascii="Times New Roman" w:hAnsi="Times New Roman" w:eastAsia="Times New Roman" w:cs="Times New Roman"/>
          <w:color w:val="000000"/>
          <w:sz w:val="24"/>
        </w:rPr>
        <w:t xml:space="preserve">Qua tham khảo thị trường về đơn giá xây dựng mới đối với công trình nhà 5 tầng 1 tum 1, cân nhắc và xem xét với mức độ hoàn thiện của công trình xây dựng hiện có, tổ thẩm định nhận thấy đơn giá vận dụng theo </w:t>
      </w:r>
      <w:r>
        <w:rPr>
          <w:rFonts w:ascii="Times New Roman" w:hAnsi="Times New Roman" w:eastAsia="Times New Roman" w:cs="Times New Roman"/>
          <w:color w:val="000000"/>
          <w:spacing w:val="-2"/>
          <w:sz w:val="24"/>
          <w:highlight w:val="white"/>
        </w:rPr>
        <w:t xml:space="preserve">Quyết</w:t>
      </w:r>
      <w:r>
        <w:rPr>
          <w:rFonts w:ascii="Times New Roman" w:hAnsi="Times New Roman" w:eastAsia="Times New Roman" w:cs="Times New Roman"/>
          <w:color w:val="000000"/>
          <w:spacing w:val="-10"/>
          <w:sz w:val="24"/>
          <w:highlight w:val="white"/>
        </w:rPr>
        <w:t xml:space="preserve"> </w:t>
      </w:r>
      <w:r>
        <w:rPr>
          <w:rFonts w:ascii="Times New Roman" w:hAnsi="Times New Roman" w:eastAsia="Times New Roman" w:cs="Times New Roman"/>
          <w:color w:val="000000"/>
          <w:spacing w:val="-2"/>
          <w:sz w:val="24"/>
          <w:highlight w:val="white"/>
        </w:rPr>
        <w:t xml:space="preserve">định</w:t>
      </w:r>
      <w:r>
        <w:rPr>
          <w:rFonts w:ascii="Times New Roman" w:hAnsi="Times New Roman" w:eastAsia="Times New Roman" w:cs="Times New Roman"/>
          <w:color w:val="000000"/>
          <w:spacing w:val="-10"/>
          <w:sz w:val="24"/>
          <w:highlight w:val="white"/>
        </w:rPr>
        <w:t xml:space="preserve"> </w:t>
      </w:r>
      <w:r>
        <w:rPr>
          <w:rFonts w:ascii="Times New Roman" w:hAnsi="Times New Roman" w:eastAsia="Times New Roman" w:cs="Times New Roman"/>
          <w:color w:val="000000"/>
          <w:spacing w:val="-2"/>
          <w:sz w:val="24"/>
          <w:highlight w:val="white"/>
        </w:rPr>
        <w:t xml:space="preserve">số</w:t>
      </w:r>
      <w:r>
        <w:rPr>
          <w:rFonts w:ascii="Times New Roman" w:hAnsi="Times New Roman" w:eastAsia="Times New Roman" w:cs="Times New Roman"/>
          <w:color w:val="000000"/>
          <w:spacing w:val="-10"/>
          <w:sz w:val="24"/>
          <w:highlight w:val="white"/>
        </w:rPr>
        <w:t xml:space="preserve"> </w:t>
      </w:r>
      <w:r>
        <w:rPr>
          <w:rFonts w:ascii="Times New Roman" w:hAnsi="Times New Roman" w:eastAsia="Times New Roman" w:cs="Times New Roman"/>
          <w:color w:val="000000"/>
          <w:spacing w:val="-2"/>
          <w:sz w:val="24"/>
          <w:highlight w:val="white"/>
        </w:rPr>
        <w:t xml:space="preserve">425/QĐ-BXD</w:t>
      </w:r>
      <w:r>
        <w:rPr>
          <w:rFonts w:ascii="Times New Roman" w:hAnsi="Times New Roman" w:eastAsia="Times New Roman" w:cs="Times New Roman"/>
          <w:color w:val="000000"/>
          <w:spacing w:val="-11"/>
          <w:sz w:val="24"/>
          <w:highlight w:val="white"/>
        </w:rPr>
        <w:t xml:space="preserve"> </w:t>
      </w:r>
      <w:r>
        <w:rPr>
          <w:rFonts w:ascii="Times New Roman" w:hAnsi="Times New Roman" w:eastAsia="Times New Roman" w:cs="Times New Roman"/>
          <w:color w:val="000000"/>
          <w:spacing w:val="-2"/>
          <w:sz w:val="24"/>
          <w:highlight w:val="white"/>
        </w:rPr>
        <w:t xml:space="preserve">ngày</w:t>
      </w:r>
      <w:r>
        <w:rPr>
          <w:rFonts w:ascii="Times New Roman" w:hAnsi="Times New Roman" w:eastAsia="Times New Roman" w:cs="Times New Roman"/>
          <w:color w:val="000000"/>
          <w:spacing w:val="-13"/>
          <w:sz w:val="24"/>
          <w:highlight w:val="white"/>
        </w:rPr>
        <w:t xml:space="preserve"> </w:t>
      </w:r>
      <w:r>
        <w:rPr>
          <w:rFonts w:ascii="Times New Roman" w:hAnsi="Times New Roman" w:eastAsia="Times New Roman" w:cs="Times New Roman"/>
          <w:color w:val="000000"/>
          <w:spacing w:val="-2"/>
          <w:sz w:val="24"/>
          <w:highlight w:val="white"/>
        </w:rPr>
        <w:t xml:space="preserve">30/3/2026</w:t>
      </w:r>
      <w:r>
        <w:rPr>
          <w:rFonts w:ascii="Times New Roman" w:hAnsi="Times New Roman" w:eastAsia="Times New Roman" w:cs="Times New Roman"/>
          <w:color w:val="000000"/>
          <w:spacing w:val="-10"/>
          <w:sz w:val="24"/>
          <w:highlight w:val="white"/>
        </w:rPr>
        <w:t xml:space="preserve"> </w:t>
      </w:r>
      <w:r>
        <w:rPr>
          <w:rFonts w:ascii="Times New Roman" w:hAnsi="Times New Roman" w:eastAsia="Times New Roman" w:cs="Times New Roman"/>
          <w:color w:val="000000"/>
          <w:spacing w:val="-2"/>
          <w:sz w:val="24"/>
          <w:highlight w:val="white"/>
        </w:rPr>
        <w:t xml:space="preserve">của</w:t>
      </w:r>
      <w:r>
        <w:rPr>
          <w:rFonts w:ascii="Times New Roman" w:hAnsi="Times New Roman" w:eastAsia="Times New Roman" w:cs="Times New Roman"/>
          <w:color w:val="000000"/>
          <w:spacing w:val="-11"/>
          <w:sz w:val="24"/>
          <w:highlight w:val="white"/>
        </w:rPr>
        <w:t xml:space="preserve"> </w:t>
      </w:r>
      <w:r>
        <w:rPr>
          <w:rFonts w:ascii="Times New Roman" w:hAnsi="Times New Roman" w:eastAsia="Times New Roman" w:cs="Times New Roman"/>
          <w:color w:val="000000"/>
          <w:spacing w:val="-2"/>
          <w:sz w:val="24"/>
          <w:highlight w:val="white"/>
        </w:rPr>
        <w:t xml:space="preserve">Bộ</w:t>
      </w:r>
      <w:r>
        <w:rPr>
          <w:rFonts w:ascii="Times New Roman" w:hAnsi="Times New Roman" w:eastAsia="Times New Roman" w:cs="Times New Roman"/>
          <w:color w:val="000000"/>
          <w:spacing w:val="-10"/>
          <w:sz w:val="24"/>
          <w:highlight w:val="white"/>
        </w:rPr>
        <w:t xml:space="preserve"> </w:t>
      </w:r>
      <w:r>
        <w:rPr>
          <w:rFonts w:ascii="Times New Roman" w:hAnsi="Times New Roman" w:eastAsia="Times New Roman" w:cs="Times New Roman"/>
          <w:color w:val="000000"/>
          <w:spacing w:val="-2"/>
          <w:sz w:val="24"/>
          <w:highlight w:val="white"/>
        </w:rPr>
        <w:t xml:space="preserve">Xây</w:t>
      </w:r>
      <w:r>
        <w:rPr>
          <w:rFonts w:ascii="Times New Roman" w:hAnsi="Times New Roman" w:eastAsia="Times New Roman" w:cs="Times New Roman"/>
          <w:color w:val="000000"/>
          <w:spacing w:val="-13"/>
          <w:sz w:val="24"/>
          <w:highlight w:val="white"/>
        </w:rPr>
        <w:t xml:space="preserve"> </w:t>
      </w:r>
      <w:r>
        <w:rPr>
          <w:rFonts w:ascii="Times New Roman" w:hAnsi="Times New Roman" w:eastAsia="Times New Roman" w:cs="Times New Roman"/>
          <w:color w:val="000000"/>
          <w:spacing w:val="-2"/>
          <w:sz w:val="24"/>
          <w:highlight w:val="white"/>
        </w:rPr>
        <w:t xml:space="preserve">dựng</w:t>
      </w:r>
      <w:r>
        <w:rPr>
          <w:rFonts w:ascii="Times New Roman" w:hAnsi="Times New Roman" w:eastAsia="Times New Roman" w:cs="Times New Roman"/>
          <w:color w:val="000000"/>
          <w:spacing w:val="-10"/>
          <w:sz w:val="24"/>
          <w:highlight w:val="white"/>
        </w:rPr>
        <w:t xml:space="preserve"> </w:t>
      </w:r>
      <w:r>
        <w:rPr>
          <w:rFonts w:ascii="Times New Roman" w:hAnsi="Times New Roman" w:eastAsia="Times New Roman" w:cs="Times New Roman"/>
          <w:color w:val="000000"/>
          <w:spacing w:val="-2"/>
          <w:sz w:val="24"/>
          <w:highlight w:val="white"/>
        </w:rPr>
        <w:t xml:space="preserve">về</w:t>
      </w:r>
      <w:r>
        <w:rPr>
          <w:rFonts w:ascii="Times New Roman" w:hAnsi="Times New Roman" w:eastAsia="Times New Roman" w:cs="Times New Roman"/>
          <w:color w:val="000000"/>
          <w:spacing w:val="-11"/>
          <w:sz w:val="24"/>
          <w:highlight w:val="white"/>
        </w:rPr>
        <w:t xml:space="preserve"> </w:t>
      </w:r>
      <w:r>
        <w:rPr>
          <w:rFonts w:ascii="Times New Roman" w:hAnsi="Times New Roman" w:eastAsia="Times New Roman" w:cs="Times New Roman"/>
          <w:color w:val="000000"/>
          <w:spacing w:val="-2"/>
          <w:sz w:val="24"/>
          <w:highlight w:val="white"/>
        </w:rPr>
        <w:t xml:space="preserve">việc</w:t>
      </w:r>
      <w:r>
        <w:rPr>
          <w:rFonts w:ascii="Times New Roman" w:hAnsi="Times New Roman" w:eastAsia="Times New Roman" w:cs="Times New Roman"/>
          <w:color w:val="000000"/>
          <w:spacing w:val="-11"/>
          <w:sz w:val="24"/>
          <w:highlight w:val="white"/>
        </w:rPr>
        <w:t xml:space="preserve"> </w:t>
      </w:r>
      <w:r>
        <w:rPr>
          <w:rFonts w:ascii="Times New Roman" w:hAnsi="Times New Roman" w:eastAsia="Times New Roman" w:cs="Times New Roman"/>
          <w:color w:val="000000"/>
          <w:spacing w:val="-2"/>
          <w:sz w:val="24"/>
          <w:highlight w:val="white"/>
        </w:rPr>
        <w:t xml:space="preserve">công</w:t>
      </w:r>
      <w:r>
        <w:rPr>
          <w:rFonts w:ascii="Times New Roman" w:hAnsi="Times New Roman" w:eastAsia="Times New Roman" w:cs="Times New Roman"/>
          <w:color w:val="000000"/>
          <w:spacing w:val="-10"/>
          <w:sz w:val="24"/>
          <w:highlight w:val="white"/>
        </w:rPr>
        <w:t xml:space="preserve"> </w:t>
      </w:r>
      <w:r>
        <w:rPr>
          <w:rFonts w:ascii="Times New Roman" w:hAnsi="Times New Roman" w:eastAsia="Times New Roman" w:cs="Times New Roman"/>
          <w:color w:val="000000"/>
          <w:spacing w:val="-2"/>
          <w:sz w:val="24"/>
          <w:highlight w:val="white"/>
        </w:rPr>
        <w:t xml:space="preserve">bố</w:t>
      </w:r>
      <w:r>
        <w:rPr>
          <w:rFonts w:ascii="Times New Roman" w:hAnsi="Times New Roman" w:eastAsia="Times New Roman" w:cs="Times New Roman"/>
          <w:color w:val="000000"/>
          <w:spacing w:val="-13"/>
          <w:sz w:val="24"/>
          <w:highlight w:val="white"/>
        </w:rPr>
        <w:t xml:space="preserve"> </w:t>
      </w:r>
      <w:r>
        <w:rPr>
          <w:rFonts w:ascii="Times New Roman" w:hAnsi="Times New Roman" w:eastAsia="Times New Roman" w:cs="Times New Roman"/>
          <w:color w:val="000000"/>
          <w:spacing w:val="-2"/>
          <w:sz w:val="24"/>
          <w:highlight w:val="white"/>
        </w:rPr>
        <w:t xml:space="preserve">suất</w:t>
      </w:r>
      <w:r>
        <w:rPr>
          <w:rFonts w:ascii="Times New Roman" w:hAnsi="Times New Roman" w:eastAsia="Times New Roman" w:cs="Times New Roman"/>
          <w:color w:val="000000"/>
          <w:spacing w:val="-12"/>
          <w:sz w:val="24"/>
          <w:highlight w:val="white"/>
        </w:rPr>
        <w:t xml:space="preserve"> </w:t>
      </w:r>
      <w:r>
        <w:rPr>
          <w:rFonts w:ascii="Times New Roman" w:hAnsi="Times New Roman" w:eastAsia="Times New Roman" w:cs="Times New Roman"/>
          <w:color w:val="000000"/>
          <w:spacing w:val="-2"/>
          <w:sz w:val="24"/>
          <w:highlight w:val="white"/>
        </w:rPr>
        <w:t xml:space="preserve">vốn</w:t>
      </w:r>
      <w:r>
        <w:rPr>
          <w:rFonts w:ascii="Times New Roman" w:hAnsi="Times New Roman" w:eastAsia="Times New Roman" w:cs="Times New Roman"/>
          <w:color w:val="000000"/>
          <w:spacing w:val="-13"/>
          <w:sz w:val="24"/>
          <w:highlight w:val="white"/>
        </w:rPr>
        <w:t xml:space="preserve"> </w:t>
      </w:r>
      <w:r>
        <w:rPr>
          <w:rFonts w:ascii="Times New Roman" w:hAnsi="Times New Roman" w:eastAsia="Times New Roman" w:cs="Times New Roman"/>
          <w:color w:val="000000"/>
          <w:spacing w:val="-2"/>
          <w:sz w:val="24"/>
          <w:highlight w:val="white"/>
        </w:rPr>
        <w:t xml:space="preserve">đầu </w:t>
      </w:r>
      <w:r>
        <w:rPr>
          <w:rFonts w:ascii="Times New Roman" w:hAnsi="Times New Roman" w:eastAsia="Times New Roman" w:cs="Times New Roman"/>
          <w:color w:val="000000"/>
          <w:sz w:val="24"/>
          <w:highlight w:val="white"/>
        </w:rPr>
        <w:t xml:space="preserve">tư xây dựng và giá xây dựng tổng hợp bộ phận kết cấu công trình năm 2025</w:t>
      </w:r>
      <w:r>
        <w:rPr>
          <w:rFonts w:ascii="Times New Roman" w:hAnsi="Times New Roman" w:eastAsia="Times New Roman" w:cs="Times New Roman"/>
          <w:color w:val="000000"/>
          <w:sz w:val="24"/>
        </w:rPr>
        <w:t xml:space="preserve">, theo đó</w:t>
      </w:r>
      <w:r>
        <w:rPr>
          <w:rFonts w:ascii="Times New Roman" w:hAnsi="Times New Roman" w:eastAsia="Times New Roman" w:cs="Times New Roman"/>
          <w:color w:val="000000"/>
          <w:spacing w:val="-4"/>
          <w:sz w:val="24"/>
        </w:rPr>
        <w:t xml:space="preserve">:</w:t>
      </w:r>
      <w:r>
        <w:rPr>
          <w:rFonts w:ascii="Times New Roman" w:hAnsi="Times New Roman" w:eastAsia="Times New Roman" w:cs="Times New Roman"/>
          <w:sz w:val="24"/>
        </w:rPr>
      </w:r>
      <w:r>
        <w:rPr>
          <w:rFonts w:ascii="Times New Roman" w:hAnsi="Times New Roman" w:eastAsia="Times New Roman" w:cs="Times New Roman"/>
          <w:sz w:val="24"/>
        </w:rPr>
      </w:r>
    </w:p>
    <w:p>
      <w:pPr>
        <w:pBdr>
          <w:top w:val="none" w:color="000000" w:sz="4" w:space="0"/>
          <w:left w:val="none" w:color="000000" w:sz="4" w:space="0"/>
          <w:bottom w:val="none" w:color="000000" w:sz="4" w:space="0"/>
          <w:right w:val="none" w:color="000000" w:sz="4" w:space="0"/>
        </w:pBdr>
        <w:spacing w:line="276" w:lineRule="auto"/>
        <w:ind w:right="0" w:firstLine="284" w:left="0"/>
        <w:jc w:val="both"/>
        <w:rPr>
          <w:rFonts w:ascii="Times New Roman" w:hAnsi="Times New Roman" w:cs="Times New Roman"/>
          <w:bCs/>
          <w:i/>
          <w:szCs w:val="24"/>
        </w:rPr>
      </w:pPr>
      <w:r>
        <w:rPr>
          <w:rFonts w:ascii="Times New Roman" w:hAnsi="Times New Roman" w:eastAsia="Times New Roman" w:cs="Times New Roman"/>
          <w:i/>
          <w:iCs/>
          <w:color w:val="000000"/>
          <w:spacing w:val="-2"/>
          <w:sz w:val="24"/>
          <w:szCs w:val="24"/>
          <w:highlight w:val="white"/>
        </w:rPr>
        <w:t xml:space="preserve">“Suất vốn đầu tư Nhà từ 4 đến 5 tầng, kết cấu khung chịu lực BTCT; tường bao xây gạch; sàn, mái BTCT đổ tại chỗ, không có tầng hầm diện tích xây dựng </w:t>
      </w:r>
      <w:r>
        <w:rPr>
          <w:rFonts w:ascii="Times New Roman" w:hAnsi="Times New Roman" w:eastAsia="Times New Roman" w:cs="Times New Roman"/>
          <w:i/>
          <w:iCs/>
          <w:color w:val="000000"/>
          <w:sz w:val="24"/>
          <w:szCs w:val="24"/>
          <w:highlight w:val="white"/>
        </w:rPr>
        <w:t xml:space="preserve">từ 50 - dưới 70m</w:t>
      </w:r>
      <w:r>
        <w:rPr>
          <w:rFonts w:ascii="Times New Roman" w:hAnsi="Times New Roman" w:eastAsia="Times New Roman" w:cs="Times New Roman"/>
          <w:i/>
          <w:iCs/>
          <w:color w:val="000000"/>
          <w:sz w:val="24"/>
          <w:szCs w:val="24"/>
          <w:highlight w:val="white"/>
          <w:vertAlign w:val="superscript"/>
        </w:rPr>
        <w:t xml:space="preserve">2</w:t>
      </w:r>
      <w:r>
        <w:rPr>
          <w:rFonts w:ascii="Times New Roman" w:hAnsi="Times New Roman" w:eastAsia="Times New Roman" w:cs="Times New Roman"/>
          <w:i/>
          <w:iCs/>
          <w:color w:val="000000"/>
          <w:spacing w:val="-2"/>
          <w:sz w:val="24"/>
          <w:szCs w:val="24"/>
          <w:highlight w:val="white"/>
        </w:rPr>
        <w:t xml:space="preserve"> có đơn giá đã bao gồm VAT là </w:t>
      </w:r>
      <w:r>
        <w:rPr>
          <w:rFonts w:ascii="Times New Roman" w:hAnsi="Times New Roman" w:eastAsia="Times New Roman" w:cs="Times New Roman"/>
          <w:i/>
          <w:iCs/>
          <w:color w:val="000000"/>
          <w:spacing w:val="-2"/>
          <w:sz w:val="24"/>
          <w:szCs w:val="24"/>
        </w:rPr>
        <w:t xml:space="preserve">8.497.000 </w:t>
      </w:r>
      <w:r>
        <w:rPr>
          <w:rFonts w:ascii="Times New Roman" w:hAnsi="Times New Roman" w:eastAsia="Times New Roman" w:cs="Times New Roman"/>
          <w:i/>
          <w:iCs/>
          <w:color w:val="000000"/>
          <w:spacing w:val="-2"/>
          <w:sz w:val="24"/>
          <w:szCs w:val="24"/>
          <w:highlight w:val="white"/>
        </w:rPr>
        <w:t xml:space="preserve">đồng/m²sàn.</w:t>
      </w:r>
      <w:r>
        <w:rPr>
          <w:rFonts w:ascii="Times New Roman" w:hAnsi="Times New Roman" w:cs="Times New Roman"/>
          <w:bCs/>
          <w:i/>
          <w:szCs w:val="24"/>
        </w:rPr>
      </w:r>
      <w:r>
        <w:rPr>
          <w:rFonts w:ascii="Times New Roman" w:hAnsi="Times New Roman" w:cs="Times New Roman"/>
          <w:bCs/>
          <w:i/>
          <w:szCs w:val="24"/>
        </w:rPr>
      </w:r>
    </w:p>
    <w:p>
      <w:pPr>
        <w:pBdr>
          <w:top w:val="none" w:color="000000" w:sz="4" w:space="0"/>
          <w:left w:val="none" w:color="000000" w:sz="4" w:space="0"/>
          <w:bottom w:val="none" w:color="000000" w:sz="4" w:space="0"/>
          <w:right w:val="none" w:color="000000" w:sz="4" w:space="0"/>
        </w:pBdr>
        <w:tabs>
          <w:tab w:val="left" w:leader="none" w:pos="567"/>
        </w:tabs>
        <w:spacing w:after="60" w:before="60" w:line="276" w:lineRule="auto"/>
        <w:ind w:right="0" w:firstLine="284" w:left="0"/>
        <w:jc w:val="both"/>
        <w:rPr/>
      </w:pPr>
      <w:r>
        <w:rPr>
          <w:rFonts w:ascii="Times New Roman" w:hAnsi="Times New Roman" w:eastAsia="Times New Roman" w:cs="Times New Roman"/>
          <w:i/>
          <w:color w:val="000000"/>
          <w:sz w:val="24"/>
          <w:highlight w:val="white"/>
        </w:rPr>
        <w:t xml:space="preserve">Hệ số điều chỉnh vùng cho Suất đầu tư: Hà Nội thuộc vùng 7 có hệ số điều chỉnh là 0,952.”</w:t>
      </w:r>
      <w:r/>
    </w:p>
    <w:p>
      <w:pPr>
        <w:pBdr>
          <w:top w:val="none" w:color="000000" w:sz="4" w:space="0"/>
          <w:left w:val="none" w:color="000000" w:sz="4" w:space="0"/>
          <w:bottom w:val="none" w:color="000000" w:sz="4" w:space="0"/>
          <w:right w:val="none" w:color="000000" w:sz="4" w:space="0"/>
        </w:pBdr>
        <w:spacing w:after="60" w:before="60" w:line="276" w:lineRule="auto"/>
        <w:ind w:right="0" w:firstLine="284" w:left="0"/>
        <w:jc w:val="both"/>
        <w:rPr>
          <w:rFonts w:ascii="Times New Roman" w:hAnsi="Times New Roman" w:eastAsia="Times New Roman" w:cs="Times New Roman"/>
          <w:sz w:val="24"/>
        </w:rPr>
      </w:pPr>
      <w:r>
        <w:rPr>
          <w:rFonts w:ascii="Times New Roman" w:hAnsi="Times New Roman" w:eastAsia="Times New Roman" w:cs="Times New Roman"/>
          <w:i/>
          <w:color w:val="000000"/>
          <w:spacing w:val="3"/>
          <w:sz w:val="24"/>
          <w:highlight w:val="white"/>
        </w:rPr>
        <w:t xml:space="preserve">Do đó, Tổ thẩm định xác định đơn giá xây mới của công trình xây dựng là: (Suất đầu tư xây dựng) x (Hệ số vùng) = </w:t>
      </w:r>
      <w:r>
        <w:rPr>
          <w:rFonts w:ascii="Times New Roman" w:hAnsi="Times New Roman" w:eastAsia="Times New Roman" w:cs="Times New Roman"/>
          <w:i/>
          <w:color w:val="000000"/>
          <w:sz w:val="24"/>
        </w:rPr>
        <w:t xml:space="preserve">8.497.000 </w:t>
      </w:r>
      <w:r>
        <w:rPr>
          <w:rFonts w:ascii="Times New Roman" w:hAnsi="Times New Roman" w:eastAsia="Times New Roman" w:cs="Times New Roman"/>
          <w:i/>
          <w:color w:val="000000"/>
          <w:spacing w:val="3"/>
          <w:sz w:val="24"/>
          <w:highlight w:val="white"/>
        </w:rPr>
        <w:t xml:space="preserve">x 0,952 = </w:t>
      </w:r>
      <w:r>
        <w:rPr>
          <w:rFonts w:ascii="Times New Roman" w:hAnsi="Times New Roman" w:eastAsia="Times New Roman" w:cs="Times New Roman"/>
          <w:b/>
          <w:i/>
          <w:color w:val="000000"/>
          <w:spacing w:val="3"/>
          <w:sz w:val="24"/>
          <w:highlight w:val="white"/>
        </w:rPr>
        <w:t xml:space="preserve"> </w:t>
      </w:r>
      <w:r>
        <w:rPr>
          <w:rFonts w:ascii="Calibri" w:hAnsi="Calibri" w:eastAsia="Calibri" w:cs="Calibri"/>
          <w:color w:val="000000"/>
          <w:sz w:val="22"/>
        </w:rPr>
        <w:t xml:space="preserve"> </w:t>
      </w:r>
      <w:r>
        <w:rPr>
          <w:rFonts w:ascii="Times New Roman" w:hAnsi="Times New Roman" w:eastAsia="Times New Roman" w:cs="Times New Roman"/>
          <w:i/>
          <w:iCs/>
          <w:color w:val="000000"/>
          <w:sz w:val="24"/>
          <w:szCs w:val="24"/>
        </w:rPr>
        <w:t xml:space="preserve">8.089.144</w:t>
      </w:r>
      <w:r>
        <w:rPr>
          <w:rFonts w:ascii="Times New Roman" w:hAnsi="Times New Roman" w:eastAsia="Times New Roman" w:cs="Times New Roman"/>
          <w:b/>
          <w:i/>
          <w:color w:val="000000"/>
          <w:spacing w:val="3"/>
          <w:sz w:val="24"/>
          <w:highlight w:val="white"/>
        </w:rPr>
        <w:t xml:space="preserve"> </w:t>
      </w:r>
      <w:r>
        <w:rPr>
          <w:rFonts w:ascii="Times New Roman" w:hAnsi="Times New Roman" w:eastAsia="Times New Roman" w:cs="Times New Roman"/>
          <w:b w:val="0"/>
          <w:bCs w:val="0"/>
          <w:i/>
          <w:color w:val="000000"/>
          <w:spacing w:val="3"/>
          <w:sz w:val="24"/>
          <w:highlight w:val="white"/>
        </w:rPr>
        <w:t xml:space="preserve">đồng/m² sàn.</w:t>
      </w:r>
      <w:r>
        <w:rPr>
          <w:rFonts w:ascii="Times New Roman" w:hAnsi="Times New Roman" w:eastAsia="Times New Roman" w:cs="Times New Roman"/>
          <w:sz w:val="24"/>
        </w:rPr>
      </w:r>
      <w:r>
        <w:rPr>
          <w:rFonts w:ascii="Times New Roman" w:hAnsi="Times New Roman" w:eastAsia="Times New Roman" w:cs="Times New Roman"/>
          <w:sz w:val="24"/>
        </w:rPr>
      </w:r>
    </w:p>
    <w:p>
      <w:pPr>
        <w:numPr>
          <w:ilvl w:val="0"/>
          <w:numId w:val="47"/>
        </w:numPr>
        <w:pBdr>
          <w:top w:val="none" w:color="000000" w:sz="4" w:space="0"/>
          <w:left w:val="none" w:color="000000" w:sz="4" w:space="0"/>
          <w:bottom w:val="none" w:color="000000" w:sz="4" w:space="0"/>
          <w:right w:val="none" w:color="000000" w:sz="4" w:space="0"/>
        </w:pBdr>
        <w:spacing w:after="120" w:before="120"/>
        <w:ind/>
        <w:jc w:val="both"/>
        <w:rPr/>
      </w:pPr>
      <w:r>
        <w:rPr>
          <w:rFonts w:ascii="Times New Roman" w:hAnsi="Times New Roman" w:eastAsia="Times New Roman" w:cs="Times New Roman"/>
          <w:b/>
          <w:color w:val="000000"/>
          <w:sz w:val="24"/>
        </w:rPr>
        <w:t xml:space="preserve">Xác định giá trị hao mòn theo kỹ thuật tuổi đời:</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w:t>
      </w:r>
      <w:r>
        <w:rPr>
          <w:rFonts w:ascii="Times New Roman" w:hAnsi="Times New Roman" w:eastAsia="Times New Roman" w:cs="Times New Roman"/>
          <w:color w:val="000000"/>
          <w:spacing w:val="2"/>
          <w:sz w:val="24"/>
        </w:rPr>
        <w:t xml:space="preserve">ành đưa vào sử dụng khoảng đầu năm 2024, do vậy tổ thẩm định xác định tuổi đời hiệu quả của công trình là khoảng 2 năm.</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là 50 năm.</w:t>
      </w:r>
      <w:r/>
    </w:p>
    <w:tbl>
      <w:tblPr>
        <w:tblStyle w:val="1049"/>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587"/>
        <w:gridCol w:w="1587"/>
        <w:gridCol w:w="1587"/>
        <w:gridCol w:w="1587"/>
        <w:gridCol w:w="1587"/>
        <w:gridCol w:w="1587"/>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b/>
                <w:color w:val="000000"/>
                <w:sz w:val="22"/>
                <w:highlight w:val="white"/>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Tỉ lệ hao mòn (%)</w:t>
            </w:r>
            <w:r/>
          </w:p>
        </w:tc>
      </w:tr>
      <w:tr>
        <w:trPr>
          <w:trHeight w:val="312"/>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2"/>
                <w:highlight w:val="white"/>
              </w:rPr>
              <w:t xml:space="preserve">Nhà 05 tầng </w:t>
            </w:r>
            <w:r>
              <w:rPr>
                <w:rFonts w:ascii="Times New Roman" w:hAnsi="Times New Roman" w:eastAsia="Times New Roman" w:cs="Times New Roman"/>
                <w:color w:val="000000"/>
                <w:sz w:val="22"/>
                <w:highlight w:val="none"/>
              </w:rPr>
              <w:t xml:space="preserve">1 tum</w:t>
            </w:r>
            <w:r/>
          </w:p>
        </w:tc>
        <w:tc>
          <w:tcPr>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pPr>
            <w:r>
              <w:rPr>
                <w:rFonts w:ascii="Times New Roman" w:hAnsi="Times New Roman" w:eastAsia="Times New Roman" w:cs="Times New Roman"/>
                <w:color w:val="000000"/>
                <w:sz w:val="22"/>
                <w:highlight w:val="white"/>
              </w:rPr>
              <w:t xml:space="preserve">202</w:t>
            </w:r>
            <w:r>
              <w:rPr>
                <w:rFonts w:ascii="Times New Roman" w:hAnsi="Times New Roman" w:eastAsia="Times New Roman" w:cs="Times New Roman"/>
                <w:color w:val="000000"/>
                <w:sz w:val="22"/>
                <w:highlight w:val="none"/>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2"/>
                <w:highlight w:val="white"/>
              </w:rPr>
              <w:t xml:space="preserve">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2"/>
                <w:highlight w:val="white"/>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2"/>
                <w:highlight w:val="none"/>
              </w:rPr>
              <w:t xml:space="preserve">2</w:t>
            </w:r>
            <w:r>
              <w:rPr>
                <w:rFonts w:ascii="Times New Roman" w:hAnsi="Times New Roman" w:eastAsia="Times New Roman" w:cs="Times New Roman"/>
                <w:color w:val="000000"/>
                <w:sz w:val="22"/>
                <w:highlight w:val="white"/>
              </w:r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color w:val="000000"/>
                <w:sz w:val="22"/>
                <w:highlight w:val="none"/>
              </w:rPr>
              <w:t xml:space="preserve">4</w:t>
            </w:r>
            <w:r>
              <w:rPr>
                <w:rFonts w:ascii="Times New Roman" w:hAnsi="Times New Roman" w:eastAsia="Times New Roman" w:cs="Times New Roman"/>
                <w:color w:val="000000"/>
                <w:sz w:val="22"/>
                <w:highlight w:val="white"/>
              </w:rPr>
              <w:t xml:space="preserve">%</w:t>
            </w:r>
            <w:r/>
          </w:p>
        </w:tc>
      </w:tr>
    </w:tbl>
    <w:p>
      <w:pPr>
        <w:pBdr>
          <w:top w:val="none" w:color="000000" w:sz="4" w:space="0"/>
          <w:left w:val="none" w:color="000000" w:sz="4" w:space="0"/>
          <w:bottom w:val="none" w:color="000000" w:sz="4" w:space="0"/>
          <w:right w:val="none" w:color="000000" w:sz="4" w:space="0"/>
        </w:pBdr>
        <w:spacing w:after="120" w:before="120"/>
        <w:ind w:right="0" w:firstLine="0" w:left="0"/>
        <w:jc w:val="both"/>
        <w:rPr/>
      </w:pPr>
      <w:r>
        <w:rPr>
          <w:rFonts w:ascii="Times New Roman" w:hAnsi="Times New Roman" w:eastAsia="Times New Roman" w:cs="Times New Roman"/>
          <w:color w:val="000000"/>
          <w:sz w:val="24"/>
          <w:highlight w:val="white"/>
        </w:rPr>
        <w:t xml:space="preserve">Tổ thẩm định xác định tỉ lệ hao mòn của tài sản thẩm định là: </w:t>
      </w:r>
      <w:r>
        <w:rPr>
          <w:rFonts w:ascii="Times New Roman" w:hAnsi="Times New Roman" w:eastAsia="Times New Roman" w:cs="Times New Roman"/>
          <w:b/>
          <w:color w:val="000000"/>
          <w:sz w:val="24"/>
          <w:highlight w:val="white"/>
        </w:rPr>
        <w:t xml:space="preserve">8%, </w:t>
      </w:r>
      <w:r>
        <w:rPr>
          <w:rFonts w:ascii="Times New Roman" w:hAnsi="Times New Roman" w:eastAsia="Times New Roman" w:cs="Times New Roman"/>
          <w:color w:val="000000"/>
          <w:sz w:val="24"/>
          <w:highlight w:val="white"/>
        </w:rPr>
        <w:t xml:space="preserve">tương ứng tỷ lệ CLCL của tài sản thẩm định là</w:t>
      </w:r>
      <w:r>
        <w:rPr>
          <w:rFonts w:ascii="Times New Roman" w:hAnsi="Times New Roman" w:eastAsia="Times New Roman" w:cs="Times New Roman"/>
          <w:b/>
          <w:color w:val="000000"/>
          <w:sz w:val="24"/>
          <w:highlight w:val="white"/>
        </w:rPr>
        <w:t xml:space="preserve"> 96%.</w:t>
      </w:r>
      <w:r/>
    </w:p>
    <w:p>
      <w:pPr>
        <w:numPr>
          <w:ilvl w:val="0"/>
          <w:numId w:val="48"/>
        </w:numPr>
        <w:pBdr>
          <w:top w:val="none" w:color="000000" w:sz="4" w:space="0"/>
          <w:left w:val="none" w:color="000000" w:sz="4" w:space="0"/>
          <w:bottom w:val="none" w:color="000000" w:sz="4" w:space="0"/>
          <w:right w:val="none" w:color="000000" w:sz="4" w:space="0"/>
        </w:pBdr>
        <w:spacing w:after="120" w:before="120"/>
        <w:ind/>
        <w:jc w:val="both"/>
        <w:rPr/>
      </w:pPr>
      <w:r>
        <w:rPr>
          <w:rFonts w:ascii="Times New Roman" w:hAnsi="Times New Roman" w:eastAsia="Times New Roman" w:cs="Times New Roman"/>
          <w:b/>
          <w:color w:val="000000"/>
          <w:sz w:val="24"/>
          <w:highlight w:val="white"/>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ind w:right="0" w:firstLine="284" w:left="0"/>
        <w:jc w:val="both"/>
        <w:rPr/>
      </w:pPr>
      <w:r>
        <w:rPr>
          <w:rFonts w:ascii="Times New Roman" w:hAnsi="Times New Roman" w:eastAsia="Times New Roman" w:cs="Times New Roman"/>
          <w:color w:val="000000"/>
          <w:spacing w:val="2"/>
          <w:sz w:val="24"/>
          <w:highlight w:val="white"/>
        </w:rPr>
        <w:t xml:space="preserve">Công thức:</w:t>
      </w:r>
      <w:r/>
    </w:p>
    <w:tbl>
      <w:tblPr>
        <w:tblStyle w:val="1049"/>
        <w:tblInd w:w="250"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shd w:val="clear" w:color="ffffff" w:fill="ffffff"/>
        <w:tblLayout w:type="autofit"/>
        <w:tblLook w:val="04A0" w:firstRow="1" w:lastRow="0" w:firstColumn="1" w:lastColumn="0" w:noHBand="0" w:noVBand="1"/>
      </w:tblPr>
      <w:tblGrid>
        <w:gridCol w:w="1633"/>
        <w:gridCol w:w="351"/>
        <w:gridCol w:w="4030"/>
        <w:gridCol w:w="567"/>
        <w:gridCol w:w="2693"/>
      </w:tblGrid>
      <w:tr>
        <w:trPr>
          <w:trHeight w:val="794"/>
        </w:trPr>
        <w:tc>
          <w:tcPr>
            <w:tcBorders/>
            <w:tcMar>
              <w:left w:w="108" w:type="dxa"/>
              <w:top w:w="0" w:type="dxa"/>
              <w:right w:w="108" w:type="dxa"/>
              <w:bottom w:w="0" w:type="dxa"/>
            </w:tcMar>
            <w:tcW w:w="163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highlight w:val="white"/>
              </w:rPr>
              <w:t xml:space="preserve">Giá trị ước tính của tài sản</w:t>
            </w:r>
            <w:r/>
          </w:p>
        </w:tc>
        <w:tc>
          <w:tcPr>
            <w:tcBorders/>
            <w:tcMar>
              <w:left w:w="108" w:type="dxa"/>
              <w:top w:w="0" w:type="dxa"/>
              <w:right w:w="108" w:type="dxa"/>
              <w:bottom w:w="0" w:type="dxa"/>
            </w:tcMar>
            <w:tcW w:w="35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403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highlight w:val="white"/>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ind w:right="0" w:firstLine="0" w:left="0"/>
              <w:jc w:val="center"/>
              <w:rPr/>
            </w:pPr>
            <w:r>
              <w:rPr>
                <w:rFonts w:ascii="Times New Roman" w:hAnsi="Times New Roman" w:eastAsia="Times New Roman" w:cs="Times New Roman"/>
                <w:color w:val="000000"/>
                <w:sz w:val="24"/>
                <w:highlight w:val="white"/>
              </w:rPr>
              <w:t xml:space="preserve">(Giá trị xây mới tài sản-đã bao gồm lợi nhuận của nhà sản xuất/nhà đầu tư)</w:t>
            </w:r>
            <w:r/>
          </w:p>
        </w:tc>
        <w:tc>
          <w:tcPr>
            <w:tcBorders/>
            <w:tcMar>
              <w:left w:w="108" w:type="dxa"/>
              <w:top w:w="0" w:type="dxa"/>
              <w:right w:w="108" w:type="dxa"/>
              <w:bottom w:w="0" w:type="dxa"/>
            </w:tcMar>
            <w:tcW w:w="56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highlight w:val="white"/>
              </w:rPr>
              <w:t xml:space="preserve">-</w:t>
            </w:r>
            <w:r/>
          </w:p>
        </w:tc>
        <w:tc>
          <w:tcPr>
            <w:tcBorders/>
            <w:tcMar>
              <w:left w:w="108" w:type="dxa"/>
              <w:top w:w="0" w:type="dxa"/>
              <w:right w:w="108" w:type="dxa"/>
              <w:bottom w:w="0" w:type="dxa"/>
            </w:tcMar>
            <w:tcW w:w="269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highlight w:val="white"/>
              </w:rPr>
              <w:t xml:space="preserve">Tổng giá trị hao mòn </w:t>
            </w:r>
            <w:r/>
          </w:p>
        </w:tc>
      </w:tr>
    </w:tbl>
    <w:p>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highlight w:val="white"/>
        </w:rPr>
        <w:t xml:space="preserve"> </w:t>
      </w:r>
      <w:r/>
    </w:p>
    <w:tbl>
      <w:tblPr>
        <w:tblStyle w:val="1049"/>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1361"/>
        <w:gridCol w:w="1361"/>
        <w:gridCol w:w="1361"/>
        <w:gridCol w:w="1615"/>
        <w:gridCol w:w="850"/>
        <w:gridCol w:w="1417"/>
        <w:gridCol w:w="1560"/>
      </w:tblGrid>
      <w:tr>
        <w:trPr>
          <w:trHeight w:val="992"/>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Tài sản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Diện tích sàn (m²)</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Đơn giá xây dựng mới (đồng/m² sàn)</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Chi phí thay thế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Tỷ lệ hao mòn (%)</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Giá trị hao mòn (đồng)</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Giá trị thẩm định tại thời điểm thẩm định giá (đồng)</w:t>
            </w:r>
            <w:r/>
          </w:p>
        </w:tc>
      </w:tr>
      <w:tr>
        <w:trPr>
          <w:trHeight w:val="300"/>
        </w:trPr>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(1)</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(2)</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(4) = (2) * (3)</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(6)=(4)*(5)</w:t>
            </w:r>
            <w:r/>
          </w:p>
        </w:tc>
        <w:tc>
          <w:tcPr>
            <w:shd w:val="clear" w:color="ffffff" w:fill="ffffff"/>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ind w:right="0" w:firstLine="0" w:left="0"/>
              <w:jc w:val="center"/>
              <w:rPr/>
            </w:pPr>
            <w:r>
              <w:rPr>
                <w:rFonts w:ascii="Times New Roman" w:hAnsi="Times New Roman" w:eastAsia="Times New Roman" w:cs="Times New Roman"/>
                <w:b/>
                <w:color w:val="000000"/>
                <w:sz w:val="22"/>
                <w:highlight w:val="white"/>
              </w:rPr>
              <w:t xml:space="preserve">(7) = (4) - (6)</w:t>
            </w:r>
            <w:r/>
          </w:p>
        </w:tc>
      </w:tr>
      <w:tr>
        <w:trPr>
          <w:trHeight w:val="312"/>
        </w:trPr>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61"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highlight w:val="white"/>
              </w:rPr>
              <w:t xml:space="preserve">Nhà 05 tầng 1 tum</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61"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highlight w:val="none"/>
              </w:rPr>
              <w:t xml:space="preserve">261,3</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361"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ind w:right="0" w:firstLine="0" w:left="0"/>
              <w:jc w:val="center"/>
              <w:rPr>
                <w:rFonts w:ascii="Times New Roman" w:hAnsi="Times New Roman" w:cs="Times New Roman"/>
                <w:bCs w:val="0"/>
                <w:i w:val="0"/>
                <w:sz w:val="22"/>
                <w:szCs w:val="22"/>
              </w:rPr>
            </w:pPr>
            <w:r>
              <w:rPr>
                <w:rFonts w:ascii="Times New Roman" w:hAnsi="Times New Roman" w:eastAsia="Times New Roman" w:cs="Times New Roman"/>
                <w:color w:val="000000"/>
                <w:spacing w:val="3"/>
                <w:sz w:val="22"/>
                <w:szCs w:val="22"/>
                <w:highlight w:val="white"/>
              </w:rPr>
            </w:r>
            <w:r>
              <w:rPr>
                <w:rFonts w:ascii="Times New Roman" w:hAnsi="Times New Roman" w:eastAsia="Times New Roman" w:cs="Times New Roman"/>
                <w:i w:val="0"/>
                <w:iCs w:val="0"/>
                <w:color w:val="000000"/>
                <w:sz w:val="22"/>
                <w:szCs w:val="22"/>
              </w:rPr>
              <w:t xml:space="preserve">8.089.144</w:t>
            </w:r>
            <w:r>
              <w:rPr>
                <w:rFonts w:ascii="Times New Roman" w:hAnsi="Times New Roman" w:cs="Times New Roman"/>
                <w:bCs w:val="0"/>
                <w:i w:val="0"/>
                <w:sz w:val="22"/>
                <w:szCs w:val="22"/>
              </w:rPr>
            </w:r>
            <w:r>
              <w:rPr>
                <w:rFonts w:ascii="Times New Roman" w:hAnsi="Times New Roman" w:cs="Times New Roman"/>
                <w:bCs w:val="0"/>
                <w:i w:val="0"/>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615" w:type="dxa"/>
            <w:vAlign w:val="center"/>
            <w:textDirection w:val="lrTb"/>
            <w:noWrap/>
          </w:tcPr>
          <w:p>
            <w:pPr>
              <w:pBdr>
                <w:top w:val="none" w:color="000000" w:sz="4" w:space="0"/>
                <w:left w:val="none" w:color="000000" w:sz="4" w:space="0"/>
                <w:bottom w:val="none" w:color="000000" w:sz="4" w:space="0"/>
                <w:right w:val="none" w:color="000000" w:sz="4" w:space="0"/>
              </w:pBdr>
              <w:spacing/>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highlight w:val="white"/>
              </w:rPr>
            </w:r>
            <w:r>
              <w:rPr>
                <w:rFonts w:ascii="Times New Roman" w:hAnsi="Times New Roman" w:eastAsia="Times New Roman" w:cs="Times New Roman"/>
                <w:color w:val="000000"/>
                <w:sz w:val="22"/>
                <w:szCs w:val="22"/>
                <w:highlight w:val="white"/>
              </w:rPr>
              <w:t xml:space="preserve">2.113.693.327</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850"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ind w:right="0" w:firstLine="0" w:left="0"/>
              <w:jc w:val="center"/>
              <w:rPr>
                <w:rFonts w:ascii="Times New Roman" w:hAnsi="Times New Roman" w:cs="Times New Roman"/>
                <w:sz w:val="22"/>
                <w:szCs w:val="22"/>
              </w:rPr>
            </w:pPr>
            <w:r>
              <w:rPr>
                <w:rFonts w:ascii="Times New Roman" w:hAnsi="Times New Roman" w:eastAsia="Times New Roman" w:cs="Times New Roman"/>
                <w:color w:val="000000"/>
                <w:sz w:val="22"/>
                <w:szCs w:val="22"/>
                <w:highlight w:val="none"/>
              </w:rPr>
              <w:t xml:space="preserve">4</w:t>
            </w:r>
            <w:r>
              <w:rPr>
                <w:rFonts w:ascii="Times New Roman" w:hAnsi="Times New Roman" w:eastAsia="Times New Roman" w:cs="Times New Roman"/>
                <w:color w:val="000000"/>
                <w:sz w:val="22"/>
                <w:szCs w:val="22"/>
                <w:highlight w:val="white"/>
              </w:rPr>
              <w:t xml:space="preserve">%</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417" w:type="dxa"/>
            <w:vAlign w:val="center"/>
            <w:textDirection w:val="lrTb"/>
            <w:noWrap/>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  84.547.733 </w:t>
            </w:r>
            <w:r>
              <w:rPr>
                <w:rFonts w:ascii="Times New Roman" w:hAnsi="Times New Roman" w:cs="Times New Roman"/>
                <w:sz w:val="22"/>
                <w:szCs w:val="22"/>
              </w:rPr>
            </w:r>
            <w:r>
              <w:rPr>
                <w:rFonts w:ascii="Times New Roman" w:hAnsi="Times New Roman" w:cs="Times New Roman"/>
                <w:sz w:val="22"/>
                <w:szCs w:val="22"/>
              </w:rPr>
            </w:r>
          </w:p>
        </w:tc>
        <w:tc>
          <w:tcPr>
            <w:tcBorders>
              <w:top w:val="single" w:color="000000" w:sz="4" w:space="0"/>
              <w:left w:val="single" w:color="000000" w:sz="4" w:space="0"/>
              <w:bottom w:val="single" w:color="000000" w:sz="4" w:space="0"/>
              <w:right w:val="single" w:color="000000" w:sz="4" w:space="0"/>
            </w:tcBorders>
            <w:tcMar>
              <w:left w:w="108" w:type="dxa"/>
              <w:top w:w="0" w:type="dxa"/>
              <w:right w:w="108" w:type="dxa"/>
              <w:bottom w:w="0" w:type="dxa"/>
            </w:tcMar>
            <w:tcW w:w="1560" w:type="dxa"/>
            <w:vAlign w:val="center"/>
            <w:textDirection w:val="lrTb"/>
            <w:noWrap w:val="false"/>
          </w:tcPr>
          <w:p>
            <w:pPr>
              <w:pBdr/>
              <w:spacing w:after="0" w:before="0" w:line="240" w:lineRule="auto"/>
              <w:ind/>
              <w:jc w:val="center"/>
              <w:rPr>
                <w:rFonts w:ascii="Times New Roman" w:hAnsi="Times New Roman" w:cs="Times New Roman"/>
                <w:sz w:val="22"/>
                <w:szCs w:val="22"/>
              </w:rPr>
            </w:pPr>
            <w:r>
              <w:rPr>
                <w:rFonts w:ascii="Times New Roman" w:hAnsi="Times New Roman" w:eastAsia="Times New Roman" w:cs="Times New Roman"/>
                <w:color w:val="000000"/>
                <w:sz w:val="22"/>
                <w:szCs w:val="22"/>
              </w:rPr>
              <w:t xml:space="preserve">2.029.145.594 </w:t>
            </w:r>
            <w:r>
              <w:rPr>
                <w:rFonts w:ascii="Times New Roman" w:hAnsi="Times New Roman" w:cs="Times New Roman"/>
                <w:sz w:val="22"/>
                <w:szCs w:val="22"/>
              </w:rPr>
            </w:r>
            <w:r>
              <w:rPr>
                <w:rFonts w:ascii="Times New Roman" w:hAnsi="Times New Roman" w:cs="Times New Roman"/>
                <w:sz w:val="22"/>
                <w:szCs w:val="22"/>
              </w:rPr>
            </w:r>
          </w:p>
        </w:tc>
      </w:tr>
    </w:tbl>
    <w:p>
      <w:pPr>
        <w:pStyle w:val="1045"/>
        <w:pBdr/>
        <w:spacing w:after="120" w:before="120" w:line="276" w:lineRule="auto"/>
        <w:ind w:left="0"/>
        <w:jc w:val="both"/>
        <w:rPr>
          <w:b/>
          <w:lang w:val="pt-BR"/>
        </w:rPr>
      </w:pPr>
      <w:r>
        <w:rPr>
          <w:b/>
          <w:lang w:val="pt-BR"/>
        </w:rPr>
      </w:r>
      <w:r>
        <w:rPr>
          <w:b/>
          <w:lang w:val="pt-BR"/>
        </w:rPr>
      </w:r>
      <w:r>
        <w:rPr>
          <w:b/>
          <w:lang w:val="pt-BR"/>
        </w:rPr>
      </w:r>
    </w:p>
    <w:p>
      <w:pPr>
        <w:pStyle w:val="104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5"/>
        <w:pBdr/>
        <w:tabs>
          <w:tab w:val="left" w:leader="none" w:pos="993"/>
        </w:tabs>
        <w:spacing w:after="120" w:before="120" w:line="276" w:lineRule="auto"/>
        <w:ind w:left="0"/>
        <w:jc w:val="both"/>
        <w:rPr>
          <w:highlight w:val="none"/>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05/2026</w:t>
      </w:r>
      <w:r>
        <w:t xml:space="preserve"> </w:t>
      </w:r>
      <w:r>
        <w:t xml:space="preserve">ước tính </w:t>
      </w:r>
      <w:r>
        <w:t xml:space="preserve">như sau</w:t>
      </w:r>
      <w:r>
        <w:t xml:space="preserve">:</w:t>
      </w:r>
      <w:r>
        <w:rPr>
          <w:highlight w:val="none"/>
        </w:rPr>
      </w:r>
      <w:r>
        <w:rPr>
          <w:highlight w:val="none"/>
        </w:rPr>
      </w:r>
    </w:p>
    <w:p>
      <w:pPr>
        <w:pStyle w:val="1045"/>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pPr>
        <w:pStyle w:val="1045"/>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pPr>
        <w:pStyle w:val="1045"/>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pPr>
        <w:pStyle w:val="1045"/>
        <w:pBdr/>
        <w:tabs>
          <w:tab w:val="left" w:leader="none" w:pos="993"/>
        </w:tabs>
        <w:spacing w:after="120" w:before="120" w:line="276" w:lineRule="auto"/>
        <w:ind w:left="0"/>
        <w:jc w:val="both"/>
        <w:rPr>
          <w:highlight w:val="none"/>
        </w:rPr>
      </w:pPr>
      <w:r>
        <w:rPr>
          <w:highlight w:val="none"/>
        </w:rPr>
      </w:r>
      <w:r>
        <w:rPr>
          <w:highlight w:val="none"/>
        </w:rPr>
      </w:r>
      <w:r>
        <w:rPr>
          <w:highlight w:val="none"/>
        </w:rPr>
      </w:r>
    </w:p>
    <w:p>
      <w:pPr>
        <w:pStyle w:val="1045"/>
        <w:pBdr/>
        <w:tabs>
          <w:tab w:val="left" w:leader="none" w:pos="993"/>
        </w:tabs>
        <w:spacing w:after="120" w:before="120" w:line="276" w:lineRule="auto"/>
        <w:ind w:left="0"/>
        <w:jc w:val="both"/>
        <w:rPr>
          <w:highlight w:val="none"/>
        </w:rPr>
      </w:pPr>
      <w:r>
        <w:rPr>
          <w:highlight w:val="none"/>
        </w:rPr>
      </w:r>
      <w:r>
        <w:rPr>
          <w:highlight w:val="none"/>
        </w:rPr>
      </w:r>
      <w:r>
        <w:rPr>
          <w:highlight w:val="none"/>
        </w:rPr>
      </w:r>
    </w:p>
    <w:tbl>
      <w:tblPr>
        <w:tblStyle w:val="104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903"/>
        <w:gridCol w:w="1960"/>
        <w:gridCol w:w="1052"/>
        <w:gridCol w:w="2537"/>
        <w:gridCol w:w="1088"/>
        <w:gridCol w:w="1985"/>
      </w:tblGrid>
      <w:tr>
        <w:trPr>
          <w:trHeight w:val="924"/>
        </w:trPr>
        <w:tc>
          <w:tcPr>
            <w:shd w:val="clear" w:color="ffffff" w:fill="ffffff"/>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903"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TT</w:t>
            </w:r>
            <w:r/>
          </w:p>
        </w:tc>
        <w:tc>
          <w:tcPr>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1960"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Tài sản</w:t>
            </w:r>
            <w:r/>
          </w:p>
        </w:tc>
        <w:tc>
          <w:tcPr>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1052"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Diện tích (m²)</w:t>
            </w:r>
            <w:r/>
          </w:p>
        </w:tc>
        <w:tc>
          <w:tcPr>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2537"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Đơn giá (đồng/m²)</w:t>
            </w:r>
            <w:r/>
          </w:p>
        </w:tc>
        <w:tc>
          <w:tcPr>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1088"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Tỷ lệ CLCL (%)</w:t>
            </w:r>
            <w:r/>
          </w:p>
        </w:tc>
        <w:tc>
          <w:tcPr>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1985"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Thành tiền (đồng)</w:t>
            </w:r>
            <w:r/>
          </w:p>
        </w:tc>
      </w:tr>
      <w:tr>
        <w:trPr>
          <w:trHeight w:val="3180"/>
        </w:trPr>
        <w:tc>
          <w:tcPr>
            <w:shd w:val="clear" w:color="ffffff" w:fill="ffffff"/>
            <w:tcBorders>
              <w:left w:val="single" w:color="000000" w:sz="5" w:space="0"/>
              <w:bottom w:val="single" w:color="000000" w:sz="5" w:space="0"/>
              <w:right w:val="single" w:color="000000" w:sz="5" w:space="0"/>
            </w:tcBorders>
            <w:tcMar>
              <w:left w:w="15" w:type="dxa"/>
              <w:top w:w="15" w:type="dxa"/>
              <w:right w:w="15" w:type="dxa"/>
              <w:bottom w:w="0" w:type="dxa"/>
            </w:tcMar>
            <w:tcW w:w="903"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 </w:t>
            </w:r>
            <w:r/>
          </w:p>
        </w:tc>
        <w:tc>
          <w:tcPr>
            <w:gridSpan w:val="3"/>
            <w:shd w:val="clear" w:color="ffffff" w:fill="ffffff"/>
            <w:tcBorders>
              <w:top w:val="single" w:color="000000" w:sz="5" w:space="0"/>
              <w:bottom w:val="single" w:color="000000" w:sz="5" w:space="0"/>
              <w:right w:val="single" w:color="000000" w:sz="5" w:space="0"/>
            </w:tcBorders>
            <w:tcMar>
              <w:left w:w="15" w:type="dxa"/>
              <w:top w:w="15" w:type="dxa"/>
              <w:right w:w="15" w:type="dxa"/>
              <w:bottom w:w="0" w:type="dxa"/>
            </w:tcMar>
            <w:tcW w:w="5549" w:type="dxa"/>
            <w:vAlign w:val="center"/>
            <w:textDirection w:val="lrTb"/>
            <w:noWrap w:val="false"/>
          </w:tcPr>
          <w:p>
            <w:pPr>
              <w:suppressLineNumbers w:val="false"/>
              <w:pBdr/>
              <w:spacing w:after="0" w:before="0" w:line="276" w:lineRule="auto"/>
              <w:ind w:right="115" w:left="115"/>
              <w:jc w:val="both"/>
              <w:rPr/>
            </w:pPr>
            <w:r>
              <w:rPr>
                <w:rFonts w:ascii="Times New Roman" w:hAnsi="Times New Roman" w:eastAsia="Times New Roman" w:cs="Times New Roman"/>
                <w:b/>
                <w:color w:val="000000"/>
                <w:sz w:val="24"/>
              </w:rPr>
              <w:t xml:space="preserve">Quyền sử dụng đất và tài sản gắn liền với đất tại Thửa đất số: 557 tờ bản đồ số: 29 có địa chỉ: Số nhà 47A, ngõ 66 đường Hồ Tùng Mậu, tổ 19, phường Mai Dịch, quận Cầu Giấy, Thành phố Hà Nội (Nay là phường Phú Diễn, Thành phố Hà Nội) theo Giấy chứng nhận qu</w:t>
            </w:r>
            <w:r>
              <w:rPr>
                <w:rFonts w:ascii="Times New Roman" w:hAnsi="Times New Roman" w:eastAsia="Times New Roman" w:cs="Times New Roman"/>
                <w:b/>
                <w:color w:val="000000"/>
                <w:sz w:val="24"/>
              </w:rPr>
              <w:t xml:space="preserve">yền sử dụng đất, quyền sở hữu nhà ở và tài sản khác gắn liền với đất  số: DP 890045, Số vào sổ cấp GCN: CN 02858 do Chi nhánh văn phòng đăng ký đất đai quận Cầu Giấy - Hà Nội  cấp ngày 25/12/2024 cho bà Chu Thị Xoan.</w:t>
            </w:r>
            <w:r/>
          </w:p>
        </w:tc>
        <w:tc>
          <w:tcPr>
            <w:shd w:val="clear" w:color="ffffff" w:fill="ffffff"/>
            <w:tcBorders>
              <w:bottom w:val="single" w:color="000000" w:sz="5" w:space="0"/>
              <w:right w:val="single" w:color="000000" w:sz="5" w:space="0"/>
            </w:tcBorders>
            <w:tcMar>
              <w:left w:w="15" w:type="dxa"/>
              <w:top w:w="15" w:type="dxa"/>
              <w:right w:w="15" w:type="dxa"/>
              <w:bottom w:w="0" w:type="dxa"/>
            </w:tcMar>
            <w:tcW w:w="1088" w:type="dxa"/>
            <w:vAlign w:val="center"/>
            <w:textDirection w:val="lrTb"/>
            <w:noWrap w:val="false"/>
          </w:tcPr>
          <w:p>
            <w:pPr>
              <w:suppressLineNumbers w:val="false"/>
              <w:pBdr/>
              <w:spacing w:after="0" w:before="0" w:line="276" w:lineRule="auto"/>
              <w:ind w:right="115" w:left="115"/>
              <w:jc w:val="both"/>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15" w:type="dxa"/>
              <w:top w:w="15" w:type="dxa"/>
              <w:right w:w="15" w:type="dxa"/>
              <w:bottom w:w="0" w:type="dxa"/>
            </w:tcMar>
            <w:tcW w:w="1985" w:type="dxa"/>
            <w:vAlign w:val="center"/>
            <w:textDirection w:val="lrTb"/>
            <w:noWrap w:val="false"/>
          </w:tcPr>
          <w:p>
            <w:pPr>
              <w:suppressLineNumbers w:val="false"/>
              <w:pBdr/>
              <w:spacing w:after="0" w:before="0" w:line="276" w:lineRule="auto"/>
              <w:ind w:right="115" w:left="115"/>
              <w:jc w:val="right"/>
              <w:rPr/>
            </w:pPr>
            <w:r>
              <w:rPr>
                <w:rFonts w:ascii="Times New Roman" w:hAnsi="Times New Roman" w:eastAsia="Times New Roman" w:cs="Times New Roman"/>
                <w:b/>
                <w:color w:val="000000"/>
                <w:sz w:val="24"/>
              </w:rPr>
              <w:t xml:space="preserve"> </w:t>
            </w:r>
            <w:r/>
          </w:p>
        </w:tc>
      </w:tr>
      <w:tr>
        <w:trPr>
          <w:trHeight w:val="312"/>
        </w:trPr>
        <w:tc>
          <w:tcPr>
            <w:shd w:val="clear" w:color="ffffff" w:fill="ffffff"/>
            <w:tcBorders>
              <w:left w:val="single" w:color="000000" w:sz="5" w:space="0"/>
              <w:bottom w:val="single" w:color="000000" w:sz="5" w:space="0"/>
              <w:right w:val="single" w:color="000000" w:sz="5" w:space="0"/>
            </w:tcBorders>
            <w:tcMar>
              <w:left w:w="15" w:type="dxa"/>
              <w:top w:w="15" w:type="dxa"/>
              <w:right w:w="15" w:type="dxa"/>
              <w:bottom w:w="0" w:type="dxa"/>
            </w:tcMar>
            <w:tcW w:w="903"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1</w:t>
            </w:r>
            <w:r/>
          </w:p>
        </w:tc>
        <w:tc>
          <w:tcPr>
            <w:shd w:val="clear" w:color="ffffff" w:fill="ffffff"/>
            <w:tcBorders>
              <w:bottom w:val="single" w:color="000000" w:sz="5" w:space="0"/>
              <w:right w:val="single" w:color="000000" w:sz="5" w:space="0"/>
            </w:tcBorders>
            <w:tcMar>
              <w:left w:w="15" w:type="dxa"/>
              <w:top w:w="15" w:type="dxa"/>
              <w:right w:w="15" w:type="dxa"/>
              <w:bottom w:w="0" w:type="dxa"/>
            </w:tcMar>
            <w:tcW w:w="1960" w:type="dxa"/>
            <w:vAlign w:val="center"/>
            <w:textDirection w:val="lrTb"/>
            <w:noWrap w:val="false"/>
          </w:tcPr>
          <w:p>
            <w:pPr>
              <w:suppressLineNumbers w:val="false"/>
              <w:pBdr/>
              <w:spacing w:after="0" w:before="0" w:line="276" w:lineRule="auto"/>
              <w:ind w:right="115" w:left="115"/>
              <w:rPr/>
            </w:pPr>
            <w:r>
              <w:rPr>
                <w:rFonts w:ascii="Times New Roman" w:hAnsi="Times New Roman" w:eastAsia="Times New Roman" w:cs="Times New Roman"/>
                <w:color w:val="000000"/>
                <w:sz w:val="24"/>
              </w:rPr>
              <w:t xml:space="preserve">Đất ở tại đô thị</w:t>
            </w:r>
            <w:r/>
          </w:p>
        </w:tc>
        <w:tc>
          <w:tcPr>
            <w:tcBorders>
              <w:bottom w:val="single" w:color="000000" w:sz="5" w:space="0"/>
              <w:right w:val="single" w:color="000000" w:sz="5" w:space="0"/>
            </w:tcBorders>
            <w:tcMar>
              <w:left w:w="15" w:type="dxa"/>
              <w:top w:w="15" w:type="dxa"/>
              <w:right w:w="15" w:type="dxa"/>
              <w:bottom w:w="0" w:type="dxa"/>
            </w:tcMar>
            <w:tcW w:w="1052"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4"/>
              </w:rPr>
              <w:t xml:space="preserve">52,2</w:t>
            </w:r>
            <w:r/>
          </w:p>
        </w:tc>
        <w:tc>
          <w:tcPr>
            <w:shd w:val="clear" w:color="ffffff" w:fill="ffffff"/>
            <w:tcBorders>
              <w:bottom w:val="single" w:color="000000" w:sz="5" w:space="0"/>
              <w:right w:val="single" w:color="000000" w:sz="5" w:space="0"/>
            </w:tcBorders>
            <w:tcMar>
              <w:left w:w="15" w:type="dxa"/>
              <w:top w:w="15" w:type="dxa"/>
              <w:right w:w="15" w:type="dxa"/>
              <w:bottom w:w="0" w:type="dxa"/>
            </w:tcMar>
            <w:tcW w:w="2537"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4"/>
              </w:rPr>
              <w:t xml:space="preserve">200.000.000</w:t>
            </w:r>
            <w:r/>
          </w:p>
        </w:tc>
        <w:tc>
          <w:tcPr>
            <w:shd w:val="clear" w:color="ffffff" w:fill="ffffff"/>
            <w:tcBorders>
              <w:bottom w:val="single" w:color="000000" w:sz="5" w:space="0"/>
              <w:right w:val="single" w:color="000000" w:sz="5" w:space="0"/>
            </w:tcBorders>
            <w:tcMar>
              <w:left w:w="15" w:type="dxa"/>
              <w:top w:w="15" w:type="dxa"/>
              <w:right w:w="15" w:type="dxa"/>
              <w:bottom w:w="0" w:type="dxa"/>
            </w:tcMar>
            <w:tcW w:w="1088"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4"/>
              </w:rPr>
              <w:t xml:space="preserve"> </w:t>
            </w:r>
            <w:r/>
          </w:p>
        </w:tc>
        <w:tc>
          <w:tcPr>
            <w:shd w:val="clear" w:color="ffffff" w:fill="ffffff"/>
            <w:tcBorders>
              <w:bottom w:val="single" w:color="000000" w:sz="5" w:space="0"/>
              <w:right w:val="single" w:color="000000" w:sz="5" w:space="0"/>
            </w:tcBorders>
            <w:tcMar>
              <w:left w:w="15" w:type="dxa"/>
              <w:top w:w="15" w:type="dxa"/>
              <w:right w:w="15" w:type="dxa"/>
              <w:bottom w:w="0" w:type="dxa"/>
            </w:tcMar>
            <w:tcW w:w="1985"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4"/>
              </w:rPr>
              <w:t xml:space="preserve">10.440.000.000</w:t>
            </w:r>
            <w:r/>
          </w:p>
        </w:tc>
      </w:tr>
      <w:tr>
        <w:trPr>
          <w:trHeight w:val="312"/>
        </w:trPr>
        <w:tc>
          <w:tcPr>
            <w:tcBorders>
              <w:left w:val="single" w:color="000000" w:sz="5" w:space="0"/>
              <w:bottom w:val="single" w:color="000000" w:sz="5" w:space="0"/>
              <w:right w:val="single" w:color="000000" w:sz="5" w:space="0"/>
            </w:tcBorders>
            <w:tcMar>
              <w:left w:w="15" w:type="dxa"/>
              <w:top w:w="15" w:type="dxa"/>
              <w:right w:w="15" w:type="dxa"/>
              <w:bottom w:w="0" w:type="dxa"/>
            </w:tcMar>
            <w:tcW w:w="903" w:type="dxa"/>
            <w:vAlign w:val="bottom"/>
            <w:textDirection w:val="lrTb"/>
            <w:noWrap/>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15" w:type="dxa"/>
              <w:top w:w="15" w:type="dxa"/>
              <w:right w:w="15" w:type="dxa"/>
              <w:bottom w:w="0" w:type="dxa"/>
            </w:tcMar>
            <w:tcW w:w="1960" w:type="dxa"/>
            <w:vAlign w:val="bottom"/>
            <w:textDirection w:val="lrTb"/>
            <w:noWrap/>
          </w:tcPr>
          <w:p>
            <w:pPr>
              <w:suppressLineNumbers w:val="false"/>
              <w:pBdr/>
              <w:spacing w:after="0" w:before="0" w:line="276" w:lineRule="auto"/>
              <w:ind w:right="115" w:left="115"/>
              <w:rPr/>
            </w:pPr>
            <w:r>
              <w:rPr>
                <w:rFonts w:ascii="Times New Roman" w:hAnsi="Times New Roman" w:eastAsia="Times New Roman" w:cs="Times New Roman"/>
                <w:color w:val="000000"/>
                <w:sz w:val="22"/>
              </w:rPr>
              <w:t xml:space="preserve">Nhà 5 tầng 1 tum</w:t>
            </w:r>
            <w:r/>
          </w:p>
        </w:tc>
        <w:tc>
          <w:tcPr>
            <w:tcBorders>
              <w:bottom w:val="single" w:color="000000" w:sz="5" w:space="0"/>
              <w:right w:val="single" w:color="000000" w:sz="5" w:space="0"/>
            </w:tcBorders>
            <w:tcMar>
              <w:left w:w="15" w:type="dxa"/>
              <w:top w:w="15" w:type="dxa"/>
              <w:right w:w="15" w:type="dxa"/>
              <w:bottom w:w="0" w:type="dxa"/>
            </w:tcMar>
            <w:tcW w:w="1052" w:type="dxa"/>
            <w:vAlign w:val="bottom"/>
            <w:textDirection w:val="lrTb"/>
            <w:noWrap/>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2"/>
              </w:rPr>
              <w:t xml:space="preserve">261,3</w:t>
            </w:r>
            <w:r/>
          </w:p>
        </w:tc>
        <w:tc>
          <w:tcPr>
            <w:tcBorders/>
            <w:tcMar>
              <w:left w:w="15" w:type="dxa"/>
              <w:top w:w="15" w:type="dxa"/>
              <w:right w:w="15" w:type="dxa"/>
              <w:bottom w:w="0" w:type="dxa"/>
            </w:tcMar>
            <w:tcW w:w="2537" w:type="dxa"/>
            <w:vAlign w:val="center"/>
            <w:textDirection w:val="lrTb"/>
            <w:noWrap/>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2"/>
              </w:rPr>
              <w:t xml:space="preserve">8.089.144</w:t>
            </w:r>
            <w:r/>
          </w:p>
        </w:tc>
        <w:tc>
          <w:tcPr>
            <w:tcBorders>
              <w:left w:val="single" w:color="000000" w:sz="5" w:space="0"/>
              <w:bottom w:val="single" w:color="000000" w:sz="5" w:space="0"/>
              <w:right w:val="single" w:color="000000" w:sz="5" w:space="0"/>
            </w:tcBorders>
            <w:tcMar>
              <w:left w:w="15" w:type="dxa"/>
              <w:top w:w="15" w:type="dxa"/>
              <w:right w:w="15" w:type="dxa"/>
              <w:bottom w:w="0" w:type="dxa"/>
            </w:tcMar>
            <w:tcW w:w="1088" w:type="dxa"/>
            <w:vAlign w:val="bottom"/>
            <w:textDirection w:val="lrTb"/>
            <w:noWrap/>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2"/>
              </w:rPr>
              <w:t xml:space="preserve">96%</w:t>
            </w:r>
            <w:r/>
          </w:p>
        </w:tc>
        <w:tc>
          <w:tcPr>
            <w:tcBorders>
              <w:bottom w:val="single" w:color="000000" w:sz="5" w:space="0"/>
              <w:right w:val="single" w:color="000000" w:sz="5" w:space="0"/>
            </w:tcBorders>
            <w:tcMar>
              <w:left w:w="15" w:type="dxa"/>
              <w:top w:w="15" w:type="dxa"/>
              <w:right w:w="15" w:type="dxa"/>
              <w:bottom w:w="0" w:type="dxa"/>
            </w:tcMar>
            <w:tcW w:w="1985" w:type="dxa"/>
            <w:vAlign w:val="bottom"/>
            <w:textDirection w:val="lrTb"/>
            <w:noWrap/>
          </w:tcPr>
          <w:p>
            <w:pPr>
              <w:suppressLineNumbers w:val="false"/>
              <w:pBdr/>
              <w:spacing w:after="0" w:before="0" w:line="276" w:lineRule="auto"/>
              <w:ind w:right="115" w:left="115"/>
              <w:rPr/>
            </w:pPr>
            <w:r>
              <w:rPr>
                <w:rFonts w:ascii="Times New Roman" w:hAnsi="Times New Roman" w:eastAsia="Times New Roman" w:cs="Times New Roman"/>
                <w:color w:val="000000"/>
                <w:sz w:val="22"/>
              </w:rPr>
              <w:t xml:space="preserve">      2.029.145.594 </w:t>
            </w:r>
            <w:r/>
          </w:p>
        </w:tc>
      </w:tr>
      <w:tr>
        <w:trPr>
          <w:trHeight w:val="312"/>
        </w:trPr>
        <w:tc>
          <w:tcPr>
            <w:gridSpan w:val="4"/>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452"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TỔNG CỘNG</w:t>
            </w:r>
            <w:r/>
          </w:p>
        </w:tc>
        <w:tc>
          <w:tcPr>
            <w:tcBorders>
              <w:bottom w:val="single" w:color="000000" w:sz="5" w:space="0"/>
              <w:right w:val="single" w:color="000000" w:sz="5" w:space="0"/>
            </w:tcBorders>
            <w:tcMar>
              <w:left w:w="15" w:type="dxa"/>
              <w:top w:w="15" w:type="dxa"/>
              <w:right w:w="15" w:type="dxa"/>
              <w:bottom w:w="0" w:type="dxa"/>
            </w:tcMar>
            <w:tcW w:w="1088"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 </w:t>
            </w:r>
            <w:r/>
          </w:p>
        </w:tc>
        <w:tc>
          <w:tcPr>
            <w:tcBorders>
              <w:bottom w:val="single" w:color="000000" w:sz="5" w:space="0"/>
              <w:right w:val="single" w:color="000000" w:sz="5" w:space="0"/>
            </w:tcBorders>
            <w:tcMar>
              <w:left w:w="15" w:type="dxa"/>
              <w:top w:w="15" w:type="dxa"/>
              <w:right w:w="15" w:type="dxa"/>
              <w:bottom w:w="0" w:type="dxa"/>
            </w:tcMar>
            <w:tcW w:w="1985"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color w:val="000000"/>
                <w:sz w:val="24"/>
              </w:rPr>
              <w:t xml:space="preserve">12.469.145.594</w:t>
            </w:r>
            <w:r/>
          </w:p>
        </w:tc>
      </w:tr>
      <w:tr>
        <w:trPr>
          <w:trHeight w:val="648"/>
        </w:trPr>
        <w:tc>
          <w:tcPr>
            <w:gridSpan w:val="4"/>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6452"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LÀM TRÒN</w:t>
            </w:r>
            <w:r/>
          </w:p>
        </w:tc>
        <w:tc>
          <w:tcPr>
            <w:tcBorders>
              <w:bottom w:val="single" w:color="000000" w:sz="5" w:space="0"/>
              <w:right w:val="single" w:color="000000" w:sz="5" w:space="0"/>
            </w:tcBorders>
            <w:tcMar>
              <w:left w:w="15" w:type="dxa"/>
              <w:top w:w="15" w:type="dxa"/>
              <w:right w:w="15" w:type="dxa"/>
              <w:bottom w:w="0" w:type="dxa"/>
            </w:tcMar>
            <w:tcW w:w="1088"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 </w:t>
            </w:r>
            <w:r/>
          </w:p>
        </w:tc>
        <w:tc>
          <w:tcPr>
            <w:tcBorders>
              <w:bottom w:val="single" w:color="000000" w:sz="5" w:space="0"/>
              <w:right w:val="single" w:color="000000" w:sz="5" w:space="0"/>
            </w:tcBorders>
            <w:tcMar>
              <w:left w:w="15" w:type="dxa"/>
              <w:top w:w="15" w:type="dxa"/>
              <w:right w:w="15" w:type="dxa"/>
              <w:bottom w:w="0" w:type="dxa"/>
            </w:tcMar>
            <w:tcW w:w="1985"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color w:val="000000"/>
                <w:sz w:val="24"/>
              </w:rPr>
              <w:t xml:space="preserve">12.469.000.000</w:t>
            </w:r>
            <w:r/>
          </w:p>
        </w:tc>
      </w:tr>
      <w:tr>
        <w:trPr>
          <w:trHeight w:val="324"/>
        </w:trPr>
        <w:tc>
          <w:tcPr>
            <w:gridSpan w:val="6"/>
            <w:tcBorders>
              <w:top w:val="single" w:color="000000" w:sz="5" w:space="0"/>
              <w:left w:val="single" w:color="000000" w:sz="5" w:space="0"/>
              <w:bottom w:val="single" w:color="000000" w:sz="5" w:space="0"/>
              <w:right w:val="single" w:color="000000" w:sz="5" w:space="0"/>
            </w:tcBorders>
            <w:tcMar>
              <w:left w:w="15" w:type="dxa"/>
              <w:top w:w="15" w:type="dxa"/>
              <w:right w:w="15" w:type="dxa"/>
              <w:bottom w:w="0" w:type="dxa"/>
            </w:tcMar>
            <w:tcW w:w="9525" w:type="dxa"/>
            <w:vAlign w:val="center"/>
            <w:textDirection w:val="lrTb"/>
            <w:noWrap w:val="false"/>
          </w:tcPr>
          <w:p>
            <w:pPr>
              <w:suppressLineNumbers w:val="false"/>
              <w:pBdr/>
              <w:spacing w:after="0" w:before="0" w:line="276" w:lineRule="auto"/>
              <w:ind w:right="115" w:left="115"/>
              <w:jc w:val="center"/>
              <w:rPr/>
            </w:pPr>
            <w:r>
              <w:rPr>
                <w:rFonts w:ascii="Times New Roman" w:hAnsi="Times New Roman" w:eastAsia="Times New Roman" w:cs="Times New Roman"/>
                <w:b/>
                <w:i/>
                <w:color w:val="000000"/>
                <w:sz w:val="24"/>
              </w:rPr>
              <w:t xml:space="preserve">(Bằng chữ: Mười hai tỷ, bốn trăm sáu mươi chín triệu đồng chẵn./.)</w:t>
            </w:r>
            <w:r/>
          </w:p>
        </w:tc>
      </w:tr>
    </w:tbl>
    <w:p>
      <w:pPr>
        <w:pStyle w:val="104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p>
    <w:p>
      <w:pPr>
        <w:pStyle w:val="1045"/>
        <w:numPr>
          <w:ilvl w:val="0"/>
          <w:numId w:val="5"/>
        </w:numPr>
        <w:pBdr/>
        <w:tabs>
          <w:tab w:val="left" w:leader="none" w:pos="993"/>
        </w:tabs>
        <w:spacing w:after="120" w:before="120" w:line="288" w:lineRule="auto"/>
        <w:ind/>
        <w:jc w:val="both"/>
        <w:rPr>
          <w:rFonts w:ascii="Times New Roman" w:hAnsi="Times New Roman" w:cs="Times New Roman"/>
          <w:b/>
          <w:bCs/>
          <w:spacing w:val="2"/>
          <w:sz w:val="24"/>
          <w:szCs w:val="24"/>
        </w:rPr>
      </w:pPr>
      <w:r>
        <w:rPr>
          <w:rFonts w:ascii="Times New Roman" w:hAnsi="Times New Roman" w:eastAsia="Times New Roman" w:cs="Times New Roman"/>
          <w:spacing w:val="2"/>
          <w:sz w:val="24"/>
          <w:szCs w:val="24"/>
          <w:highlight w:val="none"/>
          <w:lang w:val="pt-BR" w:bidi="pt-BR"/>
        </w:rPr>
      </w:r>
      <w:r>
        <w:rPr>
          <w:rFonts w:ascii="Times New Roman" w:hAnsi="Times New Roman" w:eastAsia="Times New Roman" w:cs="Times New Roman"/>
          <w:color w:val="081b3a"/>
          <w:spacing w:val="3"/>
          <w:sz w:val="24"/>
          <w:szCs w:val="24"/>
          <w:highlight w:val="white"/>
        </w:rPr>
        <w:t xml:space="preserve">Tại ngày phát hành chứng thư thẩm định giá, Chúng tôi không nhận được bất kỳ văn bản đánh giá hiện trạng công trình tài sản thẩm định của các cơ quan có chức năng. Do vậy, việc đánh giá chất lượng còn lại của Công trình xây dựng của chúng tôi chỉ dựa vào c</w:t>
      </w:r>
      <w:r>
        <w:rPr>
          <w:rFonts w:ascii="Times New Roman" w:hAnsi="Times New Roman" w:eastAsia="Times New Roman" w:cs="Times New Roman"/>
          <w:color w:val="081b3a"/>
          <w:spacing w:val="3"/>
          <w:sz w:val="24"/>
          <w:szCs w:val="24"/>
          <w:highlight w:val="white"/>
        </w:rPr>
        <w:t xml:space="preserve">ác văn bản pháp quy hiện hành và qua khảo sát thực tế độc lập, minh bạch dưới sự hướng dẫn khảo sát của các bên liên quan. Vì vậy, chất lượng còn lại của tài sản được trình bày trên báo cáo này chỉ mang tính ước lượng chủ quan của Chúng tôi và nó không nhấ</w:t>
      </w:r>
      <w:r>
        <w:rPr>
          <w:rFonts w:ascii="Times New Roman" w:hAnsi="Times New Roman" w:eastAsia="Times New Roman" w:cs="Times New Roman"/>
          <w:color w:val="081b3a"/>
          <w:spacing w:val="3"/>
          <w:sz w:val="24"/>
          <w:szCs w:val="24"/>
          <w:highlight w:val="white"/>
        </w:rPr>
        <w:t xml:space="preserve">t thiết phải trùng khớp kết quả với bất kỳ bên thứ ba nào khác cùng đưa ra các đánh giá này. Việc ảnh hưởng của cá</w:t>
      </w:r>
      <w:r>
        <w:rPr>
          <w:rFonts w:ascii="Times New Roman" w:hAnsi="Times New Roman" w:eastAsia="Times New Roman" w:cs="Times New Roman"/>
          <w:color w:val="081b3a"/>
          <w:spacing w:val="3"/>
          <w:sz w:val="24"/>
          <w:szCs w:val="24"/>
          <w:highlight w:val="white"/>
        </w:rPr>
        <w:t xml:space="preserve">c ước lượng này (nếu có) nó không thuộc nghĩa vụ bắt buộc liên quan đến chúng tôi.</w:t>
      </w:r>
      <w:r>
        <w:rPr>
          <w:rFonts w:ascii="Times New Roman" w:hAnsi="Times New Roman" w:eastAsia="Times New Roman" w:cs="Times New Roman"/>
          <w:spacing w:val="2"/>
          <w:sz w:val="24"/>
          <w:szCs w:val="24"/>
          <w:highlight w:val="none"/>
          <w:lang w:val="pt-BR" w:bidi="pt-BR"/>
        </w:rPr>
      </w:r>
      <w:r>
        <w:rPr>
          <w:rFonts w:ascii="Times New Roman" w:hAnsi="Times New Roman" w:eastAsia="Times New Roman" w:cs="Times New Roman"/>
          <w:spacing w:val="2"/>
          <w:sz w:val="24"/>
          <w:szCs w:val="24"/>
          <w:highlight w:val="none"/>
          <w:lang w:val="pt-BR"/>
        </w:rPr>
      </w:r>
    </w:p>
    <w:p>
      <w:pPr>
        <w:pStyle w:val="104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4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4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275/2026/0689/VFI-CT.51.A</w:t>
      </w:r>
      <w:r>
        <w:rPr>
          <w:color w:val="ff0000"/>
          <w:lang w:val="vi-VN"/>
        </w:rPr>
        <w:t xml:space="preserve"> </w:t>
      </w:r>
      <w:r>
        <w:rPr>
          <w:color w:val="000000" w:themeColor="text1"/>
        </w:rPr>
        <w:t xml:space="preserve">ngày 6 tháng 5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Đỗ Thanh Thảo</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XV23.2485</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Đăng Hiếu</w:t>
            </w:r>
            <w:r>
              <w:rPr>
                <w:rFonts w:eastAsia="Calibri"/>
                <w:b/>
                <w:color w:val="000000" w:themeColor="text1"/>
                <w:lang w:val="pt-BR"/>
              </w:rPr>
            </w:r>
            <w:r>
              <w:rPr>
                <w:rFonts w:eastAsia="Calibri"/>
                <w:b/>
                <w:color w:val="000000" w:themeColor="text1"/>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275/2026/0689/VFI-BC.51.A</w:t>
      </w:r>
      <w:r>
        <w:rPr>
          <w:i/>
          <w:lang w:val="pt-BR"/>
        </w:rPr>
        <w:t xml:space="preserve"> </w:t>
      </w:r>
      <w:r>
        <w:rPr>
          <w:i/>
          <w:lang w:val="pt-BR"/>
        </w:rPr>
        <w:t xml:space="preserve">Ngày 6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left"/>
              <w:rPr>
                <w:i/>
                <w:lang w:val="pt-BR"/>
              </w:rPr>
            </w:pPr>
            <w:r>
              <w:rPr>
                <w:i/>
                <w:lang w:val="pt-BR"/>
              </w:rPr>
            </w:r>
            <w:r>
              <mc:AlternateContent>
                <mc:Choice Requires="wpg">
                  <w:drawing>
                    <wp:anchor xmlns:wp="http://schemas.openxmlformats.org/drawingml/2006/wordprocessingDrawing" xmlns:wp14="http://schemas.microsoft.com/office/word/2010/wordprocessingDrawing" distT="0" distB="0" distL="115200" distR="115200" simplePos="0" relativeHeight="251682304" behindDoc="0" locked="0" layoutInCell="1" allowOverlap="1">
                      <wp:simplePos x="0" y="0"/>
                      <wp:positionH relativeFrom="column">
                        <wp:posOffset>390525</wp:posOffset>
                      </wp:positionH>
                      <wp:positionV relativeFrom="paragraph">
                        <wp:posOffset>0</wp:posOffset>
                      </wp:positionV>
                      <wp:extent cx="2103120" cy="1581912"/>
                      <wp:effectExtent l="0" t="0" r="0" b="0"/>
                      <wp:wrapSquare wrapText="bothSides"/>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758031" name=""/>
                              <pic:cNvPicPr>
                                <a:picLocks noChangeAspect="1"/>
                              </pic:cNvPicPr>
                              <pic:nvPr/>
                            </pic:nvPicPr>
                            <pic:blipFill rotWithShape="1">
                              <a:blip r:embed="rId19"/>
                              <a:stretch/>
                            </pic:blipFill>
                            <pic:spPr bwMode="auto">
                              <a:xfrm rot="0" flipH="0" flipV="0">
                                <a:off x="0" y="0"/>
                                <a:ext cx="2103119" cy="1581912"/>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position:absolute;z-index:251682304;o:allowoverlap:true;o:allowincell:true;mso-position-horizontal-relative:text;margin-left:30.75pt;mso-position-horizontal:absolute;mso-position-vertical-relative:text;margin-top:0.00pt;mso-position-vertical:absolute;width:165.60pt;height:124.56pt;mso-wrap-distance-left:9.07pt;mso-wrap-distance-top:0.00pt;mso-wrap-distance-right:9.07pt;mso-wrap-distance-bottom:0.00pt;rotation:0;z-index:1;" stroked="false">
                      <w10:wrap type="squar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03120" cy="1572768"/>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797725" name=""/>
                              <pic:cNvPicPr>
                                <a:picLocks noChangeAspect="1"/>
                              </pic:cNvPicPr>
                              <pic:nvPr/>
                            </pic:nvPicPr>
                            <pic:blipFill rotWithShape="1">
                              <a:blip r:embed="rId20"/>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65.60pt;height:123.84pt;mso-wrap-distance-left:0.00pt;mso-wrap-distance-top:0.00pt;mso-wrap-distance-right:0.00pt;mso-wrap-distance-bottom:0.00pt;rotation:0;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tầng 1</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03120" cy="157276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868274" name=""/>
                              <pic:cNvPicPr>
                                <a:picLocks noChangeAspect="1"/>
                              </pic:cNvPicPr>
                              <pic:nvPr/>
                            </pic:nvPicPr>
                            <pic:blipFill rotWithShape="1">
                              <a:blip r:embed="rId21"/>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65.60pt;height:123.84pt;mso-wrap-distance-left:0.00pt;mso-wrap-distance-top:0.00pt;mso-wrap-distance-right:0.00pt;mso-wrap-distance-bottom:0.00pt;rotation:0;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03120" cy="1572768"/>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12686" name=""/>
                              <pic:cNvPicPr>
                                <a:picLocks noChangeAspect="1"/>
                              </pic:cNvPicPr>
                              <pic:nvPr/>
                            </pic:nvPicPr>
                            <pic:blipFill rotWithShape="1">
                              <a:blip r:embed="rId22"/>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65.60pt;height:123.84pt;mso-wrap-distance-left:0.00pt;mso-wrap-distance-top:0.00pt;mso-wrap-distance-right:0.00pt;mso-wrap-distance-bottom:0.00pt;rotation:0;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tầng 2</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tầng 3</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03120" cy="157276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707697" name=""/>
                              <pic:cNvPicPr>
                                <a:picLocks noChangeAspect="1"/>
                              </pic:cNvPicPr>
                              <pic:nvPr/>
                            </pic:nvPicPr>
                            <pic:blipFill rotWithShape="1">
                              <a:blip r:embed="rId23"/>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65.60pt;height:123.84pt;mso-wrap-distance-left:0.00pt;mso-wrap-distance-top:0.00pt;mso-wrap-distance-right:0.00pt;mso-wrap-distance-bottom:0.00pt;rotation:0;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03120" cy="1572768"/>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493050" name=""/>
                              <pic:cNvPicPr>
                                <a:picLocks noChangeAspect="1"/>
                              </pic:cNvPicPr>
                              <pic:nvPr/>
                            </pic:nvPicPr>
                            <pic:blipFill rotWithShape="1">
                              <a:blip r:embed="rId24"/>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165.60pt;height:123.84pt;mso-wrap-distance-left:0.00pt;mso-wrap-distance-top:0.00pt;mso-wrap-distance-right:0.00pt;mso-wrap-distance-bottom:0.00pt;rotation:0;z-index:1;" stroked="false">
                      <v:imagedata r:id="rId24" o:title=""/>
                      <o:lock v:ext="edit" rotation="t"/>
                    </v:shape>
                  </w:pict>
                </mc:Fallback>
              </mc:AlternateConten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tầng 4</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t xml:space="preserve">Hiện trạng tầng 5</w:t>
            </w:r>
            <w:r>
              <w:rPr>
                <w:b/>
                <w:bCs/>
                <w:i/>
                <w:lang w:val="pt-BR"/>
              </w:rPr>
            </w:r>
            <w:r>
              <w:rPr>
                <w:b/>
                <w:bCs/>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103120" cy="1572768"/>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316945" name=""/>
                              <pic:cNvPicPr>
                                <a:picLocks noChangeAspect="1"/>
                              </pic:cNvPicPr>
                              <pic:nvPr/>
                            </pic:nvPicPr>
                            <pic:blipFill rotWithShape="1">
                              <a:blip r:embed="rId25"/>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65.60pt;height:123.84pt;mso-wrap-distance-left:0.00pt;mso-wrap-distance-top:0.00pt;mso-wrap-distance-right:0.00pt;mso-wrap-distance-bottom:0.00pt;rotation:0;z-index:1;" stroked="false">
                      <v:imagedata r:id="rId25"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03120" cy="1572768"/>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769516" name=""/>
                              <pic:cNvPicPr>
                                <a:picLocks noChangeAspect="1"/>
                              </pic:cNvPicPr>
                              <pic:nvPr/>
                            </pic:nvPicPr>
                            <pic:blipFill rotWithShape="1">
                              <a:blip r:embed="rId26"/>
                              <a:stretch/>
                            </pic:blipFill>
                            <pic:spPr bwMode="auto">
                              <a:xfrm rot="0" flipH="0" flipV="0">
                                <a:off x="0" y="0"/>
                                <a:ext cx="2103119" cy="157276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65.60pt;height:123.84pt;mso-wrap-distance-left:0.00pt;mso-wrap-distance-top:0.00pt;mso-wrap-distance-right:0.00pt;mso-wrap-distance-bottom:0.00pt;rotation:0;z-index:1;" stroked="false">
                      <v:imagedata r:id="rId26"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t xml:space="preserve">Hiện trạng tầng tum</w: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rPr>
            </w:pPr>
            <w:r>
              <w:rPr>
                <w:b/>
                <w:bCs/>
                <w:i/>
                <w:lang w:val="pt-BR"/>
              </w:rPr>
              <w:t xml:space="preserve">Thang máy</w:t>
            </w:r>
            <w:r>
              <w:rPr>
                <w:b/>
                <w:bCs/>
                <w:i/>
              </w:rPr>
            </w:r>
            <w:r>
              <w:rPr>
                <w:b/>
                <w:bCs/>
                <w:i/>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103120" cy="2807208"/>
                      <wp:effectExtent l="0" t="0" r="0" b="0"/>
                      <wp:docPr id="1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976508" name=""/>
                              <pic:cNvPicPr>
                                <a:picLocks noChangeAspect="1"/>
                              </pic:cNvPicPr>
                              <pic:nvPr/>
                            </pic:nvPicPr>
                            <pic:blipFill rotWithShape="1">
                              <a:blip r:embed="rId27"/>
                              <a:stretch/>
                            </pic:blipFill>
                            <pic:spPr bwMode="auto">
                              <a:xfrm rot="5399976" flipH="0" flipV="0">
                                <a:off x="0" y="0"/>
                                <a:ext cx="2103119" cy="280720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65.60pt;height:221.04pt;mso-wrap-distance-left:0.00pt;mso-wrap-distance-top:0.00pt;mso-wrap-distance-right:0.00pt;mso-wrap-distance-bottom:0.00pt;rotation:89;z-index:1;" stroked="false">
                      <v:imagedata r:id="rId27"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371600" cy="2058780"/>
                      <wp:effectExtent l="0" t="0" r="0" b="0"/>
                      <wp:docPr id="1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6816331" name=""/>
                              <pic:cNvPicPr>
                                <a:picLocks noChangeAspect="1"/>
                              </pic:cNvPicPr>
                              <pic:nvPr/>
                            </pic:nvPicPr>
                            <pic:blipFill rotWithShape="1">
                              <a:blip r:embed="rId28"/>
                              <a:stretch/>
                            </pic:blipFill>
                            <pic:spPr bwMode="auto">
                              <a:xfrm rot="0" flipH="0" flipV="0">
                                <a:off x="0" y="0"/>
                                <a:ext cx="1371599" cy="20587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08.00pt;height:162.11pt;mso-wrap-distance-left:0.00pt;mso-wrap-distance-top:0.00pt;mso-wrap-distance-right:0.00pt;mso-wrap-distance-bottom:0.00pt;rotation:0;z-index:1;" stroked="false">
                      <v:imagedata r:id="rId28" o:title=""/>
                      <o:lock v:ext="edit" rotation="t"/>
                    </v:shape>
                  </w:pict>
                </mc:Fallback>
              </mc:AlternateContent>
            </w:r>
            <w:r>
              <w:rPr>
                <w:i/>
                <w:lang w:val="pt-BR"/>
              </w:rPr>
            </w:r>
            <w:r>
              <w:rPr>
                <w:i/>
                <w:lang w:val="pt-BR"/>
              </w:rPr>
            </w:r>
          </w:p>
        </w:tc>
      </w:tr>
      <w:tr>
        <w:trPr/>
        <w:tc>
          <w:tcPr>
            <w:tcBorders/>
            <w:tcW w:w="4758" w:type="dxa"/>
            <w:vAlign w:val="center"/>
            <w:vMerge w:val="restart"/>
            <w:textDirection w:val="lrTb"/>
            <w:noWrap w:val="false"/>
          </w:tcPr>
          <w:p>
            <w:pPr>
              <w:pBdr/>
              <w:spacing w:after="120"/>
              <w:ind/>
              <w:jc w:val="center"/>
              <w:rPr>
                <w:b/>
                <w:bCs/>
                <w:i/>
              </w:rPr>
            </w:pPr>
            <w:r>
              <w:rPr>
                <w:b/>
                <w:bCs/>
                <w:i/>
                <w:lang w:val="pt-BR"/>
              </w:rPr>
              <w:t xml:space="preserve">Hướng tài sản</w:t>
            </w:r>
            <w:r>
              <w:rPr>
                <w:b/>
                <w:bCs/>
                <w:i/>
              </w:rPr>
            </w:r>
            <w:r>
              <w:rPr>
                <w:b/>
                <w:bCs/>
                <w:i/>
              </w:rPr>
            </w:r>
          </w:p>
        </w:tc>
        <w:tc>
          <w:tcPr>
            <w:tcBorders/>
            <w:tcW w:w="4757" w:type="dxa"/>
            <w:vAlign w:val="center"/>
            <w:vMerge w:val="restart"/>
            <w:textDirection w:val="lrTb"/>
            <w:noWrap w:val="false"/>
          </w:tcPr>
          <w:p>
            <w:pPr>
              <w:pBdr/>
              <w:spacing w:after="120"/>
              <w:ind/>
              <w:jc w:val="center"/>
              <w:rPr>
                <w:b/>
                <w:bCs/>
                <w:i/>
              </w:rPr>
            </w:pPr>
            <w:r>
              <w:rPr>
                <w:b/>
                <w:bCs/>
                <w:i/>
                <w:lang w:val="pt-BR"/>
              </w:rPr>
              <w:t xml:space="preserve">Người khảo sát</w:t>
            </w:r>
            <w:r>
              <w:rPr>
                <w:b/>
                <w:bCs/>
                <w:i/>
              </w:rPr>
            </w:r>
            <w:r>
              <w:rPr>
                <w:b/>
                <w:bCs/>
                <w:i/>
              </w:rPr>
            </w:r>
          </w:p>
        </w:tc>
      </w:tr>
      <w:tr>
        <w:trPr/>
        <w:tc>
          <w:tcPr>
            <w:tcBorders/>
            <w:tcW w:w="4758" w:type="dxa"/>
            <w:vAlign w:val="center"/>
            <w:vMerge w:val="restart"/>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1371600" cy="2971800"/>
                      <wp:effectExtent l="0" t="0" r="0" b="0"/>
                      <wp:docPr id="1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04809" name=""/>
                              <pic:cNvPicPr>
                                <a:picLocks noChangeAspect="1"/>
                              </pic:cNvPicPr>
                              <pic:nvPr/>
                            </pic:nvPicPr>
                            <pic:blipFill rotWithShape="1">
                              <a:blip r:embed="rId29"/>
                              <a:stretch/>
                            </pic:blipFill>
                            <pic:spPr bwMode="auto">
                              <a:xfrm rot="0" flipH="0" flipV="0">
                                <a:off x="0" y="0"/>
                                <a:ext cx="1371599" cy="29718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08.00pt;height:234.00pt;mso-wrap-distance-left:0.00pt;mso-wrap-distance-top:0.00pt;mso-wrap-distance-right:0.00pt;mso-wrap-distance-bottom:0.00pt;rotation:0;z-index:1;" stroked="false">
                      <v:imagedata r:id="rId29" o:title=""/>
                      <o:lock v:ext="edit" rotation="t"/>
                    </v:shape>
                  </w:pict>
                </mc:Fallback>
              </mc:AlternateContent>
            </w:r>
            <w:r>
              <w:rPr>
                <w:b/>
                <w:bCs/>
                <w:i/>
                <w:lang w:val="pt-BR"/>
              </w:rPr>
            </w:r>
            <w:r>
              <w:rPr>
                <w:b/>
                <w:bCs/>
                <w:i/>
                <w:lang w:val="pt-BR"/>
              </w:rPr>
            </w:r>
          </w:p>
        </w:tc>
        <w:tc>
          <w:tcPr>
            <w:tcBorders/>
            <w:tcW w:w="4757" w:type="dxa"/>
            <w:vAlign w:val="center"/>
            <w:vMerge w:val="restart"/>
            <w:textDirection w:val="lrTb"/>
            <w:noWrap w:val="false"/>
          </w:tcPr>
          <w:p>
            <w:pPr>
              <w:pBdr/>
              <w:spacing w:after="120"/>
              <w:ind/>
              <w:jc w:val="center"/>
              <w:rPr>
                <w:b/>
                <w:bCs/>
                <w:i/>
                <w:lang w:val="pt-BR"/>
              </w:rPr>
            </w:pPr>
            <w:r>
              <w:rPr>
                <w:b/>
                <w:bCs/>
                <w:i/>
                <w:lang w:val="pt-BR"/>
              </w:rPr>
            </w:r>
            <w:r>
              <mc:AlternateContent>
                <mc:Choice Requires="wpg">
                  <w:drawing>
                    <wp:inline xmlns:wp="http://schemas.openxmlformats.org/drawingml/2006/wordprocessingDrawing" distT="0" distB="0" distL="0" distR="0">
                      <wp:extent cx="2743200" cy="2057400"/>
                      <wp:effectExtent l="0" t="0" r="0" b="0"/>
                      <wp:docPr id="1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605739" name=""/>
                              <pic:cNvPicPr>
                                <a:picLocks noChangeAspect="1"/>
                              </pic:cNvPicPr>
                              <pic:nvPr/>
                            </pic:nvPicPr>
                            <pic:blipFill rotWithShape="1">
                              <a:blip r:embed="rId30"/>
                              <a:stretch/>
                            </pic:blipFill>
                            <pic:spPr bwMode="auto">
                              <a:xfrm rot="0" flipH="0" flipV="0">
                                <a:off x="0" y="0"/>
                                <a:ext cx="2743199" cy="20574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16.00pt;height:162.00pt;mso-wrap-distance-left:0.00pt;mso-wrap-distance-top:0.00pt;mso-wrap-distance-right:0.00pt;mso-wrap-distance-bottom:0.00pt;rotation:0;z-index:1;" stroked="false">
                      <v:imagedata r:id="rId30"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b/>
          <w:bCs/>
          <w:highlight w:val="none"/>
        </w:rPr>
      </w:pPr>
      <w:r>
        <w:rPr>
          <w:b/>
          <w:bCs/>
          <w:highlight w:val="none"/>
        </w:rPr>
        <w:t xml:space="preserve">PHÁP LÝ CỦA TÀI SẢN</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2743200" cy="36576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800809" name=""/>
                        <pic:cNvPicPr>
                          <a:picLocks noChangeAspect="1"/>
                        </pic:cNvPicPr>
                        <pic:nvPr/>
                      </pic:nvPicPr>
                      <pic:blipFill rotWithShape="1">
                        <a:blip r:embed="rId31"/>
                        <a:stretch/>
                      </pic:blipFill>
                      <pic:spPr bwMode="auto">
                        <a:xfrm rot="0" flipH="0" flipV="0">
                          <a:off x="0" y="0"/>
                          <a:ext cx="2743199" cy="365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16.00pt;height:288.00pt;mso-wrap-distance-left:0.00pt;mso-wrap-distance-top:0.00pt;mso-wrap-distance-right:0.00pt;mso-wrap-distance-bottom:0.00pt;rotation:0;z-index:1;" stroked="false">
                <v:imagedata r:id="rId31" o:title=""/>
                <o:lock v:ext="edit" rotation="t"/>
              </v:shape>
            </w:pict>
          </mc:Fallback>
        </mc:AlternateContent>
      </w:r>
      <w:r>
        <mc:AlternateContent>
          <mc:Choice Requires="wpg">
            <w:drawing>
              <wp:inline xmlns:wp="http://schemas.openxmlformats.org/drawingml/2006/wordprocessingDrawing" distT="0" distB="0" distL="0" distR="0">
                <wp:extent cx="2743200" cy="36576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27929" name=""/>
                        <pic:cNvPicPr>
                          <a:picLocks noChangeAspect="1"/>
                        </pic:cNvPicPr>
                        <pic:nvPr/>
                      </pic:nvPicPr>
                      <pic:blipFill rotWithShape="1">
                        <a:blip r:embed="rId32"/>
                        <a:stretch/>
                      </pic:blipFill>
                      <pic:spPr bwMode="auto">
                        <a:xfrm rot="0" flipH="0" flipV="0">
                          <a:off x="0" y="0"/>
                          <a:ext cx="2743199" cy="365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16.00pt;height:288.00pt;mso-wrap-distance-left:0.00pt;mso-wrap-distance-top:0.00pt;mso-wrap-distance-right:0.00pt;mso-wrap-distance-bottom:0.00pt;rotation:0;z-index:1;" stroked="false">
                <v:imagedata r:id="rId32" o:title=""/>
                <o:lock v:ext="edit" rotation="t"/>
              </v:shape>
            </w:pict>
          </mc:Fallback>
        </mc:AlternateContent>
      </w:r>
      <w:r>
        <mc:AlternateContent>
          <mc:Choice Requires="wpg">
            <w:drawing>
              <wp:inline xmlns:wp="http://schemas.openxmlformats.org/drawingml/2006/wordprocessingDrawing" distT="0" distB="0" distL="0" distR="0">
                <wp:extent cx="2743200" cy="36576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427171" name=""/>
                        <pic:cNvPicPr>
                          <a:picLocks noChangeAspect="1"/>
                        </pic:cNvPicPr>
                        <pic:nvPr/>
                      </pic:nvPicPr>
                      <pic:blipFill rotWithShape="1">
                        <a:blip r:embed="rId33"/>
                        <a:stretch/>
                      </pic:blipFill>
                      <pic:spPr bwMode="auto">
                        <a:xfrm rot="0" flipH="0" flipV="0">
                          <a:off x="0" y="0"/>
                          <a:ext cx="2743199" cy="365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216.00pt;height:288.00pt;mso-wrap-distance-left:0.00pt;mso-wrap-distance-top:0.00pt;mso-wrap-distance-right:0.00pt;mso-wrap-distance-bottom:0.00pt;rotation:0;z-index:1;" stroked="false">
                <v:imagedata r:id="rId33" o:title=""/>
                <o:lock v:ext="edit" rotation="t"/>
              </v:shape>
            </w:pict>
          </mc:Fallback>
        </mc:AlternateContent>
      </w:r>
      <w:r>
        <mc:AlternateContent>
          <mc:Choice Requires="wpg">
            <w:drawing>
              <wp:inline xmlns:wp="http://schemas.openxmlformats.org/drawingml/2006/wordprocessingDrawing" distT="0" distB="0" distL="0" distR="0">
                <wp:extent cx="2743200" cy="36576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20310" name=""/>
                        <pic:cNvPicPr>
                          <a:picLocks noChangeAspect="1"/>
                        </pic:cNvPicPr>
                        <pic:nvPr/>
                      </pic:nvPicPr>
                      <pic:blipFill rotWithShape="1">
                        <a:blip r:embed="rId34"/>
                        <a:stretch/>
                      </pic:blipFill>
                      <pic:spPr bwMode="auto">
                        <a:xfrm rot="0" flipH="0" flipV="0">
                          <a:off x="0" y="0"/>
                          <a:ext cx="2743199" cy="36576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6.00pt;height:288.00pt;mso-wrap-distance-left:0.00pt;mso-wrap-distance-top:0.00pt;mso-wrap-distance-right:0.00pt;mso-wrap-distance-bottom:0.00pt;rotation:0;z-index:1;" stroked="false">
                <v:imagedata r:id="rId34"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 HIỆN TRẠNG TÀI SẢN</w:t>
      </w:r>
      <w:r>
        <w:rPr>
          <w:b/>
          <w:bCs/>
          <w:highlight w:val="none"/>
        </w:rPr>
      </w:r>
      <w:r>
        <w:rPr>
          <w:b/>
          <w:bCs/>
          <w:highlight w:val="none"/>
        </w:rPr>
      </w:r>
    </w:p>
    <w:p>
      <w:pPr>
        <w:pBdr/>
        <w:spacing w:after="200" w:line="276" w:lineRule="auto"/>
        <w:ind/>
        <w:jc w:val="center"/>
        <w:rPr>
          <w:b/>
          <w:bCs/>
          <w:highlight w:val="none"/>
        </w:rPr>
      </w:pPr>
      <w:r>
        <w:rPr>
          <w:b/>
          <w:bCs/>
          <w:highlight w:val="none"/>
        </w:rPr>
      </w:r>
      <w:r>
        <mc:AlternateContent>
          <mc:Choice Requires="wpg">
            <w:drawing>
              <wp:inline xmlns:wp="http://schemas.openxmlformats.org/drawingml/2006/wordprocessingDrawing" distT="0" distB="0" distL="0" distR="0">
                <wp:extent cx="5915025" cy="763905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674871" name=""/>
                        <pic:cNvPicPr>
                          <a:picLocks noChangeAspect="1"/>
                        </pic:cNvPicPr>
                        <pic:nvPr/>
                      </pic:nvPicPr>
                      <pic:blipFill rotWithShape="1">
                        <a:blip r:embed="rId35"/>
                        <a:stretch/>
                      </pic:blipFill>
                      <pic:spPr bwMode="auto">
                        <a:xfrm>
                          <a:off x="0" y="0"/>
                          <a:ext cx="5915025" cy="763904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65.75pt;height:601.50pt;mso-wrap-distance-left:0.00pt;mso-wrap-distance-top:0.00pt;mso-wrap-distance-right:0.00pt;mso-wrap-distance-bottom:0.00pt;z-index:1;" stroked="false">
                <v:imagedata r:id="rId35" o:title=""/>
                <o:lock v:ext="edit" rotation="t"/>
              </v:shape>
            </w:pict>
          </mc:Fallback>
        </mc:AlternateContent>
      </w:r>
      <w:r>
        <w:rPr>
          <w:b/>
          <w:bCs/>
          <w:highlight w:val="none"/>
        </w:rPr>
      </w:r>
      <w:r>
        <w:rPr>
          <w:b/>
          <w:bCs/>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highlight w:val="none"/>
        </w:rPr>
      </w:r>
      <w:r>
        <w:rPr>
          <w:b/>
          <w:bCs/>
        </w:rPr>
      </w:r>
      <w:r>
        <w:rPr>
          <w:b/>
          <w:bCs/>
        </w:rP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275/2026/0689/VFI-BC.51.A</w:t>
      </w:r>
      <w:r>
        <w:rPr>
          <w:i/>
          <w:lang w:val="pt-BR"/>
        </w:rPr>
        <w:t xml:space="preserve"> </w:t>
      </w:r>
      <w:r>
        <w:rPr>
          <w:i/>
          <w:lang w:val="pt-BR"/>
        </w:rPr>
        <w:t xml:space="preserve">6 tháng 5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https://www.facebook.com/groups/hoiniengranghnoi/posts/1647775259807522/</w:t>
            </w:r>
            <w:r>
              <w:rPr>
                <w:color w:val="000000" w:themeColor="text1"/>
                <w:sz w:val="22"/>
                <w:szCs w:val="22"/>
              </w:rPr>
              <w:br/>
              <w:t xml:space="preserve">0986126854</w:t>
            </w:r>
            <w:r>
              <w:rPr>
                <w:sz w:val="22"/>
                <w:szCs w:val="22"/>
              </w:rPr>
              <w:t xml:space="preserve"> </w:t>
            </w:r>
            <w:r>
              <w:rPr>
                <w:sz w:val="22"/>
                <w:szCs w:val="22"/>
              </w:rPr>
              <w:br/>
              <w:t xml:space="preserve">(Việt Anh</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10.620.000.000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Hồ Tùng Mậu 500m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6,97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đường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014561" cy="3175000"/>
                      <wp:effectExtent l="0" t="0" r="0" b="0"/>
                      <wp:docPr id="24" name=""/>
                      <wp:cNvGraphicFramePr/>
                      <a:graphic xmlns:a="http://schemas.openxmlformats.org/drawingml/2006/main">
                        <a:graphicData uri="http://schemas.openxmlformats.org/drawingml/2006/picture">
                          <pic:pic xmlns:pic="http://schemas.openxmlformats.org/drawingml/2006/picture">
                            <pic:nvPicPr>
                              <pic:cNvPr id="604340405" name="" descr=""/>
                              <pic:cNvPicPr/>
                              <pic:nvPr/>
                            </pic:nvPicPr>
                            <pic:blipFill rotWithShape="1">
                              <a:blip r:embed="rId36"/>
                              <a:stretch/>
                            </pic:blipFill>
                            <pic:spPr bwMode="auto">
                              <a:xfrm>
                                <a:off x="0" y="0"/>
                                <a:ext cx="3014560"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237.37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014746" cy="3175000"/>
                      <wp:effectExtent l="0" t="0" r="0" b="0"/>
                      <wp:docPr id="25" name=""/>
                      <wp:cNvGraphicFramePr/>
                      <a:graphic xmlns:a="http://schemas.openxmlformats.org/drawingml/2006/main">
                        <a:graphicData uri="http://schemas.openxmlformats.org/drawingml/2006/picture">
                          <pic:pic xmlns:pic="http://schemas.openxmlformats.org/drawingml/2006/picture">
                            <pic:nvPicPr>
                              <pic:cNvPr id="1302995728" name="" descr=""/>
                              <pic:cNvPicPr/>
                              <pic:nvPr/>
                            </pic:nvPicPr>
                            <pic:blipFill rotWithShape="1">
                              <a:blip r:embed="rId37"/>
                              <a:stretch/>
                            </pic:blipFill>
                            <pic:spPr bwMode="auto">
                              <a:xfrm flipH="0" flipV="0">
                                <a:off x="0" y="0"/>
                                <a:ext cx="301474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237.38pt;height:250.00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74594" cy="3175000"/>
                      <wp:effectExtent l="0" t="0" r="0" b="0"/>
                      <wp:docPr id="26" name=""/>
                      <wp:cNvGraphicFramePr/>
                      <a:graphic xmlns:a="http://schemas.openxmlformats.org/drawingml/2006/main">
                        <a:graphicData uri="http://schemas.openxmlformats.org/drawingml/2006/picture">
                          <pic:pic xmlns:pic="http://schemas.openxmlformats.org/drawingml/2006/picture">
                            <pic:nvPicPr>
                              <pic:cNvPr id="1857640119" name="" descr=""/>
                              <pic:cNvPicPr/>
                              <pic:nvPr/>
                            </pic:nvPicPr>
                            <pic:blipFill rotWithShape="1">
                              <a:blip r:embed="rId38"/>
                              <a:stretch/>
                            </pic:blipFill>
                            <pic:spPr bwMode="auto">
                              <a:xfrm flipH="0" flipV="0">
                                <a:off x="0" y="0"/>
                                <a:ext cx="217459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71.23pt;height:250.00pt;mso-wrap-distance-left:0.00pt;mso-wrap-distance-top:0.00pt;mso-wrap-distance-right:0.00pt;mso-wrap-distance-bottom:0.00pt;z-index:1;" stroked="false">
                      <v:imagedata r:id="rId38" o:title=""/>
                      <o:lock v:ext="edit" rotation="t"/>
                    </v:shape>
                  </w:pict>
                </mc:Fallback>
              </mc:AlternateContent>
            </w:r>
            <w:r>
              <w:rPr>
                <w:color w:val="000000"/>
                <w:sz w:val="22"/>
                <w:szCs w:val="22"/>
              </w:rPr>
            </w:r>
            <w:r>
              <w:rPr>
                <w:color w:val="000000"/>
                <w:sz w:val="22"/>
                <w:szCs w:val="22"/>
              </w:rP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0981935356</w:t>
            </w:r>
            <w:r>
              <w:rPr>
                <w:sz w:val="22"/>
                <w:szCs w:val="22"/>
              </w:rPr>
              <w:t xml:space="preserve"> </w:t>
            </w:r>
            <w:r>
              <w:rPr>
                <w:sz w:val="22"/>
                <w:szCs w:val="22"/>
              </w:rPr>
              <w:br/>
              <w:t xml:space="preserve">(Hoàng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8.640.000.000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Hồ Tùng Mậu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664165" cy="3175000"/>
                      <wp:effectExtent l="0" t="0" r="0" b="0"/>
                      <wp:docPr id="2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9"/>
                              <a:stretch/>
                            </pic:blipFill>
                            <pic:spPr bwMode="auto">
                              <a:xfrm flipH="0" flipV="0">
                                <a:off x="0" y="0"/>
                                <a:ext cx="266416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09.78pt;height:250.00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8" name=""/>
                      <wp:cNvGraphicFramePr/>
                      <a:graphic xmlns:a="http://schemas.openxmlformats.org/drawingml/2006/main">
                        <a:graphicData uri="http://schemas.openxmlformats.org/drawingml/2006/picture">
                          <pic:pic xmlns:pic="http://schemas.openxmlformats.org/drawingml/2006/picture">
                            <pic:nvPicPr>
                              <pic:cNvPr id="1215186969" name="" descr=""/>
                              <pic:cNvPicPr/>
                              <pic:nvPr/>
                            </pic:nvPicPr>
                            <pic:blipFill rotWithShape="1">
                              <a:blip r:embed="rId40"/>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87.50pt;height:250.00pt;mso-wrap-distance-left:0.00pt;mso-wrap-distance-top:0.00pt;mso-wrap-distance-right:0.00pt;mso-wrap-distance-bottom:0.00pt;z-index:1;" stroked="false">
                      <v:imagedata r:id="rId40" o:title=""/>
                      <o:lock v:ext="edit" rotation="t"/>
                    </v:shape>
                  </w:pict>
                </mc:Fallback>
              </mc:AlternateConten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9" name=""/>
                      <wp:cNvGraphicFramePr/>
                      <a:graphic xmlns:a="http://schemas.openxmlformats.org/drawingml/2006/main">
                        <a:graphicData uri="http://schemas.openxmlformats.org/drawingml/2006/picture">
                          <pic:pic xmlns:pic="http://schemas.openxmlformats.org/drawingml/2006/picture">
                            <pic:nvPicPr>
                              <pic:cNvPr id="1031523537" name="" descr=""/>
                              <pic:cNvPicPr/>
                              <pic:nvPr/>
                            </pic:nvPicPr>
                            <pic:blipFill rotWithShape="1">
                              <a:blip r:embed="rId41"/>
                              <a:stretch/>
                            </pic:blipFill>
                            <pic:spPr bwMode="auto">
                              <a:xfrm flipH="0" flipV="0">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187.50pt;height:250.00pt;mso-wrap-distance-left:0.00pt;mso-wrap-distance-top:0.00pt;mso-wrap-distance-right:0.00pt;mso-wrap-distance-bottom:0.00pt;z-index:1;" stroked="false">
                      <v:imagedata r:id="rId4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3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2"/>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187.50pt;height:250.00pt;mso-wrap-distance-left:0.00pt;mso-wrap-distance-top:0.00pt;mso-wrap-distance-right:0.00pt;mso-wrap-distance-bottom:0.00pt;z-index:1;" stroked="false">
                      <v:imagedata r:id="rId4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0981935356</w:t>
            </w:r>
            <w:r>
              <w:rPr>
                <w:sz w:val="22"/>
                <w:szCs w:val="22"/>
              </w:rPr>
              <w:t xml:space="preserve"> </w:t>
            </w:r>
            <w:r>
              <w:rPr>
                <w:sz w:val="22"/>
                <w:szCs w:val="22"/>
              </w:rPr>
              <w:br/>
              <w:t xml:space="preserve">(Hoàng Hà</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7.470.000.000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05/2026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Hồ Tùng Mậu khoảng 200m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509585" cy="3175000"/>
                      <wp:effectExtent l="0" t="0" r="0" b="0"/>
                      <wp:docPr id="31" name=""/>
                      <wp:cNvGraphicFramePr/>
                      <a:graphic xmlns:a="http://schemas.openxmlformats.org/drawingml/2006/main">
                        <a:graphicData uri="http://schemas.openxmlformats.org/drawingml/2006/picture">
                          <pic:pic xmlns:pic="http://schemas.openxmlformats.org/drawingml/2006/picture">
                            <pic:nvPicPr>
                              <pic:cNvPr id="1978960408" name="" descr=""/>
                              <pic:cNvPicPr/>
                              <pic:nvPr/>
                            </pic:nvPicPr>
                            <pic:blipFill rotWithShape="1">
                              <a:blip r:embed="rId43"/>
                              <a:stretch/>
                            </pic:blipFill>
                            <pic:spPr bwMode="auto">
                              <a:xfrm>
                                <a:off x="0" y="0"/>
                                <a:ext cx="350958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276.35pt;height:250.00pt;mso-wrap-distance-left:0.00pt;mso-wrap-distance-top:0.00pt;mso-wrap-distance-right:0.00pt;mso-wrap-distance-bottom:0.00pt;z-index:1;" stroked="false">
                      <v:imagedata r:id="rId43"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3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4"/>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187.50pt;height:250.00pt;mso-wrap-distance-left:0.00pt;mso-wrap-distance-top:0.00pt;mso-wrap-distance-right:0.00pt;mso-wrap-distance-bottom:0.00pt;z-index:1;" stroked="false">
                      <v:imagedata r:id="rId4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3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45"/>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187.50pt;height:250.00pt;mso-wrap-distance-left:0.00pt;mso-wrap-distance-top:0.00pt;mso-wrap-distance-right:0.00pt;mso-wrap-distance-bottom:0.00pt;z-index:1;" stroked="false">
                      <v:imagedata r:id="rId4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244"/>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i/>
              </w:rPr>
            </w:pPr>
            <w:r>
              <w:rPr>
                <w:b/>
                <w:bCs/>
                <w:i/>
                <w:iCs/>
              </w:rPr>
              <w:t xml:space="preserve">Nguyễn Đăng Hiếu</w:t>
            </w:r>
            <w:r>
              <w:rPr>
                <w:b/>
                <w:bCs/>
                <w:i/>
              </w:rPr>
            </w:r>
            <w:r>
              <w:rPr>
                <w:b/>
                <w:bCs/>
                <w:i/>
              </w:rPr>
            </w:r>
          </w:p>
        </w:tc>
      </w:tr>
    </w:tbl>
    <w:p>
      <w:pPr>
        <w:pBdr/>
        <w:spacing w:after="200" w:line="276" w:lineRule="auto"/>
        <w:ind/>
        <w:rPr>
          <w:iCs/>
          <w:lang w:val="pt-BR"/>
        </w:rPr>
      </w:pPr>
      <w:r>
        <w:rPr>
          <w:iCs/>
          <w:lang w:val="pt-BR"/>
        </w:rPr>
      </w: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1AB88185"/>
    <w:lvl w:ilvl="0">
      <w:isLgl w:val="false"/>
      <w:lvlJc w:val="left"/>
      <w:lvlText w:val="-"/>
      <w:numFmt w:val="bullet"/>
      <w:pPr>
        <w:pBdr/>
        <w:spacing/>
        <w:ind w:hanging="360" w:left="784"/>
      </w:pPr>
      <w:rPr>
        <w:rFonts w:hint="default" w:ascii="Symbol" w:hAnsi="Symbol" w:eastAsia="Symbol" w:cs="Symbol"/>
      </w:rPr>
      <w:start w:val="1"/>
      <w:suff w:val="tab"/>
    </w:lvl>
    <w:lvl w:ilvl="1">
      <w:isLgl w:val="false"/>
      <w:lvlJc w:val="left"/>
      <w:lvlText w:val="o"/>
      <w:numFmt w:val="bullet"/>
      <w:pPr>
        <w:pBdr/>
        <w:spacing/>
        <w:ind w:hanging="360" w:left="1504"/>
      </w:pPr>
      <w:rPr>
        <w:rFonts w:hint="default" w:ascii="Courier New" w:hAnsi="Courier New" w:eastAsia="Courier New" w:cs="Courier New"/>
      </w:rPr>
      <w:start w:val="1"/>
      <w:suff w:val="tab"/>
    </w:lvl>
    <w:lvl w:ilvl="2">
      <w:isLgl w:val="false"/>
      <w:lvlJc w:val="left"/>
      <w:lvlText w:val=""/>
      <w:numFmt w:val="bullet"/>
      <w:pPr>
        <w:pBdr/>
        <w:spacing/>
        <w:ind w:hanging="360" w:left="2224"/>
      </w:pPr>
      <w:rPr>
        <w:rFonts w:hint="default" w:ascii="Wingdings" w:hAnsi="Wingdings" w:eastAsia="Wingdings" w:cs="Wingdings"/>
      </w:rPr>
      <w:start w:val="1"/>
      <w:suff w:val="tab"/>
    </w:lvl>
    <w:lvl w:ilvl="3">
      <w:isLgl w:val="false"/>
      <w:lvlJc w:val="left"/>
      <w:lvlText w:val=""/>
      <w:numFmt w:val="bullet"/>
      <w:pPr>
        <w:pBdr/>
        <w:spacing/>
        <w:ind w:hanging="360" w:left="2944"/>
      </w:pPr>
      <w:rPr>
        <w:rFonts w:hint="default" w:ascii="Symbol" w:hAnsi="Symbol" w:eastAsia="Symbol" w:cs="Symbol"/>
      </w:rPr>
      <w:start w:val="1"/>
      <w:suff w:val="tab"/>
    </w:lvl>
    <w:lvl w:ilvl="4">
      <w:isLgl w:val="false"/>
      <w:lvlJc w:val="left"/>
      <w:lvlText w:val="o"/>
      <w:numFmt w:val="bullet"/>
      <w:pPr>
        <w:pBdr/>
        <w:spacing/>
        <w:ind w:hanging="360" w:left="3664"/>
      </w:pPr>
      <w:rPr>
        <w:rFonts w:hint="default" w:ascii="Courier New" w:hAnsi="Courier New" w:eastAsia="Courier New" w:cs="Courier New"/>
      </w:rPr>
      <w:start w:val="1"/>
      <w:suff w:val="tab"/>
    </w:lvl>
    <w:lvl w:ilvl="5">
      <w:isLgl w:val="false"/>
      <w:lvlJc w:val="left"/>
      <w:lvlText w:val=""/>
      <w:numFmt w:val="bullet"/>
      <w:pPr>
        <w:pBdr/>
        <w:spacing/>
        <w:ind w:hanging="360" w:left="4384"/>
      </w:pPr>
      <w:rPr>
        <w:rFonts w:hint="default" w:ascii="Wingdings" w:hAnsi="Wingdings" w:eastAsia="Wingdings" w:cs="Wingdings"/>
      </w:rPr>
      <w:start w:val="1"/>
      <w:suff w:val="tab"/>
    </w:lvl>
    <w:lvl w:ilvl="6">
      <w:isLgl w:val="false"/>
      <w:lvlJc w:val="left"/>
      <w:lvlText w:val=""/>
      <w:numFmt w:val="bullet"/>
      <w:pPr>
        <w:pBdr/>
        <w:spacing/>
        <w:ind w:hanging="360" w:left="5104"/>
      </w:pPr>
      <w:rPr>
        <w:rFonts w:hint="default" w:ascii="Symbol" w:hAnsi="Symbol" w:eastAsia="Symbol" w:cs="Symbol"/>
      </w:rPr>
      <w:start w:val="1"/>
      <w:suff w:val="tab"/>
    </w:lvl>
    <w:lvl w:ilvl="7">
      <w:isLgl w:val="false"/>
      <w:lvlJc w:val="left"/>
      <w:lvlText w:val="o"/>
      <w:numFmt w:val="bullet"/>
      <w:pPr>
        <w:pBdr/>
        <w:spacing/>
        <w:ind w:hanging="360" w:left="5824"/>
      </w:pPr>
      <w:rPr>
        <w:rFonts w:hint="default" w:ascii="Courier New" w:hAnsi="Courier New" w:eastAsia="Courier New" w:cs="Courier New"/>
      </w:rPr>
      <w:start w:val="1"/>
      <w:suff w:val="tab"/>
    </w:lvl>
    <w:lvl w:ilvl="8">
      <w:isLgl w:val="false"/>
      <w:lvlJc w:val="left"/>
      <w:lvlText w:val=""/>
      <w:numFmt w:val="bullet"/>
      <w:pPr>
        <w:pBdr/>
        <w:spacing/>
        <w:ind w:hanging="360" w:left="6544"/>
      </w:pPr>
      <w:rPr>
        <w:rFonts w:hint="default" w:ascii="Wingdings" w:hAnsi="Wingdings" w:eastAsia="Wingdings" w:cs="Wingdings"/>
      </w:rPr>
      <w:start w:val="1"/>
      <w:suff w:val="tab"/>
    </w:lvl>
  </w:abstractNum>
  <w:abstractNum w:abstractNumId="38">
    <w:nsid w:val="3E713438"/>
    <w:lvl w:ilvl="0">
      <w:isLgl w:val="false"/>
      <w:lvlJc w:val="left"/>
      <w:lvlText w:val="-"/>
      <w:numFmt w:val="bullet"/>
      <w:pPr>
        <w:pBdr/>
        <w:spacing/>
        <w:ind w:hanging="360" w:left="720"/>
      </w:pPr>
      <w:rPr>
        <w:rFonts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1AB88185"/>
    <w:lvl w:ilvl="0">
      <w:isLgl w:val="false"/>
      <w:lvlJc w:val="left"/>
      <w:lvlText w:val="-"/>
      <w:numFmt w:val="bullet"/>
      <w:pPr>
        <w:pBdr/>
        <w:spacing/>
        <w:ind w:hanging="360" w:left="784"/>
      </w:pPr>
      <w:rPr>
        <w:rFonts w:hint="default" w:ascii="Symbol" w:hAnsi="Symbol" w:eastAsia="Symbol" w:cs="Symbol"/>
      </w:rPr>
      <w:start w:val="1"/>
      <w:suff w:val="tab"/>
    </w:lvl>
    <w:lvl w:ilvl="1">
      <w:isLgl w:val="false"/>
      <w:lvlJc w:val="left"/>
      <w:lvlText w:val="o"/>
      <w:numFmt w:val="bullet"/>
      <w:pPr>
        <w:pBdr/>
        <w:spacing/>
        <w:ind w:hanging="360" w:left="1504"/>
      </w:pPr>
      <w:rPr>
        <w:rFonts w:hint="default" w:ascii="Courier New" w:hAnsi="Courier New" w:eastAsia="Courier New" w:cs="Courier New"/>
      </w:rPr>
      <w:start w:val="1"/>
      <w:suff w:val="tab"/>
    </w:lvl>
    <w:lvl w:ilvl="2">
      <w:isLgl w:val="false"/>
      <w:lvlJc w:val="left"/>
      <w:lvlText w:val=""/>
      <w:numFmt w:val="bullet"/>
      <w:pPr>
        <w:pBdr/>
        <w:spacing/>
        <w:ind w:hanging="360" w:left="2224"/>
      </w:pPr>
      <w:rPr>
        <w:rFonts w:hint="default" w:ascii="Wingdings" w:hAnsi="Wingdings" w:eastAsia="Wingdings" w:cs="Wingdings"/>
      </w:rPr>
      <w:start w:val="1"/>
      <w:suff w:val="tab"/>
    </w:lvl>
    <w:lvl w:ilvl="3">
      <w:isLgl w:val="false"/>
      <w:lvlJc w:val="left"/>
      <w:lvlText w:val=""/>
      <w:numFmt w:val="bullet"/>
      <w:pPr>
        <w:pBdr/>
        <w:spacing/>
        <w:ind w:hanging="360" w:left="2944"/>
      </w:pPr>
      <w:rPr>
        <w:rFonts w:hint="default" w:ascii="Symbol" w:hAnsi="Symbol" w:eastAsia="Symbol" w:cs="Symbol"/>
      </w:rPr>
      <w:start w:val="1"/>
      <w:suff w:val="tab"/>
    </w:lvl>
    <w:lvl w:ilvl="4">
      <w:isLgl w:val="false"/>
      <w:lvlJc w:val="left"/>
      <w:lvlText w:val="o"/>
      <w:numFmt w:val="bullet"/>
      <w:pPr>
        <w:pBdr/>
        <w:spacing/>
        <w:ind w:hanging="360" w:left="3664"/>
      </w:pPr>
      <w:rPr>
        <w:rFonts w:hint="default" w:ascii="Courier New" w:hAnsi="Courier New" w:eastAsia="Courier New" w:cs="Courier New"/>
      </w:rPr>
      <w:start w:val="1"/>
      <w:suff w:val="tab"/>
    </w:lvl>
    <w:lvl w:ilvl="5">
      <w:isLgl w:val="false"/>
      <w:lvlJc w:val="left"/>
      <w:lvlText w:val=""/>
      <w:numFmt w:val="bullet"/>
      <w:pPr>
        <w:pBdr/>
        <w:spacing/>
        <w:ind w:hanging="360" w:left="4384"/>
      </w:pPr>
      <w:rPr>
        <w:rFonts w:hint="default" w:ascii="Wingdings" w:hAnsi="Wingdings" w:eastAsia="Wingdings" w:cs="Wingdings"/>
      </w:rPr>
      <w:start w:val="1"/>
      <w:suff w:val="tab"/>
    </w:lvl>
    <w:lvl w:ilvl="6">
      <w:isLgl w:val="false"/>
      <w:lvlJc w:val="left"/>
      <w:lvlText w:val=""/>
      <w:numFmt w:val="bullet"/>
      <w:pPr>
        <w:pBdr/>
        <w:spacing/>
        <w:ind w:hanging="360" w:left="5104"/>
      </w:pPr>
      <w:rPr>
        <w:rFonts w:hint="default" w:ascii="Symbol" w:hAnsi="Symbol" w:eastAsia="Symbol" w:cs="Symbol"/>
      </w:rPr>
      <w:start w:val="1"/>
      <w:suff w:val="tab"/>
    </w:lvl>
    <w:lvl w:ilvl="7">
      <w:isLgl w:val="false"/>
      <w:lvlJc w:val="left"/>
      <w:lvlText w:val="o"/>
      <w:numFmt w:val="bullet"/>
      <w:pPr>
        <w:pBdr/>
        <w:spacing/>
        <w:ind w:hanging="360" w:left="5824"/>
      </w:pPr>
      <w:rPr>
        <w:rFonts w:hint="default" w:ascii="Courier New" w:hAnsi="Courier New" w:eastAsia="Courier New" w:cs="Courier New"/>
      </w:rPr>
      <w:start w:val="1"/>
      <w:suff w:val="tab"/>
    </w:lvl>
    <w:lvl w:ilvl="8">
      <w:isLgl w:val="false"/>
      <w:lvlJc w:val="left"/>
      <w:lvlText w:val=""/>
      <w:numFmt w:val="bullet"/>
      <w:pPr>
        <w:pBdr/>
        <w:spacing/>
        <w:ind w:hanging="360" w:left="6544"/>
      </w:pPr>
      <w:rPr>
        <w:rFonts w:hint="default" w:ascii="Wingdings" w:hAnsi="Wingdings" w:eastAsia="Wingdings" w:cs="Wingdings"/>
      </w:rPr>
      <w:start w:val="1"/>
      <w:suff w:val="tab"/>
    </w:lvl>
  </w:abstractNum>
  <w:abstractNum w:abstractNumId="40">
    <w:nsid w:val="01524F7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1">
    <w:nsid w:val="7E8B13B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2">
    <w:nsid w:val="56ED9D7A"/>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3">
    <w:nsid w:val="7E8B13B4"/>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4">
    <w:nsid w:val="1CAC6197"/>
    <w:lvl w:ilvl="0">
      <w:isLgl w:val="false"/>
      <w:lvlJc w:val="left"/>
      <w:lvlText w:val="-"/>
      <w:numFmt w:val="bullet"/>
      <w:pPr>
        <w:pBdr/>
        <w:spacing/>
        <w:ind w:hanging="360" w:left="709"/>
      </w:pPr>
      <w:rPr>
        <w:rFonts w:ascii="Times New Roman" w:hAnsi="Times New Roman" w:eastAsia="Times New Roman" w:cs="Times New Roman"/>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5">
    <w:nsid w:val="52BE9366"/>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abstractNum w:abstractNumId="46">
    <w:nsid w:val="46F38926"/>
    <w:lvl w:ilvl="0">
      <w:isLgl w:val="false"/>
      <w:lvlJc w:val="left"/>
      <w:lvlText w:val=""/>
      <w:numFmt w:val="bullet"/>
      <w:pPr>
        <w:pBdr/>
        <w:spacing/>
        <w:ind w:hanging="360" w:left="720"/>
      </w:pPr>
      <w:rPr>
        <w:rFonts w:hint="default" w:ascii="Wingdings" w:hAnsi="Wingdings" w:eastAsia="Wingdings" w:cs="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36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36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360" w:left="6480"/>
      </w:pPr>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7">
    <w:name w:val="Table Grid Light"/>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1"/>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Plain Table 2"/>
    <w:basedOn w:val="102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3"/>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4"/>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5"/>
    <w:basedOn w:val="102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w:basedOn w:val="102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w:basedOn w:val="102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1"/>
    <w:basedOn w:val="102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5"/>
    <w:basedOn w:val="102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6"/>
    <w:basedOn w:val="102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w:basedOn w:val="102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1"/>
    <w:basedOn w:val="102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2"/>
    <w:basedOn w:val="102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3"/>
    <w:basedOn w:val="102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4"/>
    <w:basedOn w:val="102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5"/>
    <w:basedOn w:val="102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6"/>
    <w:basedOn w:val="102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Accent 1"/>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2"/>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 Accent 3"/>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Accent 4"/>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5"/>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 Accent 6"/>
    <w:basedOn w:val="102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9">
    <w:name w:val="Grid Table 6 Colorful - Accent 1"/>
    <w:basedOn w:val="102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0">
    <w:name w:val="Grid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1">
    <w:name w:val="Grid Table 6 Colorful - Accent 3"/>
    <w:basedOn w:val="102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2">
    <w:name w:val="Grid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3">
    <w:name w:val="Grid Table 6 Colorful - Accent 5"/>
    <w:basedOn w:val="102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4">
    <w:name w:val="Grid Table 6 Colorful - Accent 6"/>
    <w:basedOn w:val="102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5">
    <w:name w:val="Grid Table 7 Colorful"/>
    <w:basedOn w:val="102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1"/>
    <w:basedOn w:val="102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2"/>
    <w:basedOn w:val="102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3"/>
    <w:basedOn w:val="102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4"/>
    <w:basedOn w:val="102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5"/>
    <w:basedOn w:val="102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6"/>
    <w:basedOn w:val="102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1"/>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2"/>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3"/>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4"/>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5"/>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6"/>
    <w:basedOn w:val="102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w:basedOn w:val="102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1"/>
    <w:basedOn w:val="102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2"/>
    <w:basedOn w:val="102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3"/>
    <w:basedOn w:val="102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4"/>
    <w:basedOn w:val="102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5"/>
    <w:basedOn w:val="102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6"/>
    <w:basedOn w:val="102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1"/>
    <w:basedOn w:val="102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2"/>
    <w:basedOn w:val="102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3"/>
    <w:basedOn w:val="102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4"/>
    <w:basedOn w:val="102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5"/>
    <w:basedOn w:val="102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6"/>
    <w:basedOn w:val="102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w:basedOn w:val="102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1"/>
    <w:basedOn w:val="102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2"/>
    <w:basedOn w:val="102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3"/>
    <w:basedOn w:val="102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4"/>
    <w:basedOn w:val="102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5"/>
    <w:basedOn w:val="102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6"/>
    <w:basedOn w:val="102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5 Dark"/>
    <w:basedOn w:val="102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1"/>
    <w:basedOn w:val="102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2"/>
    <w:basedOn w:val="102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3"/>
    <w:basedOn w:val="102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4"/>
    <w:basedOn w:val="102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5"/>
    <w:basedOn w:val="102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6"/>
    <w:basedOn w:val="102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6 Colorful"/>
    <w:basedOn w:val="102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1"/>
    <w:basedOn w:val="102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2"/>
    <w:basedOn w:val="102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3"/>
    <w:basedOn w:val="102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4"/>
    <w:basedOn w:val="102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5"/>
    <w:basedOn w:val="102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6"/>
    <w:basedOn w:val="102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7 Colorful"/>
    <w:basedOn w:val="102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5">
    <w:name w:val="List Table 7 Colorful - Accent 1"/>
    <w:basedOn w:val="102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6">
    <w:name w:val="List Table 7 Colorful - Accent 2"/>
    <w:basedOn w:val="102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7">
    <w:name w:val="List Table 7 Colorful - Accent 3"/>
    <w:basedOn w:val="102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8">
    <w:name w:val="List Table 7 Colorful - Accent 4"/>
    <w:basedOn w:val="102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9">
    <w:name w:val="List Table 7 Colorful - Accent 5"/>
    <w:basedOn w:val="102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0">
    <w:name w:val="List Table 7 Colorful - Accent 6"/>
    <w:basedOn w:val="102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1">
    <w:name w:val="Lined - Accent"/>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1"/>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2"/>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3"/>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4"/>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5"/>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6"/>
    <w:basedOn w:val="102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w:basedOn w:val="102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1"/>
    <w:basedOn w:val="102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2"/>
    <w:basedOn w:val="102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3"/>
    <w:basedOn w:val="102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4"/>
    <w:basedOn w:val="102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5"/>
    <w:basedOn w:val="102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6"/>
    <w:basedOn w:val="102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w:basedOn w:val="102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1"/>
    <w:basedOn w:val="102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2"/>
    <w:basedOn w:val="102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3"/>
    <w:basedOn w:val="102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4"/>
    <w:basedOn w:val="102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5"/>
    <w:basedOn w:val="102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6"/>
    <w:basedOn w:val="102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2">
    <w:name w:val="Heading 5"/>
    <w:basedOn w:val="1023"/>
    <w:next w:val="1023"/>
    <w:link w:val="98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3">
    <w:name w:val="Heading 6"/>
    <w:basedOn w:val="1023"/>
    <w:next w:val="1023"/>
    <w:link w:val="98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4">
    <w:name w:val="Heading 7"/>
    <w:basedOn w:val="1023"/>
    <w:next w:val="1023"/>
    <w:link w:val="98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5">
    <w:name w:val="Heading 8"/>
    <w:basedOn w:val="1023"/>
    <w:next w:val="1023"/>
    <w:link w:val="99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6">
    <w:name w:val="Heading 9"/>
    <w:basedOn w:val="1023"/>
    <w:next w:val="1023"/>
    <w:link w:val="99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7">
    <w:name w:val="Heading 5 Char"/>
    <w:basedOn w:val="1028"/>
    <w:link w:val="982"/>
    <w:uiPriority w:val="9"/>
    <w:pPr>
      <w:pBdr/>
      <w:spacing/>
      <w:ind/>
    </w:pPr>
    <w:rPr>
      <w:rFonts w:ascii="Arial" w:hAnsi="Arial" w:eastAsia="Arial" w:cs="Arial"/>
      <w:color w:val="0f4761" w:themeColor="accent1" w:themeShade="BF"/>
    </w:rPr>
  </w:style>
  <w:style w:type="character" w:styleId="988">
    <w:name w:val="Heading 6 Char"/>
    <w:basedOn w:val="1028"/>
    <w:link w:val="983"/>
    <w:uiPriority w:val="9"/>
    <w:pPr>
      <w:pBdr/>
      <w:spacing/>
      <w:ind/>
    </w:pPr>
    <w:rPr>
      <w:rFonts w:ascii="Arial" w:hAnsi="Arial" w:eastAsia="Arial" w:cs="Arial"/>
      <w:i/>
      <w:iCs/>
      <w:color w:val="595959" w:themeColor="text1" w:themeTint="A6"/>
    </w:rPr>
  </w:style>
  <w:style w:type="character" w:styleId="989">
    <w:name w:val="Heading 7 Char"/>
    <w:basedOn w:val="1028"/>
    <w:link w:val="984"/>
    <w:uiPriority w:val="9"/>
    <w:pPr>
      <w:pBdr/>
      <w:spacing/>
      <w:ind/>
    </w:pPr>
    <w:rPr>
      <w:rFonts w:ascii="Arial" w:hAnsi="Arial" w:eastAsia="Arial" w:cs="Arial"/>
      <w:color w:val="595959" w:themeColor="text1" w:themeTint="A6"/>
    </w:rPr>
  </w:style>
  <w:style w:type="character" w:styleId="990">
    <w:name w:val="Heading 8 Char"/>
    <w:basedOn w:val="1028"/>
    <w:link w:val="985"/>
    <w:uiPriority w:val="9"/>
    <w:pPr>
      <w:pBdr/>
      <w:spacing/>
      <w:ind/>
    </w:pPr>
    <w:rPr>
      <w:rFonts w:ascii="Arial" w:hAnsi="Arial" w:eastAsia="Arial" w:cs="Arial"/>
      <w:i/>
      <w:iCs/>
      <w:color w:val="272727" w:themeColor="text1" w:themeTint="D8"/>
    </w:rPr>
  </w:style>
  <w:style w:type="character" w:styleId="991">
    <w:name w:val="Heading 9 Char"/>
    <w:basedOn w:val="1028"/>
    <w:link w:val="986"/>
    <w:uiPriority w:val="9"/>
    <w:pPr>
      <w:pBdr/>
      <w:spacing/>
      <w:ind/>
    </w:pPr>
    <w:rPr>
      <w:rFonts w:ascii="Arial" w:hAnsi="Arial" w:eastAsia="Arial" w:cs="Arial"/>
      <w:i/>
      <w:iCs/>
      <w:color w:val="272727" w:themeColor="text1" w:themeTint="D8"/>
    </w:rPr>
  </w:style>
  <w:style w:type="paragraph" w:styleId="992">
    <w:name w:val="Subtitle"/>
    <w:basedOn w:val="1023"/>
    <w:next w:val="1023"/>
    <w:link w:val="993"/>
    <w:uiPriority w:val="11"/>
    <w:qFormat/>
    <w:pPr>
      <w:numPr>
        <w:ilvl w:val="1"/>
      </w:numPr>
      <w:pBdr/>
      <w:spacing/>
      <w:ind/>
    </w:pPr>
    <w:rPr>
      <w:color w:val="595959" w:themeColor="text1" w:themeTint="A6"/>
      <w:spacing w:val="15"/>
      <w:sz w:val="28"/>
      <w:szCs w:val="28"/>
    </w:rPr>
  </w:style>
  <w:style w:type="character" w:styleId="993">
    <w:name w:val="Subtitle Char"/>
    <w:basedOn w:val="1028"/>
    <w:link w:val="992"/>
    <w:uiPriority w:val="11"/>
    <w:pPr>
      <w:pBdr/>
      <w:spacing/>
      <w:ind/>
    </w:pPr>
    <w:rPr>
      <w:color w:val="595959" w:themeColor="text1" w:themeTint="A6"/>
      <w:spacing w:val="15"/>
      <w:sz w:val="28"/>
      <w:szCs w:val="28"/>
    </w:rPr>
  </w:style>
  <w:style w:type="paragraph" w:styleId="994">
    <w:name w:val="Quote"/>
    <w:basedOn w:val="1023"/>
    <w:next w:val="1023"/>
    <w:link w:val="995"/>
    <w:uiPriority w:val="29"/>
    <w:qFormat/>
    <w:pPr>
      <w:pBdr/>
      <w:spacing w:before="160"/>
      <w:ind/>
      <w:jc w:val="center"/>
    </w:pPr>
    <w:rPr>
      <w:i/>
      <w:iCs/>
      <w:color w:val="404040" w:themeColor="text1" w:themeTint="BF"/>
    </w:rPr>
  </w:style>
  <w:style w:type="character" w:styleId="995">
    <w:name w:val="Quote Char"/>
    <w:basedOn w:val="1028"/>
    <w:link w:val="994"/>
    <w:uiPriority w:val="29"/>
    <w:pPr>
      <w:pBdr/>
      <w:spacing/>
      <w:ind/>
    </w:pPr>
    <w:rPr>
      <w:i/>
      <w:iCs/>
      <w:color w:val="404040" w:themeColor="text1" w:themeTint="BF"/>
    </w:rPr>
  </w:style>
  <w:style w:type="character" w:styleId="996">
    <w:name w:val="Intense Emphasis"/>
    <w:basedOn w:val="1028"/>
    <w:uiPriority w:val="21"/>
    <w:qFormat/>
    <w:pPr>
      <w:pBdr/>
      <w:spacing/>
      <w:ind/>
    </w:pPr>
    <w:rPr>
      <w:i/>
      <w:iCs/>
      <w:color w:val="0f4761" w:themeColor="accent1" w:themeShade="BF"/>
    </w:rPr>
  </w:style>
  <w:style w:type="paragraph" w:styleId="997">
    <w:name w:val="Intense Quote"/>
    <w:basedOn w:val="1023"/>
    <w:next w:val="1023"/>
    <w:link w:val="99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8">
    <w:name w:val="Intense Quote Char"/>
    <w:basedOn w:val="1028"/>
    <w:link w:val="997"/>
    <w:uiPriority w:val="30"/>
    <w:pPr>
      <w:pBdr/>
      <w:spacing/>
      <w:ind/>
    </w:pPr>
    <w:rPr>
      <w:i/>
      <w:iCs/>
      <w:color w:val="0f4761" w:themeColor="accent1" w:themeShade="BF"/>
    </w:rPr>
  </w:style>
  <w:style w:type="character" w:styleId="999">
    <w:name w:val="Intense Reference"/>
    <w:basedOn w:val="1028"/>
    <w:uiPriority w:val="32"/>
    <w:qFormat/>
    <w:pPr>
      <w:pBdr/>
      <w:spacing/>
      <w:ind/>
    </w:pPr>
    <w:rPr>
      <w:b/>
      <w:bCs/>
      <w:smallCaps/>
      <w:color w:val="0f4761" w:themeColor="accent1" w:themeShade="BF"/>
      <w:spacing w:val="5"/>
    </w:rPr>
  </w:style>
  <w:style w:type="paragraph" w:styleId="1000">
    <w:name w:val="No Spacing"/>
    <w:basedOn w:val="1023"/>
    <w:uiPriority w:val="1"/>
    <w:qFormat/>
    <w:pPr>
      <w:pBdr/>
      <w:spacing w:after="0" w:line="240" w:lineRule="auto"/>
      <w:ind/>
    </w:pPr>
  </w:style>
  <w:style w:type="character" w:styleId="1001">
    <w:name w:val="Subtle Emphasis"/>
    <w:basedOn w:val="1028"/>
    <w:uiPriority w:val="19"/>
    <w:qFormat/>
    <w:pPr>
      <w:pBdr/>
      <w:spacing/>
      <w:ind/>
    </w:pPr>
    <w:rPr>
      <w:i/>
      <w:iCs/>
      <w:color w:val="404040" w:themeColor="text1" w:themeTint="BF"/>
    </w:rPr>
  </w:style>
  <w:style w:type="character" w:styleId="1002">
    <w:name w:val="Subtle Reference"/>
    <w:basedOn w:val="1028"/>
    <w:uiPriority w:val="31"/>
    <w:qFormat/>
    <w:pPr>
      <w:pBdr/>
      <w:spacing/>
      <w:ind/>
    </w:pPr>
    <w:rPr>
      <w:smallCaps/>
      <w:color w:val="5a5a5a" w:themeColor="text1" w:themeTint="A5"/>
    </w:rPr>
  </w:style>
  <w:style w:type="character" w:styleId="1003">
    <w:name w:val="Book Title"/>
    <w:basedOn w:val="1028"/>
    <w:uiPriority w:val="33"/>
    <w:qFormat/>
    <w:pPr>
      <w:pBdr/>
      <w:spacing/>
      <w:ind/>
    </w:pPr>
    <w:rPr>
      <w:b/>
      <w:bCs/>
      <w:i/>
      <w:iCs/>
      <w:spacing w:val="5"/>
    </w:rPr>
  </w:style>
  <w:style w:type="paragraph" w:styleId="1004">
    <w:name w:val="Caption"/>
    <w:basedOn w:val="1023"/>
    <w:next w:val="1023"/>
    <w:uiPriority w:val="35"/>
    <w:unhideWhenUsed/>
    <w:qFormat/>
    <w:pPr>
      <w:pBdr/>
      <w:spacing w:after="200" w:line="240" w:lineRule="auto"/>
      <w:ind/>
    </w:pPr>
    <w:rPr>
      <w:i/>
      <w:iCs/>
      <w:color w:val="0e2841" w:themeColor="text2"/>
      <w:sz w:val="18"/>
      <w:szCs w:val="18"/>
    </w:rPr>
  </w:style>
  <w:style w:type="paragraph" w:styleId="1005">
    <w:name w:val="footnote text"/>
    <w:basedOn w:val="1023"/>
    <w:link w:val="1006"/>
    <w:uiPriority w:val="99"/>
    <w:semiHidden/>
    <w:unhideWhenUsed/>
    <w:pPr>
      <w:pBdr/>
      <w:spacing w:after="0" w:line="240" w:lineRule="auto"/>
      <w:ind/>
    </w:pPr>
    <w:rPr>
      <w:sz w:val="20"/>
      <w:szCs w:val="20"/>
    </w:rPr>
  </w:style>
  <w:style w:type="character" w:styleId="1006">
    <w:name w:val="Footnote Text Char"/>
    <w:basedOn w:val="1028"/>
    <w:link w:val="1005"/>
    <w:uiPriority w:val="99"/>
    <w:semiHidden/>
    <w:pPr>
      <w:pBdr/>
      <w:spacing/>
      <w:ind/>
    </w:pPr>
    <w:rPr>
      <w:sz w:val="20"/>
      <w:szCs w:val="20"/>
    </w:rPr>
  </w:style>
  <w:style w:type="character" w:styleId="1007">
    <w:name w:val="footnote reference"/>
    <w:basedOn w:val="1028"/>
    <w:uiPriority w:val="99"/>
    <w:semiHidden/>
    <w:unhideWhenUsed/>
    <w:pPr>
      <w:pBdr/>
      <w:spacing/>
      <w:ind/>
    </w:pPr>
    <w:rPr>
      <w:vertAlign w:val="superscript"/>
    </w:rPr>
  </w:style>
  <w:style w:type="paragraph" w:styleId="1008">
    <w:name w:val="endnote text"/>
    <w:basedOn w:val="1023"/>
    <w:link w:val="1009"/>
    <w:uiPriority w:val="99"/>
    <w:semiHidden/>
    <w:unhideWhenUsed/>
    <w:pPr>
      <w:pBdr/>
      <w:spacing w:after="0" w:line="240" w:lineRule="auto"/>
      <w:ind/>
    </w:pPr>
    <w:rPr>
      <w:sz w:val="20"/>
      <w:szCs w:val="20"/>
    </w:rPr>
  </w:style>
  <w:style w:type="character" w:styleId="1009">
    <w:name w:val="Endnote Text Char"/>
    <w:basedOn w:val="1028"/>
    <w:link w:val="1008"/>
    <w:uiPriority w:val="99"/>
    <w:semiHidden/>
    <w:pPr>
      <w:pBdr/>
      <w:spacing/>
      <w:ind/>
    </w:pPr>
    <w:rPr>
      <w:sz w:val="20"/>
      <w:szCs w:val="20"/>
    </w:rPr>
  </w:style>
  <w:style w:type="character" w:styleId="1010">
    <w:name w:val="endnote reference"/>
    <w:basedOn w:val="1028"/>
    <w:uiPriority w:val="99"/>
    <w:semiHidden/>
    <w:unhideWhenUsed/>
    <w:pPr>
      <w:pBdr/>
      <w:spacing/>
      <w:ind/>
    </w:pPr>
    <w:rPr>
      <w:vertAlign w:val="superscript"/>
    </w:rPr>
  </w:style>
  <w:style w:type="paragraph" w:styleId="1011">
    <w:name w:val="toc 1"/>
    <w:basedOn w:val="1023"/>
    <w:next w:val="1023"/>
    <w:uiPriority w:val="39"/>
    <w:unhideWhenUsed/>
    <w:pPr>
      <w:pBdr/>
      <w:spacing w:after="100"/>
      <w:ind/>
    </w:pPr>
  </w:style>
  <w:style w:type="paragraph" w:styleId="1012">
    <w:name w:val="toc 2"/>
    <w:basedOn w:val="1023"/>
    <w:next w:val="1023"/>
    <w:uiPriority w:val="39"/>
    <w:unhideWhenUsed/>
    <w:pPr>
      <w:pBdr/>
      <w:spacing w:after="100"/>
      <w:ind w:left="220"/>
    </w:pPr>
  </w:style>
  <w:style w:type="paragraph" w:styleId="1013">
    <w:name w:val="toc 3"/>
    <w:basedOn w:val="1023"/>
    <w:next w:val="1023"/>
    <w:uiPriority w:val="39"/>
    <w:unhideWhenUsed/>
    <w:pPr>
      <w:pBdr/>
      <w:spacing w:after="100"/>
      <w:ind w:left="440"/>
    </w:pPr>
  </w:style>
  <w:style w:type="paragraph" w:styleId="1014">
    <w:name w:val="toc 4"/>
    <w:basedOn w:val="1023"/>
    <w:next w:val="1023"/>
    <w:uiPriority w:val="39"/>
    <w:unhideWhenUsed/>
    <w:pPr>
      <w:pBdr/>
      <w:spacing w:after="100"/>
      <w:ind w:left="660"/>
    </w:pPr>
  </w:style>
  <w:style w:type="paragraph" w:styleId="1015">
    <w:name w:val="toc 5"/>
    <w:basedOn w:val="1023"/>
    <w:next w:val="1023"/>
    <w:uiPriority w:val="39"/>
    <w:unhideWhenUsed/>
    <w:pPr>
      <w:pBdr/>
      <w:spacing w:after="100"/>
      <w:ind w:left="880"/>
    </w:pPr>
  </w:style>
  <w:style w:type="paragraph" w:styleId="1016">
    <w:name w:val="toc 6"/>
    <w:basedOn w:val="1023"/>
    <w:next w:val="1023"/>
    <w:uiPriority w:val="39"/>
    <w:unhideWhenUsed/>
    <w:pPr>
      <w:pBdr/>
      <w:spacing w:after="100"/>
      <w:ind w:left="1100"/>
    </w:pPr>
  </w:style>
  <w:style w:type="paragraph" w:styleId="1017">
    <w:name w:val="toc 7"/>
    <w:basedOn w:val="1023"/>
    <w:next w:val="1023"/>
    <w:uiPriority w:val="39"/>
    <w:unhideWhenUsed/>
    <w:pPr>
      <w:pBdr/>
      <w:spacing w:after="100"/>
      <w:ind w:left="1320"/>
    </w:pPr>
  </w:style>
  <w:style w:type="paragraph" w:styleId="1018">
    <w:name w:val="toc 8"/>
    <w:basedOn w:val="1023"/>
    <w:next w:val="1023"/>
    <w:uiPriority w:val="39"/>
    <w:unhideWhenUsed/>
    <w:pPr>
      <w:pBdr/>
      <w:spacing w:after="100"/>
      <w:ind w:left="1540"/>
    </w:pPr>
  </w:style>
  <w:style w:type="paragraph" w:styleId="1019">
    <w:name w:val="toc 9"/>
    <w:basedOn w:val="1023"/>
    <w:next w:val="1023"/>
    <w:uiPriority w:val="39"/>
    <w:unhideWhenUsed/>
    <w:pPr>
      <w:pBdr/>
      <w:spacing w:after="100"/>
      <w:ind w:left="1760"/>
    </w:pPr>
  </w:style>
  <w:style w:type="character" w:styleId="1020">
    <w:name w:val="Placeholder Text"/>
    <w:basedOn w:val="1028"/>
    <w:uiPriority w:val="99"/>
    <w:semiHidden/>
    <w:pPr>
      <w:pBdr/>
      <w:spacing/>
      <w:ind/>
    </w:pPr>
    <w:rPr>
      <w:color w:val="666666"/>
    </w:rPr>
  </w:style>
  <w:style w:type="paragraph" w:styleId="1021">
    <w:name w:val="TOC Heading"/>
    <w:uiPriority w:val="39"/>
    <w:unhideWhenUsed/>
    <w:pPr>
      <w:pBdr/>
      <w:spacing/>
      <w:ind/>
    </w:pPr>
  </w:style>
  <w:style w:type="paragraph" w:styleId="1022">
    <w:name w:val="table of figures"/>
    <w:basedOn w:val="1023"/>
    <w:next w:val="1023"/>
    <w:uiPriority w:val="99"/>
    <w:unhideWhenUsed/>
    <w:pPr>
      <w:pBdr/>
      <w:spacing w:after="0" w:afterAutospacing="0"/>
      <w:ind/>
    </w:pPr>
  </w:style>
  <w:style w:type="paragraph" w:styleId="1023" w:default="1">
    <w:name w:val="Normal"/>
    <w:qFormat/>
    <w:pPr>
      <w:pBdr/>
      <w:spacing w:after="0" w:line="240" w:lineRule="auto"/>
      <w:ind/>
    </w:pPr>
    <w:rPr>
      <w:rFonts w:ascii="Times New Roman" w:hAnsi="Times New Roman" w:eastAsia="Times New Roman" w:cs="Times New Roman"/>
      <w:sz w:val="24"/>
      <w:szCs w:val="24"/>
    </w:rPr>
  </w:style>
  <w:style w:type="paragraph" w:styleId="1024">
    <w:name w:val="Heading 1"/>
    <w:basedOn w:val="1023"/>
    <w:next w:val="1023"/>
    <w:link w:val="1031"/>
    <w:qFormat/>
    <w:pPr>
      <w:keepNext w:val="true"/>
      <w:pBdr/>
      <w:spacing w:after="120" w:before="120"/>
      <w:ind/>
      <w:jc w:val="center"/>
      <w:outlineLvl w:val="0"/>
    </w:pPr>
    <w:rPr>
      <w:b/>
      <w:bCs/>
      <w:sz w:val="27"/>
      <w:szCs w:val="27"/>
    </w:rPr>
  </w:style>
  <w:style w:type="paragraph" w:styleId="1025">
    <w:name w:val="Heading 2"/>
    <w:basedOn w:val="1023"/>
    <w:next w:val="1023"/>
    <w:link w:val="103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6">
    <w:name w:val="Heading 3"/>
    <w:basedOn w:val="1023"/>
    <w:next w:val="1023"/>
    <w:link w:val="1033"/>
    <w:qFormat/>
    <w:pPr>
      <w:keepNext w:val="true"/>
      <w:pBdr/>
      <w:spacing w:before="60"/>
      <w:ind/>
      <w:outlineLvl w:val="2"/>
    </w:pPr>
    <w:rPr>
      <w:sz w:val="28"/>
      <w:szCs w:val="28"/>
    </w:rPr>
  </w:style>
  <w:style w:type="paragraph" w:styleId="1027">
    <w:name w:val="Heading 4"/>
    <w:basedOn w:val="1023"/>
    <w:next w:val="1023"/>
    <w:link w:val="1034"/>
    <w:qFormat/>
    <w:pPr>
      <w:keepNext w:val="true"/>
      <w:pBdr/>
      <w:spacing/>
      <w:ind/>
      <w:jc w:val="center"/>
      <w:outlineLvl w:val="3"/>
    </w:pPr>
    <w:rPr>
      <w:b/>
      <w:bCs/>
    </w:rPr>
  </w:style>
  <w:style w:type="character" w:styleId="1028" w:default="1">
    <w:name w:val="Default Paragraph Font"/>
    <w:uiPriority w:val="1"/>
    <w:semiHidden/>
    <w:unhideWhenUsed/>
    <w:pPr>
      <w:pBdr/>
      <w:spacing/>
      <w:ind/>
    </w:pPr>
  </w:style>
  <w:style w:type="table" w:styleId="102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0" w:default="1">
    <w:name w:val="No List"/>
    <w:uiPriority w:val="99"/>
    <w:semiHidden/>
    <w:unhideWhenUsed/>
    <w:pPr>
      <w:pBdr/>
      <w:spacing/>
      <w:ind/>
    </w:pPr>
  </w:style>
  <w:style w:type="character" w:styleId="1031" w:customStyle="1">
    <w:name w:val="Heading 1 Char"/>
    <w:basedOn w:val="1028"/>
    <w:link w:val="1024"/>
    <w:pPr>
      <w:pBdr/>
      <w:spacing/>
      <w:ind/>
    </w:pPr>
    <w:rPr>
      <w:rFonts w:ascii="Times New Roman" w:hAnsi="Times New Roman" w:eastAsia="Times New Roman" w:cs="Times New Roman"/>
      <w:b/>
      <w:bCs/>
      <w:sz w:val="27"/>
      <w:szCs w:val="27"/>
    </w:rPr>
  </w:style>
  <w:style w:type="character" w:styleId="1032" w:customStyle="1">
    <w:name w:val="Heading 2 Char"/>
    <w:basedOn w:val="1028"/>
    <w:link w:val="1025"/>
    <w:uiPriority w:val="9"/>
    <w:pPr>
      <w:pBdr/>
      <w:spacing/>
      <w:ind/>
    </w:pPr>
    <w:rPr>
      <w:rFonts w:asciiTheme="majorHAnsi" w:hAnsiTheme="majorHAnsi" w:eastAsiaTheme="majorEastAsia" w:cstheme="majorBidi"/>
      <w:color w:val="365f91" w:themeColor="accent1" w:themeShade="BF"/>
      <w:sz w:val="26"/>
      <w:szCs w:val="26"/>
    </w:rPr>
  </w:style>
  <w:style w:type="character" w:styleId="1033" w:customStyle="1">
    <w:name w:val="Heading 3 Char"/>
    <w:basedOn w:val="1028"/>
    <w:link w:val="1026"/>
    <w:pPr>
      <w:pBdr/>
      <w:spacing/>
      <w:ind/>
    </w:pPr>
    <w:rPr>
      <w:rFonts w:ascii="Times New Roman" w:hAnsi="Times New Roman" w:eastAsia="Times New Roman" w:cs="Times New Roman"/>
      <w:sz w:val="28"/>
      <w:szCs w:val="28"/>
    </w:rPr>
  </w:style>
  <w:style w:type="character" w:styleId="1034" w:customStyle="1">
    <w:name w:val="Heading 4 Char"/>
    <w:basedOn w:val="1028"/>
    <w:link w:val="1027"/>
    <w:pPr>
      <w:pBdr/>
      <w:spacing/>
      <w:ind/>
    </w:pPr>
    <w:rPr>
      <w:rFonts w:ascii="Times New Roman" w:hAnsi="Times New Roman" w:eastAsia="Times New Roman" w:cs="Times New Roman"/>
      <w:b/>
      <w:bCs/>
      <w:sz w:val="24"/>
      <w:szCs w:val="24"/>
    </w:rPr>
  </w:style>
  <w:style w:type="character" w:styleId="1035">
    <w:name w:val="Hyperlink"/>
    <w:uiPriority w:val="99"/>
    <w:pPr>
      <w:pBdr/>
      <w:spacing/>
      <w:ind/>
    </w:pPr>
    <w:rPr>
      <w:color w:val="000000"/>
      <w:u w:val="single"/>
    </w:rPr>
  </w:style>
  <w:style w:type="character" w:styleId="1036">
    <w:name w:val="Strong"/>
    <w:uiPriority w:val="22"/>
    <w:qFormat/>
    <w:pPr>
      <w:pBdr/>
      <w:spacing/>
      <w:ind/>
    </w:pPr>
    <w:rPr>
      <w:b/>
      <w:bCs/>
    </w:rPr>
  </w:style>
  <w:style w:type="paragraph" w:styleId="1037">
    <w:name w:val="Balloon Text"/>
    <w:basedOn w:val="1023"/>
    <w:link w:val="1038"/>
    <w:uiPriority w:val="99"/>
    <w:semiHidden/>
    <w:unhideWhenUsed/>
    <w:pPr>
      <w:pBdr/>
      <w:spacing/>
      <w:ind/>
    </w:pPr>
    <w:rPr>
      <w:rFonts w:ascii="Tahoma" w:hAnsi="Tahoma" w:cs="Tahoma"/>
      <w:sz w:val="16"/>
      <w:szCs w:val="16"/>
    </w:rPr>
  </w:style>
  <w:style w:type="character" w:styleId="1038" w:customStyle="1">
    <w:name w:val="Balloon Text Char"/>
    <w:basedOn w:val="1028"/>
    <w:link w:val="1037"/>
    <w:uiPriority w:val="99"/>
    <w:semiHidden/>
    <w:pPr>
      <w:pBdr/>
      <w:spacing/>
      <w:ind/>
    </w:pPr>
    <w:rPr>
      <w:rFonts w:ascii="Tahoma" w:hAnsi="Tahoma" w:eastAsia="Times New Roman" w:cs="Tahoma"/>
      <w:sz w:val="16"/>
      <w:szCs w:val="16"/>
    </w:rPr>
  </w:style>
  <w:style w:type="paragraph" w:styleId="1039">
    <w:name w:val="Header"/>
    <w:basedOn w:val="1023"/>
    <w:link w:val="1040"/>
    <w:unhideWhenUsed/>
    <w:pPr>
      <w:pBdr/>
      <w:tabs>
        <w:tab w:val="center" w:leader="none" w:pos="4680"/>
        <w:tab w:val="right" w:leader="none" w:pos="9360"/>
      </w:tabs>
      <w:spacing/>
      <w:ind/>
    </w:pPr>
  </w:style>
  <w:style w:type="character" w:styleId="1040" w:customStyle="1">
    <w:name w:val="Header Char"/>
    <w:basedOn w:val="1028"/>
    <w:link w:val="1039"/>
    <w:pPr>
      <w:pBdr/>
      <w:spacing/>
      <w:ind/>
    </w:pPr>
    <w:rPr>
      <w:rFonts w:ascii="Times New Roman" w:hAnsi="Times New Roman" w:eastAsia="Times New Roman" w:cs="Times New Roman"/>
      <w:sz w:val="24"/>
      <w:szCs w:val="24"/>
    </w:rPr>
  </w:style>
  <w:style w:type="paragraph" w:styleId="1041">
    <w:name w:val="Footer"/>
    <w:basedOn w:val="1023"/>
    <w:link w:val="1042"/>
    <w:uiPriority w:val="99"/>
    <w:unhideWhenUsed/>
    <w:pPr>
      <w:pBdr/>
      <w:tabs>
        <w:tab w:val="center" w:leader="none" w:pos="4680"/>
        <w:tab w:val="right" w:leader="none" w:pos="9360"/>
      </w:tabs>
      <w:spacing/>
      <w:ind/>
    </w:pPr>
  </w:style>
  <w:style w:type="character" w:styleId="1042" w:customStyle="1">
    <w:name w:val="Footer Char"/>
    <w:basedOn w:val="1028"/>
    <w:link w:val="1041"/>
    <w:uiPriority w:val="99"/>
    <w:pPr>
      <w:pBdr/>
      <w:spacing/>
      <w:ind/>
    </w:pPr>
    <w:rPr>
      <w:rFonts w:ascii="Times New Roman" w:hAnsi="Times New Roman" w:eastAsia="Times New Roman" w:cs="Times New Roman"/>
      <w:sz w:val="24"/>
      <w:szCs w:val="24"/>
    </w:rPr>
  </w:style>
  <w:style w:type="character" w:styleId="1043" w:customStyle="1">
    <w:name w:val="normal-h1"/>
    <w:pPr>
      <w:pBdr/>
      <w:spacing/>
      <w:ind/>
    </w:pPr>
    <w:rPr>
      <w:rFonts w:hint="default" w:ascii=".VnTime" w:hAnsi=".VnTime"/>
      <w:color w:val="0000ff"/>
      <w:sz w:val="24"/>
      <w:szCs w:val="24"/>
    </w:rPr>
  </w:style>
  <w:style w:type="paragraph" w:styleId="1044" w:customStyle="1">
    <w:name w:val="normal-p"/>
    <w:basedOn w:val="1023"/>
    <w:pPr>
      <w:pBdr/>
      <w:spacing/>
      <w:ind/>
      <w:jc w:val="both"/>
    </w:pPr>
    <w:rPr>
      <w:sz w:val="20"/>
      <w:szCs w:val="20"/>
    </w:rPr>
  </w:style>
  <w:style w:type="paragraph" w:styleId="1045">
    <w:name w:val="List Paragraph"/>
    <w:basedOn w:val="1023"/>
    <w:link w:val="1132"/>
    <w:uiPriority w:val="34"/>
    <w:qFormat/>
    <w:pPr>
      <w:pBdr/>
      <w:spacing/>
      <w:ind w:left="720"/>
    </w:pPr>
  </w:style>
  <w:style w:type="paragraph" w:styleId="1046">
    <w:name w:val="Normal (Web)"/>
    <w:basedOn w:val="1023"/>
    <w:uiPriority w:val="99"/>
    <w:pPr>
      <w:pBdr/>
      <w:spacing w:after="100" w:afterAutospacing="1" w:before="100" w:beforeAutospacing="1"/>
      <w:ind/>
    </w:pPr>
  </w:style>
  <w:style w:type="paragraph" w:styleId="1047">
    <w:name w:val="Body Text"/>
    <w:basedOn w:val="1023"/>
    <w:link w:val="1048"/>
    <w:pPr>
      <w:pBdr/>
      <w:spacing w:after="120"/>
      <w:ind/>
      <w:jc w:val="both"/>
    </w:pPr>
  </w:style>
  <w:style w:type="character" w:styleId="1048" w:customStyle="1">
    <w:name w:val="Body Text Char"/>
    <w:basedOn w:val="1028"/>
    <w:link w:val="1047"/>
    <w:pPr>
      <w:pBdr/>
      <w:spacing/>
      <w:ind/>
    </w:pPr>
    <w:rPr>
      <w:rFonts w:ascii="Times New Roman" w:hAnsi="Times New Roman" w:eastAsia="Times New Roman" w:cs="Times New Roman"/>
      <w:sz w:val="24"/>
      <w:szCs w:val="24"/>
    </w:rPr>
  </w:style>
  <w:style w:type="table" w:styleId="1049">
    <w:name w:val="Table Grid"/>
    <w:basedOn w:val="102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1">
    <w:name w:val="annotation reference"/>
    <w:basedOn w:val="1028"/>
    <w:uiPriority w:val="99"/>
    <w:semiHidden/>
    <w:unhideWhenUsed/>
    <w:pPr>
      <w:pBdr/>
      <w:spacing/>
      <w:ind/>
    </w:pPr>
    <w:rPr>
      <w:sz w:val="16"/>
      <w:szCs w:val="16"/>
    </w:rPr>
  </w:style>
  <w:style w:type="paragraph" w:styleId="1052">
    <w:name w:val="annotation text"/>
    <w:basedOn w:val="1023"/>
    <w:link w:val="1053"/>
    <w:uiPriority w:val="99"/>
    <w:unhideWhenUsed/>
    <w:pPr>
      <w:pBdr/>
      <w:spacing/>
      <w:ind/>
    </w:pPr>
    <w:rPr>
      <w:sz w:val="20"/>
      <w:szCs w:val="20"/>
    </w:rPr>
  </w:style>
  <w:style w:type="character" w:styleId="1053" w:customStyle="1">
    <w:name w:val="Comment Text Char"/>
    <w:basedOn w:val="1028"/>
    <w:link w:val="1052"/>
    <w:uiPriority w:val="99"/>
    <w:pPr>
      <w:pBdr/>
      <w:spacing/>
      <w:ind/>
    </w:pPr>
    <w:rPr>
      <w:rFonts w:ascii="Times New Roman" w:hAnsi="Times New Roman" w:eastAsia="Times New Roman" w:cs="Times New Roman"/>
      <w:sz w:val="20"/>
      <w:szCs w:val="20"/>
    </w:rPr>
  </w:style>
  <w:style w:type="paragraph" w:styleId="1054">
    <w:name w:val="annotation subject"/>
    <w:basedOn w:val="1052"/>
    <w:next w:val="1052"/>
    <w:link w:val="1055"/>
    <w:uiPriority w:val="99"/>
    <w:semiHidden/>
    <w:unhideWhenUsed/>
    <w:pPr>
      <w:pBdr/>
      <w:spacing/>
      <w:ind/>
    </w:pPr>
    <w:rPr>
      <w:b/>
      <w:bCs/>
    </w:rPr>
  </w:style>
  <w:style w:type="character" w:styleId="1055" w:customStyle="1">
    <w:name w:val="Comment Subject Char"/>
    <w:basedOn w:val="1053"/>
    <w:link w:val="1054"/>
    <w:uiPriority w:val="99"/>
    <w:semiHidden/>
    <w:pPr>
      <w:pBdr/>
      <w:spacing/>
      <w:ind/>
    </w:pPr>
    <w:rPr>
      <w:rFonts w:ascii="Times New Roman" w:hAnsi="Times New Roman" w:eastAsia="Times New Roman" w:cs="Times New Roman"/>
      <w:b/>
      <w:bCs/>
      <w:sz w:val="20"/>
      <w:szCs w:val="20"/>
    </w:rPr>
  </w:style>
  <w:style w:type="paragraph" w:styleId="1056" w:customStyle="1">
    <w:name w:val="font5"/>
    <w:basedOn w:val="1023"/>
    <w:pPr>
      <w:pBdr/>
      <w:spacing w:after="100" w:afterAutospacing="1" w:before="100" w:beforeAutospacing="1"/>
      <w:ind/>
    </w:pPr>
    <w:rPr>
      <w:rFonts w:ascii="Tahoma" w:hAnsi="Tahoma" w:cs="Tahoma"/>
      <w:color w:val="000000"/>
      <w:sz w:val="18"/>
      <w:szCs w:val="18"/>
    </w:rPr>
  </w:style>
  <w:style w:type="paragraph" w:styleId="1057" w:customStyle="1">
    <w:name w:val="font6"/>
    <w:basedOn w:val="1023"/>
    <w:pPr>
      <w:pBdr/>
      <w:spacing w:after="100" w:afterAutospacing="1" w:before="100" w:beforeAutospacing="1"/>
      <w:ind/>
    </w:pPr>
    <w:rPr>
      <w:rFonts w:ascii="Tahoma" w:hAnsi="Tahoma" w:cs="Tahoma"/>
      <w:b/>
      <w:bCs/>
      <w:color w:val="000000"/>
      <w:sz w:val="18"/>
      <w:szCs w:val="18"/>
    </w:rPr>
  </w:style>
  <w:style w:type="paragraph" w:styleId="1058" w:customStyle="1">
    <w:name w:val="xl23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34"/>
    <w:basedOn w:val="1023"/>
    <w:pPr>
      <w:pBdr/>
      <w:spacing w:after="100" w:afterAutospacing="1" w:before="100" w:beforeAutospacing="1"/>
      <w:ind/>
      <w:jc w:val="center"/>
    </w:pPr>
  </w:style>
  <w:style w:type="paragraph" w:styleId="1060" w:customStyle="1">
    <w:name w:val="xl235"/>
    <w:basedOn w:val="1023"/>
    <w:pPr>
      <w:pBdr/>
      <w:spacing w:after="100" w:afterAutospacing="1" w:before="100" w:beforeAutospacing="1"/>
      <w:ind/>
      <w:jc w:val="center"/>
    </w:pPr>
    <w:rPr>
      <w:b/>
      <w:bCs/>
    </w:rPr>
  </w:style>
  <w:style w:type="paragraph" w:styleId="1061" w:customStyle="1">
    <w:name w:val="xl236"/>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2" w:customStyle="1">
    <w:name w:val="xl23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38"/>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4" w:customStyle="1">
    <w:name w:val="xl23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5" w:customStyle="1">
    <w:name w:val="xl240"/>
    <w:basedOn w:val="1023"/>
    <w:pPr>
      <w:pBdr/>
      <w:spacing w:after="100" w:afterAutospacing="1" w:before="100" w:beforeAutospacing="1"/>
      <w:ind/>
    </w:pPr>
  </w:style>
  <w:style w:type="paragraph" w:styleId="1066" w:customStyle="1">
    <w:name w:val="xl241"/>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7" w:customStyle="1">
    <w:name w:val="xl242"/>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8" w:customStyle="1">
    <w:name w:val="xl243"/>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9" w:customStyle="1">
    <w:name w:val="xl244"/>
    <w:basedOn w:val="1023"/>
    <w:pPr>
      <w:pBdr/>
      <w:spacing w:after="100" w:afterAutospacing="1" w:before="100" w:beforeAutospacing="1"/>
      <w:ind/>
    </w:pPr>
    <w:rPr>
      <w:b/>
      <w:bCs/>
    </w:rPr>
  </w:style>
  <w:style w:type="paragraph" w:styleId="1070" w:customStyle="1">
    <w:name w:val="xl245"/>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1" w:customStyle="1">
    <w:name w:val="xl24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2" w:customStyle="1">
    <w:name w:val="xl247"/>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3" w:customStyle="1">
    <w:name w:val="xl24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4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5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6" w:customStyle="1">
    <w:name w:val="xl25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7" w:customStyle="1">
    <w:name w:val="xl25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8" w:customStyle="1">
    <w:name w:val="xl253"/>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4"/>
    <w:basedOn w:val="102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55"/>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1" w:customStyle="1">
    <w:name w:val="xl256"/>
    <w:basedOn w:val="102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2" w:customStyle="1">
    <w:name w:val="xl25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3" w:customStyle="1">
    <w:name w:val="xl258"/>
    <w:basedOn w:val="102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4" w:customStyle="1">
    <w:name w:val="xl25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5" w:customStyle="1">
    <w:name w:val="xl260"/>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61"/>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7" w:customStyle="1">
    <w:name w:val="xl262"/>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8" w:customStyle="1">
    <w:name w:val="xl263"/>
    <w:basedOn w:val="1023"/>
    <w:pPr>
      <w:pBdr/>
      <w:shd w:val="clear" w:color="000000" w:fill="ffffff"/>
      <w:spacing w:after="100" w:afterAutospacing="1" w:before="100" w:beforeAutospacing="1"/>
      <w:ind/>
    </w:pPr>
  </w:style>
  <w:style w:type="paragraph" w:styleId="1089" w:customStyle="1">
    <w:name w:val="xl264"/>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65"/>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1" w:customStyle="1">
    <w:name w:val="xl26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2" w:customStyle="1">
    <w:name w:val="xl267"/>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3" w:customStyle="1">
    <w:name w:val="xl268"/>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4" w:customStyle="1">
    <w:name w:val="xl269"/>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5" w:customStyle="1">
    <w:name w:val="xl27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1"/>
    <w:basedOn w:val="102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7" w:customStyle="1">
    <w:name w:val="xl27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8" w:customStyle="1">
    <w:name w:val="xl273"/>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9" w:customStyle="1">
    <w:name w:val="xl274"/>
    <w:basedOn w:val="102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0" w:customStyle="1">
    <w:name w:val="xl275"/>
    <w:basedOn w:val="1023"/>
    <w:pPr>
      <w:pBdr/>
      <w:spacing w:after="100" w:afterAutospacing="1" w:before="100" w:beforeAutospacing="1"/>
      <w:ind/>
    </w:pPr>
  </w:style>
  <w:style w:type="paragraph" w:styleId="1101" w:customStyle="1">
    <w:name w:val="xl27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2" w:customStyle="1">
    <w:name w:val="xl277"/>
    <w:basedOn w:val="102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3" w:customStyle="1">
    <w:name w:val="xl278"/>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customStyle="1">
    <w:name w:val="xl279"/>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5" w:customStyle="1">
    <w:name w:val="xl280"/>
    <w:basedOn w:val="102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6" w:customStyle="1">
    <w:name w:val="xl281"/>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7" w:customStyle="1">
    <w:name w:val="xl282"/>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8" w:customStyle="1">
    <w:name w:val="xl283"/>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4"/>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0" w:customStyle="1">
    <w:name w:val="xl285"/>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1" w:customStyle="1">
    <w:name w:val="xl286"/>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2" w:customStyle="1">
    <w:name w:val="xl287"/>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3" w:customStyle="1">
    <w:name w:val="xl288"/>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89"/>
    <w:basedOn w:val="1023"/>
    <w:pPr>
      <w:pBdr>
        <w:left w:val="single" w:color="000000" w:sz="4" w:space="0"/>
        <w:right w:val="single" w:color="000000" w:sz="4" w:space="0"/>
      </w:pBdr>
      <w:spacing w:after="100" w:afterAutospacing="1" w:before="100" w:beforeAutospacing="1"/>
      <w:ind/>
    </w:pPr>
    <w:rPr>
      <w:b/>
      <w:bCs/>
    </w:rPr>
  </w:style>
  <w:style w:type="paragraph" w:styleId="1115" w:customStyle="1">
    <w:name w:val="xl290"/>
    <w:basedOn w:val="102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6" w:customStyle="1">
    <w:name w:val="xl291"/>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7" w:customStyle="1">
    <w:name w:val="xl292"/>
    <w:basedOn w:val="1023"/>
    <w:pPr>
      <w:pBdr>
        <w:top w:val="single" w:color="000000" w:sz="4" w:space="0"/>
        <w:left w:val="single" w:color="000000" w:sz="4" w:space="0"/>
        <w:right w:val="single" w:color="000000" w:sz="4" w:space="0"/>
      </w:pBdr>
      <w:spacing w:after="100" w:afterAutospacing="1" w:before="100" w:beforeAutospacing="1"/>
      <w:ind/>
    </w:pPr>
  </w:style>
  <w:style w:type="paragraph" w:styleId="1118" w:customStyle="1">
    <w:name w:val="xl293"/>
    <w:basedOn w:val="1023"/>
    <w:pPr>
      <w:pBdr>
        <w:left w:val="single" w:color="000000" w:sz="4" w:space="0"/>
        <w:bottom w:val="single" w:color="000000" w:sz="4" w:space="0"/>
        <w:right w:val="single" w:color="000000" w:sz="4" w:space="0"/>
      </w:pBdr>
      <w:spacing w:after="100" w:afterAutospacing="1" w:before="100" w:beforeAutospacing="1"/>
      <w:ind/>
    </w:pPr>
  </w:style>
  <w:style w:type="paragraph" w:styleId="1119" w:customStyle="1">
    <w:name w:val="xl294"/>
    <w:basedOn w:val="102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0">
    <w:name w:val="Title"/>
    <w:basedOn w:val="1023"/>
    <w:link w:val="1121"/>
    <w:qFormat/>
    <w:pPr>
      <w:pBdr/>
      <w:spacing/>
      <w:ind/>
      <w:jc w:val="center"/>
    </w:pPr>
    <w:rPr>
      <w:b/>
      <w:bCs/>
      <w:sz w:val="32"/>
      <w:szCs w:val="26"/>
    </w:rPr>
  </w:style>
  <w:style w:type="character" w:styleId="1121" w:customStyle="1">
    <w:name w:val="Title Char"/>
    <w:basedOn w:val="1028"/>
    <w:link w:val="1120"/>
    <w:pPr>
      <w:pBdr/>
      <w:spacing/>
      <w:ind/>
    </w:pPr>
    <w:rPr>
      <w:rFonts w:ascii="Times New Roman" w:hAnsi="Times New Roman" w:eastAsia="Times New Roman" w:cs="Times New Roman"/>
      <w:b/>
      <w:bCs/>
      <w:sz w:val="32"/>
      <w:szCs w:val="26"/>
    </w:rPr>
  </w:style>
  <w:style w:type="character" w:styleId="1122" w:customStyle="1">
    <w:name w:val="Unresolved Mention1"/>
    <w:basedOn w:val="1028"/>
    <w:uiPriority w:val="99"/>
    <w:semiHidden/>
    <w:unhideWhenUsed/>
    <w:pPr>
      <w:pBdr/>
      <w:spacing/>
      <w:ind/>
    </w:pPr>
    <w:rPr>
      <w:color w:val="605e5c"/>
      <w:shd w:val="clear" w:color="auto" w:fill="e1dfdd"/>
    </w:rPr>
  </w:style>
  <w:style w:type="character" w:styleId="1123" w:customStyle="1">
    <w:name w:val="Body text (3)_"/>
    <w:link w:val="1124"/>
    <w:pPr>
      <w:pBdr/>
      <w:spacing/>
      <w:ind/>
    </w:pPr>
    <w:rPr>
      <w:rFonts w:ascii="Times New Roman" w:hAnsi="Times New Roman" w:cs="Times New Roman"/>
      <w:i/>
      <w:iCs/>
      <w:spacing w:val="4"/>
      <w:shd w:val="clear" w:color="auto" w:fill="ffffff"/>
    </w:rPr>
  </w:style>
  <w:style w:type="paragraph" w:styleId="1124" w:customStyle="1">
    <w:name w:val="Body text (3)1"/>
    <w:basedOn w:val="1023"/>
    <w:link w:val="112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5" w:customStyle="1">
    <w:name w:val="t-j"/>
    <w:basedOn w:val="1023"/>
    <w:pPr>
      <w:pBdr/>
      <w:spacing w:after="100" w:afterAutospacing="1" w:before="100" w:beforeAutospacing="1"/>
      <w:ind/>
    </w:pPr>
  </w:style>
  <w:style w:type="character" w:styleId="1126" w:customStyle="1">
    <w:name w:val="Unresolved Mention2"/>
    <w:basedOn w:val="1028"/>
    <w:uiPriority w:val="99"/>
    <w:semiHidden/>
    <w:unhideWhenUsed/>
    <w:pPr>
      <w:pBdr/>
      <w:spacing/>
      <w:ind/>
    </w:pPr>
    <w:rPr>
      <w:color w:val="605e5c"/>
      <w:shd w:val="clear" w:color="auto" w:fill="e1dfdd"/>
    </w:rPr>
  </w:style>
  <w:style w:type="character" w:styleId="1127">
    <w:name w:val="FollowedHyperlink"/>
    <w:basedOn w:val="1028"/>
    <w:uiPriority w:val="99"/>
    <w:semiHidden/>
    <w:unhideWhenUsed/>
    <w:pPr>
      <w:pBdr/>
      <w:spacing/>
      <w:ind/>
    </w:pPr>
    <w:rPr>
      <w:color w:val="800080" w:themeColor="followedHyperlink"/>
      <w:u w:val="single"/>
    </w:rPr>
  </w:style>
  <w:style w:type="character" w:styleId="1128" w:customStyle="1">
    <w:name w:val="text"/>
    <w:basedOn w:val="1028"/>
    <w:pPr>
      <w:pBdr/>
      <w:spacing/>
      <w:ind/>
    </w:pPr>
  </w:style>
  <w:style w:type="character" w:styleId="1129" w:customStyle="1">
    <w:name w:val="card-send-time__sendtime"/>
    <w:basedOn w:val="1028"/>
    <w:pPr>
      <w:pBdr/>
      <w:spacing/>
      <w:ind/>
    </w:pPr>
  </w:style>
  <w:style w:type="character" w:styleId="1130" w:customStyle="1">
    <w:name w:val="Đề cập Chưa giải quyết1"/>
    <w:basedOn w:val="1028"/>
    <w:uiPriority w:val="99"/>
    <w:semiHidden/>
    <w:unhideWhenUsed/>
    <w:pPr>
      <w:pBdr/>
      <w:spacing/>
      <w:ind/>
    </w:pPr>
    <w:rPr>
      <w:color w:val="605e5c"/>
      <w:shd w:val="clear" w:color="auto" w:fill="e1dfdd"/>
    </w:rPr>
  </w:style>
  <w:style w:type="paragraph" w:styleId="1131" w:customStyle="1">
    <w:name w:val="nqtitle"/>
    <w:basedOn w:val="1023"/>
    <w:pPr>
      <w:pBdr/>
      <w:spacing w:after="100" w:afterAutospacing="1" w:before="100" w:beforeAutospacing="1"/>
      <w:ind/>
    </w:pPr>
    <w:rPr>
      <w:lang w:val="vi-VN" w:eastAsia="vi-VN"/>
    </w:rPr>
  </w:style>
  <w:style w:type="character" w:styleId="1132" w:customStyle="1">
    <w:name w:val="List Paragraph Char"/>
    <w:link w:val="1045"/>
    <w:uiPriority w:val="34"/>
    <w:qFormat/>
    <w:pPr>
      <w:pBdr/>
      <w:spacing/>
      <w:ind/>
    </w:pPr>
    <w:rPr>
      <w:rFonts w:ascii="Times New Roman" w:hAnsi="Times New Roman" w:eastAsia="Times New Roman" w:cs="Times New Roman"/>
      <w:sz w:val="24"/>
      <w:szCs w:val="24"/>
    </w:rPr>
  </w:style>
  <w:style w:type="character" w:styleId="1133" w:customStyle="1">
    <w:name w:val="Đề cập Chưa giải quyết2"/>
    <w:basedOn w:val="1028"/>
    <w:uiPriority w:val="99"/>
    <w:semiHidden/>
    <w:unhideWhenUsed/>
    <w:pPr>
      <w:pBdr/>
      <w:spacing/>
      <w:ind/>
    </w:pPr>
    <w:rPr>
      <w:color w:val="605e5c"/>
      <w:shd w:val="clear" w:color="auto" w:fill="e1dfdd"/>
    </w:rPr>
  </w:style>
  <w:style w:type="character" w:styleId="1134" w:customStyle="1">
    <w:name w:val="Unresolved Mention3"/>
    <w:basedOn w:val="1028"/>
    <w:uiPriority w:val="99"/>
    <w:semiHidden/>
    <w:unhideWhenUsed/>
    <w:pPr>
      <w:pBdr/>
      <w:spacing/>
      <w:ind/>
    </w:pPr>
    <w:rPr>
      <w:color w:val="605e5c"/>
      <w:shd w:val="clear" w:color="auto" w:fill="e1dfdd"/>
    </w:rPr>
  </w:style>
  <w:style w:type="character" w:styleId="1135" w:customStyle="1">
    <w:name w:val="copy"/>
    <w:basedOn w:val="1028"/>
    <w:pPr>
      <w:pBdr/>
      <w:spacing/>
      <w:ind/>
    </w:pPr>
  </w:style>
  <w:style w:type="paragraph" w:styleId="1136" w:customStyle="1">
    <w:name w:val="align-justify"/>
    <w:basedOn w:val="1023"/>
    <w:pPr>
      <w:pBdr/>
      <w:spacing w:after="100" w:afterAutospacing="1" w:before="100" w:beforeAutospacing="1"/>
      <w:ind/>
    </w:pPr>
  </w:style>
  <w:style w:type="character" w:styleId="1137" w:customStyle="1">
    <w:name w:val="btn"/>
    <w:basedOn w:val="1028"/>
    <w:pPr>
      <w:pBdr/>
      <w:spacing/>
      <w:ind/>
    </w:pPr>
  </w:style>
  <w:style w:type="character" w:styleId="1138" w:customStyle="1">
    <w:name w:val="hide_mobile"/>
    <w:basedOn w:val="1028"/>
    <w:pPr>
      <w:pBdr/>
      <w:spacing/>
      <w:ind/>
    </w:pPr>
  </w:style>
  <w:style w:type="character" w:styleId="1139">
    <w:name w:val="Emphasis"/>
    <w:basedOn w:val="1028"/>
    <w:uiPriority w:val="20"/>
    <w:qFormat/>
    <w:pPr>
      <w:pBdr/>
      <w:spacing/>
      <w:ind/>
    </w:pPr>
    <w:rPr>
      <w:i/>
      <w:iCs/>
    </w:rPr>
  </w:style>
  <w:style w:type="character" w:styleId="1140" w:customStyle="1">
    <w:name w:val="t1"/>
    <w:basedOn w:val="1028"/>
    <w:pPr>
      <w:pBdr/>
      <w:spacing/>
      <w:ind/>
    </w:pPr>
  </w:style>
  <w:style w:type="character" w:styleId="1141" w:customStyle="1">
    <w:name w:val="Unresolved Mention4"/>
    <w:basedOn w:val="1028"/>
    <w:uiPriority w:val="99"/>
    <w:semiHidden/>
    <w:unhideWhenUsed/>
    <w:pPr>
      <w:pBdr/>
      <w:spacing/>
      <w:ind/>
    </w:pPr>
    <w:rPr>
      <w:color w:val="605e5c"/>
      <w:shd w:val="clear" w:color="auto" w:fill="e1dfdd"/>
    </w:rPr>
  </w:style>
  <w:style w:type="character" w:styleId="1142">
    <w:name w:val="Unresolved Mention"/>
    <w:basedOn w:val="102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png"/><Relationship Id="rId36" Type="http://schemas.openxmlformats.org/officeDocument/2006/relationships/image" Target="media/image22.jpg"/><Relationship Id="rId37" Type="http://schemas.openxmlformats.org/officeDocument/2006/relationships/image" Target="media/image23.jpg"/><Relationship Id="rId38" Type="http://schemas.openxmlformats.org/officeDocument/2006/relationships/image" Target="media/image24.jp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pn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png"/><Relationship Id="rId45" Type="http://schemas.openxmlformats.org/officeDocument/2006/relationships/image" Target="media/image3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Đăng Hiếu</cp:lastModifiedBy>
  <cp:revision>282</cp:revision>
  <dcterms:created xsi:type="dcterms:W3CDTF">2025-09-15T09:58:00Z</dcterms:created>
  <dcterms:modified xsi:type="dcterms:W3CDTF">2026-05-07T08:53:25Z</dcterms:modified>
</cp:coreProperties>
</file>