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54673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Trường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6.1 tại toà Chung cư Samland, có địa chỉ: 178/6 đường Nguyễn Văn Thương, Phường Thạnh Mỹ Tây, Thành phố Hồ Chí Minh theo Giấy chứng nhận </w:t>
                            </w:r>
                            <w:r>
                              <w:rPr>
                                <w:color w:val="000000"/>
                              </w:rPr>
                              <w:t xml:space="preserve">quyền sử đất, quyền sở hữu nhà ở và tài sản khác gắn liền với đất số CV 605514, số vào sổ cấp GCN: CS00891 do Sở Tài nguyên và Môi trường Thành phố Hồ Chí Minh cấp ngày 30/10/2020; Chủ sở hữu căn hộ chung cư là Ông Phạm Trường Thành và vợ Bà Trần Thị Loan.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275/2026/0703/VFI-CT.69.A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Trường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6.1 tại toà Chung cư Samland, có địa chỉ: 178/6 đường Nguyễn Văn Thương, Phường Thạnh Mỹ Tây, Thành phố Hồ Chí Minh theo Giấy chứng nhận </w:t>
                      </w:r>
                      <w:r>
                        <w:rPr>
                          <w:color w:val="000000"/>
                        </w:rPr>
                        <w:t xml:space="preserve">quyền sử đất, quyền sở hữu nhà ở và tài sản khác gắn liền với đất số CV 605514, số vào sổ cấp GCN: CS00891 do Sở Tài nguyên và Môi trường Thành phố Hồ Chí Minh cấp ngày 30/10/2020; Chủ sở hữu căn hộ chung cư là Ông Phạm Trường Thành và vợ Bà Trần Thị Loan.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2551"/>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275/2026/0703/VFI-CT.69.A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8 tháng 5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Trường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275/2026/0703/VFI-HĐTĐ.69.A</w:t>
      </w:r>
      <w:r>
        <w:rPr>
          <w:spacing w:val="-4"/>
          <w:lang w:val="vi-VN"/>
        </w:rPr>
        <w:t xml:space="preserve"> ký ngày </w:t>
      </w:r>
      <w:r>
        <w:rPr>
          <w:color w:val="000000" w:themeColor="text1"/>
          <w:spacing w:val="-4"/>
        </w:rPr>
        <w:t xml:space="preserve">5 tháng 5 năm 2026</w:t>
      </w:r>
      <w:r>
        <w:rPr>
          <w:spacing w:val="-4"/>
          <w:lang w:val="vi-VN"/>
        </w:rPr>
        <w:t xml:space="preserve"> </w:t>
      </w:r>
      <w:r>
        <w:rPr>
          <w:spacing w:val="-4"/>
          <w:lang w:val="vi-VN"/>
        </w:rPr>
        <w:t xml:space="preserve">giữa </w:t>
      </w:r>
      <w:r>
        <w:rPr>
          <w:color w:val="000000" w:themeColor="text1"/>
          <w:spacing w:val="-4"/>
        </w:rPr>
        <w:t xml:space="preserve">Ông Phạm Trường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275/2026/0703/VFI-BC.69.A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336"/>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Phạm </w:t>
            </w:r>
            <w:r>
              <w:rPr>
                <w:b/>
                <w:bCs/>
              </w:rPr>
              <w:t xml:space="preserve">T</w:t>
            </w:r>
            <w:r>
              <w:rPr>
                <w:b/>
                <w:bCs/>
              </w:rPr>
              <w:t xml:space="preserve">rường </w:t>
            </w:r>
            <w:r>
              <w:rPr>
                <w:b/>
                <w:bCs/>
              </w:rPr>
              <w:t xml:space="preserve">Thành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60" w:before="60" w:line="276" w:lineRule="auto"/>
              <w:ind/>
              <w:rPr>
                <w:b/>
                <w:bCs/>
              </w:rPr>
            </w:pPr>
            <w:r>
              <w:rPr>
                <w:color w:val="000000" w:themeColor="text1"/>
                <w:lang w:val="vi-VN"/>
              </w:rPr>
              <w:t xml:space="preserve">0380 8601 1926</w:t>
            </w:r>
            <w:r>
              <w:rPr>
                <w:b/>
                <w:bCs/>
              </w:rPr>
            </w:r>
            <w:r>
              <w:rPr>
                <w:b/>
                <w:bCs/>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6.1 tại toà Chung cư Samland, có địa chỉ: 178/6 đường Nguyễn Văn Thương, Phường Thạnh Mỹ Tây, Thành phố Hồ Chí Minh theo Giấy chứng nhận </w:t>
      </w:r>
      <w:r>
        <w:rPr>
          <w:color w:val="000000" w:themeColor="text1"/>
        </w:rPr>
        <w:t xml:space="preserve">quyền sử đất, quyền sở hữu nhà ở và tài sản khác gắn liền với đất số CV 605514, số vào sổ cấp GCN: CS00891 do Sở Tài nguyên và Môi trường Thành phố Hồ Chí Minh cấp ngày 30/10/2020; Chủ sở hữu căn hộ chung cư là Ông Phạm Trường Thành và vợ Bà Trần Thị Loan.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8"/>
        <w:gridCol w:w="2750"/>
        <w:gridCol w:w="1843"/>
        <w:gridCol w:w="2409"/>
        <w:gridCol w:w="1920"/>
      </w:tblGrid>
      <w:tr>
        <w:trPr>
          <w:trHeight w:val="65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7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9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3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7002"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6.1 tại toà Chung cư Samland, có địa chỉ: 178/6 đường Nguyễn Văn Thương, Phường Thạnh Mỹ Tây, Thành phố Hồ Chí Minh theo Giấy chứng nhận quyền sử đất, quyền sở hữu nhà ở và tài sản khác gắn liền với đất số CV 605514, số vào </w:t>
            </w:r>
            <w:r>
              <w:rPr>
                <w:rFonts w:ascii="Times New Roman" w:hAnsi="Times New Roman" w:eastAsia="Times New Roman" w:cs="Times New Roman"/>
                <w:b/>
                <w:color w:val="000000"/>
                <w:sz w:val="24"/>
              </w:rPr>
              <w:t xml:space="preserve">sổ cấp GCN: CS00891 do Sở Tài nguyên và Môi trường Thành phố Hồ Chí Minh cấp ngày 30/10/2020; Chủ sở hữu căn hộ chung cư là Ông Phạm Trường Thành và vợ Bà Trần Thị Loan.</w:t>
            </w:r>
            <w:r/>
          </w:p>
        </w:tc>
        <w:tc>
          <w:tcPr>
            <w:shd w:val="clear" w:color="ffffff" w:fill="ffffff"/>
            <w:tcBorders>
              <w:bottom w:val="single" w:color="000000" w:sz="4" w:space="0"/>
              <w:right w:val="single" w:color="000000" w:sz="4" w:space="0"/>
            </w:tcBorders>
            <w:tcMar>
              <w:left w:w="0" w:type="dxa"/>
              <w:top w:w="0" w:type="dxa"/>
              <w:right w:w="0" w:type="dxa"/>
              <w:bottom w:w="0" w:type="dxa"/>
            </w:tcMar>
            <w:tcW w:w="192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3"/>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7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hộ chung cư</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81,5</w:t>
            </w:r>
            <w:r/>
          </w:p>
        </w:tc>
        <w:tc>
          <w:tcPr>
            <w:shd w:val="clear" w:color="ffffff" w:fill="ffffff"/>
            <w:tcBorders>
              <w:bottom w:val="single" w:color="000000" w:sz="4" w:space="0"/>
              <w:right w:val="single" w:color="000000" w:sz="4"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2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5.460.500.000</w:t>
            </w:r>
            <w:r/>
          </w:p>
        </w:tc>
      </w:tr>
      <w:tr>
        <w:trPr>
          <w:trHeight w:val="34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0" w:type="dxa"/>
              <w:top w:w="0" w:type="dxa"/>
              <w:right w:w="0" w:type="dxa"/>
              <w:bottom w:w="0" w:type="dxa"/>
            </w:tcMar>
            <w:tcW w:w="192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5.460.500.000</w:t>
            </w:r>
            <w:r/>
          </w:p>
        </w:tc>
      </w:tr>
      <w:tr>
        <w:trPr>
          <w:trHeight w:val="38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tỷ bốn trăm sáu mươi </w:t>
            </w:r>
            <w:r>
              <w:rPr>
                <w:rFonts w:ascii="Times New Roman" w:hAnsi="Times New Roman" w:eastAsia="Times New Roman" w:cs="Times New Roman"/>
                <w:b/>
                <w:i/>
                <w:color w:val="000000"/>
                <w:sz w:val="24"/>
              </w:rPr>
              <w:t xml:space="preserve">triệu </w:t>
            </w:r>
            <w:r>
              <w:rPr>
                <w:rFonts w:ascii="Times New Roman" w:hAnsi="Times New Roman" w:eastAsia="Times New Roman" w:cs="Times New Roman"/>
                <w:b/>
                <w:i/>
                <w:color w:val="000000"/>
                <w:sz w:val="24"/>
              </w:rPr>
              <w:t xml:space="preserve">năm </w:t>
            </w:r>
            <w:r>
              <w:rPr>
                <w:rFonts w:ascii="Times New Roman" w:hAnsi="Times New Roman" w:eastAsia="Times New Roman" w:cs="Times New Roman"/>
                <w:b/>
                <w:i/>
                <w:color w:val="000000"/>
                <w:sz w:val="24"/>
              </w:rPr>
              <w:t xml:space="preserve">trăm </w:t>
            </w:r>
            <w:r>
              <w:rPr>
                <w:rFonts w:ascii="Times New Roman" w:hAnsi="Times New Roman" w:eastAsia="Times New Roman" w:cs="Times New Roman"/>
                <w:b/>
                <w:i/>
                <w:color w:val="000000"/>
                <w:sz w:val="24"/>
              </w:rPr>
              <w:t xml:space="preserve">nghìn</w:t>
            </w:r>
            <w:r>
              <w:rPr>
                <w:rFonts w:ascii="Times New Roman" w:hAnsi="Times New Roman" w:eastAsia="Times New Roman" w:cs="Times New Roman"/>
                <w:b/>
                <w:i/>
                <w:color w:val="000000"/>
                <w:sz w:val="24"/>
              </w:rPr>
              <w:t xml:space="preserve">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275/2026/0703/VFI-</w:t>
            </w:r>
            <w:r>
              <w:rPr>
                <w:rStyle w:val="1023"/>
                <w:rFonts w:ascii="Times New Roman" w:hAnsi="Times New Roman"/>
                <w:color w:val="000000" w:themeColor="text1"/>
                <w:lang w:val="pt-BR"/>
              </w:rPr>
              <w:t xml:space="preserve">BC</w:t>
            </w:r>
            <w:r>
              <w:rPr>
                <w:rStyle w:val="102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8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275/2026/0703/VFI-CT.69.A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Phạm </w:t>
            </w:r>
            <w:r>
              <w:rPr>
                <w:b/>
                <w:bCs/>
              </w:rPr>
              <w:t xml:space="preserve">Trường </w:t>
            </w:r>
            <w:r>
              <w:rPr>
                <w:b/>
                <w:bCs/>
              </w:rPr>
              <w:t xml:space="preserve">Thành</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0380 8601 1926</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6.1 tại toà Chung cư Samland, có địa chỉ: 178/6 đường Nguyễn Văn Thương, Phường Thạnh Mỹ Tây, Thành phố Hồ Chí Minh theo Giấy chứng nhận </w:t>
            </w:r>
            <w:r>
              <w:rPr>
                <w:bCs/>
                <w:color w:val="000000" w:themeColor="text1"/>
                <w:lang w:val="pt-BR"/>
              </w:rPr>
              <w:t xml:space="preserve">quyền sử đất, quyền sở hữu nhà ở và tài sản khác gắn liền với đất số CV 605514, số vào sổ cấp GCN: CS00891 do Sở Tài nguyên và Môi trường Thành phố Hồ Chí Minh cấp ngày 30/10/2020; Chủ sở hữu căn hộ chung cư là Ông Phạm Trường Thành và vợ Bà Trần Thị Loan.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709"/>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color w:val="000000" w:themeColor="text1"/>
                <w:lang w:val="pt-BR"/>
              </w:rPr>
              <w:t xml:space="preserve">178/</w:t>
            </w:r>
            <w:r>
              <w:rPr>
                <w:i w:val="0"/>
                <w:iCs w:val="0"/>
                <w:color w:val="000000" w:themeColor="text1"/>
                <w:lang w:val="pt-BR"/>
              </w:rPr>
              <w:t xml:space="preserve">6 </w:t>
            </w:r>
            <w:r>
              <w:rPr>
                <w:i w:val="0"/>
                <w:iCs w:val="0"/>
                <w:color w:val="000000" w:themeColor="text1"/>
                <w:lang w:val="pt-BR"/>
              </w:rPr>
              <w:t xml:space="preserve">đường </w:t>
            </w:r>
            <w:r>
              <w:rPr>
                <w:i w:val="0"/>
                <w:iCs w:val="0"/>
                <w:color w:val="000000" w:themeColor="text1"/>
                <w:lang w:val="pt-BR"/>
              </w:rPr>
              <w:t xml:space="preserve">Nguyễn </w:t>
            </w:r>
            <w:r>
              <w:rPr>
                <w:i w:val="0"/>
                <w:iCs w:val="0"/>
                <w:color w:val="000000" w:themeColor="text1"/>
                <w:lang w:val="pt-BR"/>
              </w:rPr>
              <w:t xml:space="preserve">Văn </w:t>
            </w:r>
            <w:r>
              <w:rPr>
                <w:i w:val="0"/>
                <w:iCs w:val="0"/>
                <w:color w:val="000000" w:themeColor="text1"/>
                <w:lang w:val="pt-BR"/>
              </w:rPr>
              <w:t xml:space="preserve">Thương, </w:t>
            </w:r>
            <w:r>
              <w:rPr>
                <w:i w:val="0"/>
                <w:iCs w:val="0"/>
                <w:color w:val="000000" w:themeColor="text1"/>
                <w:lang w:val="pt-BR"/>
              </w:rPr>
              <w:t xml:space="preserve">P</w:t>
            </w:r>
            <w:r>
              <w:rPr>
                <w:i w:val="0"/>
                <w:iCs w:val="0"/>
                <w:color w:val="000000" w:themeColor="text1"/>
                <w:lang w:val="pt-BR"/>
              </w:rPr>
              <w:t xml:space="preserve">hường </w:t>
            </w:r>
            <w:r>
              <w:rPr>
                <w:i w:val="0"/>
                <w:iCs w:val="0"/>
                <w:color w:val="000000" w:themeColor="text1"/>
                <w:lang w:val="pt-BR"/>
              </w:rPr>
              <w:t xml:space="preserve">Thạnh </w:t>
            </w:r>
            <w:r>
              <w:rPr>
                <w:i w:val="0"/>
                <w:iCs w:val="0"/>
                <w:color w:val="000000" w:themeColor="text1"/>
                <w:lang w:val="pt-BR"/>
              </w:rPr>
              <w:t xml:space="preserve">Mỹ </w:t>
            </w:r>
            <w:r>
              <w:rPr>
                <w:i w:val="0"/>
                <w:iCs w:val="0"/>
                <w:color w:val="000000" w:themeColor="text1"/>
                <w:lang w:val="pt-BR"/>
              </w:rPr>
              <w:t xml:space="preserve">Tây, </w:t>
            </w:r>
            <w:r>
              <w:rPr>
                <w:i w:val="0"/>
                <w:iCs w:val="0"/>
                <w:color w:val="000000" w:themeColor="text1"/>
                <w:lang w:val="pt-BR"/>
              </w:rPr>
              <w:t xml:space="preserve">Thành </w:t>
            </w:r>
            <w:r>
              <w:rPr>
                <w:i w:val="0"/>
                <w:iCs w:val="0"/>
                <w:color w:val="000000" w:themeColor="text1"/>
                <w:lang w:val="pt-BR"/>
              </w:rPr>
              <w:t xml:space="preserve">phố </w:t>
            </w:r>
            <w:r>
              <w:rPr>
                <w:i w:val="0"/>
                <w:iCs w:val="0"/>
                <w:color w:val="000000" w:themeColor="text1"/>
                <w:lang w:val="pt-BR"/>
              </w:rPr>
              <w:t xml:space="preserve">Hồ </w:t>
            </w:r>
            <w:r>
              <w:rPr>
                <w:i w:val="0"/>
                <w:iCs w:val="0"/>
                <w:color w:val="000000" w:themeColor="text1"/>
                <w:lang w:val="pt-BR"/>
              </w:rPr>
              <w:t xml:space="preserve">Chí </w:t>
            </w:r>
            <w:r>
              <w:rPr>
                <w:i w:val="0"/>
                <w:iCs w:val="0"/>
                <w:color w:val="000000" w:themeColor="text1"/>
                <w:lang w:val="pt-BR"/>
              </w:rPr>
              <w:t xml:space="preserve">Minh</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10.802685, 106.7213112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w:t>
      </w:r>
      <w:r>
        <w:rPr>
          <w:bCs/>
          <w:color w:val="000000" w:themeColor="text1"/>
          <w:lang w:val="pt-BR"/>
        </w:rPr>
        <w:t xml:space="preserve">quyền sử đất, quyền sở hữu nhà ở và tài sản khác gắn liền với đất số CV 605514, số vào sổ cấp GCN: CS00891 do Sở Tài nguyên và Môi trường Thành phố Hồ Chí Minh cấp ngày 30/10/2020; Chủ sở hữu căn hộ chung cư là Ông Phạm Trường Thành và vợ Bà Trần Thị Loan.</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275/2026/0703/VFI-HĐTĐ.69.A ký ngày 05/05/2026 giữa Ông Phạm Trường Thành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b/>
          <w:bCs/>
          <w:shd w:val="clear" w:color="auto" w:fill="ffffff"/>
        </w:rPr>
        <w:t xml:space="preserve">Thị trường bất động sản TP. Hồ Chí Minh cơ cấu phân khúc căn hộ thay đổi đa dạng hơn</w:t>
      </w:r>
      <w:r>
        <w:rPr>
          <w:b/>
          <w:bCs/>
          <w:iCs/>
        </w:rPr>
      </w:r>
      <w:r>
        <w:rPr>
          <w:b/>
          <w:bCs/>
          <w:iCs/>
        </w:rPr>
      </w:r>
    </w:p>
    <w:p>
      <w:pPr>
        <w:pBdr/>
        <w:tabs>
          <w:tab w:val="left" w:leader="none" w:pos="426"/>
        </w:tabs>
        <w:spacing w:after="120" w:before="120" w:line="276" w:lineRule="auto"/>
        <w:ind/>
        <w:jc w:val="both"/>
        <w:rPr/>
      </w:pPr>
      <w:r>
        <w:rPr>
          <w:shd w:val="clear" w:color="auto" w:fill="ffffff"/>
        </w:rPr>
        <w:tab/>
        <w:t xml:space="preserve">Sau quá trình sáp nhập hành chính, cơ cấu phân khúc căn hộ tạ</w:t>
      </w:r>
      <w:r>
        <w:rPr>
          <w:shd w:val="clear" w:color="auto" w:fill="ffffff"/>
        </w:rPr>
        <w:t xml:space="preserve">i TP. Hồ Chí Minh đã có sự thay đổi rõ rệt theo hướng đa dạng hơn. Hơn 42% nguồn cung mở bán mới có mức giá dưới 60 triệu đồng/m², góp phần mở rộng khả năng tiếp cận nhà ở cho nhiều nhóm khách hàng.</w:t>
      </w:r>
      <w:r>
        <w:rPr>
          <w:i/>
          <w:iCs/>
          <w:lang w:val="pt-BR"/>
        </w:rPr>
      </w:r>
      <w:r/>
    </w:p>
    <w:p>
      <w:pPr>
        <w:pBdr/>
        <w:tabs>
          <w:tab w:val="left" w:leader="none" w:pos="426"/>
        </w:tabs>
        <w:spacing w:after="120" w:before="120" w:line="276" w:lineRule="auto"/>
        <w:ind/>
        <w:jc w:val="both"/>
        <w:rPr/>
      </w:pPr>
      <w:r>
        <w:rPr>
          <w:shd w:val="clear" w:color="auto" w:fill="ffffff"/>
        </w:rPr>
        <w:tab/>
      </w:r>
      <w:r>
        <w:rPr>
          <w:shd w:val="clear" w:color="auto" w:fill="ffffff"/>
        </w:rPr>
        <w:t xml:space="preserve">Thị trường bất động sản TP. Hồ Chí Minh ghi nhận diễn biến tích cực trong quý I/2026 với tổng cộng </w:t>
      </w:r>
      <w:r>
        <w:rPr>
          <w:shd w:val="clear" w:color="auto" w:fill="ffffff"/>
        </w:rPr>
        <w:t xml:space="preserve">3.840 căn hộ và 231 căn nhà liền thổ được chào bán mới, tăng 93% so với cùng kỳ năm trước. </w:t>
      </w:r>
      <w:r>
        <w:rPr>
          <w:shd w:val="clear" w:color="auto" w:fill="ffffff"/>
        </w:rPr>
        <w:t xml:space="preserve">Nguồn cung mới trong kỳ chủ yếu đến từ khu vực TP. Hồ Chí Minh cũ, chiếm gần 40% tổng nguồn cung, tiếp tục khẳng định vai trò trung tâm thu hút đầu tư. Phần còn l</w:t>
      </w:r>
      <w:r>
        <w:rPr>
          <w:shd w:val="clear" w:color="auto" w:fill="ffffff"/>
        </w:rPr>
        <w:t xml:space="preserve">ại đến từ các khu vực lân cận, đặc biệt là Bình Dương – địa bàn vệ tinh ngày càng giữ vị trí quan trọng trong việc bổ sung nguồn cung cho toàn thị trường.</w:t>
      </w:r>
      <w:r>
        <w:rPr>
          <w:bCs/>
          <w:i/>
          <w:lang w:val="pt-BR"/>
        </w:rPr>
      </w:r>
      <w:r/>
    </w:p>
    <w:p>
      <w:pPr>
        <w:pBdr/>
        <w:tabs>
          <w:tab w:val="left" w:leader="none" w:pos="426"/>
        </w:tabs>
        <w:spacing w:after="120" w:before="120" w:line="276" w:lineRule="auto"/>
        <w:ind/>
        <w:jc w:val="both"/>
        <w:rPr/>
      </w:pPr>
      <w:r>
        <w:rPr>
          <w:shd w:val="clear" w:color="auto" w:fill="ffffff"/>
        </w:rPr>
        <w:tab/>
        <w:t xml:space="preserve">Tính đến hết quý I/2026, tổng nguồn cung căn hộ lũy kế tại khu vực TP. Hồ Chí Minh cũ đã vượt 354.</w:t>
      </w:r>
      <w:r>
        <w:rPr>
          <w:shd w:val="clear" w:color="auto" w:fill="ffffff"/>
        </w:rPr>
        <w:t xml:space="preserve">000 căn. Đáng chú ý, tỷ lệ tồn kho duy trì ở mức thấp, chỉ 2,6%, cho thấy tình trạng khan hiếm nguồn cung kéo dài tại khu vực trung tâm và cận trung tâm, qua đó tiếp tục duy trì sức nóng và mức độ cạnh tranh cao cho các dự án mới. </w:t>
      </w:r>
      <w:r>
        <w:rPr>
          <w:shd w:val="clear" w:color="auto" w:fill="ffffff"/>
        </w:rPr>
        <w:t xml:space="preserve">Sau quá trình sáp nhập h</w:t>
      </w:r>
      <w:r>
        <w:rPr>
          <w:shd w:val="clear" w:color="auto" w:fill="ffffff"/>
        </w:rPr>
        <w:t xml:space="preserve">ành chính, cơ cấu phân khúc căn hộ tại TP. Hồ Chí Minh đã có sự thay đổi rõ rệt theo hướng đa dạng hơn. Trong quý I/2026, hơn 42% nguồn cung mở bán mới có mức giá dưới 60 triệu đồng/m², góp phần mở rộng khả năng tiếp cận nhà ở cho nhiều nhóm khách hàng. </w:t>
      </w:r>
      <w:r>
        <w:rPr>
          <w:shd w:val="clear" w:color="auto" w:fill="ffffff"/>
        </w:rPr>
      </w:r>
      <w:r/>
    </w:p>
    <w:p>
      <w:pPr>
        <w:pBdr/>
        <w:tabs>
          <w:tab w:val="left" w:leader="none" w:pos="426"/>
        </w:tabs>
        <w:spacing w:after="120" w:before="120" w:line="276" w:lineRule="auto"/>
        <w:ind/>
        <w:jc w:val="both"/>
        <w:rPr/>
      </w:pPr>
      <w:r>
        <w:rPr>
          <w:shd w:val="clear" w:color="auto" w:fill="ffffff"/>
        </w:rPr>
        <w:t xml:space="preserve">Giá bán sơ cấp trung bình toàn thị trường (sau sáp nhập) đạt khoảng 71 triệu đồng/m² (diện tích thông thủy, chưa bao gồm VAT và phí bảo trì), tăng 11% so với cùng kỳ và 4,4% so với quý trước. Mức tăng này cho thấy thị trường vẫn duy trì xu hướng đi lên, n</w:t>
      </w:r>
      <w:r>
        <w:rPr>
          <w:shd w:val="clear" w:color="auto" w:fill="ffffff"/>
        </w:rPr>
        <w:t xml:space="preserve">hưng tốc độ đã chậm lại đáng kể sau giai đoạn tăng trưởng nóng trong năm 2025, khi nhiều quý ghi nhận mức tăng trên 17%/năm. </w:t>
      </w:r>
      <w:r>
        <w:rPr>
          <w:shd w:val="clear" w:color="auto" w:fill="ffffff"/>
        </w:rPr>
        <w:t xml:space="preserve">Tỷ lệ hấp thụ trong quý I/2026 đạt trung bình 77%, cao hơn mức bình quân 73% của cả năm 2025, phản ánh lực cầu vẫn ổn định dù thị </w:t>
      </w:r>
      <w:r>
        <w:rPr>
          <w:shd w:val="clear" w:color="auto" w:fill="ffffff"/>
        </w:rPr>
        <w:t xml:space="preserve">trường bước vào giai đoạn điều chỉnh.</w:t>
      </w:r>
      <w:r/>
    </w:p>
    <w:p>
      <w:pPr>
        <w:pBdr/>
        <w:tabs>
          <w:tab w:val="left" w:leader="none" w:pos="426"/>
        </w:tabs>
        <w:spacing w:after="120" w:before="120" w:line="276" w:lineRule="auto"/>
        <w:ind/>
        <w:jc w:val="center"/>
        <w:rPr>
          <w:b/>
          <w:bCs/>
        </w:rPr>
      </w:pPr>
      <w:r>
        <w:rPr>
          <w:b/>
          <w:bCs/>
          <w:shd w:val="clear" w:color="auto" w:fill="ffffff"/>
        </w:rPr>
        <w:t xml:space="preserve">Hạ tầng tiếp tục là động lực then chốt</w:t>
      </w:r>
      <w:r>
        <w:rPr>
          <w:b/>
          <w:bCs/>
        </w:rPr>
      </w:r>
      <w:r>
        <w:rPr>
          <w:b/>
          <w:bCs/>
        </w:rPr>
      </w:r>
    </w:p>
    <w:p>
      <w:pPr>
        <w:pBdr/>
        <w:tabs>
          <w:tab w:val="left" w:leader="none" w:pos="426"/>
        </w:tabs>
        <w:spacing w:after="120" w:before="120" w:line="276" w:lineRule="auto"/>
        <w:ind/>
        <w:jc w:val="both"/>
        <w:rPr/>
      </w:pPr>
      <w:r>
        <w:rPr>
          <w:shd w:val="clear" w:color="auto" w:fill="ffffff"/>
        </w:rPr>
        <w:tab/>
        <w:t xml:space="preserve">Trong quý I/2026, nhiều công trình quan trọng đã được khởi công như tuyến Metro số 2 (Bến Thành – Tham Lương). </w:t>
      </w:r>
      <w:r>
        <w:rPr>
          <w:shd w:val="clear" w:color="auto" w:fill="ffffff"/>
        </w:rPr>
        <w:t xml:space="preserve">Song song với diễn biến thị </w:t>
      </w:r>
      <w:r>
        <w:rPr>
          <w:shd w:val="clear" w:color="auto" w:fill="ffffff"/>
        </w:rPr>
        <w:t xml:space="preserve">trường, TP. Hồ Chí Minh đang đẩy mạnh đầu tư vào các dự án hạ tầng trọng điểm nhằm hỗ trợ giãn dân và phát triển đô thị bền vững. Trong quý I/2026, nhiều công trình quan trọng đã được khởi công như tuyến Metro số 2 (Bến Thành – Tham Lương), cầu Cần Giờ v</w:t>
      </w:r>
      <w:r>
        <w:rPr>
          <w:shd w:val="clear" w:color="auto" w:fill="ffffff"/>
        </w:rPr>
        <w:t xml:space="preserve">à cầu Phú Mỹ 2. </w:t>
      </w:r>
      <w:r>
        <w:rPr>
          <w:shd w:val="clear" w:color="auto" w:fill="ffffff"/>
        </w:rPr>
        <w:t xml:space="preserve">Thời gian tới, hai dự án hạ tầng chiến lược cấp quốc gia gồm đường sắt tốc độ cao Bắc – Nam và tuyến đường sắt Thủ Thiêm – Long Thành cũng dự kiến được triển khai. Việc đồng bộ hệ thống giao thông được kỳ vọng sẽ tiếp tục mở rộng không gia</w:t>
      </w:r>
      <w:r>
        <w:rPr>
          <w:shd w:val="clear" w:color="auto" w:fill="ffffff"/>
        </w:rPr>
        <w:t xml:space="preserve">n phát triển đô thị, đặc biệt tại các khu vực vệ tinh.</w:t>
      </w:r>
      <w:r>
        <w:rPr>
          <w:bCs/>
          <w:i/>
          <w:lang w:val="pt-BR"/>
        </w:rPr>
      </w:r>
      <w:r/>
    </w:p>
    <w:p>
      <w:pPr>
        <w:pBdr/>
        <w:tabs>
          <w:tab w:val="left" w:leader="none" w:pos="426"/>
        </w:tabs>
        <w:spacing w:after="120" w:before="120" w:line="276" w:lineRule="auto"/>
        <w:ind/>
        <w:jc w:val="both"/>
        <w:rPr/>
      </w:pPr>
      <w:r>
        <w:rPr>
          <w:shd w:val="clear" w:color="auto" w:fill="ffffff"/>
        </w:rPr>
        <w:tab/>
        <w:t xml:space="preserve">Dự báo trong năm 2026, nguồn cung căn hộ tại khu vực TP. Hồ Chí Minh có thể tăng gấp đôi so với năm trước, trong đó khoảng 60% đến từ khu Đông – nơi đang ghi nhận tốc độ phát triển hạ tầng và đô thị</w:t>
      </w:r>
      <w:r>
        <w:rPr>
          <w:shd w:val="clear" w:color="auto" w:fill="ffffff"/>
        </w:rPr>
        <w:t xml:space="preserve"> mạnh mẽ. </w:t>
      </w:r>
      <w:r>
        <w:rPr>
          <w:shd w:val="clear" w:color="auto" w:fill="ffffff"/>
        </w:rPr>
        <w:t xml:space="preserve">Nếu tính trên toàn địa bàn TP. Hồ Chí Minh sau sáp nhập, tổng nguồn cung căn hộ dự kiến đạt gần 34.000 căn. Đáng chú ý, Bình Dương (khu vực cũ) được kỳ vọng đóng góp hơn 50% thị phần, tiếp tục giữ vai trò then chốt trong việc giải bài toán ngu</w:t>
      </w:r>
      <w:r>
        <w:rPr>
          <w:shd w:val="clear" w:color="auto" w:fill="ffffff"/>
        </w:rPr>
        <w:t xml:space="preserve">ồn cung cho toàn thị trường.</w:t>
      </w:r>
      <w:r>
        <w:rPr>
          <w:bCs/>
          <w:i/>
          <w:lang w:val="pt-BR"/>
        </w:rPr>
      </w:r>
      <w:r/>
    </w:p>
    <w:p>
      <w:pPr>
        <w:pBdr/>
        <w:tabs>
          <w:tab w:val="left" w:leader="none" w:pos="426"/>
        </w:tabs>
        <w:spacing w:after="120" w:before="120" w:line="276" w:lineRule="auto"/>
        <w:ind/>
        <w:jc w:val="both"/>
        <w:rPr/>
      </w:pPr>
      <w:r>
        <w:rPr>
          <w:shd w:val="clear" w:color="auto" w:fill="ffffff"/>
        </w:rPr>
        <w:tab/>
        <w:t xml:space="preserve">Phân khúc bất động sản gắn liền với đất ghi nhận sự phục hồi rõ nét sau giai đoạn trầm lắng. Quý IV/2025 đánh dấu cột mốc đặc biệt khi nguồn cung nhà thấp tầng tại TP. Hồ Chí Minh (cũ) đạt khoảng 4.500 sản phẩm, nâng tổng ng</w:t>
      </w:r>
      <w:r>
        <w:rPr>
          <w:shd w:val="clear" w:color="auto" w:fill="ffffff"/>
        </w:rPr>
        <w:t xml:space="preserve">uồn cung cả năm lên gần 5.000 căn – tăng gấp 20 lần so với năm 2024, mức tăng mạnh nhất từ trước đến nay.</w:t>
      </w:r>
      <w:r>
        <w:rPr>
          <w:shd w:val="clear" w:color="auto" w:fill="ffffff"/>
        </w:rPr>
      </w:r>
      <w:r/>
    </w:p>
    <w:p>
      <w:pPr>
        <w:pBdr/>
        <w:tabs>
          <w:tab w:val="left" w:leader="none" w:pos="426"/>
        </w:tabs>
        <w:spacing w:after="120" w:before="120" w:line="276" w:lineRule="auto"/>
        <w:ind/>
        <w:jc w:val="center"/>
        <w:rPr>
          <w:bCs/>
          <w:i/>
        </w:rPr>
      </w:pPr>
      <w:r>
        <w:rPr>
          <w:i/>
          <w:iCs/>
          <w:shd w:val="clear" w:color="auto" w:fill="ffffff"/>
        </w:rPr>
        <w:t xml:space="preserve">(Nguồn tham khảo: https://nhipsongkinhdoanh.vn/thi-truong-bat-dong-san-tp--ho-chi-minh-co-cau-phan-khuc-can-ho-thay-doi-da-dang-hon-27784.htm)</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6.1 tại toà Chung cư Samland, có địa chỉ: 178/6 đường Nguyễn Văn Thương, Phường Thạnh Mỹ Tây, Thành phố Hồ Chí Minh theo Giấy chứng nhận </w:t>
            </w:r>
            <w:r>
              <w:rPr>
                <w:b/>
                <w:bCs/>
                <w:color w:val="000000"/>
              </w:rPr>
              <w:t xml:space="preserve">quyền sử đất, quyền sở hữu nhà ở và tài sản khác gắn liền với đất số CV 605514, số vào sổ cấp GCN: CS00891 do Sở Tài nguyên và Môi trường Thành phố Hồ Chí Minh cấp ngày 30/10/2020; Chủ sở hữu căn hộ chung cư là Ông Phạm Trường Thành và vợ Bà Trần Thị Loan.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178/6 </w:t>
            </w:r>
            <w:r>
              <w:rPr>
                <w:color w:val="000000"/>
              </w:rPr>
              <w:t xml:space="preserve">đường </w:t>
            </w:r>
            <w:r>
              <w:rPr>
                <w:color w:val="000000"/>
              </w:rPr>
              <w:t xml:space="preserve">Nguyễn </w:t>
            </w:r>
            <w:r>
              <w:rPr>
                <w:color w:val="000000"/>
              </w:rPr>
              <w:t xml:space="preserve">Văn </w:t>
            </w:r>
            <w:r>
              <w:rPr>
                <w:color w:val="000000"/>
              </w:rPr>
              <w:t xml:space="preserve">Thương, </w:t>
            </w:r>
            <w:r>
              <w:rPr>
                <w:color w:val="000000"/>
              </w:rPr>
              <w:t xml:space="preserve">phường </w:t>
            </w:r>
            <w:r>
              <w:rPr>
                <w:color w:val="000000"/>
              </w:rPr>
              <w:t xml:space="preserve">Thạnh </w:t>
            </w:r>
            <w:r>
              <w:rPr>
                <w:color w:val="000000"/>
              </w:rPr>
              <w:t xml:space="preserve">Mỹ </w:t>
            </w:r>
            <w:r>
              <w:rPr>
                <w:color w:val="000000"/>
              </w:rPr>
              <w:t xml:space="preserve">Tây,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w:t>
            </w:r>
            <w:r>
              <w:rPr>
                <w:color w:val="000000"/>
              </w:rPr>
            </w:r>
            <w:r>
              <w:rPr>
                <w:color w:val="000000"/>
              </w:rPr>
            </w:r>
          </w:p>
        </w:tc>
      </w:tr>
      <w:tr>
        <w:trPr>
          <w:trHeight w:val="63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1602,6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w:t>
            </w:r>
            <w:r>
              <w:rPr>
                <w:color w:val="000000"/>
              </w:rPr>
              <w:t xml:space="preserve">chu</w:t>
            </w:r>
            <w:r>
              <w:rPr>
                <w:color w:val="000000"/>
              </w:rPr>
              <w:t xml:space="preserve">ng 1602,6</w:t>
            </w:r>
            <w:r>
              <w:rPr>
                <w:color w:val="000000"/>
              </w:rPr>
              <w:t xml:space="preserve">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w:t>
            </w:r>
            <w:r>
              <w:rPr>
                <w:color w:val="000000"/>
              </w:rPr>
              <w:t xml:space="preserve">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Hẻm 178 đường Nguyễn Văn Thương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t xml:space="preserve">Tiếp </w:t>
            </w:r>
            <w:r>
              <w:rPr>
                <w:color w:val="000000"/>
              </w:rPr>
              <w:t xml:space="preserve">giáp 01 </w:t>
            </w:r>
            <w:r>
              <w:rPr>
                <w:color w:val="000000"/>
              </w:rPr>
              <w:t xml:space="preserve">mặt </w:t>
            </w:r>
            <w:r>
              <w:rPr>
                <w:color w:val="000000"/>
              </w:rPr>
              <w:t xml:space="preserve">tiền + 01 </w:t>
            </w:r>
            <w:r>
              <w:rPr>
                <w:color w:val="000000"/>
              </w:rPr>
              <w:t xml:space="preserve">mặt </w:t>
            </w:r>
            <w:r>
              <w:rPr>
                <w:color w:val="000000"/>
              </w:rPr>
              <w:t xml:space="preserve">hẻ</w:t>
            </w:r>
            <w:r>
              <w:rPr>
                <w:color w:val="000000"/>
              </w:rPr>
              <w:t xml:space="preserve">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10.802685</w:t>
            </w:r>
            <w:r>
              <w:rPr>
                <w:color w:val="000000"/>
              </w:rPr>
              <w:t xml:space="preserve">, </w:t>
            </w:r>
            <w:r>
              <w:rPr>
                <w:color w:val="000000"/>
              </w:rPr>
              <w:t xml:space="preserve">106.7213112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highlight w:val="none"/>
              </w:rPr>
            </w:r>
            <w:r>
              <w:rPr>
                <w:color w:val="000000"/>
              </w:rPr>
            </w:r>
            <w:r>
              <w:rPr>
                <w:color w:val="000000"/>
              </w:rPr>
            </w:r>
          </w:p>
          <w:p>
            <w:pPr>
              <w:pBdr/>
              <w:spacing/>
              <w:ind/>
              <w:rPr>
                <w:highlight w:val="none"/>
              </w:rPr>
            </w:pPr>
            <w:r>
              <w:rPr>
                <w:color w:val="000000"/>
              </w:rPr>
            </w:r>
            <w:r>
              <mc:AlternateContent>
                <mc:Choice Requires="wpg">
                  <w:drawing>
                    <wp:inline xmlns:wp="http://schemas.openxmlformats.org/drawingml/2006/wordprocessingDrawing" distT="0" distB="0" distL="0" distR="0">
                      <wp:extent cx="5419877" cy="302823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06570" name=""/>
                              <pic:cNvPicPr>
                                <a:picLocks noChangeAspect="1"/>
                              </pic:cNvPicPr>
                              <pic:nvPr/>
                            </pic:nvPicPr>
                            <pic:blipFill rotWithShape="1">
                              <a:blip r:embed="rId17"/>
                              <a:srcRect l="0" t="0" r="8879" b="0"/>
                              <a:stretch/>
                            </pic:blipFill>
                            <pic:spPr bwMode="auto">
                              <a:xfrm flipH="0" flipV="0">
                                <a:off x="0" y="0"/>
                                <a:ext cx="5419877" cy="30282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76pt;height:238.44pt;mso-wrap-distance-left:0.00pt;mso-wrap-distance-top:0.00pt;mso-wrap-distance-right:0.00pt;mso-wrap-distance-bottom:0.00pt;z-index:1;" stroked="false">
                      <v:imagedata r:id="rId17" o:title="" croptop="0f" cropleft="0f" cropbottom="0f" cropright="5819f"/>
                      <o:lock v:ext="edit" rotation="t"/>
                    </v:shape>
                  </w:pict>
                </mc:Fallback>
              </mc:AlternateConten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w:t>
            </w:r>
            <w:r>
              <w:rPr>
                <w:color w:val="000000"/>
              </w:rPr>
              <w:t xml:space="preserve">sàn</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w:t>
            </w:r>
            <w:r>
              <w:rPr>
                <w:color w:val="000000"/>
              </w:rPr>
              <w:t xml:space="preserve">sở </w:t>
            </w:r>
            <w:r>
              <w:rPr>
                <w:color w:val="000000"/>
              </w:rPr>
              <w:t xml:space="preserve">hữu </w:t>
            </w:r>
            <w:r>
              <w:rPr>
                <w:color w:val="000000"/>
              </w:rPr>
              <w:t xml:space="preserve">riêng</w:t>
            </w:r>
            <w:r>
              <w:rPr>
                <w:color w:val="000000"/>
              </w:rPr>
              <w:t xml:space="preserve">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Thời </w:t>
            </w:r>
            <w:r>
              <w:rPr>
                <w:color w:val="000000"/>
              </w:rPr>
              <w:t xml:space="preserve">hạn </w:t>
            </w:r>
            <w:r>
              <w:rPr>
                <w:color w:val="000000"/>
              </w:rPr>
              <w:t xml:space="preserve">sở </w:t>
            </w:r>
            <w:r>
              <w:rPr>
                <w:color w:val="000000"/>
              </w:rPr>
              <w:t xml:space="preserve">hữu: </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pPr>
            <w:r>
              <w:t xml:space="preserve">Tên </w:t>
            </w:r>
            <w:r>
              <w:t xml:space="preserve">nhà </w:t>
            </w:r>
            <w:r>
              <w:t xml:space="preserve">c</w:t>
            </w:r>
            <w:r>
              <w:t xml:space="preserve">hung </w:t>
            </w:r>
            <w:r>
              <w:t xml:space="preserve">cư: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Chung </w:t>
            </w:r>
            <w:r>
              <w:rPr>
                <w:color w:val="000000" w:themeColor="text1"/>
              </w:rPr>
              <w:t xml:space="preserve">cư </w:t>
            </w:r>
            <w:r>
              <w:rPr>
                <w:color w:val="000000" w:themeColor="text1"/>
              </w:rPr>
              <w:t xml:space="preserve">Samland</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Vị </w:t>
            </w:r>
            <w:r>
              <w:rPr>
                <w:color w:val="000000"/>
              </w:rPr>
              <w:t xml:space="preserve">trí </w:t>
            </w:r>
            <w:r>
              <w:rPr>
                <w:color w:val="000000"/>
              </w:rPr>
              <w:t xml:space="preserve">tầng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w:t>
            </w:r>
            <w:r>
              <w:rPr>
                <w:color w:val="000000"/>
              </w:rPr>
              <w:t xml:space="preserve">t</w:t>
            </w:r>
            <w:r>
              <w:rPr>
                <w:color w:val="000000"/>
              </w:rPr>
              <w:t xml:space="preserve">rí </w:t>
            </w:r>
            <w:r>
              <w:rPr>
                <w:color w:val="000000"/>
              </w:rPr>
              <w:t xml:space="preserve">căn </w:t>
            </w:r>
            <w:r>
              <w:rPr>
                <w:color w:val="000000"/>
              </w:rPr>
              <w:t xml:space="preserve">hộ</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Căn </w:t>
            </w:r>
            <w:r>
              <w:rPr>
                <w:color w:val="000000" w:themeColor="text1"/>
              </w:rPr>
              <w:t xml:space="preserve">hộ </w:t>
            </w:r>
            <w:r>
              <w:rPr>
                <w:color w:val="000000" w:themeColor="text1"/>
              </w:rPr>
              <w:t xml:space="preserve">chung </w:t>
            </w:r>
            <w:r>
              <w:rPr>
                <w:color w:val="000000" w:themeColor="text1"/>
              </w:rPr>
              <w:t xml:space="preserve">cư 6.1</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Hướng </w:t>
            </w:r>
            <w:r>
              <w:rPr>
                <w:color w:val="000000"/>
              </w:rPr>
              <w:t xml:space="preserve">c</w:t>
            </w:r>
            <w:r>
              <w:rPr>
                <w:color w:val="000000"/>
              </w:rPr>
              <w:t xml:space="preserve">ửa</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t xml:space="preserve">Đông</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Hướng </w:t>
            </w:r>
            <w:r>
              <w:rPr>
                <w:color w:val="000000"/>
              </w:rPr>
              <w:t xml:space="preserve">ban </w:t>
            </w:r>
            <w:r>
              <w:rPr>
                <w:color w:val="000000"/>
              </w:rPr>
              <w:t xml:space="preserve">công: </w:t>
            </w:r>
            <w:r>
              <w:rPr>
                <w:color w:val="000000"/>
              </w:rPr>
            </w:r>
            <w:r>
              <w:rPr>
                <w:color w:val="000000"/>
              </w:rPr>
            </w:r>
          </w:p>
        </w:tc>
        <w:tc>
          <w:tcPr>
            <w:tcBorders/>
            <w:tcW w:w="2007" w:type="dxa"/>
            <w:vAlign w:val="center"/>
            <w:vMerge w:val="restart"/>
            <w:textDirection w:val="lrTb"/>
            <w:noWrap w:val="false"/>
          </w:tcPr>
          <w:p>
            <w:pPr>
              <w:pBdr/>
              <w:spacing/>
              <w:ind/>
              <w:jc w:val="center"/>
              <w:rPr>
                <w:color w:val="000000" w:themeColor="text1"/>
              </w:rPr>
            </w:pPr>
            <w:r>
              <w:rPr>
                <w:color w:val="000000" w:themeColor="text1"/>
              </w:rPr>
              <w:t xml:space="preserve">Tây</w:t>
            </w:r>
            <w:r>
              <w:rPr>
                <w:color w:val="000000" w:themeColor="text1"/>
              </w:rPr>
            </w:r>
            <w:r>
              <w:rPr>
                <w:color w:val="000000" w:themeColor="text1"/>
              </w:rPr>
            </w:r>
          </w:p>
        </w:tc>
      </w:tr>
      <w:tr>
        <w:trPr>
          <w:trHeight w:val="1412"/>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Cấu </w:t>
            </w:r>
            <w:r>
              <w:rPr>
                <w:color w:val="000000"/>
              </w:rPr>
              <w:t xml:space="preserve">trúc: </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t xml:space="preserve">02 </w:t>
            </w:r>
            <w:r>
              <w:rPr>
                <w:color w:val="000000"/>
              </w:rPr>
              <w:t xml:space="preserve">p</w:t>
            </w:r>
            <w:r>
              <w:rPr>
                <w:color w:val="000000"/>
              </w:rPr>
              <w:t xml:space="preserve">hòng </w:t>
            </w:r>
            <w:r>
              <w:rPr>
                <w:color w:val="000000"/>
              </w:rPr>
              <w:t xml:space="preserve">ngủ, 02 </w:t>
            </w:r>
            <w:r>
              <w:rPr>
                <w:color w:val="000000"/>
              </w:rPr>
              <w:t xml:space="preserve">nhà </w:t>
            </w:r>
            <w:r>
              <w:rPr>
                <w:color w:val="000000"/>
              </w:rPr>
              <w:t xml:space="preserve">vệ </w:t>
            </w:r>
            <w:r>
              <w:rPr>
                <w:color w:val="000000"/>
              </w:rPr>
              <w:t xml:space="preserve">sinh, 01 </w:t>
            </w:r>
            <w:r>
              <w:rPr>
                <w:color w:val="000000"/>
              </w:rPr>
              <w:t xml:space="preserve">phòng </w:t>
            </w:r>
            <w:r>
              <w:rPr>
                <w:color w:val="000000"/>
              </w:rPr>
              <w:t xml:space="preserve">khách, 01 </w:t>
            </w:r>
            <w:r>
              <w:rPr>
                <w:color w:val="000000"/>
              </w:rPr>
              <w:t xml:space="preserve">bếp, 01 </w:t>
            </w:r>
            <w:r>
              <w:rPr>
                <w:color w:val="000000"/>
              </w:rPr>
              <w:t xml:space="preserve">ban </w:t>
            </w:r>
            <w:r>
              <w:rPr>
                <w:color w:val="000000"/>
              </w:rPr>
              <w:t xml:space="preserve">công. </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Nội </w:t>
            </w:r>
            <w:r>
              <w:rPr>
                <w:color w:val="000000"/>
              </w:rPr>
              <w:t xml:space="preserve">thất: </w:t>
            </w:r>
            <w:r>
              <w:rPr>
                <w:color w:val="000000"/>
              </w:rPr>
            </w:r>
            <w:r>
              <w:rPr>
                <w:color w:val="000000"/>
              </w:rPr>
            </w:r>
          </w:p>
        </w:tc>
        <w:tc>
          <w:tcPr>
            <w:tcBorders/>
            <w:tcW w:w="2007" w:type="dxa"/>
            <w:vAlign w:val="center"/>
            <w:vMerge w:val="restart"/>
            <w:textDirection w:val="lrTb"/>
            <w:noWrap w:val="false"/>
          </w:tcPr>
          <w:p>
            <w:pPr>
              <w:pBdr/>
              <w:spacing/>
              <w:ind/>
              <w:jc w:val="center"/>
              <w:rPr>
                <w:color w:val="000000" w:themeColor="text1"/>
              </w:rPr>
            </w:pPr>
            <w:r>
              <w:rPr>
                <w:color w:val="000000" w:themeColor="text1"/>
              </w:rPr>
              <w:t xml:space="preserve">Nội </w:t>
            </w:r>
            <w:r>
              <w:rPr>
                <w:color w:val="000000" w:themeColor="text1"/>
              </w:rPr>
              <w:t xml:space="preserve">thất </w:t>
            </w:r>
            <w:r>
              <w:rPr>
                <w:color w:val="000000" w:themeColor="text1"/>
              </w:rPr>
              <w:t xml:space="preserve">cơ </w:t>
            </w:r>
            <w:r>
              <w:rPr>
                <w:color w:val="000000" w:themeColor="text1"/>
              </w:rPr>
              <w:t xml:space="preserve">bản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4.</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đô </w:t>
            </w:r>
            <w:r>
              <w:rPr>
                <w:color w:val="000000"/>
              </w:rPr>
              <w:t xml:space="preserve">thị</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w:t>
            </w:r>
            <w:r>
              <w:rPr>
                <w:color w:val="000000"/>
              </w:rPr>
              <w:t xml:space="preserve">đ</w:t>
            </w:r>
            <w:r>
              <w:rPr>
                <w:color w:val="000000"/>
              </w:rPr>
              <w:t xml:space="preserve">ú</w:t>
            </w:r>
            <w:r>
              <w:rPr>
                <w:color w:val="000000"/>
              </w:rPr>
              <w:t xml:space="preserve">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w:t>
            </w:r>
            <w:r>
              <w:rPr>
                <w:color w:val="000000" w:themeColor="text1"/>
              </w:rPr>
              <w:t xml:space="preserve">ù </w:t>
            </w:r>
            <w:r>
              <w:rPr>
                <w:color w:val="000000" w:themeColor="text1"/>
              </w:rPr>
              <w:t xml:space="preserve">hợp </w:t>
            </w:r>
            <w:r>
              <w:rPr>
                <w:color w:val="000000" w:themeColor="text1"/>
              </w:rPr>
              <w:t xml:space="preserve">để </w:t>
            </w:r>
            <w:r>
              <w:rPr>
                <w:color w:val="000000" w:themeColor="text1"/>
              </w:rPr>
              <w:t xml:space="preserve">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663"/>
        <w:gridCol w:w="1587"/>
        <w:gridCol w:w="1578"/>
        <w:gridCol w:w="1371"/>
        <w:gridCol w:w="214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8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57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87" w:type="dxa"/>
            <w:vAlign w:val="center"/>
            <w:textDirection w:val="lrTb"/>
            <w:noWrap w:val="false"/>
          </w:tcPr>
          <w:p>
            <w:pPr>
              <w:pBdr/>
              <w:spacing/>
              <w:ind/>
              <w:jc w:val="center"/>
              <w:rPr/>
            </w:pPr>
            <w:r>
              <w:t xml:space="preserve">178/6 </w:t>
            </w:r>
            <w:r>
              <w:t xml:space="preserve">đường </w:t>
            </w:r>
            <w:r>
              <w:t xml:space="preserve">Nguyễn </w:t>
            </w:r>
            <w:r>
              <w:t xml:space="preserve">Văn </w:t>
            </w:r>
            <w:r>
              <w:t xml:space="preserve">Thương, </w:t>
            </w:r>
            <w:r>
              <w:t xml:space="preserve">phường </w:t>
            </w:r>
            <w:r>
              <w:t xml:space="preserve">T</w:t>
            </w:r>
            <w:r>
              <w:t xml:space="preserve">hạnh </w:t>
            </w:r>
            <w:r>
              <w:t xml:space="preserve">Mỹ </w:t>
            </w:r>
            <w:r>
              <w:t xml:space="preserve">Tâ</w:t>
            </w:r>
            <w:r>
              <w:t xml:space="preserve">y, </w:t>
            </w:r>
            <w:r>
              <w:t xml:space="preserve">Thành </w:t>
            </w:r>
            <w:r>
              <w:t xml:space="preserve">phố </w:t>
            </w:r>
            <w:r>
              <w:t xml:space="preserve">Hồ </w:t>
            </w:r>
            <w:r>
              <w:t xml:space="preserve">Chí </w:t>
            </w:r>
            <w:r>
              <w:t xml:space="preserve">Minh</w:t>
            </w:r>
            <w:r>
              <w:t xml:space="preserve"> </w:t>
            </w:r>
            <w:r/>
          </w:p>
        </w:tc>
        <w:tc>
          <w:tcPr>
            <w:tcBorders/>
            <w:tcW w:w="1578" w:type="dxa"/>
            <w:vAlign w:val="center"/>
            <w:textDirection w:val="lrTb"/>
            <w:noWrap w:val="false"/>
          </w:tcPr>
          <w:p>
            <w:pPr>
              <w:pBdr/>
              <w:spacing/>
              <w:ind/>
              <w:jc w:val="center"/>
              <w:rPr/>
            </w:pPr>
            <w:r>
              <w:t xml:space="preserve">178/6 </w:t>
            </w:r>
            <w:r>
              <w:t xml:space="preserve">đường </w:t>
            </w:r>
            <w:r>
              <w:t xml:space="preserve">Nguyễn </w:t>
            </w:r>
            <w:r>
              <w:t xml:space="preserve">Văn </w:t>
            </w:r>
            <w:r>
              <w:t xml:space="preserve">Thương, </w:t>
            </w:r>
            <w:r>
              <w:t xml:space="preserve">phường </w:t>
            </w:r>
            <w:r>
              <w:t xml:space="preserve">T</w:t>
            </w:r>
            <w:r>
              <w:t xml:space="preserve">hạnh </w:t>
            </w:r>
            <w:r>
              <w:t xml:space="preserve">Mỹ </w:t>
            </w:r>
            <w:r>
              <w:t xml:space="preserve">Tâ</w:t>
            </w:r>
            <w:r>
              <w:t xml:space="preserve">y, </w:t>
            </w:r>
            <w:r>
              <w:t xml:space="preserve">Thành </w:t>
            </w:r>
            <w:r>
              <w:t xml:space="preserve">phố </w:t>
            </w:r>
            <w:r>
              <w:t xml:space="preserve">Hồ </w:t>
            </w:r>
            <w:r>
              <w:t xml:space="preserve">Chí </w:t>
            </w:r>
            <w:r>
              <w:t xml:space="preserve">Minh</w:t>
            </w:r>
            <w:r>
              <w:t xml:space="preserve"> </w:t>
            </w:r>
            <w:r>
              <w:t xml:space="preserve">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87" w:type="dxa"/>
            <w:vAlign w:val="center"/>
            <w:textDirection w:val="lrTb"/>
            <w:noWrap w:val="false"/>
          </w:tcPr>
          <w:p>
            <w:pPr>
              <w:pBdr/>
              <w:spacing/>
              <w:ind/>
              <w:jc w:val="center"/>
              <w:rPr/>
            </w:pPr>
            <w:r>
              <w:t xml:space="preserve">178/6 </w:t>
            </w:r>
            <w:r>
              <w:t xml:space="preserve">đường </w:t>
            </w:r>
            <w:r>
              <w:t xml:space="preserve">Nguyễn </w:t>
            </w:r>
            <w:r>
              <w:t xml:space="preserve">Văn </w:t>
            </w:r>
            <w:r>
              <w:t xml:space="preserve">Thương, </w:t>
            </w:r>
            <w:r>
              <w:t xml:space="preserve">phường </w:t>
            </w:r>
            <w:r>
              <w:t xml:space="preserve">T</w:t>
            </w:r>
            <w:r>
              <w:t xml:space="preserve">hạnh </w:t>
            </w:r>
            <w:r>
              <w:t xml:space="preserve">Mỹ </w:t>
            </w:r>
            <w:r>
              <w:t xml:space="preserve">Tâ</w:t>
            </w:r>
            <w:r>
              <w:t xml:space="preserve">y, </w:t>
            </w:r>
            <w:r>
              <w:t xml:space="preserve">Thành </w:t>
            </w:r>
            <w:r>
              <w:t xml:space="preserve">phố </w:t>
            </w:r>
            <w:r>
              <w:t xml:space="preserve">Hồ </w:t>
            </w:r>
            <w:r>
              <w:t xml:space="preserve">Chí </w:t>
            </w:r>
            <w:r>
              <w:t xml:space="preserve">Minh</w:t>
            </w:r>
            <w:r>
              <w:t xml:space="preserve"> </w:t>
            </w:r>
            <w:r/>
          </w:p>
        </w:tc>
        <w:tc>
          <w:tcPr>
            <w:tcBorders/>
            <w:tcW w:w="1578" w:type="dxa"/>
            <w:vAlign w:val="center"/>
            <w:textDirection w:val="lrTb"/>
            <w:noWrap w:val="false"/>
          </w:tcPr>
          <w:p>
            <w:pPr>
              <w:pBdr/>
              <w:spacing/>
              <w:ind/>
              <w:jc w:val="center"/>
              <w:rPr/>
            </w:pPr>
            <w:r>
              <w:t xml:space="preserve">178/6 </w:t>
            </w:r>
            <w:r>
              <w:t xml:space="preserve">đường </w:t>
            </w:r>
            <w:r>
              <w:t xml:space="preserve">Nguyễn </w:t>
            </w:r>
            <w:r>
              <w:t xml:space="preserve">Văn </w:t>
            </w:r>
            <w:r>
              <w:t xml:space="preserve">Thương, </w:t>
            </w:r>
            <w:r>
              <w:t xml:space="preserve">phường </w:t>
            </w:r>
            <w:r>
              <w:t xml:space="preserve">T</w:t>
            </w:r>
            <w:r>
              <w:t xml:space="preserve">hạnh </w:t>
            </w:r>
            <w:r>
              <w:t xml:space="preserve">Mỹ </w:t>
            </w:r>
            <w:r>
              <w:t xml:space="preserve">Tâ</w:t>
            </w:r>
            <w:r>
              <w:t xml:space="preserve">y, </w:t>
            </w:r>
            <w:r>
              <w:t xml:space="preserve">Thành </w:t>
            </w:r>
            <w:r>
              <w:t xml:space="preserve">phố </w:t>
            </w:r>
            <w:r>
              <w:t xml:space="preserve">Hồ </w:t>
            </w:r>
            <w:r>
              <w:t xml:space="preserve">Chí </w:t>
            </w:r>
            <w:r>
              <w:t xml:space="preserve">Minh</w:t>
            </w:r>
            <w:r>
              <w:t xml:space="preserve"> </w:t>
            </w:r>
            <w:r>
              <w:t xml:space="preserve">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8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578"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87" w:type="dxa"/>
            <w:vAlign w:val="center"/>
            <w:textDirection w:val="lrTb"/>
            <w:noWrap w:val="false"/>
          </w:tcPr>
          <w:p>
            <w:pPr>
              <w:pBdr/>
              <w:spacing/>
              <w:ind/>
              <w:jc w:val="center"/>
              <w:rPr/>
            </w:pPr>
            <w:r>
              <w:t xml:space="preserve">Đất ở tại đô thị</w:t>
            </w:r>
            <w:r/>
          </w:p>
        </w:tc>
        <w:tc>
          <w:tcPr>
            <w:tcBorders/>
            <w:tcW w:w="1578"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87" w:type="dxa"/>
            <w:vAlign w:val="center"/>
            <w:textDirection w:val="lrTb"/>
            <w:noWrap w:val="false"/>
          </w:tcPr>
          <w:p>
            <w:pPr>
              <w:pBdr/>
              <w:spacing/>
              <w:ind/>
              <w:jc w:val="center"/>
              <w:rPr/>
            </w:pPr>
            <w:r>
              <w:t xml:space="preserve">Lâu dài</w:t>
            </w:r>
            <w:r/>
          </w:p>
        </w:tc>
        <w:tc>
          <w:tcPr>
            <w:tcBorders/>
            <w:tcW w:w="1578"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87" w:type="dxa"/>
            <w:vAlign w:val="center"/>
            <w:textDirection w:val="lrTb"/>
            <w:noWrap w:val="false"/>
          </w:tcPr>
          <w:p>
            <w:pPr>
              <w:pBdr/>
              <w:spacing/>
              <w:ind/>
              <w:jc w:val="center"/>
              <w:rPr/>
            </w:pPr>
            <w:r>
              <w:t xml:space="preserve">VT2</w:t>
            </w:r>
            <w:r/>
          </w:p>
        </w:tc>
        <w:tc>
          <w:tcPr>
            <w:tcBorders/>
            <w:tcW w:w="1578" w:type="dxa"/>
            <w:vAlign w:val="center"/>
            <w:textDirection w:val="lrTb"/>
            <w:noWrap w:val="false"/>
          </w:tcPr>
          <w:p>
            <w:pPr>
              <w:pBdr/>
              <w:spacing/>
              <w:ind/>
              <w:jc w:val="center"/>
              <w:rPr/>
            </w:pPr>
            <w:r>
              <w:t xml:space="preserve">V</w:t>
            </w:r>
            <w:r>
              <w:t xml:space="preserve">T2</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 </w:t>
            </w:r>
            <w:r>
              <w:t xml:space="preserve">căn </w:t>
            </w:r>
            <w:r>
              <w:t xml:space="preserve">hộ</w:t>
            </w:r>
            <w:r/>
          </w:p>
        </w:tc>
        <w:tc>
          <w:tcPr>
            <w:tcBorders/>
            <w:tcW w:w="1587" w:type="dxa"/>
            <w:vAlign w:val="center"/>
            <w:textDirection w:val="lrTb"/>
            <w:noWrap w:val="false"/>
          </w:tcPr>
          <w:p>
            <w:pPr>
              <w:pBdr/>
              <w:spacing/>
              <w:ind/>
              <w:jc w:val="center"/>
              <w:rPr/>
            </w:pPr>
            <w:r>
              <w:t xml:space="preserve">81,5</w:t>
            </w:r>
            <w:r/>
          </w:p>
        </w:tc>
        <w:tc>
          <w:tcPr>
            <w:tcBorders/>
            <w:tcW w:w="1578" w:type="dxa"/>
            <w:vAlign w:val="center"/>
            <w:textDirection w:val="lrTb"/>
            <w:noWrap w:val="false"/>
          </w:tcPr>
          <w:p>
            <w:pPr>
              <w:pBdr/>
              <w:spacing/>
              <w:ind/>
              <w:jc w:val="center"/>
              <w:rPr/>
            </w:pPr>
            <w:r>
              <w:t xml:space="preserve">81,5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Hướng </w:t>
            </w:r>
            <w:r>
              <w:t xml:space="preserve">cửa</w:t>
            </w:r>
            <w:r/>
          </w:p>
        </w:tc>
        <w:tc>
          <w:tcPr>
            <w:tcBorders/>
            <w:tcW w:w="1587" w:type="dxa"/>
            <w:vAlign w:val="center"/>
            <w:textDirection w:val="lrTb"/>
            <w:noWrap w:val="false"/>
          </w:tcPr>
          <w:p>
            <w:pPr>
              <w:pBdr/>
              <w:spacing/>
              <w:ind/>
              <w:jc w:val="center"/>
              <w:rPr/>
            </w:pPr>
            <w:r>
              <w:t xml:space="preserve">Tây </w:t>
            </w:r>
            <w:r>
              <w:t xml:space="preserve">Nam</w:t>
            </w:r>
            <w:r/>
          </w:p>
        </w:tc>
        <w:tc>
          <w:tcPr>
            <w:tcBorders/>
            <w:tcW w:w="1578"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highlight w:val="none"/>
          <w:shd w:val="clear" w:color="auto" w:fill="ffffff"/>
        </w:rPr>
      </w:r>
      <w:r>
        <w:rPr>
          <w:b/>
          <w:bCs/>
        </w:rPr>
      </w:r>
      <w:r>
        <w:rPr>
          <w:b/>
          <w:bCs/>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5244"/>
        <w:gridCol w:w="1134"/>
        <w:gridCol w:w="2269"/>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269"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26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5953"/>
        <w:gridCol w:w="1134"/>
        <w:gridCol w:w="1560"/>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953"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383"/>
        <w:gridCol w:w="1629"/>
        <w:gridCol w:w="1701"/>
        <w:gridCol w:w="1843"/>
        <w:gridCol w:w="1984"/>
        <w:gridCol w:w="1985"/>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8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62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4" w:space="0"/>
              <w:right w:val="single" w:color="000000" w:sz="4" w:space="0"/>
            </w:tcBorders>
            <w:tcMar>
              <w:left w:w="0" w:type="dxa"/>
              <w:top w:w="0" w:type="dxa"/>
              <w:right w:w="0" w:type="dxa"/>
              <w:bottom w:w="0" w:type="dxa"/>
            </w:tcMar>
            <w:tcW w:w="162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758"/>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178/6 đường Nguyễn Văn Thương, Phường Thạnh Mỹ Tây, Thành phố Hồ Chí Minh</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178/6 đường Nguyễn Văn Thương, Phường Thạnh Mỹ Tây, Thành phố Hồ Chí Minh</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178/6 đường Nguyễn Văn Thương, Phường Thạnh Mỹ Tây, Thành phố Hồ Chí Minh</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71/3 đường Nguyễn Văn Thương, Phường Thạnh Mỹ Tây, Thành phố Hồ Chí Minh</w:t>
            </w:r>
            <w:r/>
          </w:p>
        </w:tc>
      </w:tr>
      <w:tr>
        <w:trPr>
          <w:trHeight w:val="2693"/>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https://batdongsan.com.vn/ban-can-ho-chung-cu-phuong-25-samland-river-view/ban-riverview-tai-25-binh-thanh-tp-hcm-pr45623669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https://batdongsan.com.vn/ban-can-ho-chung-cu-duong-nguyen-van-thuong-phuong-25-samland-river-view/d1-q-binh-thanh-85m2-goc-du-noi-that-song-pr27519225</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https://batdongsan.com.vn/ban-can-ho-chung-cu-duong-nguyen-van-thuong-phuong-25-wilton-tower/ban-gap-2pn-so-hong-view-song-thoang-mat-gia-4-1-ty-lh-093-557-2883-pr32677645</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0907759957 </w:t>
              <w:br/>
              <w:t xml:space="preserve">(Dương)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0902579332</w:t>
              <w:br/>
              <w:t xml:space="preserve">(Hằng)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0935572883</w:t>
              <w:br/>
              <w:t xml:space="preserve">(Đức Mạnh)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712"/>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178/6 đường Nguyễn Văn Thương, Phường Thạnh Mỹ Tây, Thành phố Hồ Chí Minh</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178/6 đường Nguyễn Văn Thương, Phường Thạnh Mỹ Tây, Thành phố Hồ Chí Minh</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178/6 đường Nguyễn Văn Thương, Phường Thạnh Mỹ Tây, Thành phố Hồ Chí Minh</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71/3 đường Nguyễn Văn Thương, Phường Thạnh Mỹ Tây, Thành phố Hồ Chí Minh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81,5</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thấp</w:t>
            </w:r>
            <w:r/>
          </w:p>
        </w:tc>
      </w:tr>
      <w:tr>
        <w:trPr>
          <w:trHeight w:val="7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w:t>
            </w:r>
            <w:r>
              <w:rPr>
                <w:rFonts w:ascii="Times New Roman" w:hAnsi="Times New Roman" w:eastAsia="Times New Roman" w:cs="Times New Roman"/>
                <w:color w:val="000000"/>
                <w:sz w:val="22"/>
              </w:rPr>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128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c>
          <w:tcPr>
            <w:tcBorders>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Chung cư Samland</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Chung cư Samland</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Chung cư Samland</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w:t>
            </w:r>
            <w:r>
              <w:rPr>
                <w:rFonts w:ascii="Times New Roman" w:hAnsi="Times New Roman" w:eastAsia="Times New Roman" w:cs="Times New Roman"/>
                <w:color w:val="000000"/>
                <w:sz w:val="22"/>
              </w:rPr>
              <w:t xml:space="preserve">Chung </w:t>
            </w:r>
            <w:r>
              <w:rPr>
                <w:rFonts w:ascii="Times New Roman" w:hAnsi="Times New Roman" w:eastAsia="Times New Roman" w:cs="Times New Roman"/>
                <w:color w:val="000000"/>
                <w:sz w:val="22"/>
              </w:rPr>
              <w:t xml:space="preserve">cư </w:t>
            </w:r>
            <w:r>
              <w:rPr>
                <w:rFonts w:ascii="Times New Roman" w:hAnsi="Times New Roman" w:eastAsia="Times New Roman" w:cs="Times New Roman"/>
                <w:color w:val="000000"/>
                <w:sz w:val="22"/>
              </w:rPr>
              <w:t xml:space="preserve">Wilton Tower</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6.600.000.000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5.850.000.000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4.770.000.000</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5.610.000.000</w:t>
            </w:r>
            <w:r/>
          </w:p>
        </w:tc>
      </w:tr>
      <w:tr>
        <w:trPr>
          <w:trHeight w:val="315"/>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căn hộ chung cư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5.850.000.000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4.770.000.000</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5.610.000.000</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Quyền sử dụng căn hộ chung cư (đồng/m²)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71.341.463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82.500.000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38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6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441"/>
        <w:gridCol w:w="953"/>
        <w:gridCol w:w="1446"/>
        <w:gridCol w:w="1691"/>
        <w:gridCol w:w="1691"/>
        <w:gridCol w:w="1692"/>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5.850.000.000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4.770.000.000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5.610.000.000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71.341.463</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55.465.116</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82.500.000</w:t>
            </w:r>
            <w:r/>
          </w:p>
        </w:tc>
      </w:tr>
      <w:tr>
        <w:trPr>
          <w:trHeight w:val="525"/>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71.341.463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82.500.000 </w:t>
            </w:r>
            <w:r/>
          </w:p>
        </w:tc>
      </w:tr>
      <w:tr>
        <w:trPr>
          <w:trHeight w:val="18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178/6 đường Nguyễn Văn Thương, Phường Thạnh Mỹ Tây,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178/6 đường Nguyễn Văn Thương, Phường Thạnh Mỹ Tây,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178/6 đường Nguyễn Văn Thương, Phường Thạnh Mỹ Tây,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71/3 đường Nguyễn Văn Thương, Phường Thạnh Mỹ Tây, Thành phố Hồ Chí Minh</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71.341.463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82.500.000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81,5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82</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86</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68</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-4.125.000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71.341.463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78.375.000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tầng</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thấp</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2.475.000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71.341.463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80.850.000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Hướng cửa</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w:t>
            </w:r>
            <w:r>
              <w:rPr>
                <w:rFonts w:ascii="Times New Roman" w:hAnsi="Times New Roman" w:eastAsia="Times New Roman" w:cs="Times New Roman"/>
                <w:b/>
                <w:color w:val="000000"/>
                <w:sz w:val="22"/>
              </w:rPr>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Đông Nam</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Bắc</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Tây Nam</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-3.567.073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67.774.390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80.850.000 </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phòng ngủ, 02 nhà vệ sinh, 01 khách, 01 bếp, 01 ban công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phòng ngủ, 02 nhà vệ sinh, 01 khách, 01 bếp, 01 ban công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phòng ngủ, 02 nhà vệ sinh, 01 khách, 01 bếp, 01 ban công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67.774.390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80.850.000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67.774.390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55.465.116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80.850.000 </w:t>
            </w:r>
            <w:r/>
          </w:p>
        </w:tc>
      </w:tr>
      <w:tr>
        <w:trPr>
          <w:trHeight w:val="8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khác</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góc tại Chung cư Samland</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thường tại chung cư Samland</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thường tại chung cư Samland</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hộ thường tại chung cư Wilton Tower</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3.567.073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2.773.256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-8.250.000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71.341.463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58.238.372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72.600.000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71.341.463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58.238.372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72.600.000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50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67.393.279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5,86%</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-13,58%</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7,73%</w:t>
            </w:r>
            <w:r/>
          </w:p>
        </w:tc>
      </w:tr>
      <w:tr>
        <w:trPr>
          <w:trHeight w:val="9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24"/>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7.134.146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2.773.256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14.850.000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4" w:space="0"/>
              <w:right w:val="single" w:color="000000" w:sz="4" w:space="0"/>
            </w:tcBorders>
            <w:tcMar>
              <w:left w:w="0" w:type="dxa"/>
              <w:top w:w="0" w:type="dxa"/>
              <w:right w:w="0" w:type="dxa"/>
              <w:bottom w:w="0" w:type="dxa"/>
            </w:tcMar>
            <w:tcW w:w="14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4" w:space="0"/>
              <w:right w:val="single" w:color="000000" w:sz="4" w:space="0"/>
            </w:tcBorders>
            <w:tcMar>
              <w:left w:w="0" w:type="dxa"/>
              <w:top w:w="0" w:type="dxa"/>
              <w:right w:w="0" w:type="dxa"/>
              <w:bottom w:w="0" w:type="dxa"/>
            </w:tcMar>
            <w:tcW w:w="9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2.773.256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9.900.000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-13,58</w:t>
      </w:r>
      <w:r>
        <w:t xml:space="preserve">% đến</w:t>
      </w:r>
      <w:r>
        <w:t xml:space="preserve"> </w:t>
      </w:r>
      <w:r>
        <w:t xml:space="preserve"> </w:t>
      </w:r>
      <w:r>
        <w:t xml:space="preserve">7,73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4"/>
        <w:gridCol w:w="2223"/>
        <w:gridCol w:w="2229"/>
        <w:gridCol w:w="2225"/>
        <w:gridCol w:w="2229"/>
      </w:tblGrid>
      <w:tr>
        <w:trPr>
          <w:trHeight w:val="10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71.341.463</w:t>
            </w:r>
            <w:r/>
          </w:p>
        </w:tc>
        <w:tc>
          <w:tcPr>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23.780.488</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58.238.372</w:t>
            </w:r>
            <w:r/>
          </w:p>
        </w:tc>
        <w:tc>
          <w:tcPr>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19.412.791</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72.600.000</w:t>
            </w:r>
            <w:r/>
          </w:p>
        </w:tc>
        <w:tc>
          <w:tcPr>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24.200.000</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67.393.279</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67.000.000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67.000.000</w:t>
      </w:r>
      <w:r>
        <w:rPr>
          <w:b/>
          <w:bCs/>
          <w:color w:val="000000" w:themeColor="text1"/>
        </w:rPr>
        <w:t xml:space="preserve"> </w:t>
      </w:r>
      <w:r>
        <w:rPr>
          <w:b/>
          <w:bCs/>
        </w:rPr>
        <w:t xml:space="preserve">đồng/m².</w:t>
      </w:r>
      <w:r>
        <w:rPr>
          <w:b/>
          <w:bCs/>
          <w:highlight w:val="none"/>
        </w:rPr>
      </w:r>
      <w:r>
        <w:rPr>
          <w:b/>
          <w:bCs/>
          <w:highlight w:val="none"/>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8"/>
        <w:gridCol w:w="2750"/>
        <w:gridCol w:w="1843"/>
        <w:gridCol w:w="2409"/>
        <w:gridCol w:w="1920"/>
      </w:tblGrid>
      <w:tr>
        <w:trPr>
          <w:trHeight w:val="65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7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w:t>
              <w:br/>
              <w:t xml:space="preserve">(m²)</w:t>
            </w:r>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w:t>
              <w:br/>
              <w:t xml:space="preserve">(đồng/m²)</w:t>
            </w:r>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9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r/>
          </w:p>
        </w:tc>
      </w:tr>
      <w:tr>
        <w:trPr>
          <w:trHeight w:val="23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7002"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6.1 tại toà Chung cư Samland, có địa chỉ: 178/6 đường Nguyễn Văn Thương, Phường Thạnh Mỹ Tây, Thành phố Hồ Chí Minh theo Giấy chứng nhận quyền sử đất, quyền sở hữu nhà ở và tài sản khác gắn liền với đất số CV 605514, số vào </w:t>
            </w:r>
            <w:r>
              <w:rPr>
                <w:rFonts w:ascii="Times New Roman" w:hAnsi="Times New Roman" w:eastAsia="Times New Roman" w:cs="Times New Roman"/>
                <w:b/>
                <w:color w:val="000000"/>
                <w:sz w:val="24"/>
              </w:rPr>
              <w:t xml:space="preserve">sổ cấp GCN: CS00891 do Sở Tài nguyên và Môi trường Thành phố Hồ Chí Minh cấp ngày 30/10/2020; Chủ sở hữu căn hộ chung cư là Ông Phạm Trường Thành và vợ Bà Trần Thị Loan.</w:t>
            </w:r>
            <w:r/>
            <w:r/>
          </w:p>
        </w:tc>
        <w:tc>
          <w:tcPr>
            <w:shd w:val="clear" w:color="ffffff" w:fill="ffffff"/>
            <w:tcBorders>
              <w:bottom w:val="single" w:color="000000" w:sz="4" w:space="0"/>
              <w:right w:val="single" w:color="000000" w:sz="4" w:space="0"/>
            </w:tcBorders>
            <w:tcMar>
              <w:left w:w="0" w:type="dxa"/>
              <w:top w:w="0" w:type="dxa"/>
              <w:right w:w="0" w:type="dxa"/>
              <w:bottom w:w="0" w:type="dxa"/>
            </w:tcMar>
            <w:tcW w:w="192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r/>
          </w:p>
        </w:tc>
      </w:tr>
      <w:tr>
        <w:trPr>
          <w:trHeight w:val="313"/>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4" w:space="0"/>
              <w:right w:val="single" w:color="000000" w:sz="4" w:space="0"/>
            </w:tcBorders>
            <w:tcMar>
              <w:left w:w="0" w:type="dxa"/>
              <w:top w:w="0" w:type="dxa"/>
              <w:right w:w="0" w:type="dxa"/>
              <w:bottom w:w="0" w:type="dxa"/>
            </w:tcMar>
            <w:tcW w:w="27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Căn hộ chung cư</w:t>
            </w:r>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81,5</w:t>
            </w:r>
            <w:r/>
            <w:r/>
          </w:p>
        </w:tc>
        <w:tc>
          <w:tcPr>
            <w:shd w:val="clear" w:color="ffffff" w:fill="ffffff"/>
            <w:tcBorders>
              <w:bottom w:val="single" w:color="000000" w:sz="4" w:space="0"/>
              <w:right w:val="single" w:color="000000" w:sz="4"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67.000.000</w:t>
            </w:r>
            <w:r/>
            <w:r/>
          </w:p>
        </w:tc>
        <w:tc>
          <w:tcPr>
            <w:shd w:val="clear" w:color="ffffff" w:fill="ffffff"/>
            <w:tcBorders>
              <w:bottom w:val="single" w:color="000000" w:sz="4" w:space="0"/>
              <w:right w:val="single" w:color="000000" w:sz="4" w:space="0"/>
            </w:tcBorders>
            <w:tcMar>
              <w:left w:w="0" w:type="dxa"/>
              <w:top w:w="0" w:type="dxa"/>
              <w:right w:w="0" w:type="dxa"/>
              <w:bottom w:w="0" w:type="dxa"/>
            </w:tcMar>
            <w:tcW w:w="1920"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5.460.500.000</w:t>
            </w:r>
            <w:r/>
            <w:r/>
          </w:p>
        </w:tc>
      </w:tr>
      <w:tr>
        <w:trPr>
          <w:trHeight w:val="34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4" w:space="0"/>
              <w:right w:val="single" w:color="000000" w:sz="4" w:space="0"/>
            </w:tcBorders>
            <w:tcMar>
              <w:left w:w="0" w:type="dxa"/>
              <w:top w:w="0" w:type="dxa"/>
              <w:right w:w="0" w:type="dxa"/>
              <w:bottom w:w="0" w:type="dxa"/>
            </w:tcMar>
            <w:tcW w:w="1920"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5.460.500.000</w:t>
            </w:r>
            <w:r/>
            <w:r/>
          </w:p>
        </w:tc>
      </w:tr>
      <w:tr>
        <w:trPr>
          <w:trHeight w:val="38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Năm tỷ bốn trăm sáu mươi </w:t>
            </w:r>
            <w:r>
              <w:rPr>
                <w:rFonts w:ascii="Times New Roman" w:hAnsi="Times New Roman" w:eastAsia="Times New Roman" w:cs="Times New Roman"/>
                <w:b/>
                <w:i/>
                <w:color w:val="000000"/>
                <w:sz w:val="24"/>
              </w:rPr>
              <w:t xml:space="preserve">triệu </w:t>
            </w:r>
            <w:r>
              <w:rPr>
                <w:rFonts w:ascii="Times New Roman" w:hAnsi="Times New Roman" w:eastAsia="Times New Roman" w:cs="Times New Roman"/>
                <w:b/>
                <w:i/>
                <w:color w:val="000000"/>
                <w:sz w:val="24"/>
              </w:rPr>
              <w:t xml:space="preserve">năm </w:t>
            </w:r>
            <w:r>
              <w:rPr>
                <w:rFonts w:ascii="Times New Roman" w:hAnsi="Times New Roman" w:eastAsia="Times New Roman" w:cs="Times New Roman"/>
                <w:b/>
                <w:i/>
                <w:color w:val="000000"/>
                <w:sz w:val="24"/>
              </w:rPr>
              <w:t xml:space="preserve">trăm </w:t>
            </w:r>
            <w:r>
              <w:rPr>
                <w:rFonts w:ascii="Times New Roman" w:hAnsi="Times New Roman" w:eastAsia="Times New Roman" w:cs="Times New Roman"/>
                <w:b/>
                <w:i/>
                <w:color w:val="000000"/>
                <w:sz w:val="24"/>
              </w:rPr>
              <w:t xml:space="preserve">nghìn</w:t>
            </w:r>
            <w:r>
              <w:rPr>
                <w:rFonts w:ascii="Times New Roman" w:hAnsi="Times New Roman" w:eastAsia="Times New Roman" w:cs="Times New Roman"/>
                <w:b/>
                <w:i/>
                <w:color w:val="000000"/>
                <w:sz w:val="24"/>
              </w:rPr>
              <w:t xml:space="preserve"> đồng./.)</w:t>
            </w:r>
            <w:r/>
            <w:r/>
          </w:p>
        </w:tc>
      </w:tr>
    </w:tbl>
    <w:p>
      <w:pPr>
        <w:pStyle w:val="102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275/2026/0703/VFI-CT.69.A</w:t>
      </w:r>
      <w:r>
        <w:rPr>
          <w:color w:val="ff0000"/>
          <w:lang w:val="vi-VN"/>
        </w:rPr>
        <w:t xml:space="preserve"> </w:t>
      </w:r>
      <w:r>
        <w:rPr>
          <w:color w:val="000000" w:themeColor="text1"/>
        </w:rPr>
        <w:t xml:space="preserve">ngày 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275/2026/0703/VFI-BC.69.A</w:t>
      </w:r>
      <w:r>
        <w:rPr>
          <w:i/>
          <w:lang w:val="pt-BR"/>
        </w:rPr>
        <w:t xml:space="preserve"> </w:t>
      </w:r>
      <w:r>
        <w:rPr>
          <w:i/>
          <w:lang w:val="pt-BR"/>
        </w:rPr>
        <w:t xml:space="preserve">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20"/>
        <w:gridCol w:w="4705"/>
      </w:tblGrid>
      <w:tr>
        <w:trPr/>
        <w:tc>
          <w:tcPr>
            <w:tcBorders/>
            <w:tcW w:w="4820"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ban </w:t>
            </w:r>
            <w:r>
              <w:rPr>
                <w:b/>
                <w:bCs/>
                <w:i/>
                <w:lang w:val="pt-BR"/>
              </w:rPr>
              <w:t xml:space="preserve">công</w:t>
            </w:r>
            <w:r>
              <w:rPr>
                <w:b/>
                <w:bCs/>
                <w:i/>
                <w:lang w:val="pt-BR"/>
              </w:rPr>
            </w:r>
            <w:r>
              <w:rPr>
                <w:b/>
                <w:bCs/>
                <w:i/>
                <w:lang w:val="pt-BR"/>
              </w:rPr>
            </w:r>
          </w:p>
        </w:tc>
        <w:tc>
          <w:tcPr>
            <w:tcBorders/>
            <w:tcW w:w="4705"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cửa</w:t>
            </w:r>
            <w:r>
              <w:rPr>
                <w:b/>
                <w:bCs/>
                <w:i/>
                <w:lang w:val="pt-BR"/>
              </w:rPr>
            </w:r>
            <w:r>
              <w:rPr>
                <w:b/>
                <w:bCs/>
                <w:i/>
                <w:lang w:val="pt-BR"/>
              </w:rPr>
            </w:r>
          </w:p>
        </w:tc>
      </w:tr>
      <w:tr>
        <w:trPr/>
        <w:tc>
          <w:tcPr>
            <w:tcBorders/>
            <w:tcW w:w="482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03247" cy="229508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47924" name=""/>
                              <pic:cNvPicPr>
                                <a:picLocks noChangeAspect="1"/>
                              </pic:cNvPicPr>
                              <pic:nvPr/>
                            </pic:nvPicPr>
                            <pic:blipFill rotWithShape="1">
                              <a:blip r:embed="rId18"/>
                              <a:stretch/>
                            </pic:blipFill>
                            <pic:spPr bwMode="auto">
                              <a:xfrm flipH="0" flipV="0">
                                <a:off x="0" y="0"/>
                                <a:ext cx="1703247" cy="2295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4.11pt;height:180.7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79850" cy="234941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54311" name=""/>
                              <pic:cNvPicPr>
                                <a:picLocks noChangeAspect="1"/>
                              </pic:cNvPicPr>
                              <pic:nvPr/>
                            </pic:nvPicPr>
                            <pic:blipFill rotWithShape="1">
                              <a:blip r:embed="rId19"/>
                              <a:stretch/>
                            </pic:blipFill>
                            <pic:spPr bwMode="auto">
                              <a:xfrm flipH="0" flipV="0">
                                <a:off x="0" y="0"/>
                                <a:ext cx="1679850" cy="2349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2.27pt;height:184.9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820" w:type="dxa"/>
            <w:vAlign w:val="center"/>
            <w:textDirection w:val="lrTb"/>
            <w:noWrap w:val="false"/>
          </w:tcPr>
          <w:p>
            <w:pPr>
              <w:pBdr/>
              <w:spacing w:after="120"/>
              <w:ind/>
              <w:jc w:val="center"/>
              <w:rPr>
                <w:b/>
                <w:bCs/>
                <w:i/>
                <w:lang w:val="pt-BR"/>
              </w:rPr>
            </w:pPr>
            <w:r>
              <w:rPr>
                <w:b/>
                <w:bCs/>
                <w:i/>
                <w:lang w:val="pt-BR"/>
              </w:rPr>
              <w:t xml:space="preserve">Tổng </w:t>
            </w:r>
            <w:r>
              <w:rPr>
                <w:b/>
                <w:bCs/>
                <w:i/>
                <w:lang w:val="pt-BR"/>
              </w:rPr>
              <w:t xml:space="preserve">qu</w:t>
            </w:r>
            <w:r>
              <w:rPr>
                <w:b/>
                <w:bCs/>
                <w:i/>
                <w:lang w:val="pt-BR"/>
              </w:rPr>
              <w:t xml:space="preserve">an </w:t>
            </w:r>
            <w:r>
              <w:rPr>
                <w:b/>
                <w:bCs/>
                <w:i/>
                <w:lang w:val="pt-BR"/>
              </w:rPr>
              <w:t xml:space="preserve">tài </w:t>
            </w:r>
            <w:r>
              <w:rPr>
                <w:b/>
                <w:bCs/>
                <w:i/>
                <w:lang w:val="pt-BR"/>
              </w:rPr>
              <w:t xml:space="preserve">sản</w:t>
            </w:r>
            <w:r>
              <w:rPr>
                <w:b/>
                <w:bCs/>
                <w:i/>
                <w:lang w:val="pt-BR"/>
              </w:rPr>
            </w:r>
            <w:r>
              <w:rPr>
                <w:b/>
                <w:bCs/>
                <w:i/>
                <w:lang w:val="pt-BR"/>
              </w:rPr>
            </w:r>
          </w:p>
        </w:tc>
        <w:tc>
          <w:tcPr>
            <w:tcBorders/>
            <w:tcW w:w="4705"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2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07947" cy="26275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33409" name=""/>
                              <pic:cNvPicPr>
                                <a:picLocks noChangeAspect="1"/>
                              </pic:cNvPicPr>
                              <pic:nvPr/>
                            </pic:nvPicPr>
                            <pic:blipFill rotWithShape="1">
                              <a:blip r:embed="rId20"/>
                              <a:stretch/>
                            </pic:blipFill>
                            <pic:spPr bwMode="auto">
                              <a:xfrm flipH="0" flipV="0">
                                <a:off x="0" y="0"/>
                                <a:ext cx="3207947" cy="2627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2.59pt;height:206.8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2242" cy="257473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24268" name=""/>
                              <pic:cNvPicPr>
                                <a:picLocks noChangeAspect="1"/>
                              </pic:cNvPicPr>
                              <pic:nvPr/>
                            </pic:nvPicPr>
                            <pic:blipFill rotWithShape="1">
                              <a:blip r:embed="rId21"/>
                              <a:stretch/>
                            </pic:blipFill>
                            <pic:spPr bwMode="auto">
                              <a:xfrm flipH="0" flipV="0">
                                <a:off x="0" y="0"/>
                                <a:ext cx="3022241" cy="25747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7.97pt;height:202.7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rHeight w:val="379"/>
        </w:trPr>
        <w:tc>
          <w:tcPr>
            <w:tcBorders/>
            <w:tcW w:w="4820"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05"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2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87966" cy="23354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61565" name=""/>
                              <pic:cNvPicPr>
                                <a:picLocks noChangeAspect="1"/>
                              </pic:cNvPicPr>
                              <pic:nvPr/>
                            </pic:nvPicPr>
                            <pic:blipFill rotWithShape="1">
                              <a:blip r:embed="rId22"/>
                              <a:stretch/>
                            </pic:blipFill>
                            <pic:spPr bwMode="auto">
                              <a:xfrm flipH="0" flipV="0">
                                <a:off x="0" y="0"/>
                                <a:ext cx="3187964" cy="2335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1.02pt;height:183.8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05"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72172" cy="232680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75762" name=""/>
                              <pic:cNvPicPr>
                                <a:picLocks noChangeAspect="1"/>
                              </pic:cNvPicPr>
                              <pic:nvPr/>
                            </pic:nvPicPr>
                            <pic:blipFill rotWithShape="1">
                              <a:blip r:embed="rId23"/>
                              <a:stretch/>
                            </pic:blipFill>
                            <pic:spPr bwMode="auto">
                              <a:xfrm flipH="0" flipV="0">
                                <a:off x="0" y="0"/>
                                <a:ext cx="3172171" cy="2326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9.78pt;height:183.2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820"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05"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20"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53562" cy="229839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78233" name=""/>
                              <pic:cNvPicPr>
                                <a:picLocks noChangeAspect="1"/>
                              </pic:cNvPicPr>
                              <pic:nvPr/>
                            </pic:nvPicPr>
                            <pic:blipFill rotWithShape="1">
                              <a:blip r:embed="rId24"/>
                              <a:stretch/>
                            </pic:blipFill>
                            <pic:spPr bwMode="auto">
                              <a:xfrm flipH="0" flipV="0">
                                <a:off x="0" y="0"/>
                                <a:ext cx="3253561" cy="22983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6.19pt;height:180.9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05"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3195" cy="226361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70828" name=""/>
                              <pic:cNvPicPr>
                                <a:picLocks noChangeAspect="1"/>
                              </pic:cNvPicPr>
                              <pic:nvPr/>
                            </pic:nvPicPr>
                            <pic:blipFill rotWithShape="1">
                              <a:blip r:embed="rId25"/>
                              <a:stretch/>
                            </pic:blipFill>
                            <pic:spPr bwMode="auto">
                              <a:xfrm flipH="0" flipV="0">
                                <a:off x="0" y="0"/>
                                <a:ext cx="3013194" cy="22636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7.26pt;height:178.2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820"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05"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20"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4714" cy="230362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747068" name=""/>
                              <pic:cNvPicPr>
                                <a:picLocks noChangeAspect="1"/>
                              </pic:cNvPicPr>
                              <pic:nvPr/>
                            </pic:nvPicPr>
                            <pic:blipFill rotWithShape="1">
                              <a:blip r:embed="rId26"/>
                              <a:stretch/>
                            </pic:blipFill>
                            <pic:spPr bwMode="auto">
                              <a:xfrm flipH="0" flipV="0">
                                <a:off x="0" y="0"/>
                                <a:ext cx="3074713" cy="2303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10pt;height:181.39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05"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20844" cy="233818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5337" name=""/>
                              <pic:cNvPicPr>
                                <a:picLocks noChangeAspect="1"/>
                              </pic:cNvPicPr>
                              <pic:nvPr/>
                            </pic:nvPicPr>
                            <pic:blipFill rotWithShape="1">
                              <a:blip r:embed="rId27"/>
                              <a:stretch/>
                            </pic:blipFill>
                            <pic:spPr bwMode="auto">
                              <a:xfrm flipH="0" flipV="0">
                                <a:off x="0" y="0"/>
                                <a:ext cx="3120843" cy="2338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5.74pt;height:184.11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820"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05"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20"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2315" cy="27474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44585" name=""/>
                              <pic:cNvPicPr>
                                <a:picLocks noChangeAspect="1"/>
                              </pic:cNvPicPr>
                              <pic:nvPr/>
                            </pic:nvPicPr>
                            <pic:blipFill rotWithShape="1">
                              <a:blip r:embed="rId28"/>
                              <a:stretch/>
                            </pic:blipFill>
                            <pic:spPr bwMode="auto">
                              <a:xfrm flipH="0" flipV="0">
                                <a:off x="0" y="0"/>
                                <a:ext cx="2782314" cy="2747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08pt;height:216.33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tcBorders/>
            <w:tcW w:w="4705"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13195" cy="271761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02034" name=""/>
                              <pic:cNvPicPr>
                                <a:picLocks noChangeAspect="1"/>
                              </pic:cNvPicPr>
                              <pic:nvPr/>
                            </pic:nvPicPr>
                            <pic:blipFill rotWithShape="1">
                              <a:blip r:embed="rId29"/>
                              <a:stretch/>
                            </pic:blipFill>
                            <pic:spPr bwMode="auto">
                              <a:xfrm flipH="0" flipV="0">
                                <a:off x="0" y="0"/>
                                <a:ext cx="3013194" cy="27176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7.26pt;height:213.99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275/2026/0703/VFI-BC.69.A</w:t>
      </w:r>
      <w:r>
        <w:rPr>
          <w:i/>
          <w:lang w:val="pt-BR"/>
        </w:rPr>
        <w:t xml:space="preserve"> </w:t>
      </w:r>
      <w:r>
        <w:rPr>
          <w:i/>
          <w:lang w:val="pt-BR"/>
        </w:rPr>
        <w:t xml:space="preserve">8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8"/>
        <w:gridCol w:w="3085"/>
        <w:gridCol w:w="5812"/>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2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2"/>
              </w:rPr>
            </w:r>
            <w:r/>
          </w:p>
        </w:tc>
        <w:tc>
          <w:tcPr>
            <w:tcBorders>
              <w:top w:val="single" w:color="000000" w:sz="4" w:space="0"/>
              <w:bottom w:val="single" w:color="000000" w:sz="4" w:space="0"/>
              <w:right w:val="single" w:color="000000" w:sz="4" w:space="0"/>
            </w:tcBorders>
            <w:tcMar>
              <w:left w:w="0" w:type="dxa"/>
              <w:top w:w="0" w:type="dxa"/>
              <w:right w:w="0" w:type="dxa"/>
              <w:bottom w:w="0" w:type="dxa"/>
            </w:tcMar>
            <w:tcW w:w="3085"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5812" w:type="dxa"/>
            <w:vAlign w:val="top"/>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w:t>
            </w:r>
            <w:r>
              <w:rPr>
                <w:rFonts w:ascii="Times New Roman" w:hAnsi="Times New Roman" w:eastAsia="Times New Roman" w:cs="Times New Roman"/>
                <w:b/>
                <w:bCs/>
                <w:color w:val="000000"/>
                <w:sz w:val="22"/>
              </w:rPr>
              <w:t xml:space="preserve">TSSS1</w:t>
            </w:r>
            <w:r>
              <w:rPr>
                <w:b/>
                <w:bCs/>
              </w:rPr>
            </w:r>
            <w:r>
              <w:rPr>
                <w:b/>
                <w:bCs/>
              </w:rPr>
            </w:r>
          </w:p>
        </w:tc>
      </w:tr>
      <w:tr>
        <w:trPr>
          <w:trHeight w:val="12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t xml:space="preserve">https://batdongsan.com.vn/ban-can-ho-chung-cu-phuong-25-samland-river-view/ban-riverview-tai-25-binh-thanh-tp-hcm-pr45623669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spacing w:after="0" w:before="0" w:line="240" w:lineRule="auto"/>
              <w:ind/>
              <w:jc w:val="center"/>
              <w:rPr/>
            </w:pPr>
            <w:r>
              <w:rPr>
                <w:rFonts w:ascii="Times New Roman" w:hAnsi="Times New Roman" w:eastAsia="Times New Roman" w:cs="Times New Roman"/>
                <w:color w:val="000000"/>
                <w:sz w:val="22"/>
              </w:rPr>
              <w:t xml:space="preserve">SĐT </w:t>
            </w:r>
            <w:r>
              <w:rPr>
                <w:rFonts w:ascii="Times New Roman" w:hAnsi="Times New Roman" w:eastAsia="Times New Roman" w:cs="Times New Roman"/>
                <w:color w:val="000000"/>
                <w:sz w:val="22"/>
              </w:rPr>
              <w:t xml:space="preserve">0907759957 </w:t>
              <w:br/>
              <w:t xml:space="preserve">(Dương)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6.500.000.000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4" w:space="0"/>
              <w:right w:val="single" w:color="000000" w:sz="4" w:space="0"/>
            </w:tcBorders>
            <w:tcMar>
              <w:left w:w="0" w:type="dxa"/>
              <w:top w:w="0" w:type="dxa"/>
              <w:right w:w="0" w:type="dxa"/>
              <w:bottom w:w="0" w:type="dxa"/>
            </w:tcMar>
            <w:tcW w:w="5812" w:type="dxa"/>
            <w:vAlign w:val="bottom"/>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5.850.000.000</w:t>
            </w:r>
            <w:r>
              <w:rPr>
                <w:sz w:val="22"/>
                <w:szCs w:val="22"/>
              </w:rPr>
            </w:r>
            <w:r>
              <w:rPr>
                <w:sz w:val="22"/>
                <w:szCs w:val="22"/>
              </w:rP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5/2026</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178/6 đường Nguyễn Văn Thương, Phường Thạnh Mỹ Tây, Thành phố Hồ Chí Minh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(m²)</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Nam</w:t>
            </w:r>
            <w:r/>
          </w:p>
        </w:tc>
      </w:tr>
      <w:tr>
        <w:trPr>
          <w:trHeight w:val="301"/>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308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Chung cư Samland</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vMerge w:val="restart"/>
            <w:textDirection w:val="lrTb"/>
            <w:noWrap/>
          </w:tcPr>
          <w:p>
            <w:pPr>
              <w:pBdr/>
              <w:spacing w:after="0" w:before="0" w:line="240" w:lineRule="auto"/>
              <w:ind/>
              <w:jc w:val="center"/>
              <w:rPr>
                <w:rFonts w:ascii="Times New Roman" w:hAnsi="Times New Roman" w:eastAsia="Times New Roman" w:cs="Times New Roman"/>
                <w:b/>
                <w:bCs/>
                <w:color w:val="000000"/>
                <w:sz w:val="22"/>
              </w:rPr>
            </w:pPr>
            <w:r>
              <w:rPr>
                <w:rFonts w:ascii="Times New Roman" w:hAnsi="Times New Roman" w:eastAsia="Times New Roman" w:cs="Times New Roman"/>
                <w:b/>
                <w:bCs/>
                <w:color w:val="000000"/>
                <w:sz w:val="22"/>
              </w:rPr>
              <w:t xml:space="preserve">B</w:t>
            </w:r>
            <w:r>
              <w:rPr>
                <w:rFonts w:ascii="Times New Roman" w:hAnsi="Times New Roman" w:eastAsia="Times New Roman" w:cs="Times New Roman"/>
                <w:b/>
                <w:bCs/>
                <w:color w:val="000000"/>
                <w:sz w:val="22"/>
              </w:rPr>
            </w:r>
            <w:r>
              <w:rPr>
                <w:rFonts w:ascii="Times New Roman" w:hAnsi="Times New Roman" w:eastAsia="Times New Roman" w:cs="Times New Roman"/>
                <w:b/>
                <w:bCs/>
                <w:color w:val="000000"/>
                <w:sz w:val="22"/>
              </w:rPr>
            </w:r>
          </w:p>
        </w:tc>
        <w:tc>
          <w:tcPr>
            <w:gridSpan w:val="2"/>
            <w:tcBorders>
              <w:bottom w:val="single" w:color="000000" w:sz="4" w:space="0"/>
              <w:right w:val="single" w:color="000000" w:sz="4" w:space="0"/>
            </w:tcBorders>
            <w:tcMar>
              <w:left w:w="0" w:type="dxa"/>
              <w:top w:w="0" w:type="dxa"/>
              <w:right w:w="0" w:type="dxa"/>
              <w:bottom w:w="0" w:type="dxa"/>
            </w:tcMar>
            <w:tcW w:w="8897" w:type="dxa"/>
            <w:vAlign w:val="center"/>
            <w:vMerge w:val="restart"/>
            <w:textDirection w:val="lrTb"/>
            <w:noWrap w:val="false"/>
          </w:tcPr>
          <w:p>
            <w:pPr>
              <w:pBdr/>
              <w:spacing w:after="0" w:before="0" w:line="240" w:lineRule="auto"/>
              <w:ind/>
              <w:rPr>
                <w:rFonts w:ascii="Times New Roman" w:hAnsi="Times New Roman" w:eastAsia="Times New Roman" w:cs="Times New Roman"/>
                <w:b/>
                <w:bCs/>
                <w:color w:val="000000"/>
                <w:sz w:val="22"/>
              </w:rPr>
            </w:pPr>
            <w:r>
              <w:rPr>
                <w:rFonts w:ascii="Times New Roman" w:hAnsi="Times New Roman" w:eastAsia="Times New Roman" w:cs="Times New Roman"/>
                <w:b/>
                <w:bCs/>
                <w:color w:val="000000"/>
                <w:sz w:val="22"/>
              </w:rPr>
              <w:t xml:space="preserve">Bằng </w:t>
            </w:r>
            <w:r>
              <w:rPr>
                <w:rFonts w:ascii="Times New Roman" w:hAnsi="Times New Roman" w:eastAsia="Times New Roman" w:cs="Times New Roman"/>
                <w:b/>
                <w:bCs/>
                <w:color w:val="000000"/>
                <w:sz w:val="22"/>
              </w:rPr>
              <w:t xml:space="preserve">chứng </w:t>
            </w:r>
            <w:r>
              <w:rPr>
                <w:rFonts w:ascii="Times New Roman" w:hAnsi="Times New Roman" w:eastAsia="Times New Roman" w:cs="Times New Roman"/>
                <w:b/>
                <w:bCs/>
                <w:color w:val="000000"/>
                <w:sz w:val="22"/>
              </w:rPr>
              <w:t xml:space="preserve">thu </w:t>
            </w:r>
            <w:r>
              <w:rPr>
                <w:rFonts w:ascii="Times New Roman" w:hAnsi="Times New Roman" w:eastAsia="Times New Roman" w:cs="Times New Roman"/>
                <w:b/>
                <w:bCs/>
                <w:color w:val="000000"/>
                <w:sz w:val="22"/>
              </w:rPr>
              <w:t xml:space="preserve">thập: </w:t>
            </w:r>
            <w:r>
              <w:rPr>
                <w:rFonts w:ascii="Times New Roman" w:hAnsi="Times New Roman" w:eastAsia="Times New Roman" w:cs="Times New Roman"/>
                <w:b/>
                <w:bCs/>
                <w:color w:val="000000"/>
                <w:sz w:val="22"/>
              </w:rPr>
            </w:r>
            <w:r>
              <w:rPr>
                <w:rFonts w:ascii="Times New Roman" w:hAnsi="Times New Roman" w:eastAsia="Times New Roman" w:cs="Times New Roman"/>
                <w:b/>
                <w:bCs/>
                <w:color w:val="000000"/>
                <w:sz w:val="22"/>
              </w:rP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2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gridSpan w:val="2"/>
            <w:tcBorders>
              <w:bottom w:val="single" w:color="000000" w:sz="4" w:space="0"/>
              <w:right w:val="single" w:color="000000" w:sz="4" w:space="0"/>
            </w:tcBorders>
            <w:tcMar>
              <w:left w:w="0" w:type="dxa"/>
              <w:top w:w="0" w:type="dxa"/>
              <w:right w:w="0" w:type="dxa"/>
              <w:bottom w:w="0" w:type="dxa"/>
            </w:tcMar>
            <w:tcW w:w="8897" w:type="dxa"/>
            <w:vAlign w:val="center"/>
            <w:vMerge w:val="restart"/>
            <w:textDirection w:val="lrTb"/>
            <w:noWrap w:val="false"/>
          </w:tcPr>
          <w:p>
            <w:pPr>
              <w:pBdr/>
              <w:spacing w:after="0" w:before="0" w:line="240" w:lineRule="auto"/>
              <w:ind/>
              <w:rPr>
                <w:highlight w:val="none"/>
              </w:rPr>
            </w:pPr>
            <w:r>
              <w:rPr>
                <w:sz w:val="24"/>
              </w:rPr>
            </w:r>
            <w:r>
              <mc:AlternateContent>
                <mc:Choice Requires="wpg">
                  <w:drawing>
                    <wp:inline xmlns:wp="http://schemas.openxmlformats.org/drawingml/2006/wordprocessingDrawing" distT="0" distB="0" distL="0" distR="0">
                      <wp:extent cx="3001001" cy="16643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07830" name=""/>
                              <pic:cNvPicPr>
                                <a:picLocks noChangeAspect="1"/>
                              </pic:cNvPicPr>
                              <pic:nvPr/>
                            </pic:nvPicPr>
                            <pic:blipFill rotWithShape="1">
                              <a:blip r:embed="rId30"/>
                              <a:stretch/>
                            </pic:blipFill>
                            <pic:spPr bwMode="auto">
                              <a:xfrm rot="0" flipH="0" flipV="0">
                                <a:off x="0" y="0"/>
                                <a:ext cx="3001000" cy="1664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6.30pt;height:131.05pt;mso-wrap-distance-left:0.00pt;mso-wrap-distance-top:0.00pt;mso-wrap-distance-right:0.00pt;mso-wrap-distance-bottom:0.00pt;rotation:0;z-index:1;" stroked="false">
                      <v:imagedata r:id="rId30" o:title=""/>
                      <o:lock v:ext="edit" rotation="t"/>
                    </v:shape>
                  </w:pict>
                </mc:Fallback>
              </mc:AlternateContent>
            </w:r>
            <w:r>
              <w:rPr>
                <w:highlight w:val="none"/>
              </w:rPr>
            </w:r>
            <w:r>
              <w:rPr>
                <w:highlight w:val="none"/>
              </w:rPr>
            </w:r>
          </w:p>
          <w:p>
            <w:pPr>
              <w:pBdr/>
              <w:spacing w:after="0" w:before="0" w:line="240" w:lineRule="auto"/>
              <w:ind/>
              <w:rPr>
                <w:highlight w:val="none"/>
              </w:rPr>
            </w:pPr>
            <w:r>
              <w:rPr>
                <w:highlight w:val="none"/>
              </w:rPr>
            </w:r>
            <w:r>
              <w:rPr>
                <w:highlight w:val="none"/>
              </w:rPr>
            </w:r>
            <w:r>
              <w:rPr>
                <w:highlight w:val="none"/>
              </w:rPr>
            </w:r>
          </w:p>
          <w:p>
            <w:pPr>
              <w:pBdr>
                <w:top w:val="single" w:color="e5e7eb" w:sz="0" w:space="0"/>
                <w:left w:val="single" w:color="e5e7eb" w:sz="0" w:space="0"/>
                <w:bottom w:val="single" w:color="e5e7eb" w:sz="0" w:space="0"/>
                <w:right w:val="single" w:color="e5e7eb" w:sz="0" w:space="0"/>
              </w:pBdr>
              <w:shd w:val="clear" w:color="f3e8ff" w:fill="f3e8ff"/>
              <w:spacing/>
              <w:ind w:right="0" w:firstLine="0" w:left="0"/>
              <w:rPr/>
            </w:pPr>
            <w:r>
              <w:rPr>
                <w:rFonts w:ascii="Arial" w:hAnsi="Arial" w:eastAsia="Arial" w:cs="Arial"/>
                <w:b/>
                <w:color w:val="9333ea"/>
                <w:sz w:val="18"/>
              </w:rPr>
              <w:t xml:space="preserve">MP3</w:t>
            </w: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rFonts w:ascii="Arial" w:hAnsi="Arial" w:eastAsia="Arial" w:cs="Arial"/>
                <w:color w:val="666666"/>
                <w:sz w:val="18"/>
              </w:rPr>
              <w:t xml:space="preserve">Samland - 6,5 tỷ 0907759957.m4a</w:t>
            </w:r>
            <w:r/>
          </w:p>
          <w:p>
            <w:pPr>
              <w:pBdr/>
              <w:spacing w:after="0" w:before="0" w:line="240" w:lineRule="auto"/>
              <w:ind/>
              <w:rPr>
                <w:highlight w:val="none"/>
              </w:rPr>
            </w:pPr>
            <w:r>
              <w:rPr>
                <w:sz w:val="24"/>
              </w:rPr>
            </w:r>
            <w:r>
              <w:rPr>
                <w:highlight w:val="none"/>
              </w:rPr>
            </w:r>
            <w:r>
              <w:rPr>
                <w:highlight w:val="none"/>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422548" cy="71127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30779" name=""/>
                              <pic:cNvPicPr>
                                <a:picLocks noChangeAspect="1"/>
                              </pic:cNvPicPr>
                              <pic:nvPr/>
                            </pic:nvPicPr>
                            <pic:blipFill rotWithShape="1">
                              <a:blip r:embed="rId31"/>
                              <a:stretch/>
                            </pic:blipFill>
                            <pic:spPr bwMode="auto">
                              <a:xfrm rot="0" flipH="0" flipV="0">
                                <a:off x="0" y="0"/>
                                <a:ext cx="1422547" cy="711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01pt;height:56.01pt;mso-wrap-distance-left:0.00pt;mso-wrap-distance-top:0.00pt;mso-wrap-distance-right:0.00pt;mso-wrap-distance-bottom:0.00pt;rotation:0;z-index:1;" stroked="false">
                      <v:imagedata r:id="rId31"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bl>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8"/>
        <w:gridCol w:w="3126"/>
        <w:gridCol w:w="6857"/>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bottom w:val="single" w:color="000000" w:sz="4" w:space="0"/>
              <w:right w:val="single" w:color="000000" w:sz="4" w:space="0"/>
            </w:tcBorders>
            <w:tcMar>
              <w:left w:w="0" w:type="dxa"/>
              <w:top w:w="0" w:type="dxa"/>
              <w:right w:w="0" w:type="dxa"/>
              <w:bottom w:w="0" w:type="dxa"/>
            </w:tcMar>
            <w:tcW w:w="312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6857" w:type="dxa"/>
            <w:vAlign w:val="top"/>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TSSS2</w:t>
            </w:r>
            <w:r>
              <w:rPr>
                <w:rFonts w:ascii="Times New Roman" w:hAnsi="Times New Roman" w:eastAsia="Times New Roman" w:cs="Times New Roman"/>
                <w:b/>
                <w:bCs/>
                <w:color w:val="000000"/>
                <w:sz w:val="22"/>
              </w:rPr>
              <w:t xml:space="preserve"> </w:t>
            </w:r>
            <w:r>
              <w:rPr>
                <w:b/>
                <w:bCs/>
              </w:rPr>
            </w:r>
            <w:r>
              <w:rPr>
                <w:b/>
                <w:bCs/>
              </w:rPr>
            </w:r>
          </w:p>
        </w:tc>
      </w:tr>
      <w:tr>
        <w:trPr>
          <w:trHeight w:val="122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https://batdongsan.com.vn/ban-can-ho-chung-cu-duong-nguyen-van-thuong-phuong-25-samland-river-view/d1-q-binh-thanh-85m2-goc-du-noi-that-song-pr27519225 - 0902579332</w:t>
              <w:br/>
              <w:t xml:space="preserve">(Hằng)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5.300.000.000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4.770.000.000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5/2026</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178/6 đường Nguyễn Văn Thương, Phường Thạnh Mỹ Tây, Thành phố Hồ Chí Minh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(m²)</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Chung cư Samland</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11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998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highlight w:val="none"/>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4526112" cy="235155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42283" name=""/>
                              <pic:cNvPicPr>
                                <a:picLocks noChangeAspect="1"/>
                              </pic:cNvPicPr>
                              <pic:nvPr/>
                            </pic:nvPicPr>
                            <pic:blipFill rotWithShape="1">
                              <a:blip r:embed="rId32"/>
                              <a:stretch/>
                            </pic:blipFill>
                            <pic:spPr bwMode="auto">
                              <a:xfrm flipH="0" flipV="0">
                                <a:off x="0" y="0"/>
                                <a:ext cx="4526111" cy="2351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6.39pt;height:185.16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szCs w:val="22"/>
                <w:highlight w:val="none"/>
              </w:rPr>
            </w:r>
            <w:r>
              <w:rPr>
                <w:rFonts w:ascii="Times New Roman" w:hAnsi="Times New Roman" w:eastAsia="Times New Roman" w:cs="Times New Roman"/>
                <w:color w:val="000000"/>
                <w:sz w:val="22"/>
                <w:szCs w:val="22"/>
                <w:highlight w:val="none"/>
              </w:rPr>
            </w:r>
          </w:p>
          <w:p>
            <w:pPr>
              <w:pBdr/>
              <w:spacing w:after="0" w:before="0" w:line="240" w:lineRule="auto"/>
              <w:ind/>
              <w:jc w:val="center"/>
              <w:rPr/>
            </w:pPr>
            <w:r/>
            <w:r/>
          </w:p>
          <w:p>
            <w:pPr>
              <w:pBdr>
                <w:top w:val="single" w:color="e5e7eb" w:sz="0" w:space="0"/>
                <w:left w:val="single" w:color="e5e7eb" w:sz="0" w:space="0"/>
                <w:bottom w:val="single" w:color="e5e7eb" w:sz="0" w:space="0"/>
                <w:right w:val="single" w:color="e5e7eb" w:sz="0" w:space="0"/>
              </w:pBdr>
              <w:shd w:val="clear" w:color="f3e8ff" w:fill="f3e8ff"/>
              <w:spacing/>
              <w:ind w:right="0" w:firstLine="0" w:left="0"/>
              <w:rPr/>
            </w:pPr>
            <w:r>
              <w:rPr>
                <w:rFonts w:ascii="Arial" w:hAnsi="Arial" w:eastAsia="Arial" w:cs="Arial"/>
                <w:b/>
                <w:color w:val="9333ea"/>
                <w:sz w:val="18"/>
              </w:rPr>
              <w:t xml:space="preserve">MP3</w:t>
            </w: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rFonts w:ascii="Arial" w:hAnsi="Arial" w:eastAsia="Arial" w:cs="Arial"/>
                <w:color w:val="666666"/>
                <w:sz w:val="18"/>
              </w:rPr>
              <w:t xml:space="preserve">Samland - 5,3 tỷ 0902579332.m4a</w:t>
            </w:r>
            <w:r>
              <w:rPr>
                <w:rFonts w:ascii="Arial" w:hAnsi="Arial" w:eastAsia="Arial" w:cs="Arial"/>
                <w:sz w:val="18"/>
              </w:rPr>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757724" cy="87886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58439" name=""/>
                              <pic:cNvPicPr>
                                <a:picLocks noChangeAspect="1"/>
                              </pic:cNvPicPr>
                              <pic:nvPr/>
                            </pic:nvPicPr>
                            <pic:blipFill rotWithShape="1">
                              <a:blip r:embed="rId31"/>
                              <a:stretch/>
                            </pic:blipFill>
                            <pic:spPr bwMode="auto">
                              <a:xfrm rot="0" flipH="0" flipV="0">
                                <a:off x="0" y="0"/>
                                <a:ext cx="1757723" cy="8788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8.40pt;height:69.20pt;mso-wrap-distance-left:0.00pt;mso-wrap-distance-top:0.00pt;mso-wrap-distance-right:0.00pt;mso-wrap-distance-bottom:0.00pt;rotation:0;z-index:1;" stroked="false">
                      <v:imagedata r:id="rId31"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jc w:val="center"/>
        <w:rPr>
          <w:b/>
          <w:bCs/>
          <w:lang w:val="pt-BR"/>
        </w:rPr>
      </w:pPr>
      <w:r>
        <w:rPr>
          <w:b/>
          <w:bCs/>
          <w:iCs/>
          <w:highlight w:val="none"/>
          <w:lang w:val="pt-BR"/>
        </w:rPr>
      </w:r>
      <w:r>
        <w:rPr>
          <w:b/>
          <w:bCs/>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8"/>
        <w:gridCol w:w="3126"/>
        <w:gridCol w:w="6857"/>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bottom w:val="single" w:color="000000" w:sz="4" w:space="0"/>
              <w:right w:val="single" w:color="000000" w:sz="4" w:space="0"/>
            </w:tcBorders>
            <w:tcMar>
              <w:left w:w="0" w:type="dxa"/>
              <w:top w:w="0" w:type="dxa"/>
              <w:right w:w="0" w:type="dxa"/>
              <w:bottom w:w="0" w:type="dxa"/>
            </w:tcMar>
            <w:tcW w:w="312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6857"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2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https://batdongsan.com.vn/ban-can-ho-chung-cu-duong-nguyen-van-thuong-phuong-25-wilton-tower/ban-gap-2pn-so-hong-view-song-thoang-mat-gia-4-1-ty-lh-093-557-2883-pr32677645 - 0935572883</w:t>
              <w:br/>
              <w:t xml:space="preserve">(Đức Mạnh)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6.600.000.000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5.610.000.000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5/2026</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71/3 đường Nguyễn Văn Thương, Phường Thạnh Mỹ Tây, Thành phố Hồ Chí Minh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(m²)</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thấp</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tại Wilton Tower</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3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4" w:space="0"/>
              <w:right w:val="single" w:color="000000" w:sz="4" w:space="0"/>
            </w:tcBorders>
            <w:tcMar>
              <w:left w:w="0" w:type="dxa"/>
              <w:top w:w="0" w:type="dxa"/>
              <w:right w:w="0" w:type="dxa"/>
              <w:bottom w:w="0" w:type="dxa"/>
            </w:tcMar>
            <w:tcW w:w="68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693"/>
        </w:trPr>
        <w:tc>
          <w:tcPr>
            <w:tcBorders>
              <w:left w:val="single" w:color="000000" w:sz="4" w:space="0"/>
              <w:bottom w:val="single" w:color="000000" w:sz="4" w:space="0"/>
              <w:right w:val="single" w:color="000000" w:sz="4" w:space="0"/>
            </w:tcBorders>
            <w:tcMar>
              <w:left w:w="0" w:type="dxa"/>
              <w:top w:w="0" w:type="dxa"/>
              <w:right w:w="0" w:type="dxa"/>
              <w:bottom w:w="0" w:type="dxa"/>
            </w:tcMar>
            <w:tcW w:w="6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9982"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5538929" cy="255455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94445" name=""/>
                              <pic:cNvPicPr>
                                <a:picLocks noChangeAspect="1"/>
                              </pic:cNvPicPr>
                              <pic:nvPr/>
                            </pic:nvPicPr>
                            <pic:blipFill rotWithShape="1">
                              <a:blip r:embed="rId33"/>
                              <a:stretch/>
                            </pic:blipFill>
                            <pic:spPr bwMode="auto">
                              <a:xfrm flipH="0" flipV="0">
                                <a:off x="0" y="0"/>
                                <a:ext cx="5538928" cy="25545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6.14pt;height:201.15pt;mso-wrap-distance-left:0.00pt;mso-wrap-distance-top:0.00pt;mso-wrap-distance-right:0.00pt;mso-wrap-distance-bottom:0.00pt;z-index:1;" stroked="false">
                      <v:imagedata r:id="rId33" o:title=""/>
                      <o:lock v:ext="edit" rotation="t"/>
                    </v:shape>
                  </w:pict>
                </mc:Fallback>
              </mc:AlternateContent>
            </w:r>
            <w:r>
              <mc:AlternateContent>
                <mc:Choice Requires="wpg">
                  <w:drawing>
                    <wp:inline xmlns:wp="http://schemas.openxmlformats.org/drawingml/2006/wordprocessingDrawing" distT="0" distB="0" distL="0" distR="0">
                      <wp:extent cx="5403991" cy="35293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57279" name=""/>
                              <pic:cNvPicPr>
                                <a:picLocks noChangeAspect="1"/>
                              </pic:cNvPicPr>
                              <pic:nvPr/>
                            </pic:nvPicPr>
                            <pic:blipFill rotWithShape="1">
                              <a:blip r:embed="rId34"/>
                              <a:stretch/>
                            </pic:blipFill>
                            <pic:spPr bwMode="auto">
                              <a:xfrm flipH="0" flipV="0">
                                <a:off x="0" y="0"/>
                                <a:ext cx="5403991" cy="35293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25.51pt;height:277.9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2"/>
              </w:rPr>
            </w: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908755" cy="954377"/>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99138" name=""/>
                              <pic:cNvPicPr>
                                <a:picLocks noChangeAspect="1"/>
                              </pic:cNvPicPr>
                              <pic:nvPr/>
                            </pic:nvPicPr>
                            <pic:blipFill rotWithShape="1">
                              <a:blip r:embed="rId31"/>
                              <a:stretch/>
                            </pic:blipFill>
                            <pic:spPr bwMode="auto">
                              <a:xfrm flipH="0" flipV="0">
                                <a:off x="0" y="0"/>
                                <a:ext cx="1908754" cy="954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50.30pt;height:75.15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w:t>
      </w:r>
      <w:r>
        <w:rPr>
          <w:b/>
          <w:bCs/>
          <w:iCs/>
          <w:lang w:val="pt-BR"/>
        </w:rPr>
        <w:t xml:space="preserve">ý</w:t>
      </w:r>
      <w:r>
        <w:rPr>
          <w:b/>
          <w:bCs/>
          <w:iCs/>
          <w:highlight w:val="none"/>
          <w:lang w:val="pt-BR"/>
        </w:rPr>
      </w:r>
      <w:r>
        <w:rPr>
          <w:b/>
          <w:bCs/>
          <w:i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582806" cy="391014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91421" name=""/>
                        <pic:cNvPicPr>
                          <a:picLocks noChangeAspect="1"/>
                        </pic:cNvPicPr>
                        <pic:nvPr/>
                      </pic:nvPicPr>
                      <pic:blipFill rotWithShape="1">
                        <a:blip r:embed="rId35"/>
                        <a:stretch/>
                      </pic:blipFill>
                      <pic:spPr bwMode="auto">
                        <a:xfrm flipH="0" flipV="0">
                          <a:off x="0" y="0"/>
                          <a:ext cx="5582806" cy="39101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39.59pt;height:307.89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321786" cy="388324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45044" name=""/>
                        <pic:cNvPicPr>
                          <a:picLocks noChangeAspect="1"/>
                        </pic:cNvPicPr>
                        <pic:nvPr/>
                      </pic:nvPicPr>
                      <pic:blipFill rotWithShape="1">
                        <a:blip r:embed="rId36"/>
                        <a:stretch/>
                      </pic:blipFill>
                      <pic:spPr bwMode="auto">
                        <a:xfrm flipH="0" flipV="0">
                          <a:off x="0" y="0"/>
                          <a:ext cx="5321786" cy="3883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19.04pt;height:305.77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b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br/>
      </w:r>
      <w:r>
        <w:rPr>
          <w:b/>
          <w:bCs/>
          <w:iCs/>
          <w:highlight w:val="none"/>
          <w:lang w:val="pt-BR"/>
        </w:rPr>
        <w:t xml:space="preserve">Biên </w:t>
      </w:r>
      <w:r>
        <w:rPr>
          <w:b/>
          <w:bCs/>
          <w:iCs/>
          <w:highlight w:val="none"/>
          <w:lang w:val="pt-BR"/>
        </w:rPr>
        <w:t xml:space="preserve">bản </w:t>
      </w:r>
      <w:r>
        <w:rPr>
          <w:b/>
          <w:bCs/>
          <w:iCs/>
          <w:highlight w:val="none"/>
          <w:lang w:val="pt-BR"/>
        </w:rPr>
        <w:t xml:space="preserve">khảo </w:t>
      </w:r>
      <w:r>
        <w:rPr>
          <w:b/>
          <w:bCs/>
          <w:iCs/>
          <w:highlight w:val="none"/>
          <w:lang w:val="pt-BR"/>
        </w:rPr>
        <w:t xml:space="preserve">sát </w:t>
      </w:r>
      <w:r>
        <w:rPr>
          <w:b/>
          <w:bCs/>
          <w:highlight w:val="none"/>
          <w:lang w:val="pt-BR"/>
        </w:rPr>
      </w:r>
      <w:r>
        <w:rPr>
          <w:b/>
          <w:bCs/>
          <w:highlight w:val="none"/>
          <w:lang w:val="pt-BR"/>
        </w:rPr>
      </w:r>
    </w:p>
    <w:p>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75508"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p>
      <w:pPr>
        <w:pBdr/>
        <w:spacing w:after="200" w:line="276" w:lineRule="auto"/>
        <w:ind/>
        <w:jc w:val="center"/>
        <w:rPr>
          <w:b/>
          <w:bCs/>
        </w:rPr>
      </w:pPr>
      <w:r>
        <w:rPr>
          <w:b/>
          <w:bCs/>
          <w:iCs/>
          <w:highlight w:val="none"/>
          <w:lang w:val="pt-BR"/>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286</cp:revision>
  <dcterms:created xsi:type="dcterms:W3CDTF">2025-09-15T09:58:00Z</dcterms:created>
  <dcterms:modified xsi:type="dcterms:W3CDTF">2026-05-11T08:03:16Z</dcterms:modified>
</cp:coreProperties>
</file>