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0682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0682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275/2026/0678/VFI-CT.24.A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Lê Thị Tám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526; tờ bản đồ số 01 có địa chỉ p</w:t>
                            </w:r>
                            <w:r>
                              <w:rPr>
                                <w:color w:val="000000"/>
                              </w:rPr>
                              <w:t xml:space="preserve">hường Nam Hải, quận Hải An, thành phố Hải Phòng</w:t>
                            </w:r>
                            <w:r>
                              <w:rPr>
                                <w:i/>
                                <w:iCs/>
                                <w:color w:val="000000"/>
                              </w:rPr>
                              <w:t xml:space="preserve"> (Nay là phường Hải An, thành phố Hải Phòng)</w:t>
                            </w:r>
                            <w:r>
                              <w:rPr>
                                <w:color w:val="000000"/>
                              </w:rPr>
                              <w:t xml:space="preserve"> theo Giấy chứng nhận Quyền sử dụng đất số Đ 445503, vào sổ cấp GCN Quyền sử dụng đất số: 00203 QSDĐ/ do UBND quận Hải An cấp ngày 21/4/2004 cho ông Nguyễn Văn Bình.</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1.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275/2026/0678/VFI-CT.24.A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Lê Thị Tám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526; tờ bản đồ số 01 có địa chỉ p</w:t>
                      </w:r>
                      <w:r>
                        <w:rPr>
                          <w:color w:val="000000"/>
                        </w:rPr>
                        <w:t xml:space="preserve">hường Nam Hải, quận Hải An, thành phố Hải Phòng</w:t>
                      </w:r>
                      <w:r>
                        <w:rPr>
                          <w:i/>
                          <w:iCs/>
                          <w:color w:val="000000"/>
                        </w:rPr>
                        <w:t xml:space="preserve"> (Nay là phường Hải An, thành phố Hải Phòng)</w:t>
                      </w:r>
                      <w:r>
                        <w:rPr>
                          <w:color w:val="000000"/>
                        </w:rPr>
                        <w:t xml:space="preserve"> theo Giấy chứng nhận Quyền sử dụng đất số Đ 445503, vào sổ cấp GCN Quyền sử dụng đất số: 00203 QSDĐ/ do UBND quận Hải An cấp ngày 21/4/2004 cho ông Nguyễn Văn Bình.</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23-27</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29"/>
        <w:gridCol w:w="1559"/>
        <w:gridCol w:w="3543"/>
        <w:gridCol w:w="9283"/>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1282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5102"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275/2026/0678/VFI-CT.24.A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9283"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5 tháng 5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Lê Thị Tám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275/2026/0678/VFI-HĐTĐ.24.A</w:t>
      </w:r>
      <w:r>
        <w:rPr>
          <w:spacing w:val="-4"/>
          <w:lang w:val="vi-VN"/>
        </w:rPr>
        <w:t xml:space="preserve"> ký ngày </w:t>
      </w:r>
      <w:r>
        <w:rPr>
          <w:color w:val="000000" w:themeColor="text1"/>
          <w:spacing w:val="-4"/>
        </w:rPr>
        <w:t xml:space="preserve">5 tháng 5 năm 2026</w:t>
      </w:r>
      <w:r>
        <w:rPr>
          <w:spacing w:val="-4"/>
          <w:lang w:val="vi-VN"/>
        </w:rPr>
        <w:t xml:space="preserve"> </w:t>
      </w:r>
      <w:r>
        <w:rPr>
          <w:spacing w:val="-4"/>
          <w:lang w:val="vi-VN"/>
        </w:rPr>
        <w:t xml:space="preserve">giữa </w:t>
      </w:r>
      <w:r>
        <w:rPr>
          <w:color w:val="000000" w:themeColor="text1"/>
          <w:spacing w:val="-4"/>
        </w:rPr>
        <w:t xml:space="preserve">Bà Lê Thị Tám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275/2026/0678/VFI-CT.24.A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5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Bà Lê Thị Ta</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031172003326</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Số 117 Hàng Tổng, TDP Nam Hải 1, phường Hải An, Hải Phòng</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ayout w:type="fixed"/>
        <w:tblLook w:val="04A0" w:firstRow="1" w:lastRow="0" w:firstColumn="1" w:lastColumn="0" w:noHBand="0" w:noVBand="1"/>
      </w:tblPr>
      <w:tblGrid>
        <w:gridCol w:w="1905"/>
        <w:gridCol w:w="216"/>
        <w:gridCol w:w="7552"/>
      </w:tblGrid>
      <w:tr>
        <w:trPr>
          <w:trHeight w:val="20"/>
        </w:trPr>
        <w:tc>
          <w:tcPr>
            <w:tcBorders/>
            <w:tcW w:w="1905"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52"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382"/>
        </w:trPr>
        <w:tc>
          <w:tcPr>
            <w:tcBorders/>
            <w:tcW w:w="1905"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52"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05"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552"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05"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52"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05"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52"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05" w:type="dxa"/>
            <w:vAlign w:val="center"/>
            <w:textDirection w:val="lrTb"/>
            <w:noWrap w:val="false"/>
          </w:tcPr>
          <w:p>
            <w:pPr>
              <w:pBdr/>
              <w:spacing w:after="40" w:before="40" w:line="276" w:lineRule="auto"/>
              <w:ind/>
              <w:jc w:val="both"/>
              <w:rPr/>
            </w:pPr>
            <w:r>
              <w:t xml:space="preserve">Thông báo</w:t>
            </w: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52"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1905"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16"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552"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05"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16"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552"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highlight w:val="white"/>
        </w:rPr>
        <w:t xml:space="preserve"> Q</w:t>
      </w:r>
      <w:r>
        <w:rPr>
          <w:color w:val="000000" w:themeColor="text1"/>
          <w:highlight w:val="white"/>
        </w:rPr>
        <w:t xml:space="preserve">uyền sử dụ</w:t>
      </w:r>
      <w:r>
        <w:rPr>
          <w:color w:val="000000" w:themeColor="text1"/>
          <w:highlight w:val="white"/>
        </w:rPr>
        <w:t xml:space="preserve">ng</w:t>
      </w:r>
      <w:r>
        <w:rPr>
          <w:color w:val="000000" w:themeColor="text1"/>
          <w:highlight w:val="white"/>
        </w:rPr>
        <w:t xml:space="preserve"> </w:t>
      </w:r>
      <w:r>
        <w:rPr>
          <w:color w:val="000000" w:themeColor="text1"/>
          <w:highlight w:val="white"/>
        </w:rPr>
        <w:t xml:space="preserve">đất t</w:t>
      </w:r>
      <w:r>
        <w:rPr>
          <w:color w:val="000000" w:themeColor="text1"/>
        </w:rPr>
        <w:t xml:space="preserve">ại thửa đất số: 526; tờ bản đồ số 01 có địa chỉ p</w:t>
      </w:r>
      <w:r>
        <w:rPr>
          <w:color w:val="000000" w:themeColor="text1"/>
        </w:rPr>
        <w:t xml:space="preserve">hường Nam Hải, quận Hải An, thành phố Hải Phòng </w:t>
      </w:r>
      <w:r>
        <w:rPr>
          <w:i/>
          <w:iCs/>
          <w:color w:val="000000" w:themeColor="text1"/>
        </w:rPr>
        <w:t xml:space="preserve">(Nay là phường Hải An, thành phố Hải Phòng)</w:t>
      </w:r>
      <w:r>
        <w:rPr>
          <w:color w:val="000000" w:themeColor="text1"/>
        </w:rPr>
        <w:t xml:space="preserve"> theo Giấy chứng nhận Quyền sử dụng đất số Đ 445503, vào sổ cấp GCN Quyền sử dụng đất số: 00203 QSDĐ/ do UBND quận Hải An cấp ngày 21/4/2004 cho ông Nguyễn Văn Bình.</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619"/>
        <w:gridCol w:w="1701"/>
        <w:gridCol w:w="2089"/>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619"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Giá trị quyền trị quyền sử dụng đất tại thửa đất số: 526; tờ bản đồ số 01 có địa chỉ p</w:t>
            </w:r>
            <w:r>
              <w:rPr>
                <w:b/>
                <w:bCs/>
                <w:color w:val="000000"/>
              </w:rPr>
              <w:t xml:space="preserve">hường Nam Hải, quận Hải An, thành phố Hải Phòng </w:t>
            </w:r>
            <w:r>
              <w:rPr>
                <w:b/>
                <w:bCs/>
                <w:i/>
                <w:iCs/>
                <w:color w:val="000000"/>
              </w:rPr>
              <w:t xml:space="preserve">(Nay là phường Hải An, thành phố Hải Phòng)</w:t>
            </w:r>
            <w:r>
              <w:rPr>
                <w:b/>
                <w:bCs/>
                <w:color w:val="000000"/>
              </w:rPr>
              <w:t xml:space="preserve"> theo Giấy chứng nhận Quyền sử dụng đất số Đ 445503, vào sổ cấp GCN Quyền sử dụng đất số: 00203 QSDĐ/ do UBND quận Hải An cấp ngày 21/4/2004 cho ông Nguyễn Văn Bình</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619" w:type="dxa"/>
            <w:vAlign w:val="center"/>
            <w:textDirection w:val="lrTb"/>
            <w:noWrap w:val="false"/>
          </w:tcPr>
          <w:p>
            <w:pPr>
              <w:pBdr/>
              <w:spacing w:after="40" w:before="40" w:line="288" w:lineRule="auto"/>
              <w:ind/>
              <w:rPr>
                <w:b w:val="0"/>
                <w:bCs w:val="0"/>
              </w:rPr>
            </w:pPr>
            <w:r>
              <w:rPr>
                <w:b w:val="0"/>
                <w:bCs w:val="0"/>
              </w:rPr>
              <w:t xml:space="preserve">Đất ở</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200</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75.000.000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15.000.000.000</w:t>
            </w: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619" w:type="dxa"/>
            <w:vAlign w:val="center"/>
            <w:textDirection w:val="lrTb"/>
            <w:noWrap w:val="false"/>
          </w:tcPr>
          <w:p>
            <w:pPr>
              <w:pBdr/>
              <w:spacing w:after="40" w:before="40" w:line="288" w:lineRule="auto"/>
              <w:ind/>
              <w:rPr>
                <w:b w:val="0"/>
                <w:bCs w:val="0"/>
              </w:rPr>
            </w:pPr>
            <w:r>
              <w:rPr>
                <w:b w:val="0"/>
                <w:bCs w:val="0"/>
              </w:rPr>
              <w:t xml:space="preserve">Đất vườn tạp</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440</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140.000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61.600.000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15.061.600.000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15.062.000.000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lăm tỷ, không trăm sáu mươi hai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29"/>
        <w:gridCol w:w="1559"/>
        <w:gridCol w:w="2835"/>
        <w:gridCol w:w="9995"/>
      </w:tblGrid>
      <w:tr>
        <w:trPr>
          <w:trHeight w:val="1843"/>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1283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4394"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275/2026/0678/VFI-CT.24.A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9995"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5 tháng 5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275/2026/0678/VFI-CT.24.A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5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983" w:type="dxa"/>
        <w:tblBorders/>
        <w:tblLayout w:type="fixed"/>
        <w:tblLook w:val="04A0" w:firstRow="1" w:lastRow="0" w:firstColumn="1" w:lastColumn="0" w:noHBand="0" w:noVBand="1"/>
      </w:tblPr>
      <w:tblGrid>
        <w:gridCol w:w="2046"/>
        <w:gridCol w:w="216"/>
        <w:gridCol w:w="7519"/>
        <w:gridCol w:w="202"/>
      </w:tblGrid>
      <w:tr>
        <w:trPr>
          <w:trHeight w:val="20"/>
        </w:trPr>
        <w:tc>
          <w:tcPr>
            <w:tcBorders/>
            <w:tcW w:w="2046"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16"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gridSpan w:val="2"/>
            <w:tcBorders/>
            <w:tcW w:w="7721"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16"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19"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16"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519"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gridAfter w:val="1"/>
          <w:trHeight w:val="20"/>
        </w:trPr>
        <w:tc>
          <w:tcPr>
            <w:tcBorders/>
            <w:tcW w:w="2046"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16"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19"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gridAfter w:val="1"/>
          <w:trHeight w:val="20"/>
        </w:trPr>
        <w:tc>
          <w:tcPr>
            <w:tcBorders/>
            <w:tcW w:w="2046"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16"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19"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16"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19"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gridAfter w:val="1"/>
          <w:trHeight w:val="20"/>
        </w:trPr>
        <w:tc>
          <w:tcPr>
            <w:tcBorders/>
            <w:tcW w:w="2046"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16"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19"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Bà Lê Thị Tám</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031172003326</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Đia chỉ</w:t>
            </w: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Số 117 Hàng Tổng, TDP Nam Hải 1, phường Hải An, Hải Phòng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Số hợp đồng</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Style w:val="1031"/>
                <w:rFonts w:ascii="Times New Roman" w:hAnsi="Times New Roman"/>
                <w:color w:val="000000" w:themeColor="text1"/>
                <w:lang w:val="pt-BR"/>
              </w:rPr>
              <w:t xml:space="preserve">275/2026/0678/VFI-HĐTĐ.24.A</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trị quyền sử dụng đất tại thửa đất số: 526; tờ bản đồ số 01 có địa chỉ p</w:t>
            </w:r>
            <w:r>
              <w:rPr>
                <w:bCs/>
                <w:color w:val="000000" w:themeColor="text1"/>
                <w:lang w:val="pt-BR"/>
              </w:rPr>
              <w:t xml:space="preserve">hường Nam Hải, quận Hải An, thành phố Hải Phòng </w:t>
            </w:r>
            <w:r>
              <w:rPr>
                <w:bCs/>
                <w:i/>
                <w:iCs/>
                <w:color w:val="000000" w:themeColor="text1"/>
                <w:lang w:val="pt-BR"/>
              </w:rPr>
              <w:t xml:space="preserve">(Nay là phường Hải An, thành phố Hải Phòng)</w:t>
            </w:r>
            <w:r>
              <w:rPr>
                <w:bCs/>
                <w:color w:val="000000" w:themeColor="text1"/>
                <w:lang w:val="pt-BR"/>
              </w:rPr>
              <w:t xml:space="preserve"> theo Giấy chứng nhận Quyền sử dụng đất số Đ 445503, vào sổ cấp GCN Quyền sử dụng đất số: 00203 QSDĐ/ do UBND quận Hải An cấp ngày 21/4/2004 cho ông Nguyễn Văn Bình.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Hải An,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20.839277777778, 106.73236111111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3"/>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số Đ 44550</w:t>
      </w:r>
      <w:r>
        <w:rPr>
          <w:bCs/>
          <w:color w:val="000000" w:themeColor="text1"/>
          <w:lang w:val="pt-BR"/>
        </w:rPr>
        <w:t xml:space="preserve">3, vào sổ cấp GCN Quyền sử dụng đất số: 00203 QSDĐ/ tại thửa đất số: 526; tờ bản đồ số 01 có địa chỉ phường Nam Hải, quận Hải An, thành phố Hải Phòng do UBND quận Hải An cấp ngày 21/4/2004 cho ông Nguyễn Văn Bình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275/2026/0678/VFI-HĐTĐ.24.A ngày 05/05/2026 giữa Bà Lê Thị Tám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i/>
          <w:iCs/>
          <w:lang w:val="pt-BR"/>
        </w:rPr>
      </w:r>
      <w:r>
        <w:rPr>
          <w:rFonts w:ascii="Times New Roman" w:hAnsi="Times New Roman" w:eastAsia="Times New Roman" w:cs="Times New Roman"/>
          <w:color w:val="000000"/>
          <w:sz w:val="24"/>
        </w:rPr>
        <w:t xml:space="preserve">Bất động sản Hải Phòng năm 2025 đang chứng kiến sự trỗi dậy mạnh mẽ nhờ vào hàng loạt đại dự án tỷ đô được triển khai. Những dự án này không chỉ làm thay đổi diện mạo thành phố cảng mà còn tạo ra cơ hội đầu tư hấp dẫn cho nhiều doanh nghiệp và cá nhân. Với</w:t>
      </w:r>
      <w:r>
        <w:rPr>
          <w:rFonts w:ascii="Times New Roman" w:hAnsi="Times New Roman" w:eastAsia="Times New Roman" w:cs="Times New Roman"/>
          <w:color w:val="000000"/>
          <w:sz w:val="24"/>
        </w:rPr>
        <w:t xml:space="preserve"> tiềm năng phát triển mạnh mẽ, bất động sản Hải Phòng hứa hẹn sẽ trở thành một trong những thị trường sôi động nhất tại Việt Nam.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Số lượng dự án bất động sản tăng gần gấp đôi trong 5 năm qua</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Sự xuất hiện của nhiều ông lớn đã khiến số lượng dự án bất động sản tại Hải Phòng tăng gần gấp đôi trong vòng 5 năm qua. Từ sau Tết, anh Nguyễn Văn Tiến, một môi giới có gần mười năm kinh nghiệm tại Hải Phòng, cho biết đã liên tục tiếp xúc với các nhà đầu</w:t>
      </w:r>
      <w:r>
        <w:rPr>
          <w:rFonts w:ascii="Times New Roman" w:hAnsi="Times New Roman" w:eastAsia="Times New Roman" w:cs="Times New Roman"/>
          <w:color w:val="000000"/>
          <w:sz w:val="24"/>
        </w:rPr>
        <w:t xml:space="preserve"> tư từ nhiều địa phương như Hà Nội, Hải Dương, Hưng Yên, và cả từ phía Nam, tìm kiếm cơ hội mua bất động sản. Khu vực Thuỷ Nguyên, An Dương và Dương Kinh là những điểm đến được họ chú ý nhiều nhất.</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anh Tiến, sự thay đổi này là rất rõ rệt so với 3-4 năm trước bởi bất động sản Hải Phòng trước đây khá khép kín, với ít sự tham gia của nhà đầu tư từ tỉnh khác, nhất là khi so sánh với Quảng Ninh. Quảng Ninh đã phát triển thị trường sớm hơn, với sự đa</w:t>
      </w:r>
      <w:r>
        <w:rPr>
          <w:rFonts w:ascii="Times New Roman" w:hAnsi="Times New Roman" w:eastAsia="Times New Roman" w:cs="Times New Roman"/>
          <w:color w:val="000000"/>
          <w:sz w:val="24"/>
        </w:rPr>
        <w:t xml:space="preserve"> dạng về sản phẩm phục vụ nhu cầu ở, dịch vụ và nghỉ dưỡng cao cấp.</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Giao dịch và giá nhà đất tăng 10–30% tùy khu vực trong quý I/2025</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Trong quý I/2025, ông Nguyễn Quang Văn - Chủ tịch Hiệp hội Bất động sản Hải Phòng, cho biết các sàn giao dịch trong thành phố ghi nhận lượng giao dịch tăng khoảng 30% so với cùng kỳ năm 2024, với giá cả biến động 10-30% tùy thuộc vào từng phân khúc và khu</w:t>
      </w:r>
      <w:r>
        <w:rPr>
          <w:rFonts w:ascii="Times New Roman" w:hAnsi="Times New Roman" w:eastAsia="Times New Roman" w:cs="Times New Roman"/>
          <w:color w:val="000000"/>
          <w:sz w:val="24"/>
        </w:rPr>
        <w:t xml:space="preserve"> vực. Đặc biệt, giá đất nền thay đổi mạnh mẽ tại Thủy Nguyên, Tràng Cát và Dương Kinh. Hiệp hội Môi giới Bất động sản Việt Nam (VARS) cũng cho hay lượng giao dịch và giá bán thứ cấp tại Hải Phòng đang có xu hướng tăng bình quân từ 5-10%, riêng Thủy Nguyên </w:t>
      </w:r>
      <w:r>
        <w:rPr>
          <w:rFonts w:ascii="Times New Roman" w:hAnsi="Times New Roman" w:eastAsia="Times New Roman" w:cs="Times New Roman"/>
          <w:color w:val="000000"/>
          <w:sz w:val="24"/>
        </w:rPr>
        <w:t xml:space="preserve">ghi nhận mức tăng lên tới 30%. Các dự án nhà thấp tầng và nhà xã hội mới mở bán cũng đạt tỷ lệ hấp thụ trên 60%.</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Thị trường thu hút nhà đầu tư khắp cả nước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đánh giá từ các đơn vị nghiên cứu và giới chuyên gia, một trong những lý do chủ yếu khiến Hải Phòng trở thành một trong những thị trường bất động sản sôi động và được chú ý hàng đầu tại miền Bắc, nhất là Hà Nội, Hưng Yên và miền Nam với hàng loạt dự </w:t>
      </w:r>
      <w:r>
        <w:rPr>
          <w:rFonts w:ascii="Times New Roman" w:hAnsi="Times New Roman" w:eastAsia="Times New Roman" w:cs="Times New Roman"/>
          <w:color w:val="000000"/>
          <w:sz w:val="24"/>
        </w:rPr>
        <w:t xml:space="preserve">án khu đô thị và chung cư cao cấp. Trong khoảng một năm qua, số lượng dự án khu đô thị, chung cư thương mại và nhà xã hội được đầu tư tại thành phố cảng cũng nằm trong nhóm cao nhất toàn quốc.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Hạ tầng và vị thế kinh tế tạo lực đẩy cho thị trường địa ốc Hải Phòng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Savills cho biết Hải Phòng đang có nhiều yếu tố thuận lợi để thị trường địa ốc tiếp tục phát triển trong thời gian tới. Thành phố này nằm trong vùng tam giác kinh tế phát triển cùng với Hà Nội và Quảng Ninh, sở hữu hệ thống cảng biển lớn nhất miền Bắc và </w:t>
      </w:r>
      <w:r>
        <w:rPr>
          <w:rFonts w:ascii="Times New Roman" w:hAnsi="Times New Roman" w:eastAsia="Times New Roman" w:cs="Times New Roman"/>
          <w:color w:val="000000"/>
          <w:sz w:val="24"/>
        </w:rPr>
        <w:t xml:space="preserve">hạ tầng giao thông đa dạng.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Trong tháng vừa qua, Hải Phòng đã đưa vào hoạt động thêm 2 bến cảng nước sâu (số 3 và 4) thuộc cụm cảng Lạch Huyện, với tổng giá trị 7.000 tỷ đồng, có khả năng xử lý sản lượng hàng hóa lên tới 1,5 triệu TEU mỗi năm. Trước đó, bến cảng số 5 và 6 cũng đã ch</w:t>
      </w:r>
      <w:r>
        <w:rPr>
          <w:rFonts w:ascii="Times New Roman" w:hAnsi="Times New Roman" w:eastAsia="Times New Roman" w:cs="Times New Roman"/>
          <w:color w:val="000000"/>
          <w:sz w:val="24"/>
        </w:rPr>
        <w:t xml:space="preserve">ính thức hoạt động, cho phép đón cùng lúc 2 tàu container lớn nhất thế giới hiện nay.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Sân bay quốc tế Cát Bi cũng đang được mở rộng sân đỗ và sẽ xây dựng nhà ga hành khách T2, được thiết kế với công suất 5 triệu hành khách mỗi năm khi hoàn thành. Một tuyến giao thông quan trọng khác, có vai trò lớn trong sự phát triển của thành phố trong t</w:t>
      </w:r>
      <w:r>
        <w:rPr>
          <w:rFonts w:ascii="Times New Roman" w:hAnsi="Times New Roman" w:eastAsia="Times New Roman" w:cs="Times New Roman"/>
          <w:color w:val="000000"/>
          <w:sz w:val="24"/>
        </w:rPr>
        <w:t xml:space="preserve">ương lai, là đường sắt Lào Cai - Hà Nội - Hải Phòng, với tổng mức đầu tư dự kiến là 11 tỷ USD. Mới đây, Thủ tướng đã yêu cầu khởi công dự án này vào cuối năm nay.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Trong lĩnh vực bất động sản khu công nghiệp, Hải Phòng cũng là một trong những địa phương phát triển mạnh mẽ nhất cả nước, với các khu công nghiệp như Tràng Duệ, VSIP, Đình Vũ, Deep C thu hút nhiều doanh nghiệp nổi tiếng trong và ngoài nước.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Sáp nhập Hải Dương – Hải Phòng: Gia tăng nhu cầu nhà ở, dịch vụ</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Savills còn cho rằng việc hợp nhất với Hải Dương sẽ đóng góp đáng kể vào việc tăng cường nhu cầu về nhà ở, khách sạn và văn phòng tại Hải Phòng. Sự mở rộng này không chỉ tạo ra nhiều cơ hội đầu tư mới mà còn thu hút thêm nguồn lực và lao động từ các khu v</w:t>
      </w:r>
      <w:r>
        <w:rPr>
          <w:rFonts w:ascii="Times New Roman" w:hAnsi="Times New Roman" w:eastAsia="Times New Roman" w:cs="Times New Roman"/>
          <w:color w:val="000000"/>
          <w:sz w:val="24"/>
        </w:rPr>
        <w:t xml:space="preserve">ực lân cận, góp phần làm phong phú thêm thị trường bất động sản.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Bên cạnh đó, việc hợp nhất sẽ giúp cải thiện hạ tầng giao thông và dịch vụ công cộng, từ đó nâng cao chất lượng cuộc sống cho cư dân. Điều này sẽ kích thích sự phát triển bền vững của thị trường bất động sản trong tương lai, tạo điều kiện cho các nhà đầu </w:t>
      </w:r>
      <w:r>
        <w:rPr>
          <w:rFonts w:ascii="Times New Roman" w:hAnsi="Times New Roman" w:eastAsia="Times New Roman" w:cs="Times New Roman"/>
          <w:color w:val="000000"/>
          <w:sz w:val="24"/>
        </w:rPr>
        <w:t xml:space="preserve">tư và doanh nghiệp khai thác tiềm năng phát triển của thành phố.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Việc gia tăng nhu cầu về bất động sản cũng sẽ thúc đẩy các dự án xây dựng mới, đáp ứng nhu cầu ngày càng cao của người dân và doanh nghiệp, từ đó tạo nên một thị trường bất động sản sôi động và đầy triển vọng.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Hải Phòng hấp dẫn doanh nghiệp và người dân đến an cư, đầu tư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Hiện nay, Hải Phòng có diện tích tự nhiên vượt quá 1.500 km² và dân số đạt hơn 2,1 triệu người. Năm 2024, thành phố ghi nhận tốc độ tăng trưởng tổng sản phẩm trên địa bàn (GRDP) khoảng 11%, xếp thứ ba trong cả nước. Đây cũng là năm thứ mười liên tiếp Hải </w:t>
      </w:r>
      <w:r>
        <w:rPr>
          <w:rFonts w:ascii="Times New Roman" w:hAnsi="Times New Roman" w:eastAsia="Times New Roman" w:cs="Times New Roman"/>
          <w:color w:val="000000"/>
          <w:sz w:val="24"/>
        </w:rPr>
        <w:t xml:space="preserve">Phòng duy trì được mức tăng trưởng hai con số.</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Nhìn chung, trong năm 2025, bất động sản Hải Phòng dự kiến sẽ tiếp tục bùng nổ mạnh mẽ nhờ vào sự phát triển của các đại dự án tỷ đô, tạo ra nhiều cơ hội đầu tư hấp dẫn. Sự chuyển mình này không chỉ nâng cao giá trị bất động sản mà còn góp phần định hình </w:t>
      </w:r>
      <w:r>
        <w:rPr>
          <w:rFonts w:ascii="Times New Roman" w:hAnsi="Times New Roman" w:eastAsia="Times New Roman" w:cs="Times New Roman"/>
          <w:color w:val="000000"/>
          <w:sz w:val="24"/>
        </w:rPr>
        <w:t xml:space="preserve">tương lai kinh tế vững mạnh cho thành phố cảng.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tham khảo: </w:t>
      </w:r>
      <w:hyperlink r:id="rId17" w:tooltip="https://onehousing.vn/blog/bat-dong-san-hai-phong-nam-2025-troi-day-manh-me-nho-loat-dai-du-an-ty-do-n17t)" w:history="1">
        <w:r>
          <w:rPr>
            <w:rStyle w:val="1023"/>
            <w:rFonts w:ascii="Times New Roman" w:hAnsi="Times New Roman" w:eastAsia="Times New Roman" w:cs="Times New Roman"/>
            <w:i/>
            <w:color w:val="000000"/>
            <w:sz w:val="24"/>
            <w:u w:val="single"/>
          </w:rPr>
          <w:t xml:space="preserve">https://onehousing.vn/blog/bat-dong-san-hai-phong-nam-2025-troi-day-manh-me-nho-loat-dai-du-an-ty-do-n17t)</w:t>
        </w:r>
      </w:hyperlink>
      <w: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58"/>
        <w:gridCol w:w="2094"/>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Giá trị quyền trị quyền sử dụng đất tại thửa đất số: 526; tờ bản đồ số 01 có địa chỉ p</w:t>
            </w:r>
            <w:r>
              <w:rPr>
                <w:b/>
                <w:bCs/>
                <w:color w:val="000000"/>
              </w:rPr>
              <w:t xml:space="preserve">hường Nam Hải, quận Hải An, thành phố Hải Phòng (</w:t>
            </w:r>
            <w:r>
              <w:rPr>
                <w:b/>
                <w:bCs/>
                <w:i/>
                <w:iCs/>
                <w:color w:val="000000"/>
              </w:rPr>
              <w:t xml:space="preserve">Nay là phường Hải An, thành phố Hải Phòng)</w:t>
            </w:r>
            <w:r>
              <w:rPr>
                <w:b/>
                <w:bCs/>
                <w:color w:val="000000"/>
              </w:rPr>
              <w:t xml:space="preserve"> theo Giấy chứng nhận Quyền sử dụng đất số Đ 445503, vào sổ cấp GCN Quyền sử dụng đất số: 00203 QSDĐ/ do UBND quận Hải An cấp ngày 21/4/2004 cho ông Nguyễn Văn Bình.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58" w:type="dxa"/>
            <w:vAlign w:val="center"/>
            <w:textDirection w:val="lrTb"/>
            <w:noWrap w:val="false"/>
          </w:tcPr>
          <w:p>
            <w:pPr>
              <w:pBdr/>
              <w:spacing/>
              <w:ind/>
              <w:jc w:val="center"/>
              <w:rPr>
                <w:color w:val="000000"/>
              </w:rPr>
            </w:pPr>
            <w:r>
              <w:rPr>
                <w:color w:val="000000" w:themeColor="text1"/>
              </w:rPr>
              <w:t xml:space="preserve">526</w:t>
            </w:r>
            <w:r>
              <w:rPr>
                <w:color w:val="000000"/>
              </w:rPr>
            </w:r>
            <w:r>
              <w:rPr>
                <w:color w:val="000000"/>
              </w:rPr>
            </w:r>
          </w:p>
        </w:tc>
        <w:tc>
          <w:tcPr>
            <w:tcBorders/>
            <w:tcW w:w="2094"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phường Nam Hải, quận Hải An, TP Hải Phòng</w:t>
            </w:r>
            <w:r>
              <w:rPr>
                <w:color w:val="000000"/>
                <w:highlight w:val="none"/>
              </w:rPr>
            </w:r>
            <w:r>
              <w:rPr>
                <w:color w:val="000000"/>
                <w:highlight w:val="none"/>
              </w:rPr>
            </w:r>
          </w:p>
          <w:p>
            <w:pPr>
              <w:pBdr/>
              <w:spacing/>
              <w:ind/>
              <w:jc w:val="both"/>
              <w:rPr>
                <w:bCs/>
                <w:i/>
                <w:color w:val="000000"/>
              </w:rPr>
            </w:pPr>
            <w:r>
              <w:rPr>
                <w:i/>
                <w:iCs/>
                <w:color w:val="000000"/>
                <w:highlight w:val="none"/>
              </w:rPr>
              <w:t xml:space="preserve">(Nay là phường Hải An, thành phố Hải Phòng)</w:t>
            </w:r>
            <w:r>
              <w:rPr>
                <w:bCs/>
                <w:i/>
                <w:color w:val="000000"/>
              </w:rPr>
            </w:r>
            <w:r>
              <w:rPr>
                <w:bCs/>
                <w:i/>
                <w:color w:val="000000"/>
              </w:rPr>
            </w:r>
          </w:p>
        </w:tc>
      </w:tr>
      <w:tr>
        <w:trPr>
          <w:trHeight w:val="1098"/>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gridSpan w:val="3"/>
            <w:tcBorders/>
            <w:tcW w:w="6259" w:type="dxa"/>
            <w:vAlign w:val="center"/>
            <w:textDirection w:val="lrTb"/>
            <w:noWrap w:val="false"/>
          </w:tcPr>
          <w:p>
            <w:pPr>
              <w:pBdr/>
              <w:spacing/>
              <w:ind/>
              <w:jc w:val="left"/>
              <w:rPr>
                <w:color w:val="000000"/>
                <w:highlight w:val="none"/>
              </w:rPr>
            </w:pPr>
            <w:r>
              <w:rPr>
                <w:color w:val="000000"/>
              </w:rPr>
              <w:t xml:space="preserve">640 </w:t>
            </w:r>
            <w:r>
              <w:rPr>
                <w:color w:val="000000"/>
              </w:rPr>
              <w:t xml:space="preserve">m²</w:t>
            </w:r>
            <w:r>
              <w:rPr>
                <w:color w:val="000000"/>
                <w:highlight w:val="none"/>
              </w:rPr>
            </w:r>
            <w:r>
              <w:rPr>
                <w:color w:val="000000"/>
                <w:highlight w:val="none"/>
              </w:rPr>
            </w:r>
          </w:p>
          <w:p>
            <w:pPr>
              <w:pBdr/>
              <w:spacing/>
              <w:ind/>
              <w:jc w:val="left"/>
              <w:rPr>
                <w:color w:val="000000"/>
                <w:highlight w:val="none"/>
              </w:rPr>
            </w:pPr>
            <w:r>
              <w:rPr>
                <w:color w:val="000000"/>
                <w:highlight w:val="none"/>
              </w:rPr>
              <w:t xml:space="preserve">Trong đó </w:t>
            </w:r>
            <w:r>
              <w:rPr>
                <w:color w:val="000000"/>
                <w:highlight w:val="none"/>
              </w:rPr>
            </w:r>
            <w:r>
              <w:rPr>
                <w:color w:val="000000"/>
                <w:highlight w:val="none"/>
              </w:rPr>
            </w:r>
          </w:p>
          <w:p>
            <w:pPr>
              <w:pBdr/>
              <w:spacing/>
              <w:ind/>
              <w:jc w:val="left"/>
              <w:rPr>
                <w:color w:val="000000"/>
              </w:rPr>
            </w:pPr>
            <w:r>
              <w:rPr>
                <w:color w:val="000000"/>
                <w:highlight w:val="none"/>
              </w:rPr>
              <w:t xml:space="preserve">200 </w:t>
            </w:r>
            <w:r>
              <w:rPr>
                <w:color w:val="000000"/>
              </w:rPr>
              <w:t xml:space="preserve">m²</w:t>
            </w:r>
            <w:r>
              <w:rPr>
                <w:color w:val="000000"/>
                <w:highlight w:val="none"/>
              </w:rPr>
              <w:t xml:space="preserve">: Đất ở</w:t>
            </w:r>
            <w:r>
              <w:rPr>
                <w:color w:val="000000"/>
              </w:rPr>
            </w:r>
            <w:r>
              <w:rPr>
                <w:color w:val="000000"/>
              </w:rPr>
            </w:r>
          </w:p>
          <w:p>
            <w:pPr>
              <w:pBdr/>
              <w:spacing/>
              <w:ind/>
              <w:jc w:val="left"/>
              <w:rPr/>
            </w:pPr>
            <w:r>
              <w:t xml:space="preserve">440 </w:t>
            </w:r>
            <w:r>
              <w:rPr>
                <w:color w:val="000000"/>
              </w:rPr>
              <w:t xml:space="preserve">m²: Vườn tạp</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gridSpan w:val="3"/>
            <w:tcBorders/>
            <w:tcW w:w="6259" w:type="dxa"/>
            <w:vAlign w:val="center"/>
            <w:textDirection w:val="lrTb"/>
            <w:noWrap w:val="false"/>
          </w:tcPr>
          <w:p>
            <w:pPr>
              <w:pBdr/>
              <w:spacing/>
              <w:ind/>
              <w:jc w:val="left"/>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58" w:type="dxa"/>
            <w:vAlign w:val="center"/>
            <w:textDirection w:val="lrTb"/>
            <w:noWrap w:val="false"/>
          </w:tcPr>
          <w:p>
            <w:pPr>
              <w:pBdr/>
              <w:spacing/>
              <w:ind/>
              <w:jc w:val="center"/>
              <w:rPr>
                <w:color w:val="000000"/>
              </w:rPr>
            </w:pPr>
            <w:r>
              <w:rPr>
                <w:color w:val="000000"/>
              </w:rPr>
              <w:t xml:space="preserve">Đường Hàng Tổng</w:t>
            </w:r>
            <w:r>
              <w:rPr>
                <w:color w:val="000000"/>
              </w:rPr>
            </w:r>
            <w:r>
              <w:rPr>
                <w:color w:val="000000"/>
              </w:rPr>
            </w:r>
          </w:p>
        </w:tc>
        <w:tc>
          <w:tcPr>
            <w:tcBorders/>
            <w:tcW w:w="2094"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58"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c>
          <w:tcPr>
            <w:tcBorders/>
            <w:tcW w:w="2094"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firstLine="0" w:left="0"/>
              <w:jc w:val="both"/>
              <w:rPr>
                <w:color w:val="000000" w:themeColor="text1"/>
                <w:highlight w:val="none"/>
              </w:rPr>
            </w:pPr>
            <w:r>
              <w:rPr>
                <w:color w:val="000000" w:themeColor="text1"/>
              </w:rPr>
              <w:t xml:space="preserve">-Hướng Nam: Tiếp giáp đường Hàng Tổng</w:t>
            </w:r>
            <w:r>
              <w:rPr>
                <w:color w:val="000000" w:themeColor="text1"/>
                <w:highlight w:val="none"/>
              </w:rPr>
            </w:r>
            <w:r>
              <w:rPr>
                <w:color w:val="000000" w:themeColor="text1"/>
                <w:highlight w:val="none"/>
              </w:rPr>
            </w:r>
          </w:p>
          <w:p>
            <w:pPr>
              <w:pBdr/>
              <w:spacing/>
              <w:ind w:firstLine="0" w:left="0"/>
              <w:jc w:val="both"/>
              <w:rPr>
                <w:color w:val="000000"/>
              </w:rPr>
            </w:pPr>
            <w:r>
              <w:rPr>
                <w:color w:val="000000" w:themeColor="text1"/>
                <w:highlight w:val="none"/>
              </w:rPr>
              <w:t xml:space="preserve">-</w:t>
            </w:r>
            <w:r>
              <w:rPr>
                <w:color w:val="000000" w:themeColor="text1"/>
                <w:highlight w:val="none"/>
              </w:rPr>
              <w:t xml:space="preserve">Các hướng còn lại tiép giáp BĐS liền kề</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20.839277777778</w:t>
            </w:r>
            <w:r>
              <w:rPr>
                <w:color w:val="000000"/>
              </w:rPr>
              <w:t xml:space="preserve">, </w:t>
            </w:r>
            <w:r>
              <w:rPr>
                <w:color w:val="000000"/>
              </w:rPr>
              <w:t xml:space="preserve">106.73236111111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95849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95849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69.17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58" w:type="dxa"/>
            <w:vAlign w:val="center"/>
            <w:textDirection w:val="lrTb"/>
            <w:noWrap w:val="false"/>
          </w:tcPr>
          <w:p>
            <w:pPr>
              <w:pBdr/>
              <w:spacing/>
              <w:ind/>
              <w:jc w:val="center"/>
              <w:rPr>
                <w:color w:val="000000"/>
              </w:rPr>
            </w:pPr>
            <w:r>
              <w:rPr>
                <w:color w:val="000000" w:themeColor="text1"/>
              </w:rPr>
              <w:t xml:space="preserve">640</w:t>
            </w:r>
            <w:r>
              <w:rPr>
                <w:color w:val="000000"/>
              </w:rPr>
            </w:r>
            <w:r>
              <w:rPr>
                <w:color w:val="000000"/>
              </w:rPr>
            </w:r>
          </w:p>
        </w:tc>
        <w:tc>
          <w:tcPr>
            <w:tcBorders/>
            <w:tcW w:w="2094"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58" w:type="dxa"/>
            <w:vAlign w:val="center"/>
            <w:textDirection w:val="lrTb"/>
            <w:noWrap w:val="false"/>
          </w:tcPr>
          <w:p>
            <w:pPr>
              <w:pBdr/>
              <w:spacing/>
              <w:ind/>
              <w:jc w:val="center"/>
              <w:rPr>
                <w:color w:val="000000"/>
              </w:rPr>
            </w:pPr>
            <w:r>
              <w:rPr>
                <w:color w:val="000000" w:themeColor="text1"/>
              </w:rPr>
              <w:t xml:space="preserve">10,7</w:t>
            </w:r>
            <w:r>
              <w:rPr>
                <w:color w:val="000000"/>
              </w:rPr>
            </w:r>
            <w:r>
              <w:rPr>
                <w:color w:val="000000"/>
              </w:rPr>
            </w:r>
          </w:p>
        </w:tc>
        <w:tc>
          <w:tcPr>
            <w:tcBorders/>
            <w:tcW w:w="2094" w:type="dxa"/>
            <w:vAlign w:val="center"/>
            <w:textDirection w:val="lrTb"/>
            <w:noWrap w:val="false"/>
          </w:tcPr>
          <w:p>
            <w:pPr>
              <w:pBdr/>
              <w:spacing/>
              <w:ind/>
              <w:rPr/>
            </w:pPr>
            <w:r/>
            <w:r/>
          </w:p>
        </w:tc>
        <w:tc>
          <w:tcPr>
            <w:tcBorders/>
            <w:tcW w:w="2007" w:type="dxa"/>
            <w:vAlign w:val="center"/>
            <w:textDirection w:val="lrTb"/>
            <w:noWrap w:val="false"/>
          </w:tcPr>
          <w:p>
            <w:pPr>
              <w:pBdr/>
              <w:spacing/>
              <w:ind/>
              <w:rPr/>
            </w:p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58" w:type="dxa"/>
            <w:vAlign w:val="center"/>
            <w:textDirection w:val="lrTb"/>
            <w:noWrap w:val="false"/>
          </w:tcPr>
          <w:p>
            <w:pPr>
              <w:pBdr/>
              <w:spacing/>
              <w:ind/>
              <w:jc w:val="center"/>
              <w:rPr>
                <w:color w:val="000000"/>
              </w:rPr>
            </w:pPr>
            <w:r>
              <w:rPr>
                <w:color w:val="000000"/>
              </w:rPr>
              <w:t xml:space="preserve">Tương đối vuông vắn</w:t>
            </w:r>
            <w:r>
              <w:rPr>
                <w:color w:val="000000"/>
              </w:rPr>
            </w:r>
            <w:r>
              <w:rPr>
                <w:color w:val="000000"/>
              </w:rPr>
            </w:r>
          </w:p>
        </w:tc>
        <w:tc>
          <w:tcPr>
            <w:tcBorders/>
            <w:tcW w:w="2094"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58"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094"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58"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094"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khảo sát trên đất có công trình xây dựng là nhà xây kiểu biệt thự 3, kết cấu bê tông cốt thép, diện tí</w:t>
            </w:r>
            <w:r>
              <w:rPr>
                <w:color w:val="000000"/>
              </w:rPr>
              <w:t xml:space="preserve">ch xây dựng: 172m2, diện tích sàn xây dựng: 516m2, đã hoàn thiện đang sử dụng bình thường. Công trình xây dựng chưa được chứng nhận trên GCN số Đ 445503 do đó theo đề nghị của Ngân hàng/khách hàng tổ thẩm địn không xác định giá trị của công trình xây dựng.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7"/>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phường Nam Hải quận Hải An TP Hải Phòng ✔</w:t>
            </w:r>
            <w:r/>
          </w:p>
        </w:tc>
        <w:tc>
          <w:tcPr>
            <w:tcBorders/>
            <w:tcW w:w="1605" w:type="dxa"/>
            <w:vAlign w:val="center"/>
            <w:textDirection w:val="lrTb"/>
            <w:noWrap w:val="false"/>
          </w:tcPr>
          <w:p>
            <w:pPr>
              <w:pBdr/>
              <w:spacing/>
              <w:ind/>
              <w:jc w:val="center"/>
              <w:rPr/>
            </w:pPr>
            <w:r>
              <w:t xml:space="preserve">Phường Nam Hải, Quận Hải An, TP Hải Phòng</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Hải An, TP Hải Phòng</w:t>
            </w:r>
            <w:r/>
          </w:p>
        </w:tc>
        <w:tc>
          <w:tcPr>
            <w:tcBorders/>
            <w:tcW w:w="1605" w:type="dxa"/>
            <w:vAlign w:val="center"/>
            <w:textDirection w:val="lrTb"/>
            <w:noWrap w:val="false"/>
          </w:tcPr>
          <w:p>
            <w:pPr>
              <w:pBdr/>
              <w:spacing/>
              <w:ind/>
              <w:jc w:val="center"/>
              <w:rPr/>
            </w:pPr>
            <w:r>
              <w:t xml:space="preserve">Phường Hải An, TP Hải Phòng</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w:t>
            </w:r>
            <w:r/>
          </w:p>
        </w:tc>
        <w:tc>
          <w:tcPr>
            <w:tcBorders/>
            <w:tcW w:w="1605" w:type="dxa"/>
            <w:vAlign w:val="center"/>
            <w:textDirection w:val="lrTb"/>
            <w:noWrap w:val="false"/>
          </w:tcPr>
          <w:p>
            <w:pPr>
              <w:pBdr/>
              <w:spacing/>
              <w:ind/>
              <w:jc w:val="center"/>
              <w:rPr/>
            </w:pPr>
            <w:r>
              <w:t xml:space="preserve">Giấy chứng nhận quyền sử dụng đất✔</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Vườn tạp✔</w:t>
            </w:r>
            <w:r/>
          </w:p>
        </w:tc>
        <w:tc>
          <w:tcPr>
            <w:tcBorders/>
            <w:tcW w:w="1605" w:type="dxa"/>
            <w:vAlign w:val="center"/>
            <w:textDirection w:val="lrTb"/>
            <w:noWrap w:val="false"/>
          </w:tcPr>
          <w:p>
            <w:pPr>
              <w:pBdr/>
              <w:spacing/>
              <w:ind/>
              <w:jc w:val="center"/>
              <w:rPr/>
            </w:pPr>
            <w:r>
              <w:t xml:space="preserve">Đất ở, Vườn tạp✔</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640</w:t>
            </w:r>
            <w:r/>
          </w:p>
        </w:tc>
        <w:tc>
          <w:tcPr>
            <w:tcBorders/>
            <w:tcW w:w="1605" w:type="dxa"/>
            <w:vAlign w:val="center"/>
            <w:textDirection w:val="lrTb"/>
            <w:noWrap w:val="false"/>
          </w:tcPr>
          <w:p>
            <w:pPr>
              <w:pBdr/>
              <w:spacing/>
              <w:ind/>
              <w:jc w:val="center"/>
              <w:rPr/>
            </w:pPr>
            <w:r>
              <w:t xml:space="preserve">640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10,7</w:t>
            </w:r>
            <w:r/>
          </w:p>
        </w:tc>
        <w:tc>
          <w:tcPr>
            <w:tcBorders/>
            <w:tcW w:w="1605" w:type="dxa"/>
            <w:vAlign w:val="center"/>
            <w:textDirection w:val="lrTb"/>
            <w:noWrap w:val="false"/>
          </w:tcPr>
          <w:p>
            <w:pPr>
              <w:pBdr/>
              <w:spacing/>
              <w:ind/>
              <w:jc w:val="center"/>
              <w:rPr/>
            </w:pPr>
            <w:r>
              <w:t xml:space="preserve">10,7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42,1✔</w:t>
            </w:r>
            <w:r/>
          </w:p>
        </w:tc>
        <w:tc>
          <w:tcPr>
            <w:tcBorders/>
            <w:tcW w:w="1605" w:type="dxa"/>
            <w:vAlign w:val="center"/>
            <w:textDirection w:val="lrTb"/>
            <w:noWrap w:val="false"/>
          </w:tcPr>
          <w:p>
            <w:pPr>
              <w:pBdr/>
              <w:spacing/>
              <w:ind/>
              <w:jc w:val="center"/>
              <w:rPr/>
            </w:pPr>
            <w:r>
              <w:t xml:space="preserve">42,1</w:t>
            </w: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Nam ✔</w:t>
            </w:r>
            <w:r/>
          </w:p>
        </w:tc>
        <w:tc>
          <w:tcPr>
            <w:tcBorders/>
            <w:tcW w:w="1605" w:type="dxa"/>
            <w:vAlign w:val="center"/>
            <w:textDirection w:val="lrTb"/>
            <w:noWrap w:val="false"/>
          </w:tcPr>
          <w:p>
            <w:pPr>
              <w:pBdr/>
              <w:spacing/>
              <w:ind/>
              <w:jc w:val="center"/>
              <w:rPr/>
            </w:pPr>
            <w:r>
              <w:t xml:space="preserve">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1020"/>
        <w:gridCol w:w="5386"/>
        <w:gridCol w:w="1417"/>
        <w:gridCol w:w="1702"/>
      </w:tblGrid>
      <w:tr>
        <w:trPr>
          <w:cantSplit/>
          <w:tblCellSpacing w:w="0" w:type="dxa"/>
          <w:trHeight w:val="300"/>
          <w:tblHeader/>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417"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702"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1020"/>
        <w:gridCol w:w="5386"/>
        <w:gridCol w:w="1417"/>
        <w:gridCol w:w="1702"/>
      </w:tblGrid>
      <w:tr>
        <w:trPr>
          <w:cantSplit/>
          <w:tblCellSpacing w:w="0" w:type="dxa"/>
          <w:trHeight w:val="300"/>
          <w:tblHeader/>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jc w:val="center"/>
              <w:rPr>
                <w:b/>
                <w:bCs/>
                <w:lang w:eastAsia="ko-KR"/>
              </w:rPr>
            </w:pPr>
            <w:r>
              <w:rPr>
                <w:b/>
                <w:bCs/>
                <w:lang w:eastAsia="ko-KR"/>
              </w:rPr>
              <w:t xml:space="preserve">Nội dung</w:t>
            </w:r>
            <w:r>
              <w:rPr>
                <w:b/>
                <w:bCs/>
                <w:lang w:eastAsia="ko-KR"/>
              </w:rPr>
            </w:r>
            <w:r>
              <w:rPr>
                <w:b/>
                <w:bCs/>
                <w:lang w:eastAsia="ko-KR"/>
              </w:rPr>
            </w:r>
          </w:p>
        </w:tc>
        <w:tc>
          <w:tcPr>
            <w:tcBorders/>
            <w:tcW w:w="1417" w:type="dxa"/>
            <w:vAlign w:val="center"/>
            <w:textDirection w:val="lrTb"/>
            <w:noWrap w:val="false"/>
          </w:tcPr>
          <w:p>
            <w:pPr>
              <w:widowControl w:val="false"/>
              <w:pBdr/>
              <w:spacing w:line="247" w:lineRule="auto"/>
              <w:ind/>
              <w:jc w:val="center"/>
              <w:rPr>
                <w:b/>
                <w:bCs/>
                <w:lang w:eastAsia="ko-KR"/>
              </w:rPr>
            </w:pPr>
            <w:r>
              <w:rPr>
                <w:b/>
                <w:bCs/>
                <w:lang w:eastAsia="ko-KR"/>
              </w:rPr>
            </w:r>
            <w:r>
              <w:rPr>
                <w:b/>
                <w:bCs/>
                <w:lang w:eastAsia="ko-KR"/>
              </w:rPr>
            </w:r>
            <w:r>
              <w:rPr>
                <w:b/>
                <w:bCs/>
                <w:lang w:eastAsia="ko-KR"/>
              </w:rPr>
            </w:r>
          </w:p>
        </w:tc>
        <w:tc>
          <w:tcPr>
            <w:tcBorders/>
            <w:tcW w:w="1702" w:type="dxa"/>
            <w:vAlign w:val="center"/>
            <w:textDirection w:val="lrTb"/>
            <w:noWrap w:val="false"/>
          </w:tcPr>
          <w:p>
            <w:pPr>
              <w:widowControl w:val="false"/>
              <w:pBdr/>
              <w:spacing w:line="247"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sát khu mộ phần hoặc liền kề mộ phần</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sát hoặc liền kề nhà thờ họ</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pPr>
            <w:r>
              <w:t xml:space="preserve">Không</w:t>
            </w: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pPr>
            <w:r>
              <w:t xml:space="preserve">Không</w:t>
            </w: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pPr>
            <w:r>
              <w:t xml:space="preserve">Không</w:t>
            </w: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pPr>
            <w:r>
              <w:t xml:space="preserve">Không</w:t>
            </w: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pPr>
            <w:r>
              <w:t xml:space="preserve">Không</w:t>
            </w: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pPr>
            <w:r>
              <w:t xml:space="preserve">Không</w:t>
            </w: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pPr>
            <w:r>
              <w:t xml:space="preserve">Không</w:t>
            </w: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pPr>
            <w:r>
              <w:t xml:space="preserve">Không</w:t>
            </w: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pPr>
            <w:r>
              <w:t xml:space="preserve">Không</w:t>
            </w: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gần đường sắt&lt;=50m</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pPr>
            <w:r>
              <w:t xml:space="preserve">Không</w:t>
            </w: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pPr>
            <w:r>
              <w:t xml:space="preserve">Không</w:t>
            </w: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pPr>
            <w:r>
              <w:t xml:space="preserve">Không</w:t>
            </w: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47"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386" w:type="dxa"/>
            <w:vAlign w:val="center"/>
            <w:textDirection w:val="lrTb"/>
            <w:noWrap w:val="false"/>
          </w:tcPr>
          <w:p>
            <w:pPr>
              <w:widowControl w:val="false"/>
              <w:pBdr/>
              <w:spacing w:line="247"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47" w:lineRule="auto"/>
              <w:ind w:left="144"/>
              <w:jc w:val="center"/>
              <w:rPr/>
            </w:pPr>
            <w:r>
              <w:t xml:space="preserve">Không</w:t>
            </w:r>
            <w:r/>
          </w:p>
        </w:tc>
        <w:tc>
          <w:tcPr>
            <w:tcBorders/>
            <w:tcW w:w="1702" w:type="dxa"/>
            <w:vAlign w:val="center"/>
            <w:textDirection w:val="lrTb"/>
            <w:noWrap w:val="false"/>
          </w:tcPr>
          <w:p>
            <w:pPr>
              <w:widowControl w:val="false"/>
              <w:pBdr/>
              <w:spacing w:line="247"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highlight w:val="none"/>
          <w:lang w:val="pt-BR"/>
        </w:rPr>
      </w:r>
      <w:r>
        <w:rPr>
          <w:color w:val="000000"/>
        </w:rPr>
        <w:t xml:space="preserve">Tại thời điểm khảo sát trên đất có công trình xây dựng là nhà xây kiểu biệt thự 3, kết cấu bê tông cốt thép, diện tí</w:t>
      </w:r>
      <w:r>
        <w:rPr>
          <w:color w:val="000000"/>
        </w:rPr>
        <w:t xml:space="preserve">ch xây dựng: 172m2, diện tích sàn xây dựng: 516m2, đã hoàn thiện đang sử dụng bình thường. Công trình xây dựng chưa được chứng nhận trên GCN số Đ 445503 do đó theo đề nghị của Ngân hàng/khách hàng tổ thẩm định không xác định giá trị của công trình xây dựng.</w:t>
      </w:r>
      <w:r>
        <w:rPr>
          <w:spacing w:val="-2"/>
          <w:highlight w:val="none"/>
          <w:lang w:val="pt-BR"/>
        </w:rPr>
        <w:t xml:space="preserve"> Tuy nhiên CTXD là một phần không thể tách rời của tài sản. Đề nghị các bên sử dụng kết quả lưu ý!</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color w:val="000000"/>
          <w:highlight w:val="none"/>
        </w:rPr>
      </w:pPr>
      <w:r>
        <w:rPr>
          <w:highlight w:val="none"/>
          <w:lang w:val="nl-NL"/>
        </w:rPr>
        <w:t xml:space="preserve">Tài sản thẩm định có diện tích </w:t>
      </w:r>
      <w:r>
        <w:rPr>
          <w:color w:val="000000"/>
        </w:rPr>
        <w:t xml:space="preserve">640 </w:t>
      </w:r>
      <w:r>
        <w:rPr>
          <w:color w:val="000000"/>
        </w:rPr>
        <w:t xml:space="preserve">m²</w:t>
      </w:r>
      <w:r>
        <w:rPr>
          <w:color w:val="000000"/>
          <w:highlight w:val="none"/>
        </w:rPr>
        <w:t xml:space="preserve"> </w:t>
      </w:r>
      <w:r>
        <w:rPr>
          <w:color w:val="000000"/>
          <w:highlight w:val="none"/>
        </w:rPr>
        <w:t xml:space="preserve">Trong đó </w:t>
      </w:r>
      <w:r>
        <w:rPr>
          <w:color w:val="000000"/>
          <w:highlight w:val="none"/>
        </w:rPr>
        <w:t xml:space="preserve">200 </w:t>
      </w:r>
      <w:r>
        <w:rPr>
          <w:color w:val="000000"/>
        </w:rPr>
        <w:t xml:space="preserve">m²</w:t>
      </w:r>
      <w:r>
        <w:rPr>
          <w:color w:val="000000"/>
          <w:highlight w:val="none"/>
        </w:rPr>
        <w:t xml:space="preserve">: Đất ở</w:t>
      </w:r>
      <w:r>
        <w:rPr>
          <w:color w:val="000000"/>
        </w:rPr>
        <w:t xml:space="preserve"> </w:t>
      </w:r>
      <w:r>
        <w:t xml:space="preserve">440 </w:t>
      </w:r>
      <w:r>
        <w:rPr>
          <w:color w:val="000000"/>
        </w:rPr>
        <w:t xml:space="preserve">m²: Vườn tạp; không phân chia ranh giới rõ ràng </w:t>
      </w:r>
      <w:r>
        <w:rPr>
          <w:color w:val="000000"/>
          <w:lang w:val="undefined"/>
        </w:rPr>
        <w:t xml:space="preserve">cho </w:t>
      </w:r>
      <w:r>
        <w:rPr>
          <w:color w:val="000000"/>
        </w:rPr>
        <w:t xml:space="preserve">từng diện tích đất</w:t>
      </w:r>
      <w:r>
        <w:t xml:space="preserve">. Do đó đảm bảo nguyên tắc sử dụng tốt nhất và hiệu quả nhất, tổ thẩm định lựa chọn thửa đất ở của tài sản là thửa đất có diện tích 200</w:t>
      </w:r>
      <w:r>
        <w:rPr>
          <w:color w:val="000000"/>
        </w:rPr>
        <w:t xml:space="preserve">m²</w:t>
      </w:r>
      <w:r>
        <w:t xml:space="preserve">; mặt tiền rộng 10,7m tiếp giáp đường Hàng Tổng; hình dáng vuông vắn để làm căn cứ xác định giá trị của phần đất ở.</w:t>
      </w:r>
      <w:r>
        <w:rPr>
          <w:color w:val="000000"/>
          <w:highlight w:val="none"/>
        </w:rPr>
      </w:r>
      <w:r>
        <w:rPr>
          <w:color w:val="000000"/>
          <w:highlight w:val="none"/>
        </w:rPr>
      </w:r>
      <w:r>
        <w:rPr>
          <w:spacing w:val="-2"/>
          <w:highlight w:val="none"/>
          <w:lang w:val="pt-BR" w:bidi="pt-BR"/>
        </w:rPr>
      </w:r>
      <w:r>
        <w:rPr>
          <w:spacing w:val="-2"/>
          <w:highlight w:val="none"/>
          <w:lang w:val="pt-BR" w:bidi="pt-BR"/>
        </w:rPr>
      </w:r>
      <w:r>
        <w:rPr>
          <w:spacing w:val="-2"/>
          <w:highlight w:val="none"/>
          <w:lang w:val="pt-BR"/>
        </w:rPr>
      </w:r>
      <w:r>
        <w:rPr>
          <w:color w:val="000000"/>
          <w:highlight w:val="none"/>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ở của tài sản thẩm định</w:t>
      </w:r>
      <w:r>
        <w:rPr>
          <w:b/>
          <w:lang w:val="pt-BR"/>
        </w:rPr>
        <w:t xml:space="preserve">:</w:t>
      </w:r>
      <w:r>
        <w:rPr>
          <w:b/>
          <w:lang w:val="pt-BR"/>
        </w:rPr>
      </w:r>
      <w:r>
        <w:rPr>
          <w:b/>
          <w:lang w:val="pt-BR"/>
        </w:rPr>
      </w:r>
    </w:p>
    <w:p>
      <w:pPr>
        <w:pStyle w:val="1033"/>
        <w:pBdr/>
        <w:spacing w:after="120" w:before="120" w:line="276" w:lineRule="auto"/>
        <w:ind w:firstLine="357" w:left="0"/>
        <w:jc w:val="both"/>
        <w:rPr>
          <w:color w:val="000000"/>
          <w:highlight w:val="none"/>
        </w:rPr>
      </w:pPr>
      <w:r>
        <w:rPr>
          <w:highlight w:val="none"/>
          <w:lang w:val="nl-NL"/>
        </w:rPr>
        <w:t xml:space="preserve">Tài sản thẩm định có diện tích </w:t>
      </w:r>
      <w:r>
        <w:rPr>
          <w:color w:val="000000"/>
        </w:rPr>
        <w:t xml:space="preserve">640 </w:t>
      </w:r>
      <w:r>
        <w:rPr>
          <w:color w:val="000000"/>
        </w:rPr>
        <w:t xml:space="preserve">m²</w:t>
      </w:r>
      <w:r>
        <w:rPr>
          <w:color w:val="000000"/>
          <w:highlight w:val="none"/>
        </w:rPr>
        <w:t xml:space="preserve"> </w:t>
      </w:r>
      <w:r>
        <w:rPr>
          <w:color w:val="000000"/>
          <w:highlight w:val="none"/>
        </w:rPr>
        <w:t xml:space="preserve">Trong đó </w:t>
      </w:r>
      <w:r>
        <w:rPr>
          <w:color w:val="000000"/>
          <w:highlight w:val="none"/>
        </w:rPr>
        <w:t xml:space="preserve">200 </w:t>
      </w:r>
      <w:r>
        <w:rPr>
          <w:color w:val="000000"/>
        </w:rPr>
        <w:t xml:space="preserve">m²</w:t>
      </w:r>
      <w:r>
        <w:rPr>
          <w:color w:val="000000"/>
          <w:highlight w:val="none"/>
        </w:rPr>
        <w:t xml:space="preserve">: Đất ở</w:t>
      </w:r>
      <w:r>
        <w:rPr>
          <w:color w:val="000000"/>
        </w:rPr>
        <w:t xml:space="preserve"> </w:t>
      </w:r>
      <w:r>
        <w:t xml:space="preserve">440 </w:t>
      </w:r>
      <w:r>
        <w:rPr>
          <w:color w:val="000000"/>
        </w:rPr>
        <w:t xml:space="preserve">m²: Vườn tạp; không phân chia ranh giới rõ ràng cho từng diện tích đất</w:t>
      </w:r>
      <w:r>
        <w:t xml:space="preserve">. Do đó đảm bảo nguyên tắc sử dụng tốt nhất và hiệu quả nhất, tổ thẩm định lựa chọn thửa đất ở của tài sản là thửa đất có diện tích 200</w:t>
      </w:r>
      <w:r>
        <w:rPr>
          <w:color w:val="000000"/>
        </w:rPr>
        <w:t xml:space="preserve">m²</w:t>
      </w:r>
      <w:r>
        <w:t xml:space="preserve">; mặt tiền rộng 10,7m tiếp giáp đường Hàng Tổng; hình dáng vuông vắn để làm căn cứ xác định giá trị của phần đất ở.</w:t>
      </w:r>
      <w:r>
        <w:rPr>
          <w:color w:val="000000"/>
          <w:highlight w:val="none"/>
        </w:rPr>
      </w:r>
      <w:r>
        <w:rPr>
          <w:color w:val="000000"/>
          <w:highlight w:val="none"/>
        </w:rPr>
      </w:r>
    </w:p>
    <w:p>
      <w:pPr>
        <w:pStyle w:val="1033"/>
        <w:pBdr/>
        <w:spacing w:after="120" w:before="120" w:line="276" w:lineRule="auto"/>
        <w:ind w:firstLine="357" w:left="0"/>
        <w:jc w:val="both"/>
        <w:rPr>
          <w:highlight w:val="none"/>
          <w:lang w:val="nl-NL"/>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highlight w:val="none"/>
          <w:lang w:val="nl-NL"/>
        </w:rPr>
      </w:r>
      <w:r>
        <w:rPr>
          <w:highlight w:val="none"/>
          <w:lang w:val="nl-NL"/>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81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Hải An, Tỉnh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Hải An, Tỉnh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Hải An, Tỉnh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Hải An, Tỉnh Hải Phòng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https://batdongsan.com.vn/ban-nha-mat-pho-duong-hang-tong-phuong-dang-hai-32/ban-48m2-4-tang-4-ngu-rong-8m-gia-5-28-ty-pr44794171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0369129935</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0369129935</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0383.117.968</w:t>
            </w:r>
            <w:r>
              <w:rPr>
                <w:sz w:val="22"/>
                <w:szCs w:val="22"/>
              </w:rPr>
              <w:br/>
            </w:r>
            <w:r>
              <w:rPr>
                <w:sz w:val="22"/>
                <w:szCs w:val="22"/>
              </w:rPr>
              <w:t xml:space="preserve">(</w:t>
            </w:r>
            <w:r>
              <w:rPr>
                <w:sz w:val="22"/>
                <w:szCs w:val="22"/>
              </w:rPr>
              <w:t xml:space="preserve">Dũng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Đầy đủ 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Đầy đủ 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Đầy đủ 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Đầy đủ pháp lý</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Hải An, TP Hải Phòng, tiếp đường Hàng Tổng, độ rộng đường trước mặt tài sản 7m.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Hải An, TP Hải Phòng, tiếp đường Hàng Tổng, độ rộng đường trước mặt tài sản 7m.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Hải An, TP Hải Phòng, tiếp đường Hàng Tổng, độ rộng đường trước mặt tài sản 7m.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Hải An, TP Hải Phòng, tiếp đường Hàng Tổng, độ rộng đường trước mặt tài sản 7m.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64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Nhà 4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Nhà 4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64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Số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64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sàn xây dựng</w:t>
            </w:r>
            <w:r>
              <w:rPr>
                <w:color w:val="000000" w:themeColor="text1"/>
                <w:sz w:val="22"/>
                <w:szCs w:val="22"/>
              </w:rPr>
              <w:t xml:space="preserve">(m²)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192</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192</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5.760.000.000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Giá trị tài sản trên đất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jc w:val="center"/>
              <w:rPr>
                <w:b/>
                <w:bCs/>
                <w:color w:val="000000" w:themeColor="text1"/>
                <w:sz w:val="22"/>
                <w:szCs w:val="22"/>
                <w14:ligatures w14:val="none"/>
              </w:rPr>
            </w:pPr>
            <w:r>
              <w:rPr>
                <w:b/>
                <w:bCs/>
                <w:color w:val="000000" w:themeColor="text1"/>
                <w:sz w:val="22"/>
                <w:szCs w:val="22"/>
              </w:rPr>
              <w:t xml:space="preserve">1.372.169.030 </w:t>
            </w:r>
            <w:r>
              <w:rPr>
                <w:b/>
                <w:bCs/>
                <w:color w:val="000000" w:themeColor="text1"/>
                <w:sz w:val="22"/>
                <w:szCs w:val="22"/>
                <w14:ligatures w14:val="none"/>
              </w:rPr>
            </w:r>
            <w:r>
              <w:rPr>
                <w:b/>
                <w:bCs/>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jc w:val="center"/>
              <w:rPr>
                <w:b/>
                <w:bCs/>
                <w:color w:val="000000" w:themeColor="text1"/>
                <w:sz w:val="22"/>
                <w:szCs w:val="22"/>
                <w14:ligatures w14:val="none"/>
              </w:rPr>
            </w:pPr>
            <w:r>
              <w:rPr>
                <w:b/>
                <w:bCs/>
                <w:color w:val="000000" w:themeColor="text1"/>
                <w:sz w:val="22"/>
                <w:szCs w:val="22"/>
              </w:rPr>
              <w:t xml:space="preserve">1.358.765.971   </w:t>
            </w:r>
            <w:r>
              <w:rPr>
                <w:b/>
                <w:bCs/>
                <w:color w:val="000000" w:themeColor="text1"/>
                <w:sz w:val="22"/>
                <w:szCs w:val="22"/>
                <w14:ligatures w14:val="none"/>
              </w:rPr>
            </w:r>
            <w:r>
              <w:rPr>
                <w:b/>
                <w:bCs/>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Đơn giá xây dựng theo Quyết định số 425/QĐ-BXD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rPr/>
            </w:p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7.940.793</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7.940.793 </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Tỷ lệ % CLCL</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rPr/>
            </w:p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90%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90%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14:ligatures w14:val="none"/>
              </w:rPr>
            </w:pPr>
            <w:r>
              <w:rPr>
                <w:b/>
                <w:bCs/>
                <w:color w:val="000000" w:themeColor="text1"/>
                <w:sz w:val="22"/>
                <w:szCs w:val="22"/>
              </w:rPr>
              <w:t xml:space="preserve"> </w:t>
            </w:r>
            <w:r>
              <w:rPr>
                <w:b/>
                <w:bCs/>
                <w:color w:val="000000" w:themeColor="text1"/>
                <w:sz w:val="22"/>
                <w:szCs w:val="22"/>
                <w14:ligatures w14:val="none"/>
              </w:rPr>
            </w:r>
            <w:r>
              <w:rPr>
                <w:b/>
                <w:bCs/>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3.577.830.970</w:t>
            </w:r>
            <w:r>
              <w:rPr>
                <w:b/>
                <w:bCs/>
                <w:color w:val="000000" w:themeColor="text1"/>
                <w:sz w:val="22"/>
                <w:szCs w:val="22"/>
                <w14:ligatures w14:val="none"/>
              </w:rPr>
            </w:r>
            <w:r>
              <w:rPr>
                <w:b/>
                <w:bCs/>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3.861.234.029</w:t>
            </w:r>
            <w:r>
              <w:rPr>
                <w:b/>
                <w:bCs/>
                <w:color w:val="000000" w:themeColor="text1"/>
                <w:sz w:val="22"/>
                <w:szCs w:val="22"/>
                <w14:ligatures w14:val="none"/>
              </w:rPr>
            </w:r>
            <w:r>
              <w:rPr>
                <w:b/>
                <w:bCs/>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5.760.000.000</w:t>
            </w:r>
            <w:r>
              <w:rPr>
                <w:b/>
                <w:bCs/>
                <w:color w:val="000000" w:themeColor="text1"/>
                <w:sz w:val="22"/>
                <w:szCs w:val="22"/>
                <w14:ligatures w14:val="none"/>
              </w:rPr>
            </w:r>
            <w:r>
              <w:rPr>
                <w:b/>
                <w:bCs/>
                <w:color w:val="000000" w:themeColor="text1"/>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74.538.145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80.442.376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64.000.000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162"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28"/>
        <w:gridCol w:w="1772"/>
        <w:gridCol w:w="1023"/>
        <w:gridCol w:w="1522"/>
        <w:gridCol w:w="1522"/>
        <w:gridCol w:w="1522"/>
        <w:gridCol w:w="1522"/>
      </w:tblGrid>
      <w:tr>
        <w:trPr>
          <w:trHeight w:val="20"/>
          <w:tblHeader/>
        </w:trPr>
        <w:tc>
          <w:tcPr>
            <w:shd w:val="clear" w:color="000000" w:fill="ffffff"/>
            <w:tcBorders/>
            <w:tcW w:w="828" w:type="dxa"/>
            <w:vAlign w:val="center"/>
            <w:textDirection w:val="lrTb"/>
            <w:noWrap w:val="false"/>
          </w:tcPr>
          <w:p>
            <w:pPr>
              <w:pBdr/>
              <w:spacing w:line="252"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72" w:type="dxa"/>
            <w:vAlign w:val="center"/>
            <w:textDirection w:val="lrTb"/>
            <w:noWrap w:val="false"/>
          </w:tcPr>
          <w:p>
            <w:pPr>
              <w:pBdr/>
              <w:spacing w:line="252"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23" w:type="dxa"/>
            <w:vAlign w:val="center"/>
            <w:textDirection w:val="lrTb"/>
            <w:noWrap w:val="false"/>
          </w:tcPr>
          <w:p>
            <w:pPr>
              <w:pBdr/>
              <w:spacing w:line="252"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val="false"/>
          </w:tcPr>
          <w:p>
            <w:pPr>
              <w:pBdr/>
              <w:spacing w:line="252"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72" w:type="dxa"/>
            <w:vAlign w:val="center"/>
            <w:textDirection w:val="lrTb"/>
            <w:noWrap w:val="false"/>
          </w:tcPr>
          <w:p>
            <w:pPr>
              <w:pBdr/>
              <w:spacing w:line="252"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23" w:type="dxa"/>
            <w:vAlign w:val="center"/>
            <w:textDirection w:val="lrTb"/>
            <w:noWrap w:val="false"/>
          </w:tcPr>
          <w:p>
            <w:pPr>
              <w:pBdr/>
              <w:spacing w:line="252"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0"/>
                <w:szCs w:val="20"/>
              </w:rPr>
            </w:pPr>
            <w:r>
              <w:rPr>
                <w:color w:val="000000" w:themeColor="text1"/>
                <w:sz w:val="22"/>
                <w:szCs w:val="22"/>
              </w:rPr>
              <w:t xml:space="preserve">3.577.830.970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line="252" w:lineRule="auto"/>
              <w:ind/>
              <w:jc w:val="center"/>
              <w:rPr>
                <w:color w:val="000000"/>
                <w:sz w:val="20"/>
                <w:szCs w:val="20"/>
              </w:rPr>
            </w:pPr>
            <w:r>
              <w:rPr>
                <w:color w:val="000000" w:themeColor="text1"/>
                <w:sz w:val="22"/>
                <w:szCs w:val="22"/>
              </w:rPr>
              <w:t xml:space="preserve">3.861.234.029</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line="252" w:lineRule="auto"/>
              <w:ind/>
              <w:jc w:val="center"/>
              <w:rPr>
                <w:color w:val="000000"/>
                <w:sz w:val="20"/>
                <w:szCs w:val="20"/>
              </w:rPr>
            </w:pPr>
            <w:r>
              <w:rPr>
                <w:color w:val="000000" w:themeColor="text1"/>
                <w:sz w:val="22"/>
                <w:szCs w:val="22"/>
              </w:rPr>
              <w:t xml:space="preserve">5.760.000.000</w:t>
            </w:r>
            <w:r>
              <w:rPr>
                <w:color w:val="000000"/>
                <w:sz w:val="20"/>
                <w:szCs w:val="20"/>
              </w:rPr>
            </w:r>
            <w:r>
              <w:rPr>
                <w:color w:val="000000"/>
                <w:sz w:val="20"/>
                <w:szCs w:val="20"/>
              </w:rPr>
            </w:r>
          </w:p>
        </w:tc>
      </w:tr>
      <w:tr>
        <w:trPr>
          <w:trHeight w:val="20"/>
        </w:trPr>
        <w:tc>
          <w:tcPr>
            <w:shd w:val="clear" w:color="000000" w:fill="ffffff"/>
            <w:tcBorders/>
            <w:tcW w:w="828" w:type="dxa"/>
            <w:vAlign w:val="center"/>
            <w:textDirection w:val="lrTb"/>
            <w:noWrap w:val="false"/>
          </w:tcPr>
          <w:p>
            <w:pPr>
              <w:pBdr/>
              <w:spacing w:line="252"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72" w:type="dxa"/>
            <w:vAlign w:val="center"/>
            <w:textDirection w:val="lrTb"/>
            <w:noWrap w:val="false"/>
          </w:tcPr>
          <w:p>
            <w:pPr>
              <w:pBdr/>
              <w:spacing w:line="252"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23" w:type="dxa"/>
            <w:vAlign w:val="center"/>
            <w:textDirection w:val="lrTb"/>
            <w:noWrap/>
          </w:tcPr>
          <w:p>
            <w:pPr>
              <w:pBdr/>
              <w:spacing w:line="252"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74.538.145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80.442.376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64.000.000</w:t>
            </w:r>
            <w:r>
              <w:rPr>
                <w:color w:val="000000"/>
                <w:sz w:val="22"/>
                <w:szCs w:val="22"/>
              </w:rPr>
            </w:r>
            <w:r>
              <w:rPr>
                <w:color w:val="000000"/>
                <w:sz w:val="22"/>
                <w:szCs w:val="22"/>
              </w:rPr>
            </w:r>
          </w:p>
        </w:tc>
      </w:tr>
      <w:tr>
        <w:trPr>
          <w:trHeight w:val="20"/>
        </w:trPr>
        <w:tc>
          <w:tcPr>
            <w:shd w:val="clear" w:color="000000" w:fill="ffffff"/>
            <w:tcBorders/>
            <w:tcW w:w="828" w:type="dxa"/>
            <w:vAlign w:val="center"/>
            <w:textDirection w:val="lrTb"/>
            <w:noWrap w:val="false"/>
          </w:tcPr>
          <w:p>
            <w:pPr>
              <w:pBdr/>
              <w:spacing w:line="252"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72" w:type="dxa"/>
            <w:vAlign w:val="center"/>
            <w:textDirection w:val="lrTb"/>
            <w:noWrap w:val="false"/>
          </w:tcPr>
          <w:p>
            <w:pPr>
              <w:pBdr/>
              <w:spacing w:line="252"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23" w:type="dxa"/>
            <w:vAlign w:val="center"/>
            <w:textDirection w:val="lrTb"/>
            <w:noWrap w:val="false"/>
          </w:tcPr>
          <w:p>
            <w:pPr>
              <w:pBdr/>
              <w:spacing w:line="252"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52"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52"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52"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line="252"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23" w:type="dxa"/>
            <w:vAlign w:val="center"/>
            <w:textDirection w:val="lrTb"/>
            <w:noWrap w:val="false"/>
          </w:tcPr>
          <w:p>
            <w:pPr>
              <w:pBdr/>
              <w:spacing w:line="252"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Đầy đủ pháp lý</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Đầy đủ pháp lý</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Đầy đủ pháp lý</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Đầy đủ pháp lý</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23" w:type="dxa"/>
            <w:vAlign w:val="center"/>
            <w:textDirection w:val="lrTb"/>
            <w:noWrap w:val="false"/>
          </w:tcPr>
          <w:p>
            <w:pPr>
              <w:pBdr/>
              <w:spacing w:line="252"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74.538.145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80.442.376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64.000.000</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line="252"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23" w:type="dxa"/>
            <w:vAlign w:val="center"/>
            <w:textDirection w:val="lrTb"/>
            <w:noWrap w:val="false"/>
          </w:tcPr>
          <w:p>
            <w:pPr>
              <w:pBdr/>
              <w:spacing w:line="252"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23" w:type="dxa"/>
            <w:vAlign w:val="center"/>
            <w:textDirection w:val="lrTb"/>
            <w:noWrap w:val="false"/>
          </w:tcPr>
          <w:p>
            <w:pPr>
              <w:pBdr/>
              <w:spacing w:line="252"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74.538.145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80.442.376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64.000.000</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line="252"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23" w:type="dxa"/>
            <w:vAlign w:val="center"/>
            <w:textDirection w:val="lrTb"/>
            <w:noWrap w:val="false"/>
          </w:tcPr>
          <w:p>
            <w:pPr>
              <w:pBdr/>
              <w:spacing w:line="252"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23" w:type="dxa"/>
            <w:vAlign w:val="center"/>
            <w:textDirection w:val="lrTb"/>
            <w:noWrap w:val="false"/>
          </w:tcPr>
          <w:p>
            <w:pPr>
              <w:pBdr/>
              <w:spacing w:line="252"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74.538.145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80.442.376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64.000.000</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line="252"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23" w:type="dxa"/>
            <w:vAlign w:val="center"/>
            <w:textDirection w:val="lrTb"/>
            <w:noWrap w:val="false"/>
          </w:tcPr>
          <w:p>
            <w:pPr>
              <w:pBdr/>
              <w:spacing w:line="252"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Tài sản tại: Phường Hải An, TP Hải Phòng, tiếp đường Hàng Tổng, độ rộng đường trước mặt tài sản 7m.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Tài sản tại: Phường Hải An, TP Hải Phòng, tiếp đường Hàng Tổng, độ rộng đường trước mặt tài sản 7m.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Tài sản tại: Phường Hải An, TP Hải Phòng, tiếp đường Hàng Tổng, độ rộng đường trước mặt tài sản 7m.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Tài sản tại: Phường Hải An, TP Hải Phòng, tiếp đường Hàng Tổng, độ rộng đường trước mặt tài sản 7m.</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23" w:type="dxa"/>
            <w:vAlign w:val="center"/>
            <w:textDirection w:val="lrTb"/>
            <w:noWrap w:val="false"/>
          </w:tcPr>
          <w:p>
            <w:pPr>
              <w:pBdr/>
              <w:spacing w:line="252"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74.538.145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80.442.376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64.000.000</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line="252"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23" w:type="dxa"/>
            <w:vAlign w:val="center"/>
            <w:textDirection w:val="lrTb"/>
            <w:noWrap w:val="false"/>
          </w:tcPr>
          <w:p>
            <w:pPr>
              <w:pBdr/>
              <w:spacing w:line="252"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23" w:type="dxa"/>
            <w:vAlign w:val="center"/>
            <w:textDirection w:val="lrTb"/>
            <w:noWrap w:val="false"/>
          </w:tcPr>
          <w:p>
            <w:pPr>
              <w:pBdr/>
              <w:spacing w:line="252"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74.538.145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80.442.376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64.000.000</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line="252"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23" w:type="dxa"/>
            <w:vAlign w:val="center"/>
            <w:textDirection w:val="lrTb"/>
            <w:noWrap w:val="false"/>
          </w:tcPr>
          <w:p>
            <w:pPr>
              <w:pBdr/>
              <w:spacing w:line="252"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23" w:type="dxa"/>
            <w:vAlign w:val="center"/>
            <w:textDirection w:val="lrTb"/>
            <w:noWrap w:val="false"/>
          </w:tcPr>
          <w:p>
            <w:pPr>
              <w:pBdr/>
              <w:spacing w:line="252"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74.538.145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80.442.376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64.000.000</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line="252"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23" w:type="dxa"/>
            <w:vAlign w:val="center"/>
            <w:textDirection w:val="lrTb"/>
            <w:noWrap w:val="false"/>
          </w:tcPr>
          <w:p>
            <w:pPr>
              <w:pBdr/>
              <w:spacing w:line="252"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23" w:type="dxa"/>
            <w:vAlign w:val="center"/>
            <w:textDirection w:val="lrTb"/>
            <w:noWrap w:val="false"/>
          </w:tcPr>
          <w:p>
            <w:pPr>
              <w:pBdr/>
              <w:spacing w:line="252"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74.538.145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80.442.376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64.000.000</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line="252"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23" w:type="dxa"/>
            <w:vAlign w:val="center"/>
            <w:textDirection w:val="lrTb"/>
            <w:noWrap w:val="false"/>
          </w:tcPr>
          <w:p>
            <w:pPr>
              <w:pBdr/>
              <w:spacing w:line="252"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640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23" w:type="dxa"/>
            <w:vAlign w:val="center"/>
            <w:textDirection w:val="lrTb"/>
            <w:noWrap w:val="false"/>
          </w:tcPr>
          <w:p>
            <w:pPr>
              <w:pBdr/>
              <w:spacing w:line="252"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-5.963.052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-6.435.390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-3.200.000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68.575.093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74.006.986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60.800.000</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line="252"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23" w:type="dxa"/>
            <w:vAlign w:val="center"/>
            <w:textDirection w:val="lrTb"/>
            <w:noWrap w:val="false"/>
          </w:tcPr>
          <w:p>
            <w:pPr>
              <w:pBdr/>
              <w:spacing w:line="252"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10.7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4.33</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23" w:type="dxa"/>
            <w:vAlign w:val="center"/>
            <w:textDirection w:val="lrTb"/>
            <w:noWrap w:val="false"/>
          </w:tcPr>
          <w:p>
            <w:pPr>
              <w:pBdr/>
              <w:spacing w:line="252"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7.453.815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8.044.238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6.400.000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76.028.908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82.051.224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67.200.000</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line="252"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23" w:type="dxa"/>
            <w:vAlign w:val="center"/>
            <w:textDirection w:val="lrTb"/>
            <w:noWrap w:val="false"/>
          </w:tcPr>
          <w:p>
            <w:pPr>
              <w:pBdr/>
              <w:spacing w:line="252"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23" w:type="dxa"/>
            <w:vAlign w:val="center"/>
            <w:textDirection w:val="lrTb"/>
            <w:noWrap w:val="false"/>
          </w:tcPr>
          <w:p>
            <w:pPr>
              <w:pBdr/>
              <w:spacing w:line="252"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76.028.908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82.051.224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67.200.000</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line="252"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23" w:type="dxa"/>
            <w:vAlign w:val="center"/>
            <w:textDirection w:val="lrTb"/>
            <w:noWrap w:val="false"/>
          </w:tcPr>
          <w:p>
            <w:pPr>
              <w:pBdr/>
              <w:spacing w:line="252"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23" w:type="dxa"/>
            <w:vAlign w:val="center"/>
            <w:textDirection w:val="lrTb"/>
            <w:noWrap w:val="false"/>
          </w:tcPr>
          <w:p>
            <w:pPr>
              <w:pBdr/>
              <w:spacing w:line="252"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76.028.908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82.051.224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themeColor="text1"/>
                <w:sz w:val="22"/>
                <w:szCs w:val="22"/>
              </w:rPr>
              <w:t xml:space="preserve">67.200.000</w:t>
            </w:r>
            <w:r>
              <w:rPr>
                <w:color w:val="000000"/>
                <w:sz w:val="22"/>
                <w:szCs w:val="22"/>
              </w:rPr>
            </w:r>
            <w:r>
              <w:rPr>
                <w:color w:val="000000"/>
                <w:sz w:val="22"/>
                <w:szCs w:val="22"/>
              </w:rPr>
            </w:r>
          </w:p>
        </w:tc>
      </w:tr>
      <w:tr>
        <w:trPr>
          <w:trHeight w:val="20"/>
        </w:trPr>
        <w:tc>
          <w:tcPr>
            <w:shd w:val="clear" w:color="000000" w:fill="ffffff"/>
            <w:tcBorders/>
            <w:tcW w:w="828" w:type="dxa"/>
            <w:vAlign w:val="center"/>
            <w:textDirection w:val="lrTb"/>
            <w:noWrap/>
          </w:tcPr>
          <w:p>
            <w:pPr>
              <w:pBdr/>
              <w:spacing w:line="252"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72" w:type="dxa"/>
            <w:vAlign w:val="center"/>
            <w:textDirection w:val="lrTb"/>
            <w:noWrap/>
          </w:tcPr>
          <w:p>
            <w:pPr>
              <w:pBdr/>
              <w:spacing w:line="252"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23" w:type="dxa"/>
            <w:vAlign w:val="center"/>
            <w:textDirection w:val="lrTb"/>
            <w:noWrap/>
          </w:tcPr>
          <w:p>
            <w:pPr>
              <w:pBdr/>
              <w:spacing w:line="252"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52"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b/>
                <w:bCs/>
                <w:color w:val="000000" w:themeColor="text1"/>
                <w:sz w:val="22"/>
                <w:szCs w:val="22"/>
              </w:rPr>
              <w:t xml:space="preserve">76.028.908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b/>
                <w:bCs/>
                <w:color w:val="000000" w:themeColor="text1"/>
                <w:sz w:val="22"/>
                <w:szCs w:val="22"/>
              </w:rPr>
              <w:t xml:space="preserve">82.051.224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b/>
                <w:bCs/>
                <w:color w:val="000000" w:themeColor="text1"/>
                <w:sz w:val="22"/>
                <w:szCs w:val="22"/>
              </w:rPr>
              <w:t xml:space="preserve">67.200.000</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pPr>
              <w:pBdr/>
              <w:spacing w:line="252"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line="252" w:lineRule="auto"/>
              <w:ind/>
              <w:jc w:val="center"/>
              <w:rPr>
                <w:b/>
                <w:bCs/>
                <w:color w:val="000000"/>
                <w:sz w:val="22"/>
                <w:szCs w:val="22"/>
              </w:rPr>
            </w:pPr>
            <w:r>
              <w:rPr>
                <w:b/>
                <w:bCs/>
                <w:color w:val="000000" w:themeColor="text1"/>
                <w:sz w:val="22"/>
                <w:szCs w:val="22"/>
              </w:rPr>
              <w:t xml:space="preserve">75.093.377</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pPr>
              <w:pBdr/>
              <w:spacing w:line="252"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23" w:type="dxa"/>
            <w:vAlign w:val="center"/>
            <w:textDirection w:val="lrTb"/>
            <w:noWrap w:val="false"/>
          </w:tcPr>
          <w:p>
            <w:pPr>
              <w:pBdr/>
              <w:spacing w:line="252"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9,27%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themeColor="text1"/>
                <w:sz w:val="22"/>
                <w:szCs w:val="22"/>
              </w:rPr>
              <w:t xml:space="preserve">-10,51%</w:t>
            </w:r>
            <w:r>
              <w:rPr>
                <w:color w:val="000000"/>
                <w:sz w:val="22"/>
                <w:szCs w:val="22"/>
              </w:rPr>
            </w:r>
            <w:r>
              <w:rPr>
                <w:color w:val="000000"/>
                <w:sz w:val="22"/>
                <w:szCs w:val="22"/>
              </w:rPr>
            </w:r>
          </w:p>
        </w:tc>
      </w:tr>
      <w:tr>
        <w:trPr>
          <w:trHeight w:val="20"/>
        </w:trPr>
        <w:tc>
          <w:tcPr>
            <w:shd w:val="clear" w:color="000000" w:fill="ffffff"/>
            <w:tcBorders/>
            <w:tcW w:w="828" w:type="dxa"/>
            <w:vAlign w:val="center"/>
            <w:textDirection w:val="lrTb"/>
            <w:noWrap/>
          </w:tcPr>
          <w:p>
            <w:pPr>
              <w:pBdr/>
              <w:spacing w:line="252"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72" w:type="dxa"/>
            <w:vAlign w:val="center"/>
            <w:textDirection w:val="lrTb"/>
            <w:noWrap w:val="false"/>
          </w:tcPr>
          <w:p>
            <w:pPr>
              <w:pBdr/>
              <w:spacing w:line="252"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23" w:type="dxa"/>
            <w:vAlign w:val="center"/>
            <w:textDirection w:val="lrTb"/>
            <w:noWrap/>
          </w:tcPr>
          <w:p>
            <w:pPr>
              <w:pBdr/>
              <w:spacing w:line="252"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52"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pPr>
              <w:pBdr/>
              <w:spacing w:line="252"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13.416.867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14.479.628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52" w:lineRule="auto"/>
              <w:ind/>
              <w:jc w:val="center"/>
              <w:rPr>
                <w:b/>
                <w:bCs/>
                <w:color w:val="000000"/>
                <w:sz w:val="22"/>
                <w:szCs w:val="22"/>
              </w:rPr>
            </w:pPr>
            <w:r>
              <w:rPr>
                <w:color w:val="000000" w:themeColor="text1"/>
                <w:sz w:val="22"/>
                <w:szCs w:val="22"/>
              </w:rPr>
              <w:t xml:space="preserve">9.600.000</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pPr>
              <w:pBdr/>
              <w:spacing w:line="252"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23" w:type="dxa"/>
            <w:vAlign w:val="center"/>
            <w:textDirection w:val="lrTb"/>
            <w:noWrap w:val="false"/>
          </w:tcPr>
          <w:p>
            <w:pPr>
              <w:pBdr/>
              <w:spacing w:line="252"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line="252" w:lineRule="auto"/>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line="252" w:lineRule="auto"/>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828" w:type="dxa"/>
            <w:vAlign w:val="center"/>
            <w:textDirection w:val="lrTb"/>
            <w:noWrap/>
          </w:tcPr>
          <w:p>
            <w:pPr>
              <w:pBdr/>
              <w:spacing w:line="252"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23" w:type="dxa"/>
            <w:vAlign w:val="center"/>
            <w:textDirection w:val="lrTb"/>
            <w:noWrap w:val="false"/>
          </w:tcPr>
          <w:p>
            <w:pPr>
              <w:pBdr/>
              <w:spacing w:line="252"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line="252" w:lineRule="auto"/>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line="252" w:lineRule="auto"/>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828" w:type="dxa"/>
            <w:vAlign w:val="center"/>
            <w:textDirection w:val="lrTb"/>
            <w:noWrap/>
          </w:tcPr>
          <w:p>
            <w:pPr>
              <w:pBdr/>
              <w:spacing w:line="252"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72" w:type="dxa"/>
            <w:vAlign w:val="center"/>
            <w:textDirection w:val="lrTb"/>
            <w:noWrap w:val="false"/>
          </w:tcPr>
          <w:p>
            <w:pPr>
              <w:pBdr/>
              <w:spacing w:line="252"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23" w:type="dxa"/>
            <w:vAlign w:val="center"/>
            <w:textDirection w:val="lrTb"/>
            <w:noWrap/>
          </w:tcPr>
          <w:p>
            <w:pPr>
              <w:pBdr/>
              <w:spacing w:line="252"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52" w:lineRule="auto"/>
              <w:ind/>
              <w:jc w:val="center"/>
              <w:rPr>
                <w:sz w:val="22"/>
                <w:szCs w:val="22"/>
              </w:rPr>
            </w:pPr>
            <w:r>
              <w:rPr>
                <w:color w:val="000000" w:themeColor="text1"/>
                <w:sz w:val="22"/>
                <w:szCs w:val="22"/>
              </w:rPr>
              <w:t xml:space="preserve">1.490.763</w:t>
            </w:r>
            <w:r>
              <w:rPr>
                <w:sz w:val="22"/>
                <w:szCs w:val="22"/>
              </w:rPr>
            </w:r>
            <w:r>
              <w:rPr>
                <w:sz w:val="22"/>
                <w:szCs w:val="22"/>
              </w:rPr>
            </w:r>
          </w:p>
        </w:tc>
        <w:tc>
          <w:tcPr>
            <w:shd w:val="clear" w:color="000000" w:fill="ffffff"/>
            <w:tcBorders/>
            <w:tcW w:w="1522" w:type="dxa"/>
            <w:vAlign w:val="center"/>
            <w:textDirection w:val="lrTb"/>
            <w:noWrap/>
          </w:tcPr>
          <w:p>
            <w:pPr>
              <w:pBdr/>
              <w:spacing w:line="252" w:lineRule="auto"/>
              <w:ind/>
              <w:jc w:val="center"/>
              <w:rPr>
                <w:sz w:val="22"/>
                <w:szCs w:val="22"/>
              </w:rPr>
            </w:pPr>
            <w:r>
              <w:rPr>
                <w:color w:val="000000" w:themeColor="text1"/>
                <w:sz w:val="22"/>
                <w:szCs w:val="22"/>
              </w:rPr>
              <w:t xml:space="preserve">1.608.848</w:t>
            </w:r>
            <w:r>
              <w:rPr>
                <w:sz w:val="22"/>
                <w:szCs w:val="22"/>
              </w:rPr>
            </w:r>
            <w:r>
              <w:rPr>
                <w:sz w:val="22"/>
                <w:szCs w:val="22"/>
              </w:rPr>
            </w:r>
          </w:p>
        </w:tc>
        <w:tc>
          <w:tcPr>
            <w:shd w:val="clear" w:color="000000" w:fill="ffffff"/>
            <w:tcBorders/>
            <w:tcW w:w="1522" w:type="dxa"/>
            <w:vAlign w:val="center"/>
            <w:textDirection w:val="lrTb"/>
            <w:noWrap/>
          </w:tcPr>
          <w:p>
            <w:pPr>
              <w:pBdr/>
              <w:spacing w:line="252" w:lineRule="auto"/>
              <w:ind/>
              <w:jc w:val="center"/>
              <w:rPr>
                <w:sz w:val="22"/>
                <w:szCs w:val="22"/>
              </w:rPr>
            </w:pPr>
            <w:r>
              <w:rPr>
                <w:color w:val="000000" w:themeColor="text1"/>
                <w:sz w:val="22"/>
                <w:szCs w:val="22"/>
              </w:rPr>
              <w:t xml:space="preserve">3.200.000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-10,51</w:t>
      </w:r>
      <w:r>
        <w:t xml:space="preserve">% đến</w:t>
      </w:r>
      <w:r>
        <w:t xml:space="preserve"> </w:t>
      </w:r>
      <w:r>
        <w:t xml:space="preserve"> </w:t>
      </w:r>
      <w:r>
        <w:t xml:space="preserve">9,27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highlight w:val="white"/>
          <w:u w:val="single"/>
        </w:rPr>
      </w:pPr>
      <w:r>
        <w:rPr>
          <w:b/>
          <w:bCs/>
          <w:i/>
          <w:iCs/>
          <w:u w:val="single"/>
        </w:rPr>
        <w:t xml:space="preserve">Về thống nhất m</w:t>
      </w:r>
      <w:r>
        <w:rPr>
          <w:b/>
          <w:bCs/>
          <w:i/>
          <w:iCs/>
          <w:highlight w:val="white"/>
          <w:u w:val="single"/>
        </w:rPr>
        <w:t xml:space="preserve">ức giá </w:t>
      </w:r>
      <w:commentRangeStart w:id="0"/>
      <w:r>
        <w:rPr>
          <w:b/>
          <w:bCs/>
          <w:i/>
          <w:iCs/>
          <w:highlight w:val="white"/>
          <w:u w:val="single"/>
        </w:rPr>
        <w:t xml:space="preserve">chỉ dẫn</w:t>
      </w:r>
      <w:r>
        <w:rPr>
          <w:b/>
          <w:bCs/>
          <w:i/>
          <w:iCs/>
          <w:highlight w:val="white"/>
          <w:u w:val="single"/>
        </w:rPr>
        <w:t xml:space="preserve">:</w:t>
      </w:r>
      <w:r>
        <w:rPr>
          <w:b/>
          <w:bCs/>
          <w:i/>
          <w:iCs/>
          <w:highlight w:val="white"/>
          <w:u w:val="single"/>
        </w:rPr>
      </w:r>
      <w:commentRangeEnd w:id="0"/>
      <w:r>
        <w:commentReference w:id="0"/>
      </w:r>
      <w:r>
        <w:rPr>
          <w:highlight w:val="white"/>
        </w:rPr>
      </w:r>
      <w:r>
        <w:rPr>
          <w:b/>
          <w:bCs/>
          <w:i/>
          <w:iCs/>
          <w:highlight w:val="white"/>
          <w:u w:val="single"/>
        </w:rPr>
      </w:r>
    </w:p>
    <w:p>
      <w:pPr>
        <w:pBdr/>
        <w:spacing w:after="120" w:before="120" w:line="276" w:lineRule="auto"/>
        <w:ind/>
        <w:jc w:val="both"/>
        <w:rPr>
          <w:b/>
          <w:bCs/>
        </w:rPr>
      </w:pPr>
      <w:r>
        <w:t xml:space="preserve">Tổ thẩm định sử dụng mức giá chỉ dẫn là mức giá bình quân  của 03 tài sản so sánh làm mức giá của tài sản thẩm định, tương ứng là</w:t>
      </w:r>
      <w:r>
        <w:t xml:space="preserve">:</w:t>
      </w:r>
      <w:r>
        <w:t xml:space="preserve"> </w:t>
      </w:r>
      <w:r>
        <w:rPr>
          <w:b/>
          <w:bCs/>
          <w:color w:val="000000" w:themeColor="text1"/>
          <w:lang w:val="vi-VN"/>
        </w:rPr>
        <w:t xml:space="preserve">75.000.000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76" w:lineRule="auto"/>
        <w:ind w:hanging="357" w:left="357"/>
        <w:jc w:val="both"/>
        <w:rPr>
          <w:b/>
          <w:bCs/>
        </w:rPr>
      </w:pPr>
      <w:r>
        <w:rPr>
          <w:b/>
          <w:bCs/>
        </w:rPr>
        <w:t xml:space="preserve">Xác định giá trị phần diện tích đất vườn tạp của tài sản thẩm định</w:t>
      </w:r>
      <w:r>
        <w:rPr>
          <w:b/>
          <w:bCs/>
        </w:rPr>
      </w:r>
      <w:r>
        <w:rPr>
          <w:b/>
          <w:bCs/>
        </w:rPr>
      </w:r>
    </w:p>
    <w:p>
      <w:pPr>
        <w:pStyle w:val="1033"/>
        <w:pBdr/>
        <w:tabs>
          <w:tab w:val="left" w:leader="none" w:pos="993"/>
        </w:tabs>
        <w:spacing w:after="120" w:before="120" w:line="276" w:lineRule="auto"/>
        <w:ind w:left="0"/>
        <w:jc w:val="both"/>
        <w:rPr>
          <w:b w:val="0"/>
          <w:bCs w:val="0"/>
          <w:highlight w:val="none"/>
        </w:rPr>
      </w:pPr>
      <w:r>
        <w:rPr>
          <w:lang w:val="pt-BR"/>
        </w:rPr>
        <w:t xml:space="preserve">Phần diện tích đất vườn tạp rộng 440</w:t>
      </w:r>
      <w:r>
        <w:rPr>
          <w:b w:val="0"/>
          <w:bCs w:val="0"/>
        </w:rPr>
        <w:t xml:space="preserve">m² theo GCN số Đ445503 của tài sản thẩm định, tổ thẩm định xác định bằng đơn giá đất theo quy định của UBND thành phố Hải Phòng.</w:t>
      </w:r>
      <w:r>
        <w:rPr>
          <w:b w:val="0"/>
          <w:bCs w:val="0"/>
          <w:highlight w:val="none"/>
        </w:rPr>
      </w:r>
      <w:r>
        <w:rPr>
          <w:b w:val="0"/>
          <w:bCs w:val="0"/>
          <w:highlight w:val="none"/>
        </w:rPr>
      </w:r>
    </w:p>
    <w:p>
      <w:pPr>
        <w:pStyle w:val="1033"/>
        <w:pBdr/>
        <w:tabs>
          <w:tab w:val="left" w:leader="none" w:pos="993"/>
        </w:tabs>
        <w:spacing w:after="120" w:before="120" w:line="276" w:lineRule="auto"/>
        <w:ind w:left="0"/>
        <w:jc w:val="both"/>
        <w:rPr>
          <w:b w:val="0"/>
          <w:bCs w:val="0"/>
          <w:highlight w:val="none"/>
          <w14:ligatures w14:val="none"/>
        </w:rPr>
      </w:pPr>
      <w:r>
        <w:rPr>
          <w:b w:val="0"/>
          <w:bCs w:val="0"/>
        </w:rPr>
        <w:t xml:space="preserve">Căn cứ </w:t>
      </w:r>
      <w:r>
        <w:rPr>
          <w:b w:val="0"/>
          <w:bCs w:val="0"/>
        </w:rPr>
        <w:t xml:space="preserve">Nghị quyết số </w:t>
      </w:r>
      <w:hyperlink r:id="rId19" w:tooltip="https://thuvienphapluat.vn/chinh-sach-phap-luat-moi/vn/ho-tro-phap-luat/chinh-sach-moi/100686/da-co-nghi-quyet-85-nq-hdnd-ve-bang-gia-dat-hai-phong-ap-dung-tu-1-1-2026" w:history="1">
        <w:r>
          <w:rPr>
            <w:b w:val="0"/>
            <w:bCs w:val="0"/>
          </w:rPr>
          <w:t xml:space="preserve">Nghị quyết 85/NQ-HĐND</w:t>
        </w:r>
      </w:hyperlink>
      <w:r>
        <w:rPr>
          <w:b w:val="0"/>
          <w:bCs w:val="0"/>
        </w:rPr>
        <w:t xml:space="preserve"> ngày 11/12/2025 về ban hành Bảng giá đất lần đầu trên địa bàn thành phố</w:t>
      </w:r>
      <w:r>
        <w:rPr>
          <w:b w:val="0"/>
          <w:bCs w:val="0"/>
        </w:rPr>
        <w:t xml:space="preserve"> Hải Phòng, đơn giá đất trồng cây lâu năm trên địa bàn phường Hải An là: 140.000 đồng/m2.</w:t>
      </w:r>
      <w:r>
        <w:rPr>
          <w:b w:val="0"/>
          <w:bCs w:val="0"/>
          <w:highlight w:val="none"/>
          <w14:ligatures w14:val="none"/>
        </w:rPr>
      </w:r>
      <w:r>
        <w:rPr>
          <w:b w:val="0"/>
          <w:bCs w:val="0"/>
          <w:highlight w:val="none"/>
          <w14:ligatures w14:val="none"/>
        </w:rPr>
      </w:r>
    </w:p>
    <w:p>
      <w:pPr>
        <w:pStyle w:val="1033"/>
        <w:pBdr/>
        <w:tabs>
          <w:tab w:val="left" w:leader="none" w:pos="993"/>
        </w:tabs>
        <w:spacing w:after="120" w:before="120" w:line="276" w:lineRule="auto"/>
        <w:ind w:left="0"/>
        <w:jc w:val="both"/>
        <w:rPr>
          <w:b w:val="0"/>
          <w:bCs/>
          <w:i/>
          <w14:ligatures w14:val="none"/>
        </w:rPr>
      </w:pPr>
      <w:r>
        <w:rPr>
          <w:b w:val="0"/>
          <w:bCs w:val="0"/>
          <w:highlight w:val="none"/>
        </w:rPr>
      </w:r>
      <w:r>
        <w:rPr>
          <w:b w:val="0"/>
          <w:bCs w:val="0"/>
          <w:highlight w:val="none"/>
        </w:rPr>
        <w:t xml:space="preserve">Đơn giá đất của </w:t>
      </w:r>
      <w:r>
        <w:rPr>
          <w:lang w:val="pt-BR"/>
        </w:rPr>
        <w:t xml:space="preserve">440</w:t>
      </w:r>
      <w:r>
        <w:rPr>
          <w:b w:val="0"/>
          <w:bCs w:val="0"/>
        </w:rPr>
        <w:t xml:space="preserve">m² đất vườn tạp tại GCN số Đ445503</w:t>
      </w:r>
      <w:r>
        <w:rPr>
          <w:b w:val="0"/>
          <w:bCs w:val="0"/>
          <w:highlight w:val="none"/>
        </w:rPr>
        <w:t xml:space="preserve"> là: </w:t>
      </w:r>
      <w:r>
        <w:rPr>
          <w:b/>
          <w:bCs/>
          <w:i/>
          <w:iCs/>
          <w:color w:val="000000" w:themeColor="text1"/>
          <w:lang w:val="vi-VN"/>
        </w:rPr>
        <w:t xml:space="preserve">140.000</w:t>
      </w:r>
      <w:r>
        <w:rPr>
          <w:b/>
          <w:bCs/>
          <w:i/>
          <w:iCs/>
          <w:color w:val="000000" w:themeColor="text1"/>
        </w:rPr>
        <w:t xml:space="preserve"> </w:t>
      </w:r>
      <w:r>
        <w:rPr>
          <w:b/>
          <w:bCs/>
          <w:i/>
          <w:iCs/>
        </w:rPr>
        <w:t xml:space="preserve">đồng/m².</w:t>
      </w:r>
      <w:r>
        <w:rPr>
          <w:b w:val="0"/>
          <w:bCs w:val="0"/>
          <w:i/>
          <w:iCs/>
          <w14:ligatures w14:val="none"/>
        </w:rPr>
      </w:r>
      <w:r>
        <w:rPr>
          <w:b w:val="0"/>
          <w:bCs w:val="0"/>
          <w:i/>
          <w:iCs/>
          <w14:ligatures w14:val="none"/>
        </w:rPr>
      </w:r>
    </w:p>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619"/>
        <w:gridCol w:w="1701"/>
        <w:gridCol w:w="2089"/>
        <w:gridCol w:w="2164"/>
      </w:tblGrid>
      <w:tr>
        <w:trPr>
          <w:trHeight w:val="20"/>
        </w:trPr>
        <w:tc>
          <w:tcPr>
            <w:shd w:val="clear" w:color="000000" w:fill="ffffff"/>
            <w:tcBorders/>
            <w:tcW w:w="952" w:type="dxa"/>
            <w:vAlign w:val="center"/>
            <w:textDirection w:val="lrTb"/>
            <w:noWrap w:val="false"/>
          </w:tcPr>
          <w:p>
            <w:pPr>
              <w:pBdr/>
              <w:spacing w:after="40" w:before="40" w:line="264" w:lineRule="auto"/>
              <w:ind/>
              <w:jc w:val="center"/>
              <w:rPr>
                <w:b/>
                <w:bCs/>
              </w:rPr>
            </w:pPr>
            <w:r>
              <w:rPr>
                <w:b/>
                <w:bCs/>
              </w:rPr>
              <w:t xml:space="preserve">TT</w:t>
            </w:r>
            <w:r>
              <w:rPr>
                <w:b/>
                <w:bCs/>
              </w:rPr>
            </w:r>
            <w:r>
              <w:rPr>
                <w:b/>
                <w:bCs/>
              </w:rPr>
            </w:r>
          </w:p>
        </w:tc>
        <w:tc>
          <w:tcPr>
            <w:shd w:val="clear" w:color="000000" w:fill="ffffff"/>
            <w:tcBorders/>
            <w:tcW w:w="2619" w:type="dxa"/>
            <w:vAlign w:val="center"/>
            <w:textDirection w:val="lrTb"/>
            <w:noWrap w:val="false"/>
          </w:tcPr>
          <w:p>
            <w:pPr>
              <w:pBdr/>
              <w:spacing w:after="40" w:before="40" w:line="264"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64"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40" w:before="40" w:line="264"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64"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64"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64" w:lineRule="auto"/>
              <w:ind/>
              <w:jc w:val="both"/>
              <w:rPr>
                <w:b/>
                <w:bCs/>
              </w:rPr>
            </w:pPr>
            <w:r>
              <w:rPr>
                <w:b/>
                <w:bCs/>
                <w:color w:val="000000"/>
              </w:rPr>
              <w:t xml:space="preserve">Giá trị quyền trị quyền sử dụng đất tại thửa đất số: 526; tờ bản đồ số 01 có địa chỉ p</w:t>
            </w:r>
            <w:r>
              <w:rPr>
                <w:b/>
                <w:bCs/>
                <w:color w:val="000000"/>
              </w:rPr>
              <w:t xml:space="preserve">hường Nam Hải, quận Hải An, thành phố Hải Phòng </w:t>
            </w:r>
            <w:r>
              <w:rPr>
                <w:b/>
                <w:bCs/>
                <w:i/>
                <w:iCs/>
                <w:color w:val="000000"/>
              </w:rPr>
              <w:t xml:space="preserve">(Nay là phường Hải An, thành phố Hải Phòng)</w:t>
            </w:r>
            <w:r>
              <w:rPr>
                <w:b/>
                <w:bCs/>
                <w:color w:val="000000"/>
              </w:rPr>
              <w:t xml:space="preserve"> theo Giấy chứng nhận Quyền sử dụng đất số Đ 445503, vào sổ cấp GCN Quyền sử dụng đất số: 00203 QSDĐ/ do UBND quận Hải An cấp ngày 21/4/2004 cho ông Nguyễn Văn Bình.</w:t>
            </w:r>
            <w:r>
              <w:rPr>
                <w:b/>
                <w:bCs/>
              </w:rPr>
            </w:r>
            <w:r>
              <w:rPr>
                <w:b/>
                <w:bCs/>
              </w:rPr>
            </w:r>
          </w:p>
        </w:tc>
        <w:tc>
          <w:tcPr>
            <w:shd w:val="clear" w:color="000000" w:fill="ffffff"/>
            <w:tcBorders/>
            <w:tcW w:w="2164" w:type="dxa"/>
            <w:vAlign w:val="center"/>
            <w:textDirection w:val="lrTb"/>
            <w:noWrap w:val="false"/>
          </w:tcPr>
          <w:p>
            <w:pPr>
              <w:pBdr/>
              <w:spacing w:after="40" w:before="40" w:line="264"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64" w:lineRule="auto"/>
              <w:ind/>
              <w:jc w:val="center"/>
              <w:rPr>
                <w:b w:val="0"/>
                <w:bCs w:val="0"/>
              </w:rPr>
            </w:pPr>
            <w:r>
              <w:rPr>
                <w:b w:val="0"/>
                <w:bCs w:val="0"/>
              </w:rPr>
              <w:t xml:space="preserve">1</w:t>
            </w:r>
            <w:r>
              <w:rPr>
                <w:b w:val="0"/>
                <w:bCs w:val="0"/>
              </w:rPr>
            </w:r>
            <w:r>
              <w:rPr>
                <w:b w:val="0"/>
                <w:bCs w:val="0"/>
              </w:rPr>
            </w:r>
          </w:p>
        </w:tc>
        <w:tc>
          <w:tcPr>
            <w:shd w:val="clear" w:color="000000" w:fill="ffffff"/>
            <w:tcBorders/>
            <w:tcW w:w="2619" w:type="dxa"/>
            <w:vAlign w:val="center"/>
            <w:textDirection w:val="lrTb"/>
            <w:noWrap w:val="false"/>
          </w:tcPr>
          <w:p>
            <w:pPr>
              <w:pBdr/>
              <w:spacing w:after="40" w:before="40" w:line="264" w:lineRule="auto"/>
              <w:ind/>
              <w:rPr>
                <w:b w:val="0"/>
                <w:bCs w:val="0"/>
              </w:rPr>
            </w:pPr>
            <w:r>
              <w:rPr>
                <w:b w:val="0"/>
                <w:bCs w:val="0"/>
              </w:rPr>
              <w:t xml:space="preserve">Đất ở </w:t>
            </w:r>
            <w:r>
              <w:rPr>
                <w:b w:val="0"/>
                <w:bCs w:val="0"/>
              </w:rPr>
            </w:r>
            <w:r>
              <w:rPr>
                <w:b w:val="0"/>
                <w:bCs w:val="0"/>
              </w:rPr>
            </w:r>
          </w:p>
        </w:tc>
        <w:tc>
          <w:tcPr>
            <w:tcBorders/>
            <w:tcW w:w="1701" w:type="dxa"/>
            <w:vAlign w:val="center"/>
            <w:textDirection w:val="lrTb"/>
            <w:noWrap/>
          </w:tcPr>
          <w:p>
            <w:pPr>
              <w:pBdr/>
              <w:spacing w:after="40" w:before="40" w:line="264" w:lineRule="auto"/>
              <w:ind/>
              <w:jc w:val="center"/>
              <w:rPr>
                <w:color w:val="000000"/>
              </w:rPr>
            </w:pPr>
            <w:r>
              <w:rPr>
                <w:color w:val="000000" w:themeColor="text1"/>
              </w:rPr>
              <w:t xml:space="preserve">200</w:t>
            </w:r>
            <w:r>
              <w:rPr>
                <w:color w:val="000000"/>
              </w:rPr>
            </w:r>
            <w:r>
              <w:rPr>
                <w:color w:val="000000"/>
              </w:rPr>
            </w:r>
          </w:p>
        </w:tc>
        <w:tc>
          <w:tcPr>
            <w:shd w:val="clear" w:color="000000" w:fill="ffffff"/>
            <w:tcBorders/>
            <w:tcW w:w="2089" w:type="dxa"/>
            <w:vAlign w:val="center"/>
            <w:textDirection w:val="lrTb"/>
            <w:noWrap w:val="false"/>
          </w:tcPr>
          <w:p>
            <w:pPr>
              <w:pBdr/>
              <w:spacing w:after="40" w:before="40" w:line="264" w:lineRule="auto"/>
              <w:ind/>
              <w:jc w:val="center"/>
              <w:rPr/>
            </w:pPr>
            <w:r>
              <w:rPr>
                <w:color w:val="000000" w:themeColor="text1"/>
              </w:rPr>
              <w:t xml:space="preserve">75.000.000</w:t>
            </w:r>
            <w:r/>
          </w:p>
        </w:tc>
        <w:tc>
          <w:tcPr>
            <w:shd w:val="clear" w:color="000000" w:fill="ffffff"/>
            <w:tcBorders/>
            <w:tcW w:w="2164" w:type="dxa"/>
            <w:vAlign w:val="center"/>
            <w:textDirection w:val="lrTb"/>
            <w:noWrap w:val="false"/>
          </w:tcPr>
          <w:p>
            <w:pPr>
              <w:pBdr/>
              <w:spacing w:after="40" w:before="40" w:line="264" w:lineRule="auto"/>
              <w:ind/>
              <w:jc w:val="center"/>
              <w:rPr/>
            </w:pPr>
            <w:r>
              <w:rPr>
                <w:color w:val="000000" w:themeColor="text1"/>
              </w:rPr>
              <w:t xml:space="preserve">15.000.000.000</w:t>
            </w:r>
            <w:r/>
          </w:p>
        </w:tc>
      </w:tr>
      <w:tr>
        <w:trPr>
          <w:trHeight w:val="20"/>
        </w:trPr>
        <w:tc>
          <w:tcPr>
            <w:shd w:val="clear" w:color="000000" w:fill="ffffff"/>
            <w:tcBorders/>
            <w:tcW w:w="952" w:type="dxa"/>
            <w:vAlign w:val="center"/>
            <w:textDirection w:val="lrTb"/>
            <w:noWrap w:val="false"/>
          </w:tcPr>
          <w:p>
            <w:pPr>
              <w:pBdr/>
              <w:spacing w:after="40" w:before="40" w:line="264" w:lineRule="auto"/>
              <w:ind/>
              <w:jc w:val="center"/>
              <w:rPr>
                <w:b w:val="0"/>
                <w:bCs w:val="0"/>
              </w:rPr>
            </w:pPr>
            <w:r>
              <w:rPr>
                <w:b w:val="0"/>
                <w:bCs w:val="0"/>
              </w:rPr>
              <w:t xml:space="preserve">2</w:t>
            </w:r>
            <w:r>
              <w:rPr>
                <w:b w:val="0"/>
                <w:bCs w:val="0"/>
              </w:rPr>
            </w:r>
            <w:r>
              <w:rPr>
                <w:b w:val="0"/>
                <w:bCs w:val="0"/>
              </w:rPr>
            </w:r>
          </w:p>
        </w:tc>
        <w:tc>
          <w:tcPr>
            <w:shd w:val="clear" w:color="000000" w:fill="ffffff"/>
            <w:tcBorders/>
            <w:tcW w:w="2619" w:type="dxa"/>
            <w:vAlign w:val="center"/>
            <w:textDirection w:val="lrTb"/>
            <w:noWrap w:val="false"/>
          </w:tcPr>
          <w:p>
            <w:pPr>
              <w:pBdr/>
              <w:spacing w:after="40" w:before="40" w:line="264" w:lineRule="auto"/>
              <w:ind/>
              <w:rPr>
                <w:b w:val="0"/>
                <w:bCs w:val="0"/>
              </w:rPr>
            </w:pPr>
            <w:r>
              <w:rPr>
                <w:b w:val="0"/>
                <w:bCs w:val="0"/>
              </w:rPr>
              <w:t xml:space="preserve">Đất vườn tạp</w:t>
            </w:r>
            <w:r>
              <w:rPr>
                <w:b w:val="0"/>
                <w:bCs w:val="0"/>
              </w:rPr>
            </w:r>
            <w:r>
              <w:rPr>
                <w:b w:val="0"/>
                <w:bCs w:val="0"/>
              </w:rPr>
            </w:r>
          </w:p>
        </w:tc>
        <w:tc>
          <w:tcPr>
            <w:tcBorders/>
            <w:tcW w:w="1701" w:type="dxa"/>
            <w:vAlign w:val="center"/>
            <w:textDirection w:val="lrTb"/>
            <w:noWrap/>
          </w:tcPr>
          <w:p>
            <w:pPr>
              <w:pBdr/>
              <w:spacing w:after="40" w:before="40" w:line="264" w:lineRule="auto"/>
              <w:ind/>
              <w:jc w:val="center"/>
              <w:rPr>
                <w:color w:val="000000"/>
              </w:rPr>
            </w:pPr>
            <w:r>
              <w:rPr>
                <w:color w:val="000000" w:themeColor="text1"/>
              </w:rPr>
              <w:t xml:space="preserve">440</w:t>
            </w:r>
            <w:r>
              <w:rPr>
                <w:color w:val="000000"/>
              </w:rPr>
            </w:r>
            <w:r>
              <w:rPr>
                <w:color w:val="000000"/>
              </w:rPr>
            </w:r>
          </w:p>
        </w:tc>
        <w:tc>
          <w:tcPr>
            <w:shd w:val="clear" w:color="000000" w:fill="ffffff"/>
            <w:tcBorders/>
            <w:tcW w:w="2089" w:type="dxa"/>
            <w:vAlign w:val="center"/>
            <w:textDirection w:val="lrTb"/>
            <w:noWrap w:val="false"/>
          </w:tcPr>
          <w:p>
            <w:pPr>
              <w:pBdr/>
              <w:spacing w:after="40" w:before="40" w:line="264" w:lineRule="auto"/>
              <w:ind/>
              <w:jc w:val="center"/>
              <w:rPr/>
            </w:pPr>
            <w:r>
              <w:rPr>
                <w:color w:val="000000" w:themeColor="text1"/>
              </w:rPr>
              <w:t xml:space="preserve">140.000</w:t>
            </w:r>
            <w:r/>
          </w:p>
        </w:tc>
        <w:tc>
          <w:tcPr>
            <w:shd w:val="clear" w:color="000000" w:fill="ffffff"/>
            <w:tcBorders/>
            <w:tcW w:w="2164" w:type="dxa"/>
            <w:vAlign w:val="center"/>
            <w:textDirection w:val="lrTb"/>
            <w:noWrap w:val="false"/>
          </w:tcPr>
          <w:p>
            <w:pPr>
              <w:pBdr/>
              <w:spacing w:after="40" w:before="40" w:line="264" w:lineRule="auto"/>
              <w:ind/>
              <w:jc w:val="center"/>
              <w:rPr/>
            </w:pPr>
            <w:r>
              <w:rPr>
                <w:color w:val="000000" w:themeColor="text1"/>
              </w:rPr>
              <w:t xml:space="preserve">61.600.000</w:t>
            </w:r>
            <w:r/>
          </w:p>
        </w:tc>
      </w:tr>
      <w:tr>
        <w:trPr>
          <w:trHeight w:val="20"/>
        </w:trPr>
        <w:tc>
          <w:tcPr>
            <w:gridSpan w:val="4"/>
            <w:tcBorders/>
            <w:tcW w:w="7361" w:type="dxa"/>
            <w:vAlign w:val="center"/>
            <w:textDirection w:val="lrTb"/>
            <w:noWrap/>
          </w:tcPr>
          <w:p>
            <w:pPr>
              <w:pBdr/>
              <w:spacing w:after="40" w:before="40" w:line="264"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64" w:lineRule="auto"/>
              <w:ind/>
              <w:jc w:val="center"/>
              <w:rPr>
                <w:b/>
                <w:bCs/>
                <w:color w:val="000000"/>
              </w:rPr>
            </w:pPr>
            <w:r>
              <w:t xml:space="preserve">15.061.600.000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64"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64" w:lineRule="auto"/>
              <w:ind/>
              <w:jc w:val="center"/>
              <w:rPr>
                <w:b/>
                <w:bCs/>
                <w:color w:val="000000"/>
              </w:rPr>
            </w:pPr>
            <w:r>
              <w:rPr>
                <w:b/>
                <w:bCs/>
                <w:color w:val="000000"/>
              </w:rPr>
              <w:t xml:space="preserve">15.062.000.000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64" w:lineRule="auto"/>
              <w:ind/>
              <w:jc w:val="center"/>
              <w:rPr>
                <w:b/>
                <w:bCs/>
                <w:i/>
                <w:iCs/>
                <w:color w:val="000000"/>
              </w:rPr>
            </w:pPr>
            <w:r>
              <w:rPr>
                <w:b/>
                <w:bCs/>
                <w:i/>
                <w:iCs/>
                <w:color w:val="000000"/>
              </w:rPr>
              <w:t xml:space="preserve">(Bằng chữ: </w:t>
            </w:r>
            <w:r>
              <w:rPr>
                <w:b/>
                <w:bCs/>
                <w:i/>
                <w:iCs/>
                <w:color w:val="000000"/>
              </w:rPr>
              <w:t xml:space="preserve">Mười lăm tỷ, không trăm sáu mươi hai triệu đồng</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42"/>
        </w:numPr>
        <w:pBdr/>
        <w:tabs>
          <w:tab w:val="left" w:leader="none" w:pos="993"/>
        </w:tabs>
        <w:spacing w:after="120" w:before="120" w:line="264" w:lineRule="auto"/>
        <w:ind/>
        <w:jc w:val="both"/>
        <w:rPr>
          <w:spacing w:val="-2"/>
          <w:lang w:val="pt-BR"/>
        </w:rPr>
      </w:pPr>
      <w:r>
        <w:rPr>
          <w:spacing w:val="-2"/>
          <w:highlight w:val="none"/>
          <w:lang w:val="pt-BR"/>
        </w:rPr>
      </w:r>
      <w:r>
        <w:rPr>
          <w:color w:val="000000"/>
        </w:rPr>
        <w:t xml:space="preserve">Tại thời điểm khảo sát trên đất có công trình xây dựng là nhà xây kiểu biệt thự 3, kết cấu bê tông cốt thép, diện tí</w:t>
      </w:r>
      <w:r>
        <w:rPr>
          <w:color w:val="000000"/>
        </w:rPr>
        <w:t xml:space="preserve">ch xây dựng: 172m2, diện tích sàn xây dựng: 516m2, đã hoàn thiện đang sử dụng bình thường. Công trình xây dựng chưa được chứng nhận trên GCN số Đ 445503 do đó theo đề nghị của Ngân hàng/khách hàng tổ thẩm địn không xác định giá trị của công trình xây dựng.</w:t>
      </w:r>
      <w:r>
        <w:rPr>
          <w:spacing w:val="-2"/>
          <w:highlight w:val="none"/>
          <w:lang w:val="pt-BR"/>
        </w:rPr>
        <w:t xml:space="preserve"> Tuy nhiên CTXD là một phần không thể tách rời của tài sản. Đề nghị các bên sử dụng kết quả lưu ý!</w:t>
      </w:r>
      <w:r>
        <w:rPr>
          <w:spacing w:val="-2"/>
          <w:lang w:val="pt-BR"/>
        </w:rPr>
      </w:r>
      <w:r>
        <w:rPr>
          <w:spacing w:val="-2"/>
          <w:lang w:val="pt-BR"/>
        </w:rPr>
      </w:r>
      <w:r>
        <w:rPr>
          <w:spacing w:val="-2"/>
          <w:lang w:val="pt-BR"/>
        </w:rPr>
      </w:r>
    </w:p>
    <w:p>
      <w:pPr>
        <w:pStyle w:val="1033"/>
        <w:numPr>
          <w:ilvl w:val="0"/>
          <w:numId w:val="42"/>
        </w:numPr>
        <w:pBdr/>
        <w:tabs>
          <w:tab w:val="left" w:leader="none" w:pos="993"/>
        </w:tabs>
        <w:spacing w:after="120" w:before="120" w:line="264" w:lineRule="auto"/>
        <w:ind/>
        <w:jc w:val="both"/>
        <w:rPr>
          <w:color w:val="000000"/>
          <w:highlight w:val="none"/>
        </w:rPr>
      </w:pPr>
      <w:r>
        <w:rPr>
          <w:highlight w:val="none"/>
          <w:lang w:val="nl-NL"/>
        </w:rPr>
        <w:t xml:space="preserve">Tài sản thẩm định có diện tích </w:t>
      </w:r>
      <w:r>
        <w:rPr>
          <w:color w:val="000000"/>
        </w:rPr>
        <w:t xml:space="preserve">640 </w:t>
      </w:r>
      <w:r>
        <w:rPr>
          <w:color w:val="000000"/>
        </w:rPr>
        <w:t xml:space="preserve">m²</w:t>
      </w:r>
      <w:r>
        <w:rPr>
          <w:color w:val="000000"/>
          <w:highlight w:val="none"/>
        </w:rPr>
        <w:t xml:space="preserve"> </w:t>
      </w:r>
      <w:r>
        <w:rPr>
          <w:color w:val="000000"/>
          <w:highlight w:val="none"/>
        </w:rPr>
        <w:t xml:space="preserve">Trong đó </w:t>
      </w:r>
      <w:r>
        <w:rPr>
          <w:color w:val="000000"/>
          <w:highlight w:val="none"/>
        </w:rPr>
        <w:t xml:space="preserve">200 </w:t>
      </w:r>
      <w:r>
        <w:rPr>
          <w:color w:val="000000"/>
        </w:rPr>
        <w:t xml:space="preserve">m²</w:t>
      </w:r>
      <w:r>
        <w:rPr>
          <w:color w:val="000000"/>
          <w:highlight w:val="none"/>
        </w:rPr>
        <w:t xml:space="preserve">: Đất ở</w:t>
      </w:r>
      <w:r>
        <w:rPr>
          <w:color w:val="000000"/>
        </w:rPr>
        <w:t xml:space="preserve"> </w:t>
      </w:r>
      <w:r>
        <w:t xml:space="preserve">440 </w:t>
      </w:r>
      <w:r>
        <w:rPr>
          <w:color w:val="000000"/>
        </w:rPr>
        <w:t xml:space="preserve">m²: Vườn tạp; không phân chia ranh giới rõ ràng cho từng diện tích đất</w:t>
      </w:r>
      <w:r>
        <w:t xml:space="preserve">. Do đó đảm bảo nguyên tắc sử dụng tốt nhất và hiệu quả nhất, tổ thẩm định lựa chọn thửa</w:t>
      </w:r>
      <w:r>
        <w:rPr>
          <w:color w:val="000000"/>
          <w:lang w:val="undefined" w:bidi="undefined"/>
        </w:rPr>
      </w:r>
      <w:r>
        <w:t xml:space="preserve"> đất ở của tài sản là thửa đất có diện tích 200</w:t>
      </w:r>
      <w:r>
        <w:rPr>
          <w:color w:val="000000"/>
        </w:rPr>
        <w:t xml:space="preserve">m²</w:t>
      </w:r>
      <w:r>
        <w:t xml:space="preserve">; mặt tiền rộng 10,7m tiếp giáp đường Hàng Tổng; hình dáng vuông vắn để làm căn cứ xác định giá trị của phần đất ở.</w:t>
      </w:r>
      <w:r>
        <w:rPr>
          <w:color w:val="000000"/>
          <w:highlight w:val="none"/>
        </w:rPr>
      </w:r>
      <w:r>
        <w:rPr>
          <w:color w:val="000000"/>
          <w:highlight w:val="none"/>
        </w:rPr>
      </w:r>
      <w:r>
        <w:rPr>
          <w:spacing w:val="-2"/>
          <w:highlight w:val="none"/>
          <w:lang w:val="pt-BR" w:bidi="pt-BR"/>
        </w:rPr>
      </w:r>
      <w:r>
        <w:rPr>
          <w:spacing w:val="-2"/>
          <w:highlight w:val="none"/>
          <w:lang w:val="pt-BR" w:bidi="pt-BR"/>
        </w:rPr>
      </w:r>
      <w:r>
        <w:rPr>
          <w:spacing w:val="-2"/>
          <w:highlight w:val="none"/>
          <w:lang w:val="pt-BR"/>
        </w:rPr>
      </w:r>
      <w:r>
        <w:rPr>
          <w:color w:val="000000"/>
          <w:highlight w:val="none"/>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pt-BR"/>
        </w:rPr>
      </w:pPr>
      <w:r>
        <w:rPr>
          <w:highlight w:val="none"/>
          <w:lang w:val="pt-BR" w:bidi="pt-BR"/>
        </w:rPr>
      </w:r>
      <w:r>
        <w:rPr>
          <w:highlight w:val="none"/>
          <w:lang w:val="pt-BR" w:bidi="pt-BR"/>
        </w:rPr>
      </w:r>
      <w:r>
        <w:rPr>
          <w:highlight w:val="none"/>
          <w:lang w:val="pt-BR"/>
        </w:rPr>
      </w:r>
    </w:p>
    <w:p>
      <w:pPr>
        <w:pStyle w:val="103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275/2026/0678/VFI-CT.24.A</w:t>
      </w:r>
      <w:r>
        <w:rPr>
          <w:color w:val="ff0000"/>
          <w:lang w:val="vi-VN"/>
        </w:rPr>
        <w:t xml:space="preserve"> </w:t>
      </w:r>
      <w:r>
        <w:rPr>
          <w:color w:val="000000" w:themeColor="text1"/>
        </w:rPr>
        <w:t xml:space="preserve">ngày 05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Ind w:w="-147" w:type="dxa"/>
        <w:tblW w:w="5025" w:type="pct"/>
        <w:tblBorders/>
        <w:tblLayout w:type="fixed"/>
        <w:tblLook w:val="01E0" w:firstRow="1" w:lastRow="1" w:firstColumn="1" w:lastColumn="1" w:noHBand="0" w:noVBand="0"/>
      </w:tblPr>
      <w:tblGrid>
        <w:gridCol w:w="4335"/>
        <w:gridCol w:w="5238"/>
      </w:tblGrid>
      <w:tr>
        <w:trPr>
          <w:trHeight w:val="20"/>
        </w:trPr>
        <w:tc>
          <w:tcPr>
            <w:tcBorders/>
            <w:tcW w:w="4335"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38"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335"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38"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335"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238"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275/2026/0678/VFI-CT.24.A</w:t>
      </w:r>
      <w:r>
        <w:rPr>
          <w:i/>
          <w:lang w:val="pt-BR"/>
        </w:rPr>
        <w:t xml:space="preserve"> </w:t>
      </w:r>
      <w:r>
        <w:rPr>
          <w:i/>
          <w:lang w:val="pt-BR"/>
        </w:rPr>
        <w:t xml:space="preserve">ngày 05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275/2026/0678/VFI-CT.24.A</w:t>
      </w:r>
      <w:r>
        <w:rPr>
          <w:i/>
          <w:lang w:val="pt-BR"/>
        </w:rPr>
        <w:t xml:space="preserve"> ngày 0</w:t>
      </w:r>
      <w:r>
        <w:rPr>
          <w:i/>
          <w:lang w:val="pt-BR"/>
        </w:rPr>
        <w:t xml:space="preserve">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824"/>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https://batdongsan.com.vn/ban-nha-mat-pho-duong-hang-tong-phuong-dang-hai-32/ban-48m2-4-tang-4-ngu-rong-8m-gia-5-28-ty-pr44794171</w:t>
            </w:r>
            <w:r>
              <w:rPr>
                <w:color w:val="000000" w:themeColor="text1"/>
                <w:sz w:val="22"/>
                <w:szCs w:val="22"/>
              </w:rPr>
              <w:br/>
              <w:t xml:space="preserve">0369129935</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Đầy đủ pháp lý</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Hải An, Tỉnh Hải Phòng, tiếp giáp đường Hàng Tổng, độ rộng đường trước mặt tài sản 7m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3706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2370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12.3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0369129935</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Hải An, Tỉnh Hải Phòng, tiếp giáp đường Hàng Tổng, độ rộng đường trước mặt tài sản 7m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21615" cy="2435503"/>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5121614" cy="24355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03.28pt;height:191.77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0383.117.968</w:t>
            </w:r>
            <w:r>
              <w:rPr>
                <w:sz w:val="22"/>
                <w:szCs w:val="22"/>
              </w:rPr>
              <w:t xml:space="preserve"> </w:t>
            </w:r>
            <w:r>
              <w:rPr>
                <w:sz w:val="22"/>
                <w:szCs w:val="22"/>
              </w:rPr>
              <w:br/>
              <w:t xml:space="preserve">(Dũng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Hải An, Tỉnh Hải Phòng, tiếp giáp đường Hàng Tổng, độ rộng đường trước mặt tài sản 7m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54990" cy="305086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454990" cy="30508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29.53pt;height:240.23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9887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1988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51.8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 </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Đỗ Thanh Thảo" w:date="2026-05-06T14:57:20Z" w:initials="ĐTT">
    <w:p w14:paraId="00000001" w14:textId="00000001">
      <w:pPr>
        <w:spacing w:line="240" w:after="0" w:lineRule="auto" w:before="0"/>
        <w:ind w:firstLine="0" w:left="0" w:right="0"/>
        <w:jc w:val="left"/>
      </w:pPr>
      <w:r>
        <w:rPr>
          <w:rFonts w:eastAsia="Arial" w:ascii="Arial" w:hAnsi="Arial" w:cs="Arial"/>
          <w:sz w:val="22"/>
        </w:rPr>
        <w:t xml:space="preserve">bs bảng trọng số</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7196EA0" w16cex:dateUtc="2026-05-06T07:57:2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7196EA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35F7960"/>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Đỗ Thanh Thảo">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onehousing.vn/blog/bat-dong-san-hai-phong-nam-2025-troi-day-manh-me-nho-loat-dai-du-an-ty-do-n17t)" TargetMode="External"/><Relationship Id="rId18" Type="http://schemas.openxmlformats.org/officeDocument/2006/relationships/image" Target="media/image3.png"/><Relationship Id="rId19" Type="http://schemas.openxmlformats.org/officeDocument/2006/relationships/hyperlink" Target="https://thuvienphapluat.vn/chinh-sach-phap-luat-moi/vn/ho-tro-phap-luat/chinh-sach-moi/100686/da-co-nghi-quyet-85-nq-hdnd-ve-bang-gia-dat-hai-phong-ap-dung-tu-1-1-2026" TargetMode="External"/><Relationship Id="rId20" Type="http://schemas.openxmlformats.org/officeDocument/2006/relationships/image" Target="media/image4.jpg"/><Relationship Id="rId21" Type="http://schemas.openxmlformats.org/officeDocument/2006/relationships/image" Target="media/image5.jpg"/><Relationship Id="rId22" Type="http://schemas.openxmlformats.org/officeDocument/2006/relationships/image" Target="media/image6.jpg"/><Relationship Id="rId23" Type="http://schemas.openxmlformats.org/officeDocument/2006/relationships/image" Target="media/image7.jpg"/><Relationship Id="rId24" Type="http://schemas.openxmlformats.org/officeDocument/2006/relationships/image" Target="media/image8.jpg"/><Relationship Id="rId25" Type="http://schemas.openxmlformats.org/officeDocument/2006/relationships/image" Target="media/image9.jp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comments" Target="comments.xml" /><Relationship Id="rId31" Type="http://schemas.microsoft.com/office/2011/relationships/commentsExtended" Target="commentsExtended.xml" /><Relationship Id="rId32" Type="http://schemas.microsoft.com/office/2018/08/relationships/commentsExtensible" Target="commentsExtensible.xml" /><Relationship Id="rId33" Type="http://schemas.microsoft.com/office/2016/09/relationships/commentsIds" Target="commentsIds.xml" /><Relationship Id="rId34"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281</cp:revision>
  <dcterms:created xsi:type="dcterms:W3CDTF">2025-09-15T09:58:00Z</dcterms:created>
  <dcterms:modified xsi:type="dcterms:W3CDTF">2026-05-06T08:15:47Z</dcterms:modified>
</cp:coreProperties>
</file>