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header2.xml" ContentType="application/vnd.openxmlformats-officedocument.wordprocessingml.head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29539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29539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275/2026/0754/VFI-CT.36.A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HOÀNG NGUYÊN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b w:val="0"/>
                                <w:bCs w:val="0"/>
                              </w:rPr>
                              <w:t xml:space="preserve">Q</w:t>
                            </w:r>
                            <w:r>
                              <w:rPr>
                                <w:b w:val="0"/>
                                <w:bCs w:val="0"/>
                              </w:rPr>
                              <w:t xml:space="preserve">uyền sử dụng đất tại thửa đất số 99, tờ bản đồ số: 87, có địa chỉ: Tổ dân phố Hưng Long, phường Sa Huỳnh, tỉnh Quảng Ngãi theo Giấy chứng nhận Quyền sử dụng đất, quyền sở hữu tài sản gắn liền với đất số: AA 06934846, số vào sổ cấp GCN: CN 6612 do Chi nhánh</w:t>
                            </w:r>
                            <w:r>
                              <w:rPr>
                                <w:b w:val="0"/>
                                <w:bCs w:val="0"/>
                              </w:rPr>
                              <w:t xml:space="preserve"> văn phòng đất đai khu vực II cấp ngày 17/4/2026, Chủ sử dụng đất là ông Nguyễn Hoàng Nguyên</w:t>
                            </w:r>
                            <w:r>
                              <w:rPr>
                                <w:b w:val="0"/>
                                <w:bCs w:val="0"/>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32.6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275/2026/0754/VFI-CT.36.A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HOÀNG NGUYÊN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b w:val="0"/>
                          <w:bCs w:val="0"/>
                        </w:rPr>
                        <w:t xml:space="preserve">Q</w:t>
                      </w:r>
                      <w:r>
                        <w:rPr>
                          <w:b w:val="0"/>
                          <w:bCs w:val="0"/>
                        </w:rPr>
                        <w:t xml:space="preserve">uyền sử dụng đất tại thửa đất số 99, tờ bản đồ số: 87, có địa chỉ: Tổ dân phố Hưng Long, phường Sa Huỳnh, tỉnh Quảng Ngãi theo Giấy chứng nhận Quyền sử dụng đất, quyền sở hữu tài sản gắn liền với đất số: AA 06934846, số vào sổ cấp GCN: CN 6612 do Chi nhánh</w:t>
                      </w:r>
                      <w:r>
                        <w:rPr>
                          <w:b w:val="0"/>
                          <w:bCs w:val="0"/>
                        </w:rPr>
                        <w:t xml:space="preserve"> văn phòng đất đai khu vực II cấp ngày 17/4/2026, Chủ sử dụng đất là ông Nguyễn Hoàng Nguyên</w:t>
                      </w:r>
                      <w:r>
                        <w:rPr>
                          <w:b w:val="0"/>
                          <w:bCs w:val="0"/>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default" r:id="rId9"/>
          <w:headerReference w:type="even" r:id="rId10"/>
          <w:footerReference w:type="default" r:id="rId11"/>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r>
      <w:r>
        <w:rPr>
          <w:b/>
          <w:sz w:val="28"/>
        </w:rPr>
        <w:t xml:space="preserve">MỤC LỤC</w:t>
      </w:r>
      <w:r>
        <w:rPr>
          <w:sz w:val="28"/>
        </w:rPr>
      </w: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4-22</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41"/>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23 - 25</w:t>
            </w:r>
            <w:r>
              <w:rPr>
                <w:b/>
                <w:bCs/>
              </w:rPr>
            </w:r>
          </w:p>
        </w:tc>
      </w:tr>
      <w:tr>
        <w:trPr/>
        <w:tc>
          <w:tcPr>
            <w:tcBorders/>
            <w:tcMar>
              <w:left w:w="108" w:type="dxa"/>
              <w:right w:w="108" w:type="dxa"/>
            </w:tcMar>
            <w:tcW w:w="7280" w:type="dxa"/>
            <w:vAlign w:val="center"/>
            <w:textDirection w:val="lrTb"/>
            <w:noWrap w:val="false"/>
          </w:tcPr>
          <w:p>
            <w:pPr>
              <w:pStyle w:val="1041"/>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26 - 30</w:t>
            </w:r>
            <w:r>
              <w:rPr>
                <w:b/>
                <w:bCs/>
              </w:rPr>
            </w:r>
            <w:r>
              <w:rPr>
                <w:b/>
                <w:bCs/>
              </w:rPr>
            </w:r>
          </w:p>
        </w:tc>
      </w:tr>
    </w:tbl>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0"/>
        <w:pBdr/>
        <w:tabs>
          <w:tab w:val="left" w:leader="none" w:pos="5103"/>
        </w:tabs>
        <w:spacing w:line="360" w:lineRule="auto"/>
        <w:ind/>
        <w:rPr>
          <w:b/>
          <w:sz w:val="22"/>
          <w:szCs w:val="22"/>
          <w:lang w:val="vi-VN"/>
        </w:rPr>
        <w:sectPr>
          <w:footerReference w:type="first" r:id="rId12"/>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31"/>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40"/>
              <w:pBdr/>
              <w:spacing w:after="60"/>
              <w:ind/>
              <w:rPr>
                <w:color w:val="000000" w:themeColor="text1"/>
                <w:sz w:val="24"/>
                <w:szCs w:val="24"/>
              </w:rPr>
            </w:pPr>
            <w:r>
              <w:rPr>
                <w:rStyle w:val="1039"/>
                <w:rFonts w:ascii="Times New Roman" w:hAnsi="Times New Roman"/>
                <w:color w:val="000000" w:themeColor="text1"/>
                <w:lang w:val="pt-BR"/>
              </w:rPr>
              <w:t xml:space="preserve">Số: </w:t>
            </w:r>
            <w:r>
              <w:rPr>
                <w:rStyle w:val="1039"/>
                <w:rFonts w:ascii="Times New Roman" w:hAnsi="Times New Roman"/>
                <w:color w:val="000000" w:themeColor="text1"/>
                <w:lang w:val="pt-BR"/>
              </w:rPr>
              <w:t xml:space="preserve">275/2026/0754/VFI-CT.36.A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40"/>
              <w:pBdr/>
              <w:spacing w:after="60"/>
              <w:ind w:right="-56"/>
              <w:jc w:val="right"/>
              <w:rPr>
                <w:color w:val="000000" w:themeColor="text1"/>
                <w:sz w:val="24"/>
                <w:szCs w:val="24"/>
                <w:lang w:val="vi-VN"/>
              </w:rPr>
            </w:pPr>
            <w:r>
              <w:rPr>
                <w:rStyle w:val="1039"/>
                <w:rFonts w:ascii="Times New Roman" w:hAnsi="Times New Roman"/>
                <w:i/>
                <w:color w:val="auto"/>
              </w:rPr>
              <w:t xml:space="preserve">TP. Hà Nội</w:t>
            </w:r>
            <w:r>
              <w:rPr>
                <w:rStyle w:val="1039"/>
                <w:rFonts w:ascii="Times New Roman" w:hAnsi="Times New Roman"/>
                <w:i/>
                <w:color w:val="auto"/>
                <w:lang w:val="vi-VN"/>
              </w:rPr>
              <w:t xml:space="preserve">, </w:t>
            </w:r>
            <w:r>
              <w:rPr>
                <w:rStyle w:val="1039"/>
                <w:rFonts w:ascii="Times New Roman" w:hAnsi="Times New Roman"/>
                <w:i/>
                <w:color w:val="000000" w:themeColor="text1"/>
                <w:lang w:val="vi-VN"/>
              </w:rPr>
              <w:t xml:space="preserve">ngày 18 tháng 5 năm 2026</w:t>
            </w:r>
            <w:r>
              <w:rPr>
                <w:color w:val="000000" w:themeColor="text1"/>
                <w:sz w:val="24"/>
                <w:szCs w:val="24"/>
                <w:lang w:val="vi-VN"/>
              </w:rPr>
            </w:r>
            <w:r>
              <w:rPr>
                <w:color w:val="000000" w:themeColor="text1"/>
                <w:sz w:val="24"/>
                <w:szCs w:val="24"/>
                <w:lang w:val="vi-VN"/>
              </w:rPr>
            </w:r>
          </w:p>
        </w:tc>
      </w:tr>
    </w:tbl>
    <w:p>
      <w:pPr>
        <w:pStyle w:val="1040"/>
        <w:pBdr/>
        <w:spacing w:after="120" w:before="200" w:line="288" w:lineRule="auto"/>
        <w:ind/>
        <w:jc w:val="center"/>
        <w:rPr>
          <w:rStyle w:val="1039"/>
          <w:rFonts w:ascii="Times New Roman" w:hAnsi="Times New Roman"/>
          <w:b/>
          <w:bCs/>
          <w:color w:val="auto"/>
          <w:sz w:val="30"/>
          <w:szCs w:val="30"/>
          <w:lang w:val="vi-VN"/>
        </w:rPr>
      </w:pPr>
      <w:r>
        <w:rPr>
          <w:rStyle w:val="1039"/>
          <w:rFonts w:ascii="Times New Roman" w:hAnsi="Times New Roman"/>
          <w:b/>
          <w:bCs/>
          <w:color w:val="auto"/>
          <w:sz w:val="30"/>
          <w:szCs w:val="30"/>
          <w:lang w:val="vi-VN"/>
        </w:rPr>
        <w:t xml:space="preserve">CHỨNG THƯ THẨM ĐỊNH GIÁ</w:t>
      </w:r>
      <w:r>
        <w:rPr>
          <w:rStyle w:val="1039"/>
          <w:rFonts w:ascii="Times New Roman" w:hAnsi="Times New Roman"/>
          <w:b/>
          <w:bCs/>
          <w:color w:val="auto"/>
          <w:sz w:val="30"/>
          <w:szCs w:val="30"/>
          <w:lang w:val="vi-VN"/>
        </w:rPr>
      </w:r>
      <w:r>
        <w:rPr>
          <w:rStyle w:val="1039"/>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HOÀNG NGUYÊN</w:t>
      </w:r>
      <w:r>
        <w:rPr>
          <w:rFonts w:ascii="Times New Roman Bold" w:hAnsi="Times New Roman Bold"/>
          <w:b/>
          <w:lang w:val="pt-BR"/>
        </w:rPr>
      </w:r>
      <w:r>
        <w:rPr>
          <w:rFonts w:ascii="Times New Roman Bold" w:hAnsi="Times New Roman Bold"/>
          <w:b/>
          <w:lang w:val="pt-BR"/>
        </w:rPr>
      </w:r>
    </w:p>
    <w:p>
      <w:pPr>
        <w:pBdr/>
        <w:tabs>
          <w:tab w:val="left" w:leader="none" w:pos="450"/>
          <w:tab w:val="center" w:leader="none" w:pos="4762"/>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w:t>
      </w:r>
      <w:r>
        <w:rPr>
          <w:spacing w:val="-4"/>
          <w:lang w:val="vi-VN"/>
        </w:rPr>
        <w:t xml:space="preserve">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275/2026/0754/VFI-HĐTĐ.36.A</w:t>
      </w:r>
      <w:r>
        <w:rPr>
          <w:spacing w:val="-4"/>
          <w:lang w:val="vi-VN"/>
        </w:rPr>
        <w:t xml:space="preserve"> ký ngày </w:t>
      </w:r>
      <w:r>
        <w:rPr>
          <w:color w:val="000000" w:themeColor="text1"/>
          <w:spacing w:val="-4"/>
        </w:rPr>
        <w:t xml:space="preserve">11 tháng 5 năm 2026</w:t>
      </w:r>
      <w:r>
        <w:rPr>
          <w:spacing w:val="-4"/>
          <w:lang w:val="vi-VN"/>
        </w:rPr>
        <w:t xml:space="preserve"> </w:t>
      </w:r>
      <w:r>
        <w:rPr>
          <w:spacing w:val="-4"/>
          <w:lang w:val="vi-VN"/>
        </w:rPr>
        <w:t xml:space="preserve">giữa ông Nguyễn Hoàng Nguyên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tab/>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275/2026/0754/VFI-BC.36.A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18 tháng 5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ÔNG NGUYỄN HOÀNG NGUYÊN</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077202005586</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b w:val="0"/>
          <w:bCs w:val="0"/>
        </w:rPr>
        <w:t xml:space="preserve">Q</w:t>
      </w:r>
      <w:r>
        <w:rPr>
          <w:b w:val="0"/>
          <w:bCs w:val="0"/>
        </w:rPr>
        <w:t xml:space="preserve">uyền sử dụng đất tại thửa đất số 99, tờ bản đồ số: 87, có địa chỉ: Tổ dân phố Hưng Long, phường Sa Huỳnh, tỉnh Quảng Ngãi theo Giấy chứng nhận Quyền sử dụng đất, quyền sở hữu tài sản gắn liền với đất số: AA 06934846, số vào sổ cấp GCN: CN 6612 do Chi nhánh</w:t>
      </w:r>
      <w:r>
        <w:rPr>
          <w:b w:val="0"/>
          <w:bCs w:val="0"/>
        </w:rPr>
        <w:t xml:space="preserve"> văn phòng đất đai khu vực II cấp ngày 17/4/2026, Chủ sử dụng đất là ông Nguyễn Hoàng Nguyên</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05/2026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05/2026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95"/>
        <w:gridCol w:w="3260"/>
        <w:gridCol w:w="1559"/>
        <w:gridCol w:w="1947"/>
        <w:gridCol w:w="2164"/>
      </w:tblGrid>
      <w:tr>
        <w:trPr>
          <w:trHeight w:val="20"/>
        </w:trPr>
        <w:tc>
          <w:tcPr>
            <w:shd w:val="clear" w:color="000000" w:fill="ffffff"/>
            <w:tcBorders/>
            <w:tcW w:w="595"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3260"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559"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947"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95"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766" w:type="dxa"/>
            <w:vAlign w:val="center"/>
            <w:textDirection w:val="lrTb"/>
            <w:noWrap w:val="false"/>
          </w:tcPr>
          <w:p>
            <w:pPr>
              <w:pBdr/>
              <w:spacing w:after="40" w:before="40" w:line="288" w:lineRule="auto"/>
              <w:ind/>
              <w:jc w:val="both"/>
              <w:rPr>
                <w:b/>
                <w:bCs/>
              </w:rPr>
            </w:pPr>
            <w:r>
              <w:rPr>
                <w:color w:val="000000"/>
              </w:rPr>
            </w:r>
            <w:r>
              <w:rPr>
                <w:b/>
                <w:bCs/>
              </w:rPr>
              <w:t xml:space="preserve">Q</w:t>
            </w:r>
            <w:r>
              <w:rPr>
                <w:b/>
                <w:bCs/>
              </w:rPr>
              <w:t xml:space="preserve">uyền sử dụng đất tại thửa đất số 99, tờ bản đồ số: 87, có địa chỉ: Tổ dân phố Hưng Long, phường Sa Huỳnh, tỉnh Quảng Ngãi theo Giấy chứng nhận Quyền sử dụng đất, quyền sở hữu tài sản gắn liền với đất số: AA 06934846, số vào sổ cấp GCN: CN 6612 do Chi nhánh</w:t>
            </w:r>
            <w:r>
              <w:rPr>
                <w:b/>
                <w:bCs/>
              </w:rPr>
              <w:t xml:space="preserve"> văn phòng đất đai khu vực II cấp ngày 17/4/2026, Chủ sử dụng đất là ông Nguyễn Hoàng Nguyên</w:t>
            </w:r>
            <w:r>
              <w:rPr>
                <w:b/>
                <w:bCs/>
                <w:color w:val="000000"/>
              </w:rPr>
              <w:t xml:space="preserve">.</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372"/>
        </w:trPr>
        <w:tc>
          <w:tcPr>
            <w:shd w:val="clear" w:color="000000" w:fill="ffffff"/>
            <w:tcBorders/>
            <w:tcW w:w="595" w:type="dxa"/>
            <w:vAlign w:val="center"/>
            <w:textDirection w:val="lrTb"/>
            <w:noWrap w:val="false"/>
          </w:tcPr>
          <w:p>
            <w:pPr>
              <w:pBdr/>
              <w:spacing w:after="40" w:before="40" w:line="288" w:lineRule="auto"/>
              <w:ind/>
              <w:jc w:val="center"/>
              <w:rPr>
                <w:b w:val="0"/>
                <w:bCs w:val="0"/>
              </w:rPr>
            </w:pPr>
            <w:r>
              <w:rPr>
                <w:b w:val="0"/>
                <w:bCs w:val="0"/>
              </w:rPr>
              <w:t xml:space="preserve">-</w:t>
            </w:r>
            <w:r>
              <w:rPr>
                <w:b w:val="0"/>
                <w:bCs w:val="0"/>
              </w:rPr>
            </w:r>
          </w:p>
        </w:tc>
        <w:tc>
          <w:tcPr>
            <w:shd w:val="clear" w:color="000000" w:fill="ffffff"/>
            <w:tcBorders/>
            <w:tcW w:w="3260" w:type="dxa"/>
            <w:vAlign w:val="center"/>
            <w:textDirection w:val="lrTb"/>
            <w:noWrap w:val="false"/>
          </w:tcPr>
          <w:p>
            <w:pPr>
              <w:pBdr/>
              <w:tabs>
                <w:tab w:val="center" w:leader="none" w:pos="905"/>
              </w:tabs>
              <w:spacing w:after="40" w:before="40" w:line="288" w:lineRule="auto"/>
              <w:ind/>
              <w:rPr>
                <w:b w:val="0"/>
                <w:bCs w:val="0"/>
              </w:rPr>
            </w:pPr>
            <w:r>
              <w:rPr>
                <w:b w:val="0"/>
                <w:bCs w:val="0"/>
              </w:rPr>
              <w:t xml:space="preserve">Đất ở tại đô thị</w:t>
            </w:r>
            <w:r>
              <w:rPr>
                <w:b w:val="0"/>
                <w:bCs w:val="0"/>
              </w:rPr>
              <w:tab/>
            </w:r>
            <w:r>
              <w:rPr>
                <w:b w:val="0"/>
                <w:bCs w:val="0"/>
              </w:rPr>
            </w:r>
          </w:p>
        </w:tc>
        <w:tc>
          <w:tcPr>
            <w:tcBorders/>
            <w:tcW w:w="1559" w:type="dxa"/>
            <w:vAlign w:val="center"/>
            <w:textDirection w:val="lrTb"/>
            <w:noWrap/>
          </w:tcPr>
          <w:p>
            <w:pPr>
              <w:pBdr/>
              <w:spacing w:after="40" w:before="40" w:line="288" w:lineRule="auto"/>
              <w:ind/>
              <w:jc w:val="center"/>
              <w:rPr>
                <w:color w:val="000000"/>
              </w:rPr>
            </w:pPr>
            <w:r>
              <w:rPr>
                <w:color w:val="000000" w:themeColor="text1"/>
              </w:rPr>
              <w:t xml:space="preserve">100</w:t>
            </w:r>
            <w:r>
              <w:rPr>
                <w:color w:val="000000"/>
              </w:rPr>
            </w:r>
            <w:r>
              <w:rPr>
                <w:color w:val="000000"/>
              </w:rPr>
            </w:r>
          </w:p>
        </w:tc>
        <w:tc>
          <w:tcPr>
            <w:shd w:val="clear" w:color="000000" w:fill="ffffff"/>
            <w:tcBorders/>
            <w:tcW w:w="1947" w:type="dxa"/>
            <w:vAlign w:val="center"/>
            <w:textDirection w:val="lrTb"/>
            <w:noWrap w:val="false"/>
          </w:tcPr>
          <w:p>
            <w:pPr>
              <w:pBdr/>
              <w:spacing w:after="40" w:before="40" w:line="288" w:lineRule="auto"/>
              <w:ind/>
              <w:jc w:val="center"/>
              <w:rPr/>
            </w:pPr>
            <w:r>
              <w:rPr>
                <w:color w:val="000000" w:themeColor="text1"/>
              </w:rPr>
              <w:t xml:space="preserve">8.302.585</w:t>
            </w:r>
            <w:r/>
          </w:p>
        </w:tc>
        <w:tc>
          <w:tcPr>
            <w:shd w:val="clear" w:color="000000" w:fill="ffffff"/>
            <w:tcBorders/>
            <w:tcW w:w="2164" w:type="dxa"/>
            <w:vAlign w:val="center"/>
            <w:textDirection w:val="lrTb"/>
            <w:noWrap w:val="false"/>
          </w:tcPr>
          <w:p>
            <w:pPr>
              <w:pBdr/>
              <w:spacing w:after="40" w:before="40" w:line="288" w:lineRule="auto"/>
              <w:ind/>
              <w:jc w:val="center"/>
              <w:rPr/>
            </w:pPr>
            <w:r>
              <w:rPr>
                <w:color w:val="000000" w:themeColor="text1"/>
              </w:rPr>
              <w:t xml:space="preserve">830.258.500</w:t>
            </w:r>
            <w:r/>
          </w:p>
        </w:tc>
      </w:tr>
      <w:tr>
        <w:trPr>
          <w:trHeight w:val="20"/>
        </w:trPr>
        <w:tc>
          <w:tcPr>
            <w:shd w:val="clear" w:color="000000" w:fill="ffffff"/>
            <w:tcBorders/>
            <w:tcW w:w="595" w:type="dxa"/>
            <w:vAlign w:val="center"/>
            <w:textDirection w:val="lrTb"/>
            <w:noWrap w:val="false"/>
          </w:tcPr>
          <w:p>
            <w:pPr>
              <w:pBdr/>
              <w:spacing w:after="40" w:before="40" w:line="288" w:lineRule="auto"/>
              <w:ind/>
              <w:jc w:val="center"/>
              <w:rPr>
                <w:b w:val="0"/>
                <w:bCs w:val="0"/>
              </w:rPr>
            </w:pPr>
            <w:r>
              <w:rPr>
                <w:b w:val="0"/>
                <w:bCs w:val="0"/>
              </w:rPr>
              <w:t xml:space="preserve">-</w:t>
            </w:r>
            <w:r>
              <w:rPr>
                <w:b w:val="0"/>
                <w:bCs w:val="0"/>
              </w:rPr>
            </w:r>
          </w:p>
        </w:tc>
        <w:tc>
          <w:tcPr>
            <w:shd w:val="clear" w:color="000000" w:fill="ffffff"/>
            <w:tcBorders/>
            <w:tcW w:w="3260" w:type="dxa"/>
            <w:vAlign w:val="center"/>
            <w:textDirection w:val="lrTb"/>
            <w:noWrap w:val="false"/>
          </w:tcPr>
          <w:p>
            <w:pPr>
              <w:pBdr/>
              <w:spacing w:after="40" w:before="40" w:line="288" w:lineRule="auto"/>
              <w:ind/>
              <w:rPr>
                <w:b w:val="0"/>
                <w:bCs w:val="0"/>
              </w:rPr>
            </w:pPr>
            <w:r>
              <w:rPr>
                <w:b w:val="0"/>
                <w:bCs w:val="0"/>
              </w:rPr>
              <w:t xml:space="preserve">Đất trồng cây hàng năm khác nằm ngoài chỉ giới HLGT</w:t>
            </w:r>
            <w:r>
              <w:rPr>
                <w:b w:val="0"/>
                <w:bCs w:val="0"/>
              </w:rPr>
            </w:r>
          </w:p>
        </w:tc>
        <w:tc>
          <w:tcPr>
            <w:tcBorders/>
            <w:tcW w:w="1559" w:type="dxa"/>
            <w:vAlign w:val="center"/>
            <w:textDirection w:val="lrTb"/>
            <w:noWrap/>
          </w:tcPr>
          <w:p>
            <w:pPr>
              <w:pBdr/>
              <w:spacing w:after="40" w:before="40" w:line="288" w:lineRule="auto"/>
              <w:ind/>
              <w:jc w:val="center"/>
              <w:rPr>
                <w:color w:val="000000"/>
              </w:rPr>
            </w:pPr>
            <w:r>
              <w:rPr>
                <w:color w:val="000000" w:themeColor="text1"/>
              </w:rPr>
              <w:t xml:space="preserve">200,6</w:t>
            </w:r>
            <w:r>
              <w:rPr>
                <w:color w:val="000000"/>
              </w:rPr>
            </w:r>
            <w:r>
              <w:rPr>
                <w:color w:val="000000"/>
              </w:rPr>
            </w:r>
          </w:p>
        </w:tc>
        <w:tc>
          <w:tcPr>
            <w:shd w:val="clear" w:color="000000" w:fill="ffffff"/>
            <w:tcBorders/>
            <w:tcW w:w="1947" w:type="dxa"/>
            <w:vAlign w:val="center"/>
            <w:textDirection w:val="lrTb"/>
            <w:noWrap w:val="false"/>
          </w:tcPr>
          <w:p>
            <w:pPr>
              <w:pBdr/>
              <w:spacing w:after="40" w:before="40" w:line="288" w:lineRule="auto"/>
              <w:ind/>
              <w:jc w:val="center"/>
              <w:rPr/>
            </w:pPr>
            <w:r>
              <w:rPr>
                <w:color w:val="000000" w:themeColor="text1"/>
              </w:rPr>
              <w:t xml:space="preserve">4.417.585</w:t>
            </w:r>
            <w:r/>
          </w:p>
        </w:tc>
        <w:tc>
          <w:tcPr>
            <w:shd w:val="clear" w:color="000000" w:fill="ffffff"/>
            <w:tcBorders/>
            <w:tcW w:w="2164" w:type="dxa"/>
            <w:vAlign w:val="center"/>
            <w:textDirection w:val="lrTb"/>
            <w:noWrap w:val="false"/>
          </w:tcPr>
          <w:p>
            <w:pPr>
              <w:pBdr/>
              <w:spacing w:after="40" w:before="40" w:line="288" w:lineRule="auto"/>
              <w:ind/>
              <w:jc w:val="center"/>
              <w:rPr/>
            </w:pPr>
            <w:r>
              <w:rPr>
                <w:color w:val="000000" w:themeColor="text1"/>
              </w:rPr>
              <w:t xml:space="preserve">886.167.551</w:t>
            </w:r>
            <w:r/>
          </w:p>
        </w:tc>
      </w:tr>
      <w:tr>
        <w:trPr>
          <w:trHeight w:val="758"/>
        </w:trPr>
        <w:tc>
          <w:tcPr>
            <w:shd w:val="clear" w:color="000000" w:fill="ffffff"/>
            <w:tcBorders/>
            <w:tcW w:w="595" w:type="dxa"/>
            <w:vAlign w:val="center"/>
            <w:vMerge w:val="restart"/>
            <w:textDirection w:val="lrTb"/>
            <w:noWrap w:val="false"/>
          </w:tcPr>
          <w:p>
            <w:pPr>
              <w:pBdr/>
              <w:spacing w:after="40" w:before="40" w:line="288" w:lineRule="auto"/>
              <w:ind/>
              <w:jc w:val="center"/>
              <w:rPr>
                <w:b w:val="0"/>
                <w:bCs w:val="0"/>
              </w:rPr>
            </w:pPr>
            <w:r>
              <w:rPr>
                <w:b w:val="0"/>
                <w:bCs w:val="0"/>
              </w:rPr>
              <w:t xml:space="preserve">-</w:t>
            </w:r>
            <w:r>
              <w:rPr>
                <w:b w:val="0"/>
                <w:bCs w:val="0"/>
              </w:rPr>
            </w:r>
            <w:r>
              <w:rPr>
                <w:b w:val="0"/>
                <w:bCs w:val="0"/>
              </w:rPr>
            </w:r>
          </w:p>
        </w:tc>
        <w:tc>
          <w:tcPr>
            <w:shd w:val="clear" w:color="000000" w:fill="ffffff"/>
            <w:tcBorders/>
            <w:tcW w:w="3260" w:type="dxa"/>
            <w:vAlign w:val="center"/>
            <w:vMerge w:val="restart"/>
            <w:textDirection w:val="lrTb"/>
            <w:noWrap w:val="false"/>
          </w:tcPr>
          <w:p>
            <w:pPr>
              <w:pBdr/>
              <w:spacing w:after="40" w:before="40" w:line="288" w:lineRule="auto"/>
              <w:ind/>
              <w:rPr>
                <w:b w:val="0"/>
                <w:bCs w:val="0"/>
              </w:rPr>
            </w:pPr>
            <w:r>
              <w:rPr>
                <w:b w:val="0"/>
                <w:bCs w:val="0"/>
              </w:rPr>
              <w:t xml:space="preserve">Đất trồng cây hàng năm khác nằm trong chỉ giới HLGT</w:t>
            </w:r>
            <w:r>
              <w:rPr>
                <w:b w:val="0"/>
                <w:bCs w:val="0"/>
              </w:rPr>
            </w:r>
            <w:r>
              <w:rPr>
                <w:b w:val="0"/>
                <w:bCs w:val="0"/>
              </w:rPr>
            </w:r>
          </w:p>
        </w:tc>
        <w:tc>
          <w:tcPr>
            <w:tcBorders/>
            <w:tcW w:w="1559" w:type="dxa"/>
            <w:vAlign w:val="center"/>
            <w:vMerge w:val="restart"/>
            <w:textDirection w:val="lrTb"/>
            <w:noWrap/>
          </w:tcPr>
          <w:p>
            <w:pPr>
              <w:pBdr/>
              <w:spacing w:after="40" w:before="40" w:line="288" w:lineRule="auto"/>
              <w:ind/>
              <w:jc w:val="center"/>
              <w:rPr>
                <w:color w:val="000000" w:themeColor="text1"/>
              </w:rPr>
            </w:pPr>
            <w:r>
              <w:rPr>
                <w:color w:val="000000" w:themeColor="text1"/>
              </w:rPr>
              <w:t xml:space="preserve">133,4</w:t>
            </w:r>
            <w:r>
              <w:rPr>
                <w:color w:val="000000" w:themeColor="text1"/>
              </w:rPr>
            </w:r>
            <w:r>
              <w:rPr>
                <w:color w:val="000000" w:themeColor="text1"/>
              </w:rPr>
            </w:r>
          </w:p>
        </w:tc>
        <w:tc>
          <w:tcPr>
            <w:shd w:val="clear" w:color="000000" w:fill="ffffff"/>
            <w:tcBorders/>
            <w:tcW w:w="1947" w:type="dxa"/>
            <w:vAlign w:val="center"/>
            <w:vMerge w:val="restart"/>
            <w:textDirection w:val="lrTb"/>
            <w:noWrap w:val="false"/>
          </w:tcPr>
          <w:p>
            <w:pPr>
              <w:pBdr/>
              <w:spacing w:after="40" w:before="40" w:line="288" w:lineRule="auto"/>
              <w:ind/>
              <w:jc w:val="center"/>
              <w:rPr>
                <w:color w:val="000000" w:themeColor="text1"/>
              </w:rPr>
            </w:pPr>
            <w:r>
              <w:rPr>
                <w:color w:val="000000" w:themeColor="text1"/>
              </w:rPr>
              <w:t xml:space="preserve">75.000</w:t>
            </w:r>
            <w:r>
              <w:rPr>
                <w:color w:val="000000" w:themeColor="text1"/>
              </w:rPr>
            </w:r>
            <w:r>
              <w:rPr>
                <w:color w:val="000000" w:themeColor="text1"/>
              </w:rPr>
            </w:r>
          </w:p>
        </w:tc>
        <w:tc>
          <w:tcPr>
            <w:shd w:val="clear" w:color="000000" w:fill="ffffff"/>
            <w:tcBorders/>
            <w:tcW w:w="2164" w:type="dxa"/>
            <w:vAlign w:val="center"/>
            <w:vMerge w:val="restart"/>
            <w:textDirection w:val="lrTb"/>
            <w:noWrap w:val="false"/>
          </w:tcPr>
          <w:p>
            <w:pPr>
              <w:pBdr/>
              <w:spacing w:after="40" w:before="40" w:line="288" w:lineRule="auto"/>
              <w:ind/>
              <w:jc w:val="center"/>
              <w:rPr>
                <w:color w:val="000000" w:themeColor="text1"/>
              </w:rPr>
            </w:pPr>
            <w:r>
              <w:rPr>
                <w:color w:val="000000" w:themeColor="text1"/>
              </w:rPr>
              <w:t xml:space="preserve">10.005.000</w:t>
            </w:r>
            <w:r>
              <w:rPr>
                <w:color w:val="000000" w:themeColor="text1"/>
              </w:rPr>
            </w:r>
            <w:r>
              <w:rPr>
                <w:color w:val="000000" w:themeColor="text1"/>
              </w:rPr>
            </w:r>
          </w:p>
        </w:tc>
      </w:tr>
      <w:tr>
        <w:trPr>
          <w:trHeight w:val="20"/>
        </w:trPr>
        <w:tc>
          <w:tcPr>
            <w:gridSpan w:val="4"/>
            <w:tcBorders/>
            <w:tcW w:w="7361"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t xml:space="preserve">1.726.431.051</w:t>
            </w:r>
            <w:r>
              <w:rPr>
                <w:b/>
                <w:bCs/>
                <w:color w:val="000000"/>
              </w:rPr>
            </w:r>
            <w:r>
              <w:rPr>
                <w:b/>
                <w:bCs/>
                <w:color w:val="000000"/>
              </w:rPr>
            </w:r>
          </w:p>
        </w:tc>
      </w:tr>
      <w:tr>
        <w:trPr>
          <w:trHeight w:val="20"/>
        </w:trPr>
        <w:tc>
          <w:tcPr>
            <w:gridSpan w:val="4"/>
            <w:tcBorders/>
            <w:tcW w:w="7361"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rPr>
                <w:b/>
                <w:bCs/>
                <w:color w:val="000000"/>
              </w:rPr>
              <w:t xml:space="preserve">1.726.000.000</w:t>
            </w:r>
            <w:r>
              <w:rPr>
                <w:b/>
                <w:bCs/>
                <w:color w:val="000000"/>
              </w:rPr>
            </w:r>
            <w:r>
              <w:rPr>
                <w:b/>
                <w:bCs/>
                <w:color w:val="000000"/>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Một tỷ bảy trăm hai mươi sáu triệu đồng </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bCs/>
          <w:spacing w:val="-4"/>
          <w:lang w:val="pt-BR"/>
        </w:rPr>
      </w:pPr>
      <w:r>
        <w:rPr>
          <w:highlight w:val="white"/>
          <w:lang w:val="pt-BR"/>
        </w:rPr>
        <w:t xml:space="preserve">- </w:t>
      </w:r>
      <w:r>
        <w:rPr>
          <w:highlight w:val="white"/>
          <w:lang w:val="pt-BR"/>
        </w:rPr>
        <w:t xml:space="preserve">Chi tiết như Báo cáo kèm t</w:t>
      </w:r>
      <w:r>
        <w:rPr>
          <w:highlight w:val="white"/>
          <w:lang w:val="pt-BR"/>
        </w:rPr>
        <w:t xml:space="preserve">heo.</w:t>
      </w:r>
      <w:r>
        <w:rPr>
          <w:rFonts w:eastAsia="Calibri"/>
          <w:b/>
          <w:spacing w:val="-4"/>
          <w:lang w:val="pt-BR"/>
        </w:rPr>
      </w:r>
      <w:r>
        <w:rPr>
          <w:lang w:val="pt-BR"/>
        </w:rPr>
      </w:r>
    </w:p>
    <w:p>
      <w:pPr>
        <w:pBdr/>
        <w:spacing w:after="120" w:before="120" w:line="312" w:lineRule="auto"/>
        <w:ind w:right="0" w:firstLine="0" w:left="0"/>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7" w:tooltip="mailto:ilotus.contact@gmail.com" w:history="1">
              <w:r>
                <w:rPr>
                  <w:rStyle w:val="1031"/>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40"/>
              <w:pBdr/>
              <w:spacing w:after="60"/>
              <w:ind/>
              <w:rPr>
                <w:color w:val="000000" w:themeColor="text1"/>
                <w:sz w:val="24"/>
                <w:szCs w:val="24"/>
              </w:rPr>
            </w:pPr>
            <w:r>
              <w:rPr>
                <w:rStyle w:val="1039"/>
                <w:rFonts w:ascii="Times New Roman" w:hAnsi="Times New Roman"/>
                <w:color w:val="000000" w:themeColor="text1"/>
                <w:lang w:val="pt-BR"/>
              </w:rPr>
              <w:t xml:space="preserve">Số: </w:t>
            </w:r>
            <w:r>
              <w:rPr>
                <w:rStyle w:val="1039"/>
                <w:rFonts w:ascii="Times New Roman" w:hAnsi="Times New Roman"/>
                <w:color w:val="000000" w:themeColor="text1"/>
                <w:lang w:val="pt-BR"/>
              </w:rPr>
              <w:t xml:space="preserve">275/2026/0754/VFI-BC.36.A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1040"/>
              <w:pBdr/>
              <w:spacing w:after="60"/>
              <w:ind w:right="-56"/>
              <w:jc w:val="right"/>
              <w:rPr>
                <w:color w:val="000000" w:themeColor="text1"/>
                <w:sz w:val="24"/>
                <w:szCs w:val="24"/>
                <w:lang w:val="vi-VN"/>
              </w:rPr>
            </w:pPr>
            <w:r>
              <w:rPr>
                <w:rStyle w:val="1039"/>
                <w:rFonts w:ascii="Times New Roman" w:hAnsi="Times New Roman"/>
                <w:i/>
                <w:color w:val="auto"/>
              </w:rPr>
              <w:t xml:space="preserve">TP. Hà Nội</w:t>
            </w:r>
            <w:r>
              <w:rPr>
                <w:rStyle w:val="1039"/>
                <w:rFonts w:ascii="Times New Roman" w:hAnsi="Times New Roman"/>
                <w:i/>
                <w:color w:val="auto"/>
                <w:lang w:val="vi-VN"/>
              </w:rPr>
              <w:t xml:space="preserve">, </w:t>
            </w:r>
            <w:r>
              <w:rPr>
                <w:rStyle w:val="1039"/>
                <w:rFonts w:ascii="Times New Roman" w:hAnsi="Times New Roman"/>
                <w:i/>
                <w:color w:val="000000" w:themeColor="text1"/>
                <w:lang w:val="vi-VN"/>
              </w:rPr>
              <w:t xml:space="preserve">ngày 18 tháng 5 năm 2026</w:t>
            </w:r>
            <w:r>
              <w:rPr>
                <w:color w:val="000000" w:themeColor="text1"/>
                <w:sz w:val="24"/>
                <w:szCs w:val="24"/>
                <w:lang w:val="vi-VN"/>
              </w:rPr>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40"/>
              <w:pBdr/>
              <w:spacing w:after="60"/>
              <w:ind/>
              <w:rPr>
                <w:rStyle w:val="1039"/>
                <w:rFonts w:ascii="Times New Roman" w:hAnsi="Times New Roman"/>
                <w:color w:val="000000" w:themeColor="text1"/>
                <w:lang w:val="pt-BR"/>
              </w:rPr>
            </w:pPr>
            <w:r>
              <w:rPr>
                <w:rStyle w:val="1039"/>
                <w:rFonts w:ascii="Times New Roman" w:hAnsi="Times New Roman"/>
                <w:color w:val="000000" w:themeColor="text1"/>
                <w:lang w:val="pt-BR"/>
              </w:rPr>
            </w:r>
            <w:r>
              <w:rPr>
                <w:rStyle w:val="1039"/>
                <w:rFonts w:ascii="Times New Roman" w:hAnsi="Times New Roman"/>
                <w:color w:val="000000" w:themeColor="text1"/>
                <w:lang w:val="pt-BR"/>
              </w:rPr>
            </w:r>
            <w:r>
              <w:rPr>
                <w:rStyle w:val="1039"/>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1040"/>
              <w:pBdr/>
              <w:spacing w:after="60"/>
              <w:ind w:right="-56"/>
              <w:rPr>
                <w:rStyle w:val="1039"/>
                <w:rFonts w:ascii="Times New Roman" w:hAnsi="Times New Roman"/>
                <w:i/>
                <w:color w:val="auto"/>
              </w:rPr>
            </w:pPr>
            <w:r>
              <w:rPr>
                <w:rFonts w:ascii="Times New Roman" w:hAnsi="Times New Roman"/>
                <w:i/>
                <w:color w:val="auto"/>
              </w:rPr>
            </w:r>
            <w:r>
              <w:rPr>
                <w:rStyle w:val="1039"/>
                <w:rFonts w:ascii="Times New Roman" w:hAnsi="Times New Roman"/>
                <w:i/>
                <w:color w:val="auto"/>
              </w:rPr>
            </w:r>
            <w:r>
              <w:rPr>
                <w:rStyle w:val="1039"/>
                <w:rFonts w:ascii="Times New Roman" w:hAnsi="Times New Roman"/>
                <w:i/>
                <w:color w:val="auto"/>
              </w:rPr>
            </w:r>
          </w:p>
        </w:tc>
      </w:tr>
    </w:tbl>
    <w:p>
      <w:pPr>
        <w:pStyle w:val="1040"/>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20"/>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275/2026/0754/VFI-CT.36.A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18 tháng 5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20"/>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41"/>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4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t xml:space="preserve">ÔNG NGUYỄN HOÀNG NGUYÊN</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CCCD:</w:t>
            </w:r>
            <w:r>
              <w:rPr>
                <w:bCs/>
                <w:lang w:val="pt-BR"/>
              </w:rPr>
            </w:r>
            <w:r>
              <w:rPr>
                <w:bCs/>
                <w:lang w:val="pt-BR"/>
              </w:rPr>
            </w:r>
          </w:p>
        </w:tc>
        <w:tc>
          <w:tcPr>
            <w:tcBorders/>
            <w:tcW w:w="284" w:type="dxa"/>
            <w:vAlign w:val="center"/>
            <w:textDirection w:val="lrTb"/>
            <w:noWrap w:val="false"/>
          </w:tcPr>
          <w:p>
            <w:pPr>
              <w:pStyle w:val="104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077202005586</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4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88" w:lineRule="auto"/>
              <w:ind/>
              <w:jc w:val="both"/>
              <w:rPr>
                <w:b w:val="0"/>
                <w:bCs w:val="0"/>
              </w:rPr>
            </w:pPr>
            <w:r>
              <w:rPr>
                <w:color w:val="000000"/>
              </w:rPr>
            </w:r>
            <w:r>
              <w:rPr>
                <w:b w:val="0"/>
                <w:bCs w:val="0"/>
              </w:rPr>
              <w:t xml:space="preserve">Q</w:t>
            </w:r>
            <w:r>
              <w:rPr>
                <w:b w:val="0"/>
                <w:bCs w:val="0"/>
              </w:rPr>
              <w:t xml:space="preserve">uyền sử dụng đất tại thửa đất số 99, tờ bản đồ số: 87, có địa chỉ: Tổ dân phố Hưng Long, phường Sa Huỳnh, tỉnh Quảng Ngãi theo Giấy chứng nhận Quyền sử dụng đất, quyền sở hữu tài sản gắn liền với đất số: AA 06934846, số vào sổ cấp GCN: CN 6612 do Chi nhánh</w:t>
            </w:r>
            <w:r>
              <w:rPr>
                <w:b w:val="0"/>
                <w:bCs w:val="0"/>
              </w:rPr>
              <w:t xml:space="preserve"> văn phòng đất đai khu vực II cấp ngày 17/4/2026, Chủ sử dụng đất là ông Nguyễn Hoàng Nguyên.</w:t>
            </w:r>
            <w:r>
              <w:rPr>
                <w:b w:val="0"/>
                <w:bCs w:val="0"/>
              </w:rPr>
            </w:r>
            <w:r>
              <w:rPr>
                <w:b w:val="0"/>
                <w:bCs w:val="0"/>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4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4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4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05/2026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4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Sa Huỳnh, tỉnh Quảng Ngãi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4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21"/>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14.613555555556, 109.05516666667</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41"/>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2581"/>
              </w:tabs>
              <w:spacing w:after="60" w:before="60" w:line="276" w:lineRule="auto"/>
              <w:ind/>
              <w:jc w:val="both"/>
              <w:rPr>
                <w:lang w:val="pt-BR"/>
              </w:rPr>
            </w:pPr>
            <w:r>
              <w:rPr>
                <w:lang w:val="pt-BR"/>
              </w:rPr>
            </w:r>
            <w:r>
              <w:rPr>
                <w:lang w:val="pt-BR"/>
              </w:rPr>
              <w:t xml:space="preserve">18/5/2026.</w:t>
            </w:r>
            <w:r>
              <w:rPr>
                <w:lang w:val="pt-BR"/>
              </w:rPr>
              <w:tab/>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41"/>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41"/>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41"/>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41"/>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41"/>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41"/>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41"/>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41"/>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41"/>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41"/>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41"/>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41"/>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41"/>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41"/>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41"/>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41"/>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41"/>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41"/>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41"/>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41"/>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41"/>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41"/>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41"/>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41"/>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41"/>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41"/>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41"/>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b w:val="0"/>
          <w:bCs w:val="0"/>
        </w:rPr>
        <w:t xml:space="preserve">Giấy chứng nhận Quyền sử dụng đất, quyền sở hữu tài sản gắn liền với đất số: AA 06934846, số vào sổ cấp GCN: CN 6612 do Chi nhánh</w:t>
      </w:r>
      <w:r>
        <w:rPr>
          <w:b w:val="0"/>
          <w:bCs w:val="0"/>
        </w:rPr>
        <w:t xml:space="preserve"> văn phòng đất đai khu vực II cấp ngày 17/4/2026, Chủ sử dụng đất là ông Nguyễn Hoàng Nguyên</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41"/>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w:t>
      </w:r>
      <w:r>
        <w:rPr>
          <w:color w:val="000000" w:themeColor="text1"/>
          <w:lang w:val="pt-BR"/>
        </w:rPr>
        <w:t xml:space="preserve">275/2026/0754/VFI-HĐTĐ.36.A</w:t>
      </w:r>
      <w:r>
        <w:rPr>
          <w:color w:val="000000" w:themeColor="text1"/>
          <w:lang w:val="pt-BR"/>
        </w:rPr>
        <w:t xml:space="preserve"> ngày 11/05/2026 giữa ông Nguyễn Hoàng Nguyên với Công ty Cổ phần Thẩm định và Đầu tư Tài chính Hoa Sen.</w:t>
      </w:r>
      <w:r>
        <w:rPr>
          <w:b/>
          <w:lang w:val="pt-BR"/>
        </w:rPr>
      </w:r>
      <w:r>
        <w:rPr>
          <w:b/>
          <w:lang w:val="pt-BR"/>
        </w:rPr>
      </w:r>
    </w:p>
    <w:p>
      <w:pPr>
        <w:pStyle w:val="1041"/>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jc w:val="both"/>
        <w:rPr>
          <w:iCs/>
        </w:rPr>
      </w:pPr>
      <w:r>
        <w:rPr>
          <w:lang w:val="pt-BR"/>
        </w:rPr>
        <w:tab/>
      </w:r>
      <w:r>
        <w:rPr>
          <w:shd w:val="clear" w:color="auto" w:fill="ffffff"/>
        </w:rPr>
        <w:t xml:space="preserve">Toàn Cảnh Thị Trường BĐS Quảng Ngãi Giai Đoạn 2025 – 2026: Bản Lề Tái Định Giá</w:t>
        <w:br/>
        <w:t xml:space="preserve">Sau giai đoạn sàng lọc khắt khe của thị trường BĐS cả nước, Quảng Ngãi bước vào năm 2026 với một vị thế hoàn toàn mới: ổn định, minh bạch và giàu dư địa tăng trưởng.</w:t>
      </w:r>
      <w:r>
        <w:rPr>
          <w:iCs/>
        </w:rPr>
      </w:r>
      <w:r>
        <w:rPr>
          <w:iCs/>
        </w:rPr>
      </w:r>
    </w:p>
    <w:p>
      <w:pPr>
        <w:pBdr/>
        <w:tabs>
          <w:tab w:val="left" w:leader="none" w:pos="426"/>
        </w:tabs>
        <w:spacing w:after="120" w:before="120" w:line="276" w:lineRule="auto"/>
        <w:ind/>
        <w:jc w:val="both"/>
        <w:rPr/>
      </w:pPr>
      <w:r>
        <w:rPr>
          <w:shd w:val="clear" w:color="auto" w:fill="ffffff"/>
        </w:rPr>
        <w:t xml:space="preserve">Thanh khoả</w:t>
      </w:r>
      <w:r>
        <w:rPr>
          <w:shd w:val="clear" w:color="auto" w:fill="ffffff"/>
        </w:rPr>
        <w:t xml:space="preserve">n phân hóa mạnh mẽ: Dòng tiền không còn rải đều mà tập trung thắt chặt vào các sản phẩm “thực”. Đất nền tại các vị trí đón đầu hạ tầng, các khu đô thị được quy hoạch bài bản ghi nhận tỷ lệ hấp thụ ấn tượng. Đặc biệt, các phiên đấu giá đất công đạt mức trún</w:t>
      </w:r>
      <w:r>
        <w:rPr>
          <w:shd w:val="clear" w:color="auto" w:fill="ffffff"/>
        </w:rPr>
        <w:t xml:space="preserve">g cao gấp 2-3 lần giá khởi điểm là minh chứng cho thấy lực cầu trong dân và của các nhà đầu tư vẫn rất lớn.</w:t>
        <w:br/>
        <w:t xml:space="preserve">Cú hích từ Bảng giá đất mới 2026: Áp dụng từ ngày 01/01/2026 (theo Nghị quyết 40/2025/NQ-HĐND), tuân thủ nghiêm ngặt Luật Đất đai 2024. Với việc đất</w:t>
      </w:r>
      <w:r>
        <w:rPr>
          <w:shd w:val="clear" w:color="auto" w:fill="ffffff"/>
        </w:rPr>
        <w:t xml:space="preserve"> nông nghiệp tăng bình quân 1,58 lần (hơn 50%) và đất phi nông nghiệp tăng khoảng 1,12 lần, mặt bằng giá đất tại Quảng Ngãi đã tiệm cận sát giá thị trường. Điều này gián tiếp đẩy chi phí tạo lập quỹ đất của các dự án mới lên cao, đồng thời thiết lập một cộ</w:t>
      </w:r>
      <w:r>
        <w:rPr>
          <w:shd w:val="clear" w:color="auto" w:fill="ffffff"/>
        </w:rPr>
        <w:t xml:space="preserve">t mốc tái định giá toàn diện cho các bất động sản hiện hữu.</w:t>
      </w:r>
      <w:r/>
    </w:p>
    <w:p>
      <w:pPr>
        <w:pBdr/>
        <w:tabs>
          <w:tab w:val="left" w:leader="none" w:pos="426"/>
        </w:tabs>
        <w:spacing w:after="120" w:before="120" w:line="276" w:lineRule="auto"/>
        <w:ind/>
        <w:jc w:val="both"/>
        <w:rPr/>
      </w:pPr>
      <w:r>
        <w:rPr>
          <w:shd w:val="clear" w:color="auto" w:fill="ffffff"/>
        </w:rPr>
        <w:t xml:space="preserve">Khẩu vị nhà đầu tư thay đổi: Thị trường vắng bóng dòng tiền lướt sóng ngắn hạn. Thay vào đó, các nhà đầu tư trung và dài hạn đang đổ về đây để tìm kiếm “biên độ an toàn” – nơi có pháp lý vững chắc</w:t>
      </w:r>
      <w:r>
        <w:rPr>
          <w:shd w:val="clear" w:color="auto" w:fill="ffffff"/>
        </w:rPr>
        <w:t xml:space="preserve"> và khả năng khai thác dòng tiền từ nhu cầu ở thực hoặc khai thác du lịch (second-home).</w:t>
      </w:r>
      <w:r/>
    </w:p>
    <w:p>
      <w:pPr>
        <w:pBdr/>
        <w:tabs>
          <w:tab w:val="left" w:leader="none" w:pos="426"/>
        </w:tabs>
        <w:spacing w:after="120" w:before="120" w:line="276" w:lineRule="auto"/>
        <w:ind/>
        <w:jc w:val="center"/>
        <w:rPr>
          <w:bCs/>
          <w:i/>
        </w:rPr>
      </w:pPr>
      <w:r>
        <w:rPr>
          <w:i/>
          <w:iCs/>
          <w:shd w:val="clear" w:color="auto" w:fill="ffffff"/>
        </w:rPr>
        <w:t xml:space="preserve">Nguồn: (https://coastal-quangngai.vn/phan-tich-thi-truong-bds-quang-ngai-2026/#1_Toan_Canh_Thi_Truong_BDS_Quang_Ngai_Giai_Doan_2025_%E2%80%93_2026_Ban_Le_Tai_Dinh_Gia)</w:t>
      </w:r>
      <w:r>
        <w:rPr>
          <w:i/>
          <w:iCs/>
        </w:rPr>
      </w:r>
      <w:r>
        <w:rPr>
          <w:bCs/>
          <w:i/>
        </w:rPr>
      </w:r>
    </w:p>
    <w:p>
      <w:pPr>
        <w:pStyle w:val="1041"/>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45"/>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56"/>
        <w:gridCol w:w="2318"/>
        <w:gridCol w:w="2040"/>
        <w:gridCol w:w="2437"/>
        <w:gridCol w:w="2385"/>
      </w:tblGrid>
      <w:tr>
        <w:trPr>
          <w:trHeight w:val="1541"/>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79"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tại thửa đất số 99, tờ bản đồ số 87 có địa chỉ: Tổ dân phố Hưng Long, phường Sa Huỳnh, tỉnh Quảng Ngãi theo Giấy chứng nhận Quyền sử dụng đất, quyền sở hữu tài sản gắn liền với đất số: AA 06934846, số vào sổ cấp GCN: CN 6612 do Chi nhánh </w:t>
            </w:r>
            <w:r>
              <w:rPr>
                <w:rFonts w:ascii="Times New Roman" w:hAnsi="Times New Roman" w:eastAsia="Times New Roman" w:cs="Times New Roman"/>
                <w:b/>
                <w:color w:val="000000"/>
                <w:sz w:val="24"/>
              </w:rPr>
              <w:t xml:space="preserve">văn phòng đất đai khu vực II cấp ngày 17/4/2026, Chủ sử dụng đất là  Ông Nguyễn Hoàng Nguyên</w:t>
            </w:r>
            <w:r/>
          </w:p>
        </w:tc>
      </w:tr>
      <w:tr>
        <w:trPr>
          <w:trHeight w:val="315"/>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1.</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7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Nội dung Thửa đất theo Hồ sơ pháp lý</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Thửa đất số:</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99</w:t>
            </w:r>
            <w:r/>
          </w:p>
        </w:tc>
        <w:tc>
          <w:tcPr>
            <w:tcBorders>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Tờ bản đồ số:</w:t>
            </w:r>
            <w:r/>
          </w:p>
        </w:tc>
        <w:tc>
          <w:tcPr>
            <w:tcBorders>
              <w:bottom w:val="single" w:color="000000" w:sz="6" w:space="0"/>
              <w:right w:val="single" w:color="000000" w:sz="6" w:space="0"/>
            </w:tcBorders>
            <w:tcMar>
              <w:left w:w="0" w:type="dxa"/>
              <w:top w:w="0" w:type="dxa"/>
              <w:right w:w="0" w:type="dxa"/>
              <w:bottom w:w="0" w:type="dxa"/>
            </w:tcMar>
            <w:tcW w:w="238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87</w:t>
            </w:r>
            <w:r/>
          </w:p>
        </w:tc>
      </w:tr>
      <w:tr>
        <w:trPr>
          <w:trHeight w:val="488"/>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Địa chỉ:</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61"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Tổ dân phố Hưng Long, phường Sa Huỳnh, tỉnh Quảng Ngãi</w:t>
            </w:r>
            <w:r/>
          </w:p>
        </w:tc>
      </w:tr>
      <w:tr>
        <w:trPr>
          <w:trHeight w:val="694"/>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(m²):</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434,0</w:t>
            </w:r>
            <w:r/>
          </w:p>
        </w:tc>
        <w:tc>
          <w:tcPr>
            <w:tcBorders>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thức sử dụng</w:t>
            </w:r>
            <w:r/>
          </w:p>
        </w:tc>
        <w:tc>
          <w:tcPr>
            <w:tcBorders>
              <w:bottom w:val="single" w:color="000000" w:sz="6" w:space="0"/>
              <w:right w:val="single" w:color="000000" w:sz="6" w:space="0"/>
            </w:tcBorders>
            <w:tcMar>
              <w:left w:w="0" w:type="dxa"/>
              <w:top w:w="0" w:type="dxa"/>
              <w:right w:w="0" w:type="dxa"/>
              <w:bottom w:w="0" w:type="dxa"/>
            </w:tcMar>
            <w:tcW w:w="238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Sử dụng riêng</w:t>
            </w:r>
            <w:r/>
          </w:p>
        </w:tc>
      </w:tr>
      <w:tr>
        <w:trPr>
          <w:trHeight w:val="155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Mục đích sử dụng:</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ở: 100m2; </w:t>
              <w:br/>
              <w:t xml:space="preserve">Đất trồng cây hàng năm khác: 334,0m2</w:t>
            </w:r>
            <w:r/>
          </w:p>
        </w:tc>
        <w:tc>
          <w:tcPr>
            <w:tcBorders>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Thời hạn sử dụng:</w:t>
            </w:r>
            <w:r/>
          </w:p>
        </w:tc>
        <w:tc>
          <w:tcPr>
            <w:tcBorders>
              <w:bottom w:val="single" w:color="000000" w:sz="6" w:space="0"/>
              <w:right w:val="single" w:color="000000" w:sz="6" w:space="0"/>
            </w:tcBorders>
            <w:tcMar>
              <w:left w:w="0" w:type="dxa"/>
              <w:top w:w="0" w:type="dxa"/>
              <w:right w:w="0" w:type="dxa"/>
              <w:bottom w:w="0" w:type="dxa"/>
            </w:tcMar>
            <w:tcW w:w="238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ở đô thị: Lâu dài;</w:t>
              <w:br/>
              <w:t xml:space="preserve">Đất trồng cây hằng năm khác: Sử dụng đất đến ngày 31/12/2069</w:t>
            </w:r>
            <w:r/>
          </w:p>
        </w:tc>
      </w:tr>
      <w:tr>
        <w:trPr>
          <w:trHeight w:val="971"/>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3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Thông tin quy hoạch:</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861"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Tại thời điểm thẩn định giá, tổ thẩm định giá nhận thấy tại trang 3 của GCN AA 06934846 có 133,4m2 đất nằm trong chỉ giới hành lang an toàn giao thông. </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7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Về đất:</w:t>
            </w:r>
            <w:r/>
          </w:p>
        </w:tc>
      </w:tr>
      <w:tr>
        <w:trPr>
          <w:trHeight w:val="30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2.1</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7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Vị trí; Giao thông;</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right w:val="single" w:color="000000" w:sz="6" w:space="0"/>
            </w:tcBorders>
            <w:tcMar>
              <w:left w:w="0" w:type="dxa"/>
              <w:top w:w="0" w:type="dxa"/>
              <w:right w:w="0" w:type="dxa"/>
              <w:bottom w:w="0" w:type="dxa"/>
            </w:tcMar>
            <w:tcW w:w="23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Đường tiếp giáp chính:</w:t>
            </w:r>
            <w:r/>
          </w:p>
        </w:tc>
        <w:tc>
          <w:tcPr>
            <w:tcBorders>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Đường nhựa</w:t>
            </w:r>
            <w:r/>
          </w:p>
        </w:tc>
        <w:tc>
          <w:tcPr>
            <w:tcBorders>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Số mặt tiền:</w:t>
            </w:r>
            <w:r/>
          </w:p>
        </w:tc>
        <w:tc>
          <w:tcPr>
            <w:tcBorders>
              <w:right w:val="single" w:color="000000" w:sz="6" w:space="0"/>
            </w:tcBorders>
            <w:tcMar>
              <w:left w:w="0" w:type="dxa"/>
              <w:top w:w="0" w:type="dxa"/>
              <w:right w:w="0" w:type="dxa"/>
              <w:bottom w:w="0" w:type="dxa"/>
            </w:tcMar>
            <w:tcW w:w="238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 mặt tiền</w:t>
            </w:r>
            <w:r/>
          </w:p>
        </w:tc>
      </w:tr>
      <w:tr>
        <w:trPr>
          <w:trHeight w:val="1240"/>
        </w:trPr>
        <w:tc>
          <w:tcPr>
            <w:tcBorders>
              <w:left w:val="single" w:color="000000" w:sz="6" w:space="0"/>
              <w:bottom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318"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6" w:space="0"/>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20m</w:t>
            </w:r>
            <w:r/>
          </w:p>
        </w:tc>
        <w:tc>
          <w:tcPr>
            <w:tcBorders>
              <w:top w:val="single" w:color="000000" w:sz="6" w:space="0"/>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6" w:space="0"/>
              <w:bottom w:val="single" w:color="000000" w:sz="6" w:space="0"/>
              <w:right w:val="single" w:color="000000" w:sz="6" w:space="0"/>
            </w:tcBorders>
            <w:tcMar>
              <w:left w:w="0" w:type="dxa"/>
              <w:top w:w="0" w:type="dxa"/>
              <w:right w:w="0" w:type="dxa"/>
              <w:bottom w:w="0" w:type="dxa"/>
            </w:tcMar>
            <w:tcW w:w="238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20m</w:t>
            </w:r>
            <w:r/>
          </w:p>
        </w:tc>
      </w:tr>
      <w:tr>
        <w:trPr>
          <w:trHeight w:val="664"/>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right w:val="single" w:color="000000" w:sz="6" w:space="0"/>
            </w:tcBorders>
            <w:tcMar>
              <w:left w:w="0" w:type="dxa"/>
              <w:top w:w="0" w:type="dxa"/>
              <w:right w:w="0" w:type="dxa"/>
              <w:bottom w:w="0" w:type="dxa"/>
            </w:tcMar>
            <w:tcW w:w="23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Khoảng cách đến trục đường chính:</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861"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nằm tiếp giáp đường QL1A</w:t>
            </w:r>
            <w:r/>
          </w:p>
        </w:tc>
      </w:tr>
      <w:tr>
        <w:trPr>
          <w:trHeight w:val="625"/>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6" w:space="0"/>
              <w:bottom w:val="single" w:color="000000" w:sz="6" w:space="0"/>
              <w:right w:val="single" w:color="000000" w:sz="6" w:space="0"/>
            </w:tcBorders>
            <w:tcMar>
              <w:left w:w="0" w:type="dxa"/>
              <w:top w:w="0" w:type="dxa"/>
              <w:right w:w="0" w:type="dxa"/>
              <w:bottom w:w="0" w:type="dxa"/>
            </w:tcMar>
            <w:tcW w:w="23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Các hướng tiếp giáp:</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861"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Hướng Tây Bắc: Tiếp giáp đường QL1A rộng khoảng 20m</w:t>
              <w:br/>
              <w:t xml:space="preserve">Hướng Tây Nam: Tiếp giáp với đường bê tông rộng khoảng 2,77m</w:t>
              <w:br/>
              <w:t xml:space="preserve">Các hướng khác: Tiếp giáp các thửa đất khác.</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917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Vị trí trên bản đồ vệ tinh:</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917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631362" cy="2522249"/>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08215" name=""/>
                              <pic:cNvPicPr>
                                <a:picLocks noChangeAspect="1"/>
                              </pic:cNvPicPr>
                              <pic:nvPr/>
                            </pic:nvPicPr>
                            <pic:blipFill rotWithShape="1">
                              <a:blip r:embed="rId18"/>
                              <a:stretch/>
                            </pic:blipFill>
                            <pic:spPr bwMode="auto">
                              <a:xfrm flipH="0" flipV="0">
                                <a:off x="0" y="0"/>
                                <a:ext cx="5631361" cy="25222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43.41pt;height:198.60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color w:val="000000"/>
                <w:sz w:val="24"/>
              </w:rPr>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2.2.</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7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Diện tích; Kích thước; Hình dáng</w:t>
            </w:r>
            <w:r/>
          </w:p>
        </w:tc>
      </w:tr>
      <w:tr>
        <w:trPr>
          <w:trHeight w:val="62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434,0</w:t>
            </w:r>
            <w:r/>
          </w:p>
        </w:tc>
        <w:tc>
          <w:tcPr>
            <w:tcBorders>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6" w:space="0"/>
              <w:right w:val="single" w:color="000000" w:sz="6" w:space="0"/>
            </w:tcBorders>
            <w:tcMar>
              <w:left w:w="0" w:type="dxa"/>
              <w:top w:w="0" w:type="dxa"/>
              <w:right w:w="0" w:type="dxa"/>
              <w:bottom w:w="0" w:type="dxa"/>
            </w:tcMar>
            <w:tcW w:w="238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0,0</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Mặt tiền (m):</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12,80</w:t>
            </w:r>
            <w:r/>
          </w:p>
        </w:tc>
        <w:tc>
          <w:tcPr>
            <w:tcBorders>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Chiều sâu (m): </w:t>
            </w:r>
            <w:r/>
          </w:p>
        </w:tc>
        <w:tc>
          <w:tcPr>
            <w:tcBorders>
              <w:bottom w:val="single" w:color="000000" w:sz="6" w:space="0"/>
              <w:right w:val="single" w:color="000000" w:sz="6" w:space="0"/>
            </w:tcBorders>
            <w:tcMar>
              <w:left w:w="0" w:type="dxa"/>
              <w:top w:w="0" w:type="dxa"/>
              <w:right w:w="0" w:type="dxa"/>
              <w:bottom w:w="0" w:type="dxa"/>
            </w:tcMar>
            <w:tcW w:w="238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39,10</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dáng:</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Khá vuông vức</w:t>
            </w:r>
            <w:r/>
          </w:p>
        </w:tc>
        <w:tc>
          <w:tcPr>
            <w:tcBorders>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Hướng:</w:t>
            </w:r>
            <w:r/>
          </w:p>
        </w:tc>
        <w:tc>
          <w:tcPr>
            <w:tcBorders>
              <w:bottom w:val="single" w:color="000000" w:sz="6" w:space="0"/>
              <w:right w:val="single" w:color="000000" w:sz="6" w:space="0"/>
            </w:tcBorders>
            <w:tcMar>
              <w:left w:w="0" w:type="dxa"/>
              <w:top w:w="0" w:type="dxa"/>
              <w:right w:w="0" w:type="dxa"/>
              <w:bottom w:w="0" w:type="dxa"/>
            </w:tcMar>
            <w:tcW w:w="238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Tây Bắc</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2.3.</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7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nội bộ:</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Cấp điện, cấp nước sạch, mạng internet,…hoàn thiện</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xung quanh:</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615"/>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Mật độ dân cư:</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Khá đông đúc</w:t>
            </w:r>
            <w:r/>
          </w:p>
        </w:tc>
        <w:tc>
          <w:tcPr>
            <w:tcBorders>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Đời sống dân cư:</w:t>
            </w:r>
            <w:r/>
          </w:p>
        </w:tc>
        <w:tc>
          <w:tcPr>
            <w:tcBorders>
              <w:bottom w:val="single" w:color="000000" w:sz="6" w:space="0"/>
              <w:right w:val="single" w:color="000000" w:sz="6" w:space="0"/>
            </w:tcBorders>
            <w:tcMar>
              <w:left w:w="0" w:type="dxa"/>
              <w:top w:w="0" w:type="dxa"/>
              <w:right w:w="0" w:type="dxa"/>
              <w:bottom w:w="0" w:type="dxa"/>
            </w:tcMar>
            <w:tcW w:w="238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613"/>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Lợi thế kinh doanh:</w:t>
            </w:r>
            <w:r/>
          </w:p>
        </w:tc>
        <w:tc>
          <w:tcPr>
            <w:tcBorders>
              <w:bottom w:val="single" w:color="000000" w:sz="6" w:space="0"/>
              <w:right w:val="single" w:color="000000" w:sz="6"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Tốt</w:t>
            </w:r>
            <w:r/>
          </w:p>
        </w:tc>
        <w:tc>
          <w:tcPr>
            <w:tcBorders>
              <w:bottom w:val="single" w:color="000000" w:sz="6" w:space="0"/>
              <w:right w:val="single" w:color="000000" w:sz="6" w:space="0"/>
            </w:tcBorders>
            <w:tcMar>
              <w:left w:w="0" w:type="dxa"/>
              <w:top w:w="0" w:type="dxa"/>
              <w:right w:w="0" w:type="dxa"/>
              <w:bottom w:w="0" w:type="dxa"/>
            </w:tcMar>
            <w:tcW w:w="2437"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Khả năng chuyển nhượng:</w:t>
            </w:r>
            <w:r/>
          </w:p>
        </w:tc>
        <w:tc>
          <w:tcPr>
            <w:tcBorders>
              <w:bottom w:val="single" w:color="000000" w:sz="6" w:space="0"/>
              <w:right w:val="single" w:color="000000" w:sz="6" w:space="0"/>
            </w:tcBorders>
            <w:tcMar>
              <w:left w:w="0" w:type="dxa"/>
              <w:top w:w="0" w:type="dxa"/>
              <w:right w:w="0" w:type="dxa"/>
              <w:bottom w:w="0" w:type="dxa"/>
            </w:tcMar>
            <w:tcW w:w="238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Tốt </w:t>
            </w:r>
            <w:r/>
          </w:p>
        </w:tc>
      </w:tr>
      <w:tr>
        <w:trPr>
          <w:trHeight w:val="60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Yếu tố bất lợi:</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86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 Mặt tiền tài sản tiếp giáp với đường QL1A có cột điện.</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3.</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17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 Tài sản gắn liền với đất </w:t>
            </w:r>
            <w:r/>
          </w:p>
        </w:tc>
      </w:tr>
      <w:tr>
        <w:trPr>
          <w:trHeight w:val="429"/>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gridSpan w:val="4"/>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9179" w:type="dxa"/>
            <w:vAlign w:val="top"/>
            <w:textDirection w:val="lrTb"/>
            <w:noWrap w:val="false"/>
          </w:tcPr>
          <w:p>
            <w:pPr>
              <w:pBdr/>
              <w:spacing w:after="0" w:before="0" w:line="240" w:lineRule="auto"/>
              <w:ind/>
              <w:jc w:val="left"/>
              <w:rPr/>
            </w:pPr>
            <w:r>
              <w:rPr>
                <w:rFonts w:ascii="Times New Roman" w:hAnsi="Times New Roman" w:eastAsia="Times New Roman" w:cs="Times New Roman"/>
                <w:color w:val="000000"/>
                <w:sz w:val="24"/>
              </w:rPr>
              <w:t xml:space="preserve">- Đất trống</w:t>
            </w:r>
            <w:r/>
          </w:p>
        </w:tc>
      </w:tr>
    </w:tbl>
    <w:p>
      <w:pPr>
        <w:pBdr/>
        <w:spacing w:line="235" w:lineRule="auto"/>
        <w:ind w:left="0"/>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Có</w:t>
            </w:r>
            <w:r/>
          </w:p>
        </w:tc>
        <w:tc>
          <w:tcPr>
            <w:tcBorders/>
            <w:tcW w:w="1874" w:type="pct"/>
            <w:vAlign w:val="center"/>
            <w:textDirection w:val="lrTb"/>
            <w:noWrap w:val="false"/>
          </w:tcPr>
          <w:p>
            <w:pPr>
              <w:widowControl w:val="false"/>
              <w:pBdr/>
              <w:spacing w:line="235" w:lineRule="auto"/>
              <w:ind w:firstLine="0" w:left="0"/>
              <w:jc w:val="left"/>
              <w:rPr>
                <w:lang w:eastAsia="ko-KR"/>
              </w:rPr>
            </w:pPr>
            <w:r>
              <w:rPr>
                <w:lang w:eastAsia="ko-KR"/>
              </w:rPr>
              <w:t xml:space="preserve">- Trước mặt tiền tiếp giáp đường QL1A có cột điện.</w:t>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41"/>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41"/>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41"/>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Style w:val="1041"/>
        <w:numPr>
          <w:ilvl w:val="0"/>
          <w:numId w:val="3"/>
        </w:numPr>
        <w:pBdr/>
        <w:tabs>
          <w:tab w:val="left" w:leader="none" w:pos="993"/>
        </w:tabs>
        <w:spacing w:after="120" w:before="120" w:line="264" w:lineRule="auto"/>
        <w:ind/>
        <w:jc w:val="both"/>
        <w:rPr>
          <w:spacing w:val="-2"/>
          <w:lang w:val="pt-BR"/>
        </w:rPr>
      </w:pPr>
      <w:r>
        <w:rPr>
          <w:spacing w:val="-2"/>
          <w:highlight w:val="none"/>
          <w:lang w:val="pt-BR" w:bidi="pt-BR"/>
        </w:rPr>
      </w:r>
      <w:r>
        <w:rPr>
          <w:rFonts w:ascii="Times New Roman" w:hAnsi="Times New Roman" w:eastAsia="Times New Roman" w:cs="Times New Roman"/>
          <w:color w:val="000000"/>
          <w:sz w:val="24"/>
        </w:rPr>
        <w:t xml:space="preserve">Tại thời điểm thẩn định giá, tổ thẩm định giá nhận thấy tại trang 3 của GCN AA 06934846 có 133,4m2 đất nằm trong chỉ giới hành lang an toàn giao thông</w:t>
      </w:r>
      <w:r>
        <w:rPr>
          <w:spacing w:val="-2"/>
          <w:highlight w:val="none"/>
          <w:lang w:val="pt-BR" w:bidi="pt-BR"/>
        </w:rPr>
        <w:t xml:space="preserve">.</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 xml:space="preserve">Ngoài ra, khách hàng/Chủ sử dụng đất không cung cấp thêm bất cứ hồ sơ pháp lý nào liên quan tới thông tin quy hoạch của thửa đất. Theo đề nghị của Ngân hàng/Khách hàng, tổ thẩm định xác định giá trị tài sản theo thông tin quy hoạch nêu trên. Đối với diện t</w:t>
      </w:r>
      <w:r>
        <w:rPr>
          <w:rFonts w:ascii="Times New Roman" w:hAnsi="Times New Roman" w:eastAsia="Times New Roman" w:cs="Times New Roman"/>
          <w:color w:val="000000"/>
          <w:sz w:val="24"/>
        </w:rPr>
        <w:t xml:space="preserve">ích nằm ngoài quy hoạch tổ thẩm định đánh giá theo giá trị thị trường, đối với phần nằm trong quy hoạch tổ thẩm định đánh giá theo giá khung UBND tại thời điểm thẩm định, giá trị đền bù thực tế còn phụ thuộc vào thỏa thuận các bên tại thời điểm Nhà nước gi</w:t>
      </w:r>
      <w:r>
        <w:rPr>
          <w:rFonts w:ascii="Times New Roman" w:hAnsi="Times New Roman" w:eastAsia="Times New Roman" w:cs="Times New Roman"/>
          <w:color w:val="000000"/>
          <w:sz w:val="24"/>
        </w:rPr>
        <w:t xml:space="preserve">ải phóng mặt bằng thực hiện quy hoạch. Đề nghị đơn vị sử dụng kết quả lưu ý kiểm tra xác minh thêm thông tin quy hoạch nếu thấy cần thiết. Trong trường hợp Khách hàng/Ngân hàng cung cấp được Văn bản xác nhận rõ phần diện tích thuộc quy hoạch mà có sự sai k</w:t>
      </w:r>
      <w:r>
        <w:rPr>
          <w:rFonts w:ascii="Times New Roman" w:hAnsi="Times New Roman" w:eastAsia="Times New Roman" w:cs="Times New Roman"/>
          <w:color w:val="000000"/>
          <w:sz w:val="24"/>
        </w:rPr>
        <w:t xml:space="preserve">hác so với số liệu nêu trên thì kết quả thẩm định giá cần được xem xét, điều chỉnh phù hợp, đồng thời chúng tôi bảo lưu quyền xem xét lại kết quả thẩm định giá</w:t>
      </w:r>
      <w:r>
        <w:rPr>
          <w:spacing w:val="-2"/>
          <w:highlight w:val="none"/>
          <w:lang w:val="pt-BR" w:bidi="pt-BR"/>
        </w:rPr>
        <w:t xml:space="preserve">.</w:t>
      </w:r>
      <w:r>
        <w:rPr>
          <w:spacing w:val="-2"/>
          <w:highlight w:val="none"/>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41"/>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41"/>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41"/>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41"/>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41"/>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41"/>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41"/>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41"/>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 nằm ngoài chỉ giới HLGT</w:t>
      </w:r>
      <w:r>
        <w:rPr>
          <w:b/>
          <w:lang w:val="pt-BR"/>
        </w:rPr>
        <w:t xml:space="preserve">:</w:t>
      </w:r>
      <w:r>
        <w:rPr>
          <w:b/>
          <w:lang w:val="pt-BR"/>
        </w:rPr>
      </w:r>
      <w:r>
        <w:rPr>
          <w:b/>
          <w:lang w:val="pt-BR"/>
        </w:rPr>
      </w:r>
    </w:p>
    <w:p>
      <w:pPr>
        <w:pStyle w:val="1041"/>
        <w:pBdr/>
        <w:spacing w:after="120" w:before="120" w:line="276" w:lineRule="auto"/>
        <w:ind w:firstLine="357" w:left="0"/>
        <w:jc w:val="both"/>
        <w:rPr>
          <w:bCs/>
          <w:lang w:val="pt-BR"/>
        </w:rPr>
      </w:pPr>
      <w:r>
        <w:rPr>
          <w:lang w:val="nl-NL"/>
        </w:rPr>
        <w:t xml:space="preserve">Qua khảo sát thị tr</w:t>
      </w:r>
      <w:r>
        <w:rPr>
          <w:lang w:val="nl-NL"/>
        </w:rPr>
        <w:t xml:space="preserve">ường, tại thời điểm thẩm định giá </w:t>
      </w:r>
      <w:r>
        <w:rPr>
          <w:lang w:val="nl-NL"/>
        </w:rPr>
        <w:t xml:space="preserve">tổ thẩm định không thu thập được các thông tin rao bán nên mở rộng ra các địa bàn lân cận, thu thập đ</w:t>
      </w:r>
      <w:r>
        <w:rPr>
          <w:lang w:val="nl-NL"/>
        </w:rPr>
        <w:t xml:space="preserve">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41"/>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Tài sản nằm trên mặt đường Quốc lộ 1A, phường Sa Huỳnh, tỉnh Quảng Ngãi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Tài sản nằm trên đường Quốc lộ 1A, Xã Đức Phong, Huyện Mộ Đức, Tỉnh Quảng Ngãi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r>
            <w:r>
              <w:rPr>
                <w:color w:val="000000" w:themeColor="text1"/>
                <w:sz w:val="22"/>
                <w:szCs w:val="22"/>
              </w:rPr>
              <w:t xml:space="preserve">Tài sản nằm trên đường Quốc lộ 1A</w:t>
            </w:r>
            <w:r>
              <w:rPr>
                <w:color w:val="000000" w:themeColor="text1"/>
                <w:sz w:val="22"/>
                <w:szCs w:val="22"/>
              </w:rPr>
              <w:t xml:space="preserve">, Thị xã Đức phổ, tỉnh Quảng Ngãi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Tài sản nằm trên đường Quốc lộ 1A, Xã Phổ Cường, Huyện Đức Phổ, Tỉnh Quảng Ngãi</w:t>
            </w:r>
            <w:r>
              <w:rPr>
                <w:sz w:val="22"/>
                <w:szCs w:val="22"/>
              </w:rPr>
            </w:r>
            <w:r>
              <w:rPr>
                <w:sz w:val="22"/>
                <w:szCs w:val="22"/>
              </w:rPr>
            </w:r>
          </w:p>
        </w:tc>
      </w:tr>
      <w:tr>
        <w:trPr>
          <w:trHeight w:val="1684"/>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https://www.facebook.com/groups/1348050795330011/posts/3888663751268690/</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https://www.facebook.com/groups/1348050795330011/posts/3921092861359112/</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0326993327</w:t>
            </w:r>
            <w:r>
              <w:rPr>
                <w:sz w:val="22"/>
                <w:szCs w:val="22"/>
              </w:rPr>
              <w:t xml:space="preserve"> </w:t>
            </w:r>
            <w:r>
              <w:rPr>
                <w:sz w:val="22"/>
                <w:szCs w:val="22"/>
              </w:rPr>
              <w:br/>
              <w:t xml:space="preserve">(</w:t>
            </w:r>
            <w:r>
              <w:rPr>
                <w:sz w:val="22"/>
                <w:szCs w:val="22"/>
              </w:rPr>
              <w:t xml:space="preserve">Ngân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0914 182 898</w:t>
            </w:r>
            <w:r>
              <w:rPr>
                <w:sz w:val="22"/>
                <w:szCs w:val="22"/>
              </w:rPr>
              <w:br/>
            </w:r>
            <w:r>
              <w:rPr>
                <w:sz w:val="22"/>
                <w:szCs w:val="22"/>
              </w:rPr>
              <w:t xml:space="preserve">(</w:t>
            </w:r>
            <w:r>
              <w:rPr>
                <w:sz w:val="22"/>
                <w:szCs w:val="22"/>
              </w:rPr>
              <w:t xml:space="preserve">Hoàng Oanh</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0914 182 898</w:t>
            </w:r>
            <w:r>
              <w:rPr>
                <w:sz w:val="22"/>
                <w:szCs w:val="22"/>
              </w:rPr>
              <w:br/>
            </w:r>
            <w:r>
              <w:rPr>
                <w:sz w:val="22"/>
                <w:szCs w:val="22"/>
              </w:rPr>
              <w:t xml:space="preserve">(Hoàng </w:t>
            </w:r>
            <w:r>
              <w:rPr>
                <w:sz w:val="22"/>
                <w:szCs w:val="22"/>
              </w:rPr>
              <w:t xml:space="preserve">Oanh</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05/2026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05/2026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05/2026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Đầy đủ 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Đầy đủ pháp lý</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Đầy đủ pháp lý</w:t>
            </w:r>
            <w:r>
              <w:rPr>
                <w:color w:val="000000"/>
                <w:sz w:val="22"/>
                <w:szCs w:val="22"/>
              </w:rPr>
            </w:r>
            <w:r/>
          </w:p>
        </w:tc>
      </w:tr>
      <w:tr>
        <w:trPr>
          <w:trHeight w:val="121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r>
            <w:r>
              <w:rPr>
                <w:color w:val="000000" w:themeColor="text1"/>
                <w:sz w:val="22"/>
                <w:szCs w:val="22"/>
              </w:rPr>
              <w:t xml:space="preserve">Mục đích sử dụng</w:t>
            </w:r>
            <w:r>
              <w:rPr>
                <w:color w:val="000000"/>
                <w:sz w:val="22"/>
                <w:szCs w:val="22"/>
              </w:rPr>
            </w: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(100</w:t>
            </w:r>
            <w:r>
              <w:rPr>
                <w:rFonts w:ascii="Times New Roman" w:hAnsi="Times New Roman" w:eastAsia="Times New Roman" w:cs="Times New Roman"/>
                <w:color w:val="000000"/>
                <w:sz w:val="24"/>
              </w:rPr>
              <w:t xml:space="preserve">m²</w:t>
            </w:r>
            <w:r/>
            <w:r>
              <w:rPr>
                <w:color w:val="000000" w:themeColor="text1"/>
                <w:sz w:val="22"/>
                <w:szCs w:val="22"/>
              </w:rPr>
              <w:t xml:space="preserve">), Đất trồng cây hàng năm khác (334</w:t>
            </w:r>
            <w:r>
              <w:rPr>
                <w:rFonts w:ascii="Times New Roman" w:hAnsi="Times New Roman" w:eastAsia="Times New Roman" w:cs="Times New Roman"/>
                <w:color w:val="000000"/>
                <w:sz w:val="24"/>
              </w:rPr>
              <w:t xml:space="preserve">m²</w:t>
            </w:r>
            <w:r/>
            <w:r>
              <w:rPr>
                <w:color w:val="000000" w:themeColor="text1"/>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(87</w:t>
            </w:r>
            <w:r>
              <w:rPr>
                <w:rFonts w:ascii="Times New Roman" w:hAnsi="Times New Roman" w:eastAsia="Times New Roman" w:cs="Times New Roman"/>
                <w:color w:val="000000"/>
                <w:sz w:val="24"/>
              </w:rPr>
              <w:t xml:space="preserve">m²</w:t>
            </w:r>
            <w:r>
              <w:rPr>
                <w:color w:val="000000" w:themeColor="text1"/>
                <w:sz w:val="22"/>
                <w:szCs w:val="22"/>
              </w:rPr>
              <w:t xml:space="preserve">), Đất trồng cây hàng năm khác (98</w:t>
            </w:r>
            <w:r>
              <w:rPr>
                <w:rFonts w:ascii="Times New Roman" w:hAnsi="Times New Roman" w:eastAsia="Times New Roman" w:cs="Times New Roman"/>
                <w:color w:val="000000"/>
                <w:sz w:val="24"/>
              </w:rPr>
              <w:t xml:space="preserve">m²</w:t>
            </w:r>
            <w:r/>
            <w:r>
              <w:rPr>
                <w:color w:val="000000" w:themeColor="text1"/>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Đất ở (100</w:t>
            </w:r>
            <w:r>
              <w:rPr>
                <w:rFonts w:ascii="Times New Roman" w:hAnsi="Times New Roman" w:eastAsia="Times New Roman" w:cs="Times New Roman"/>
                <w:color w:val="000000"/>
                <w:sz w:val="24"/>
              </w:rPr>
              <w:t xml:space="preserve">m²</w:t>
            </w:r>
            <w:r>
              <w:rPr>
                <w:color w:val="000000" w:themeColor="text1"/>
                <w:sz w:val="22"/>
                <w:szCs w:val="22"/>
              </w:rPr>
              <w:t xml:space="preserve">), Đất trồng cây hàng năm khác (253,1</w:t>
            </w:r>
            <w:r>
              <w:rPr>
                <w:rFonts w:ascii="Times New Roman" w:hAnsi="Times New Roman" w:eastAsia="Times New Roman" w:cs="Times New Roman"/>
                <w:color w:val="000000"/>
                <w:sz w:val="24"/>
              </w:rPr>
              <w:t xml:space="preserve">m²</w:t>
            </w:r>
            <w:r/>
            <w:r>
              <w:rPr>
                <w:color w:val="000000" w:themeColor="text1"/>
                <w:sz w:val="22"/>
                <w:szCs w:val="22"/>
              </w:rPr>
              <w:t xml:space="preserve">)</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Đất ở (100</w:t>
            </w:r>
            <w:r>
              <w:rPr>
                <w:rFonts w:ascii="Times New Roman" w:hAnsi="Times New Roman" w:eastAsia="Times New Roman" w:cs="Times New Roman"/>
                <w:color w:val="000000"/>
                <w:sz w:val="24"/>
              </w:rPr>
              <w:t xml:space="preserve">m²</w:t>
            </w:r>
            <w:r>
              <w:rPr>
                <w:color w:val="000000" w:themeColor="text1"/>
                <w:sz w:val="22"/>
                <w:szCs w:val="22"/>
              </w:rPr>
              <w:t xml:space="preserve">), Đất trồng cây hàng năm khác (15</w:t>
            </w:r>
            <w:r>
              <w:rPr>
                <w:rFonts w:ascii="Times New Roman" w:hAnsi="Times New Roman" w:eastAsia="Times New Roman" w:cs="Times New Roman"/>
                <w:color w:val="000000"/>
                <w:sz w:val="24"/>
              </w:rPr>
              <w:t xml:space="preserve">m²</w:t>
            </w:r>
            <w:r/>
            <w:r>
              <w:rPr>
                <w:color w:val="000000" w:themeColor="text1"/>
                <w:sz w:val="22"/>
                <w:szCs w:val="22"/>
              </w:rPr>
              <w:t xml:space="preserve">)</w:t>
            </w:r>
            <w:r>
              <w:rPr>
                <w:color w:val="000000"/>
                <w:sz w:val="22"/>
                <w:szCs w:val="22"/>
              </w:rPr>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Đất ở: Lâu dài; Đất trồng cây hàng năm kác: Có thời hạn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
              <w:rPr>
                <w:color w:val="000000" w:themeColor="text1"/>
                <w:sz w:val="22"/>
                <w:szCs w:val="22"/>
              </w:rPr>
            </w:r>
            <w:r>
              <w:rPr>
                <w:color w:val="000000" w:themeColor="text1"/>
                <w:sz w:val="22"/>
                <w:szCs w:val="22"/>
              </w:rPr>
              <w:t xml:space="preserve">Đất ở: Lâu dài; Đất trồng cây hàng năm kác: Có thời hạn</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
              <w:rPr>
                <w:color w:val="000000" w:themeColor="text1"/>
                <w:sz w:val="22"/>
                <w:szCs w:val="22"/>
              </w:rPr>
            </w:r>
            <w:r>
              <w:rPr>
                <w:color w:val="000000" w:themeColor="text1"/>
                <w:sz w:val="22"/>
                <w:szCs w:val="22"/>
              </w:rPr>
              <w:t xml:space="preserve">Đất ở: Lâu dài; Đất trồng cây hàng năm kác: Có thời hạn</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
              <w:rPr>
                <w:color w:val="000000" w:themeColor="text1"/>
                <w:sz w:val="22"/>
                <w:szCs w:val="22"/>
              </w:rPr>
            </w:r>
            <w:r>
              <w:rPr>
                <w:color w:val="000000" w:themeColor="text1"/>
                <w:sz w:val="22"/>
                <w:szCs w:val="22"/>
              </w:rPr>
              <w:t xml:space="preserve">Đất ở: Lâu dài; Đất trồng cây hàng năm kác: Có thời hạn</w:t>
            </w:r>
            <w:r>
              <w:rPr>
                <w:color w:val="000000"/>
                <w:sz w:val="22"/>
                <w:szCs w:val="22"/>
              </w:rPr>
            </w:r>
            <w:r>
              <w:rPr>
                <w:color w:val="000000"/>
                <w:sz w:val="22"/>
                <w:szCs w:val="22"/>
              </w:rPr>
            </w:r>
            <w:r>
              <w:rPr>
                <w:color w:val="000000"/>
                <w:sz w:val="22"/>
                <w:szCs w:val="22"/>
              </w:rPr>
            </w:r>
            <w:r/>
          </w:p>
        </w:tc>
      </w:tr>
      <w:tr>
        <w:trPr>
          <w:trHeight w:val="267"/>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Tài sản nằm trên mặt đường Quốc lộ 1A, phường Sa Huỳnh, tỉnh Quảng Ngãi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Tài sản nằm trên đường Quốc lộ 1A, Xã Đức Phong, Huyện Mộ Đức, Tỉnh Quảng Ngãi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r>
            <w:r>
              <w:rPr>
                <w:color w:val="000000" w:themeColor="text1"/>
                <w:sz w:val="22"/>
                <w:szCs w:val="22"/>
              </w:rPr>
              <w:t xml:space="preserve">Tài sản nằm trên đường Quốc lộ 1A</w:t>
            </w:r>
            <w:r>
              <w:rPr>
                <w:color w:val="000000" w:themeColor="text1"/>
                <w:sz w:val="22"/>
                <w:szCs w:val="22"/>
              </w:rPr>
              <w:t xml:space="preserve">, Thị xã Đức phổ, tỉnh Quảng Ngãi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Tài sản nằm trên đường Quốc lộ 1A, Xã Phổ Cường, Huyện Đức Phổ, Tỉnh Quảng Ngãi</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Tổng 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434</w:t>
            </w:r>
            <w:r>
              <w:rPr>
                <w:color w:val="000000"/>
                <w:sz w:val="22"/>
                <w:szCs w:val="22"/>
              </w:rPr>
            </w: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185,0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353,1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115,0</w:t>
            </w:r>
            <w:r>
              <w:rPr>
                <w:color w:val="000000"/>
                <w:sz w:val="22"/>
                <w:szCs w:val="22"/>
              </w:rPr>
            </w:r>
            <w:r>
              <w:rPr>
                <w:color w:val="000000"/>
                <w:sz w:val="22"/>
                <w:szCs w:val="22"/>
              </w:rPr>
            </w:r>
          </w:p>
        </w:tc>
      </w:tr>
      <w:tr>
        <w:trPr>
          <w:trHeight w:val="75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themeColor="text1"/>
                <w:sz w:val="22"/>
                <w:szCs w:val="22"/>
              </w:rPr>
            </w:pPr>
            <w:r>
              <w:rPr>
                <w:color w:val="000000" w:themeColor="text1"/>
                <w:sz w:val="22"/>
                <w:szCs w:val="22"/>
              </w:rPr>
              <w:t xml:space="preserve">Diên tích đất nằm ngoài chỉ giới HLGT </w:t>
            </w:r>
            <w:r>
              <w:rPr>
                <w:color w:val="000000" w:themeColor="text1"/>
                <w:sz w:val="22"/>
                <w:szCs w:val="22"/>
              </w:rPr>
              <w:t xml:space="preserve">(m²)</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300,6</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185,0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353,1</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115,0</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themeColor="text1"/>
                <w:sz w:val="22"/>
                <w:szCs w:val="22"/>
              </w:rPr>
            </w:pPr>
            <w:r>
              <w:rPr>
                <w:color w:val="000000" w:themeColor="text1"/>
                <w:sz w:val="22"/>
                <w:szCs w:val="22"/>
              </w:rPr>
              <w:t xml:space="preserve">Diên tích đất nằm trong chỉ giới HLGT </w:t>
            </w:r>
            <w:r>
              <w:rPr>
                <w:color w:val="000000" w:themeColor="text1"/>
                <w:sz w:val="22"/>
                <w:szCs w:val="22"/>
              </w:rPr>
              <w:t xml:space="preserve">(m²)</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133,4</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r>
              <w:rPr>
                <w:color w:val="000000" w:themeColor="text1"/>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góc 1 mặt đường, phố + 1 mặt ngõ</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Đa giác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Yếu tố bất lợi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Có cột điện trước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Bình thường</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Bình thường</w:t>
            </w:r>
            <w:r>
              <w:rPr>
                <w:color w:val="000000"/>
                <w:sz w:val="22"/>
                <w:szCs w:val="22"/>
              </w:rPr>
            </w: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16</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themeColor="text1"/>
                <w:sz w:val="22"/>
                <w:szCs w:val="22"/>
              </w:rPr>
            </w:pPr>
            <w:r>
              <w:rPr>
                <w:color w:val="000000" w:themeColor="text1"/>
                <w:sz w:val="22"/>
                <w:szCs w:val="22"/>
              </w:rPr>
              <w:t xml:space="preserve">Tỉ lệ đất ở/Tổng diện tích</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33,2%</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47%</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sz w:val="22"/>
                <w:szCs w:val="22"/>
              </w:rPr>
            </w:pPr>
            <w:r>
              <w:rPr>
                <w:sz w:val="22"/>
                <w:szCs w:val="22"/>
              </w:rPr>
              <w:t xml:space="preserve">28,3%</w:t>
            </w:r>
            <w:r>
              <w:rPr>
                <w:sz w:val="22"/>
                <w:szCs w:val="22"/>
              </w:rPr>
            </w:r>
            <w:r>
              <w:rPr>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sz w:val="22"/>
                <w:szCs w:val="22"/>
              </w:rPr>
            </w:pPr>
            <w:r>
              <w:rPr>
                <w:sz w:val="22"/>
                <w:szCs w:val="22"/>
              </w:rPr>
              <w:t xml:space="preserve">87%</w:t>
            </w:r>
            <w:r>
              <w:rPr>
                <w:sz w:val="22"/>
                <w:szCs w:val="22"/>
              </w:rPr>
            </w:r>
            <w:r>
              <w:rPr>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17</w:t>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themeColor="text1"/>
                <w:sz w:val="22"/>
                <w:szCs w:val="22"/>
              </w:rPr>
            </w:pPr>
            <w:r>
              <w:rPr>
                <w:color w:val="000000" w:themeColor="text1"/>
                <w:sz w:val="22"/>
                <w:szCs w:val="22"/>
              </w:rPr>
              <w:t xml:space="preserve">Tài sản trên đất</w:t>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Đất trống</w:t>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Đất trống</w:t>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Đất trống</w:t>
            </w:r>
            <w:r>
              <w:rPr>
                <w:color w:val="000000" w:themeColor="text1"/>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1.595.584.000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2.190.000.000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750.000.000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1.276.467.200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1.861.500.000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675.000.000</w:t>
            </w:r>
            <w:r>
              <w:rPr>
                <w:color w:val="000000"/>
                <w:sz w:val="22"/>
                <w:szCs w:val="22"/>
              </w:rPr>
            </w:r>
            <w:r>
              <w:rPr>
                <w:color w:val="000000"/>
                <w:sz w:val="22"/>
                <w:szCs w:val="22"/>
              </w:rPr>
            </w:r>
          </w:p>
        </w:tc>
      </w:tr>
      <w:tr>
        <w:trPr>
          <w:trHeight w:val="418"/>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1.276.467.200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1.861.500.000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675.000.000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6.899.823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5.271.878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5.869.565</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Yếu tôt bất lợi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34"/>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sz w:val="22"/>
                <w:szCs w:val="22"/>
              </w:rPr>
            </w:pPr>
            <w:r>
              <w:rPr>
                <w:color w:val="000000"/>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sz w:val="22"/>
                <w:szCs w:val="22"/>
              </w:rPr>
            </w:pPr>
            <w:r>
              <w:rPr>
                <w:color w:val="000000"/>
                <w:sz w:val="22"/>
                <w:szCs w:val="22"/>
              </w:rPr>
              <w:t xml:space="preserve">Tỉ lệ đất ở/Tổng diện tích</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Tương đồng</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Lợi thế hơn</w:t>
            </w:r>
            <w:r>
              <w:rPr>
                <w:color w:val="000000" w:themeColor="text1"/>
                <w:sz w:val="22"/>
                <w:szCs w:val="22"/>
              </w:rPr>
            </w:r>
            <w:r>
              <w:rPr>
                <w:color w:val="000000" w:themeColor="text1"/>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41"/>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45"/>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11"/>
        <w:gridCol w:w="1433"/>
        <w:gridCol w:w="818"/>
        <w:gridCol w:w="1572"/>
        <w:gridCol w:w="1697"/>
        <w:gridCol w:w="1697"/>
        <w:gridCol w:w="1695"/>
      </w:tblGrid>
      <w:tr>
        <w:trPr>
          <w:trHeight w:val="6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1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84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1.276.467.200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1.861.500.000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675.000.000</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6.899.823</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5.271.878</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5.869.565</w:t>
            </w:r>
            <w:r/>
          </w:p>
        </w:tc>
      </w:tr>
      <w:tr>
        <w:trPr>
          <w:trHeight w:val="525"/>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8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Giấy chứng nhận quyền sử dụng đất, quyền sở hữu tài sản gắn liền với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Đầy đủ pháp lý</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Đầy đủ pháp lý</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Đầy đủ pháp lý</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6.899.823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5.271.878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5.869.565 </w:t>
            </w:r>
            <w:r/>
          </w:p>
        </w:tc>
      </w:tr>
      <w:tr>
        <w:trPr>
          <w:trHeight w:val="84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Đất ở, Đất trồng cây hàng năm khác</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Đất ở, Đất trồng cây hàng năm khác</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Đất ở, Đất trồng cây hàng năm khác</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Đất ở, Đất trồng cây hàng năm khác</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6.899.823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5.271.878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5.869.565 </w:t>
            </w:r>
            <w:r/>
          </w:p>
        </w:tc>
      </w:tr>
      <w:tr>
        <w:trPr>
          <w:trHeight w:val="16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nằm trên mặt đường Quốc lộ 1A, phường Sa Huỳnh, tỉnh Quảng Ngãi</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nằm trên đường Quốc lộ 1A, Xã Đức Phong, Huyện Mộ Đức, Tỉnh Quảng Ngãi</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nằm trên đường Quốc lộ 1A, Thị xã Đức phổ, tỉnh Quảng Ngãi</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nằm trên đường Quốc lộ 1A, Xã Phổ Cường, Huyện Đức Phổ, Tỉnh Quảng Ngãi</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6.899.823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5.271.878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5.869.565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20m</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20m</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20m</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20m</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6.899.823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5.271.878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5.869.565 </w:t>
            </w:r>
            <w:r/>
          </w:p>
        </w:tc>
      </w:tr>
      <w:tr>
        <w:trPr>
          <w:trHeight w:val="79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Diện tích đất nằm ngoài chỉ giới HLGT</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m2</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highlight w:val="white"/>
              </w:rPr>
            </w:pPr>
            <w:r>
              <w:rPr>
                <w:rFonts w:ascii="Times New Roman" w:hAnsi="Times New Roman" w:eastAsia="Times New Roman" w:cs="Times New Roman"/>
                <w:b/>
                <w:color w:val="000000"/>
                <w:sz w:val="22"/>
                <w:highlight w:val="yellow"/>
              </w:rPr>
            </w:r>
            <w:r>
              <w:rPr>
                <w:rFonts w:ascii="Times New Roman" w:hAnsi="Times New Roman" w:eastAsia="Times New Roman" w:cs="Times New Roman"/>
                <w:b/>
                <w:color w:val="000000"/>
                <w:sz w:val="22"/>
                <w:highlight w:val="white"/>
              </w:rPr>
              <w:t xml:space="preserve">300,6</w:t>
            </w:r>
            <w:r>
              <w:rPr>
                <w:highlight w:val="white"/>
              </w:rPr>
            </w:r>
            <w:r>
              <w:rPr>
                <w:highlight w:val="white"/>
              </w:rP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185</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353,1</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115</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-551.986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-586.957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6.347.837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5.271.878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5.282.609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12,8</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5,4</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5,9</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13%</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689.982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369.031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763.043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7.037.819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5.640.909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6.045.652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Tiếp giáp góc 1 mặt đường, phố + 1 mặt ngõ</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Tiếp giáp 1 mặt tiền</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Tiếp giáp 1 mặt tiền</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344.991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263.594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293.478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7.382.810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5.904.503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6.339.130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Đa giác khác</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Hình chữ nhật</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158.156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7.382.810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6.062.659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6.339.130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ind/>
              <w:jc w:val="center"/>
              <w:rPr/>
            </w:pPr>
            <w:r>
              <w:rPr>
                <w:rFonts w:ascii="Times New Roman" w:hAnsi="Times New Roman" w:eastAsia="Times New Roman" w:cs="Times New Roman"/>
                <w:b/>
                <w:color w:val="000000"/>
                <w:sz w:val="22"/>
              </w:rPr>
              <w:t xml:space="preserve">Tốt</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7.382.810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6.062.659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6.339.130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Yếu tố bất lợi</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cột điện trước mặt tiền</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Bình thường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Bình thường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Bình thường</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-413.989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-316.313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-352.174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6.968.821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5.746.347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5.986.957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1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Tỉ lệ đất ở/ Tổng diện tích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33,2%</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47%</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28,3%</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87%</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-15,00%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-689.982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-880.435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6.278.839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5.746.347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5.106.522 </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6.278.839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5.746.347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5.106.522 </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509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5.710.569 </w:t>
            </w:r>
            <w:r/>
          </w:p>
        </w:tc>
      </w:tr>
      <w:tr>
        <w:trPr>
          <w:trHeight w:val="30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0,6%</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-10,6%</w:t>
            </w:r>
            <w:r/>
          </w:p>
        </w:tc>
      </w:tr>
      <w:tr>
        <w:trPr>
          <w:trHeight w:val="3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6" w:space="0"/>
              <w:right w:val="single" w:color="000000" w:sz="6" w:space="0"/>
            </w:tcBorders>
            <w:tcMar>
              <w:left w:w="0" w:type="dxa"/>
              <w:top w:w="0" w:type="dxa"/>
              <w:right w:w="0" w:type="dxa"/>
              <w:bottom w:w="0" w:type="dxa"/>
            </w:tcMar>
            <w:tcW w:w="8914"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Tổng hợp các số liệu điều chỉnh tại mục C</w:t>
            </w:r>
            <w:r>
              <w:rPr>
                <w:rFonts w:ascii="Times New Roman" w:hAnsi="Times New Roman" w:eastAsia="Times New Roman" w:cs="Times New Roman"/>
                <w:b/>
                <w:color w:val="000000"/>
                <w:sz w:val="22"/>
              </w:rPr>
              <w:t xml:space="preserve"> </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2.690.931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1.107.094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2.876.087 </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 - 10%</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 - 7%</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 - 15%</w:t>
            </w:r>
            <w:r/>
          </w:p>
        </w:tc>
      </w:tr>
      <w:tr>
        <w:trPr>
          <w:trHeight w:val="14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1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6" w:space="0"/>
              <w:right w:val="single" w:color="000000" w:sz="6" w:space="0"/>
            </w:tcBorders>
            <w:tcMar>
              <w:left w:w="0" w:type="dxa"/>
              <w:top w:w="0" w:type="dxa"/>
              <w:right w:w="0" w:type="dxa"/>
              <w:bottom w:w="0" w:type="dxa"/>
            </w:tcMar>
            <w:tcW w:w="143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6" w:space="0"/>
              <w:right w:val="single" w:color="000000" w:sz="6" w:space="0"/>
            </w:tcBorders>
            <w:tcMar>
              <w:left w:w="0" w:type="dxa"/>
              <w:top w:w="0" w:type="dxa"/>
              <w:right w:w="0" w:type="dxa"/>
              <w:bottom w:w="0" w:type="dxa"/>
            </w:tcMar>
            <w:tcW w:w="818"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57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620.984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474.469 </w:t>
            </w:r>
            <w:r/>
          </w:p>
        </w:tc>
        <w:tc>
          <w:tcPr>
            <w:shd w:val="clear" w:color="ffffff" w:fill="ffffff"/>
            <w:tcBorders>
              <w:bottom w:val="single" w:color="000000" w:sz="6" w:space="0"/>
              <w:right w:val="single" w:color="000000" w:sz="6" w:space="0"/>
            </w:tcBorders>
            <w:tcMar>
              <w:left w:w="0" w:type="dxa"/>
              <w:top w:w="0" w:type="dxa"/>
              <w:right w:w="0" w:type="dxa"/>
              <w:bottom w:w="0" w:type="dxa"/>
            </w:tcMar>
            <w:tcW w:w="16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763.043 </w:t>
            </w:r>
            <w:r/>
          </w:p>
        </w:tc>
      </w:tr>
    </w:tbl>
    <w:p>
      <w:pPr>
        <w:pBdr/>
        <w:spacing w:after="120" w:before="120" w:line="276" w:lineRule="auto"/>
        <w:ind/>
        <w:jc w:val="both"/>
        <w:rPr>
          <w:b/>
          <w:bCs/>
          <w:i/>
          <w:iCs/>
          <w:highlight w:val="none"/>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highlight w:val="none"/>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-10,6</w:t>
      </w:r>
      <w:r>
        <w:t xml:space="preserve">% đến</w:t>
      </w:r>
      <w:r>
        <w:t xml:space="preserve"> </w:t>
      </w:r>
      <w:r>
        <w:t xml:space="preserve">10,0</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Style w:val="1045"/>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11"/>
        <w:gridCol w:w="2215"/>
        <w:gridCol w:w="2222"/>
        <w:gridCol w:w="2219"/>
        <w:gridCol w:w="2222"/>
      </w:tblGrid>
      <w:tr>
        <w:trPr>
          <w:trHeight w:val="9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1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1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Mức giá chỉ dẫn của các TSSS</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Trọng số của các TSSS sau điều chỉnh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91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6" w:space="0"/>
              <w:right w:val="single" w:color="000000" w:sz="6" w:space="0"/>
            </w:tcBorders>
            <w:tcMar>
              <w:left w:w="0" w:type="dxa"/>
              <w:top w:w="0" w:type="dxa"/>
              <w:right w:w="0" w:type="dxa"/>
              <w:bottom w:w="0" w:type="dxa"/>
            </w:tcMar>
            <w:tcW w:w="2215"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1</w:t>
            </w:r>
            <w:r/>
          </w:p>
        </w:tc>
        <w:tc>
          <w:tcPr>
            <w:shd w:val="clear" w:color="ffffff" w:fill="ffffff"/>
            <w:tcBorders>
              <w:bottom w:val="single" w:color="000000" w:sz="6" w:space="0"/>
              <w:right w:val="single" w:color="000000" w:sz="6"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6.278.839</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2.092.946</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91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6" w:space="0"/>
              <w:right w:val="single" w:color="000000" w:sz="6" w:space="0"/>
            </w:tcBorders>
            <w:tcMar>
              <w:left w:w="0" w:type="dxa"/>
              <w:top w:w="0" w:type="dxa"/>
              <w:right w:w="0" w:type="dxa"/>
              <w:bottom w:w="0" w:type="dxa"/>
            </w:tcMar>
            <w:tcW w:w="2215"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2</w:t>
            </w:r>
            <w:r/>
          </w:p>
        </w:tc>
        <w:tc>
          <w:tcPr>
            <w:shd w:val="clear" w:color="ffffff" w:fill="ffffff"/>
            <w:tcBorders>
              <w:bottom w:val="single" w:color="000000" w:sz="6" w:space="0"/>
              <w:right w:val="single" w:color="000000" w:sz="6"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5.746.347</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1.915.449</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91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w:t>
            </w:r>
            <w:r/>
          </w:p>
        </w:tc>
        <w:tc>
          <w:tcPr>
            <w:shd w:val="clear" w:color="ffffff" w:fill="ffffff"/>
            <w:tcBorders>
              <w:bottom w:val="single" w:color="000000" w:sz="6" w:space="0"/>
              <w:right w:val="single" w:color="000000" w:sz="6" w:space="0"/>
            </w:tcBorders>
            <w:tcMar>
              <w:left w:w="0" w:type="dxa"/>
              <w:top w:w="0" w:type="dxa"/>
              <w:right w:w="0" w:type="dxa"/>
              <w:bottom w:w="0" w:type="dxa"/>
            </w:tcMar>
            <w:tcW w:w="2215"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5.106.522</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1.702.174</w:t>
            </w:r>
            <w:r/>
          </w:p>
        </w:tc>
      </w:tr>
      <w:tr>
        <w:trPr>
          <w:trHeight w:val="300"/>
        </w:trPr>
        <w:tc>
          <w:tcPr>
            <w:gridSpan w:val="4"/>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6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bình quân theo trọng số:</w:t>
            </w:r>
            <w:r/>
          </w:p>
        </w:tc>
        <w:tc>
          <w:tcPr>
            <w:shd w:val="clear" w:color="ffffff" w:fill="ffffff"/>
            <w:tcBorders>
              <w:bottom w:val="single" w:color="000000" w:sz="6" w:space="0"/>
              <w:right w:val="single" w:color="000000" w:sz="6"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5.710.569</w:t>
            </w:r>
            <w:r/>
          </w:p>
        </w:tc>
      </w:tr>
      <w:tr>
        <w:trPr>
          <w:trHeight w:val="300"/>
        </w:trPr>
        <w:tc>
          <w:tcPr>
            <w:gridSpan w:val="4"/>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6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shd w:val="clear" w:color="ffffff" w:fill="ffffff"/>
            <w:tcBorders>
              <w:bottom w:val="single" w:color="000000" w:sz="6" w:space="0"/>
              <w:right w:val="single" w:color="000000" w:sz="6" w:space="0"/>
            </w:tcBorders>
            <w:tcMar>
              <w:left w:w="0" w:type="dxa"/>
              <w:top w:w="0" w:type="dxa"/>
              <w:right w:w="0" w:type="dxa"/>
              <w:bottom w:w="0" w:type="dxa"/>
            </w:tcMar>
            <w:tcW w:w="222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5.710.000</w:t>
            </w:r>
            <w:r/>
          </w:p>
        </w:tc>
      </w:tr>
    </w:tbl>
    <w:p>
      <w:pPr>
        <w:pBdr/>
        <w:spacing w:after="120" w:before="120" w:line="276" w:lineRule="auto"/>
        <w:ind/>
        <w:jc w:val="both"/>
        <w:rPr>
          <w:b/>
          <w:bCs/>
          <w:highlight w:val="none"/>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5.710.000</w:t>
      </w:r>
      <w:r>
        <w:rPr>
          <w:b/>
          <w:bCs/>
          <w:color w:val="000000" w:themeColor="text1"/>
        </w:rPr>
        <w:t xml:space="preserve"> </w:t>
      </w:r>
      <w:r>
        <w:rPr>
          <w:b/>
          <w:bCs/>
        </w:rPr>
        <w:t xml:space="preserve">đồng/m².</w:t>
      </w:r>
      <w:r>
        <w:rPr>
          <w:b/>
          <w:bCs/>
          <w:highlight w:val="none"/>
        </w:rPr>
      </w:r>
      <w:r>
        <w:rPr>
          <w:b/>
          <w:bCs/>
          <w:highlight w:val="none"/>
        </w:rPr>
      </w:r>
    </w:p>
    <w:p>
      <w:pPr>
        <w:pStyle w:val="1041"/>
        <w:numPr>
          <w:ilvl w:val="0"/>
          <w:numId w:val="26"/>
        </w:numPr>
        <w:pBdr/>
        <w:spacing w:after="120" w:before="120" w:line="276" w:lineRule="auto"/>
        <w:ind w:hanging="357" w:left="357"/>
        <w:jc w:val="both"/>
        <w:rPr>
          <w:b/>
          <w:lang w:val="pt-BR"/>
        </w:rPr>
      </w:pPr>
      <w:r>
        <w:rPr>
          <w:b/>
          <w:lang w:val="pt-BR"/>
        </w:rPr>
        <w:t xml:space="preserve">Xác đinh đơn giá đất ở và đất trồng cây hàng năm khác nằm ngoài chỉ giới HLGT:</w:t>
      </w:r>
      <w:r>
        <w:rPr>
          <w:b/>
          <w:lang w:val="pt-BR"/>
        </w:rPr>
      </w:r>
      <w:r>
        <w:rPr>
          <w:b/>
          <w:lang w:val="pt-BR"/>
        </w:rPr>
      </w:r>
    </w:p>
    <w:p>
      <w:pPr>
        <w:pBdr>
          <w:top w:val="none" w:color="000000" w:sz="4" w:space="0"/>
          <w:left w:val="none" w:color="000000" w:sz="4" w:space="0"/>
          <w:bottom w:val="none" w:color="000000" w:sz="4" w:space="0"/>
          <w:right w:val="none" w:color="000000" w:sz="4" w:space="0"/>
        </w:pBdr>
        <w:spacing w:after="120" w:before="120" w:line="276" w:lineRule="auto"/>
        <w:ind w:right="0" w:firstLine="360" w:left="0"/>
        <w:jc w:val="both"/>
        <w:rPr/>
      </w:pPr>
      <w:r>
        <w:rPr>
          <w:rFonts w:ascii="Times New Roman" w:hAnsi="Times New Roman" w:eastAsia="Times New Roman" w:cs="Times New Roman"/>
          <w:color w:val="000000"/>
          <w:sz w:val="24"/>
        </w:rPr>
        <w:t xml:space="preserve">Khu vực tài sản thẩm định tọa lạc hạn chế giao dịch đất trồng cây lâu năm và đất ở riêng biệt mà hầu như chỉ có các giao dịch đất hỗn hợp, do vậy, cho mục đích định giá tại báo cáo này, Tổ thẩm định xác định giá trị đất trồng cây lâu năm và đất ở theo tỉ l</w:t>
      </w:r>
      <w:r>
        <w:rPr>
          <w:rFonts w:ascii="Times New Roman" w:hAnsi="Times New Roman" w:eastAsia="Times New Roman" w:cs="Times New Roman"/>
          <w:color w:val="000000"/>
          <w:sz w:val="24"/>
        </w:rPr>
        <w:t xml:space="preserve">ệ giữa giá đất trồng cây lâu năm với đất ở theo bảng giá UBND.</w:t>
      </w:r>
      <w:r/>
    </w:p>
    <w:p>
      <w:pPr>
        <w:pBdr>
          <w:top w:val="none" w:color="000000" w:sz="4" w:space="0"/>
          <w:left w:val="none" w:color="000000" w:sz="4" w:space="0"/>
          <w:bottom w:val="none" w:color="000000" w:sz="4" w:space="0"/>
          <w:right w:val="none" w:color="000000" w:sz="4" w:space="0"/>
        </w:pBdr>
        <w:spacing w:after="120" w:before="120" w:line="276" w:lineRule="auto"/>
        <w:ind w:right="0" w:firstLine="360" w:left="0"/>
        <w:jc w:val="both"/>
        <w:rPr/>
      </w:pPr>
      <w:r>
        <w:rPr>
          <w:rFonts w:ascii="Times New Roman" w:hAnsi="Times New Roman" w:eastAsia="Times New Roman" w:cs="Times New Roman"/>
          <w:color w:val="000000"/>
          <w:sz w:val="24"/>
        </w:rPr>
        <w:t xml:space="preserve">Vận dụng </w:t>
      </w:r>
      <w:r>
        <w:rPr>
          <w:rFonts w:ascii="Times New Roman" w:hAnsi="Times New Roman" w:eastAsia="Times New Roman" w:cs="Times New Roman"/>
          <w:color w:val="000000"/>
          <w:sz w:val="24"/>
          <w:highlight w:val="white"/>
        </w:rPr>
      </w:r>
      <w:r/>
      <w:r>
        <w:rPr>
          <w:rFonts w:ascii="Times New Roman" w:hAnsi="Times New Roman" w:eastAsia="Times New Roman" w:cs="Times New Roman"/>
          <w:color w:val="000000"/>
          <w:sz w:val="24"/>
        </w:rPr>
        <w:t xml:space="preserve">Nghị quyết số 40/2025/NQ-HĐND ngày 01/01/2026 của HĐND tỉnh Quảng Ngãi </w:t>
      </w:r>
      <w:r>
        <w:rPr>
          <w:rFonts w:ascii="Times New Roman" w:hAnsi="Times New Roman" w:eastAsia="Times New Roman" w:cs="Times New Roman"/>
          <w:color w:val="000000"/>
          <w:sz w:val="24"/>
        </w:rPr>
        <w:t xml:space="preserve">về việc </w:t>
      </w:r>
      <w:r>
        <w:rPr>
          <w:rFonts w:ascii="Times New Roman" w:hAnsi="Times New Roman" w:eastAsia="Times New Roman" w:cs="Times New Roman"/>
          <w:color w:val="000000"/>
          <w:sz w:val="24"/>
        </w:rPr>
        <w:t xml:space="preserve">quy định tiêu chí cụ thể để xác định vị trí từng loại đất, số lượng vị trí trong bảng giá đất; Quyết định bảng giá đất lần đầu trên địa bàn tỉnh Quảng Ngãi</w:t>
      </w:r>
      <w:r/>
      <w:r/>
      <w:r/>
      <w:r>
        <w:rPr>
          <w:rFonts w:ascii="Times New Roman" w:hAnsi="Times New Roman" w:eastAsia="Times New Roman" w:cs="Times New Roman"/>
          <w:color w:val="000000"/>
          <w:sz w:val="24"/>
          <w:highlight w:val="white"/>
        </w:rPr>
      </w:r>
      <w:r>
        <w:rPr>
          <w:rFonts w:ascii="Arial" w:hAnsi="Arial" w:eastAsia="Arial" w:cs="Arial"/>
          <w:color w:val="333333"/>
          <w:sz w:val="21"/>
          <w:highlight w:val="white"/>
        </w:rPr>
        <w:t xml:space="preserve">.</w:t>
      </w: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 Đơn</w:t>
      </w:r>
      <w:r>
        <w:rPr>
          <w:rFonts w:ascii="Times New Roman" w:hAnsi="Times New Roman" w:eastAsia="Times New Roman" w:cs="Times New Roman"/>
          <w:color w:val="000000"/>
          <w:sz w:val="24"/>
        </w:rPr>
        <w:t xml:space="preserve"> giá đất ở tại vị trí 1: “Đất mặt tiền đường QL 1A đoạn từ ngã 3 đường tránh QL 1A đến giáp ranh tỉnh Gia Lai” có </w:t>
      </w:r>
      <w:r>
        <w:rPr>
          <w:rFonts w:ascii="Times New Roman" w:hAnsi="Times New Roman" w:eastAsia="Times New Roman" w:cs="Times New Roman"/>
          <w:color w:val="000000"/>
          <w:sz w:val="24"/>
        </w:rPr>
        <w:t xml:space="preserve">đơn giá là: </w:t>
      </w:r>
      <w:r>
        <w:rPr>
          <w:rFonts w:ascii="Times New Roman" w:hAnsi="Times New Roman" w:eastAsia="Times New Roman" w:cs="Times New Roman"/>
          <w:b/>
          <w:color w:val="000000"/>
          <w:sz w:val="24"/>
        </w:rPr>
        <w:t xml:space="preserve">3.960.000 đồng</w:t>
      </w: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 Đơn giá đất trồn</w:t>
      </w:r>
      <w:r>
        <w:rPr>
          <w:rFonts w:ascii="Times New Roman" w:hAnsi="Times New Roman" w:eastAsia="Times New Roman" w:cs="Times New Roman"/>
          <w:color w:val="000000"/>
          <w:sz w:val="24"/>
        </w:rPr>
        <w:t xml:space="preserve">g cây hàng nă</w:t>
      </w:r>
      <w:r>
        <w:rPr>
          <w:rFonts w:ascii="Times New Roman" w:hAnsi="Times New Roman" w:eastAsia="Times New Roman" w:cs="Times New Roman"/>
          <w:color w:val="000000"/>
          <w:sz w:val="24"/>
        </w:rPr>
        <w:t xml:space="preserve">m khác tại phường Sa Huỳnh: </w:t>
      </w:r>
      <w:r>
        <w:rPr>
          <w:rFonts w:ascii="Times New Roman" w:hAnsi="Times New Roman" w:eastAsia="Times New Roman" w:cs="Times New Roman"/>
          <w:b/>
          <w:color w:val="000000"/>
          <w:sz w:val="24"/>
        </w:rPr>
        <w:t xml:space="preserve">75.000 đồng/m².</w:t>
      </w:r>
      <w:r/>
    </w:p>
    <w:p>
      <w:pPr>
        <w:pBdr>
          <w:top w:val="none" w:color="000000" w:sz="4" w:space="0"/>
          <w:left w:val="none" w:color="000000" w:sz="4" w:space="0"/>
          <w:bottom w:val="none" w:color="000000" w:sz="4" w:space="0"/>
          <w:right w:val="none" w:color="000000" w:sz="4" w:space="0"/>
        </w:pBdr>
        <w:tabs>
          <w:tab w:val="left" w:leader="none" w:pos="426"/>
        </w:tabs>
        <w:spacing w:after="120" w:before="120"/>
        <w:ind w:right="0" w:firstLine="0" w:left="0"/>
        <w:jc w:val="both"/>
        <w:rPr/>
      </w:pPr>
      <w:r>
        <w:rPr>
          <w:rFonts w:ascii="Times New Roman" w:hAnsi="Times New Roman" w:eastAsia="Times New Roman" w:cs="Times New Roman"/>
          <w:color w:val="000000"/>
          <w:sz w:val="24"/>
        </w:rPr>
        <w:t xml:space="preserve">Gọi đơn giá đất ở là X, đơn giá đất trồng cây lâu năm là Y ta có tổng giá trị quyền sử dụng đất là:</w:t>
      </w:r>
      <w:r/>
    </w:p>
    <w:p>
      <w:pPr>
        <w:pBdr>
          <w:top w:val="none" w:color="000000" w:sz="4" w:space="0"/>
          <w:left w:val="none" w:color="000000" w:sz="4" w:space="0"/>
          <w:bottom w:val="none" w:color="000000" w:sz="4" w:space="0"/>
          <w:right w:val="none" w:color="000000" w:sz="4" w:space="0"/>
        </w:pBdr>
        <w:tabs>
          <w:tab w:val="left" w:leader="none" w:pos="426"/>
          <w:tab w:val="left" w:leader="none" w:pos="851"/>
        </w:tabs>
        <w:spacing w:after="120" w:before="120"/>
        <w:ind w:right="0" w:firstLine="284" w:left="0"/>
        <w:jc w:val="both"/>
        <w:rPr/>
      </w:pPr>
      <w:r>
        <w:rPr>
          <w:rFonts w:ascii="Times New Roman" w:hAnsi="Times New Roman" w:eastAsia="Times New Roman" w:cs="Times New Roman"/>
          <w:color w:val="000000"/>
          <w:sz w:val="24"/>
        </w:rPr>
        <w:tab/>
        <w:tab/>
        <w:t xml:space="preserve">100*X + 200,6*Y = 5.710.000 * 300,6</w:t>
      </w:r>
      <w:r/>
    </w:p>
    <w:p>
      <w:pPr>
        <w:pBdr>
          <w:top w:val="none" w:color="000000" w:sz="4" w:space="0"/>
          <w:left w:val="none" w:color="000000" w:sz="4" w:space="0"/>
          <w:bottom w:val="none" w:color="000000" w:sz="4" w:space="0"/>
          <w:right w:val="none" w:color="000000" w:sz="4" w:space="0"/>
        </w:pBdr>
        <w:tabs>
          <w:tab w:val="left" w:leader="none" w:pos="851"/>
        </w:tabs>
        <w:spacing w:after="120" w:before="120"/>
        <w:ind w:right="0" w:firstLine="0" w:left="0"/>
        <w:jc w:val="both"/>
        <w:rPr/>
      </w:pPr>
      <w:r>
        <w:rPr>
          <w:rFonts w:ascii="Times New Roman" w:hAnsi="Times New Roman" w:eastAsia="Times New Roman" w:cs="Times New Roman"/>
          <w:color w:val="000000"/>
          <w:sz w:val="24"/>
        </w:rPr>
        <w:t xml:space="preserve">   </w:t>
        <w:tab/>
        <w:t xml:space="preserve">100*X + 200,6*Y = 1.716.426.000</w:t>
      </w:r>
      <w:r>
        <w:rPr>
          <w:rFonts w:ascii="Times New Roman" w:hAnsi="Times New Roman" w:eastAsia="Times New Roman" w:cs="Times New Roman"/>
          <w:color w:val="000000"/>
          <w:sz w:val="20"/>
          <w:vertAlign w:val="superscript"/>
        </w:rPr>
        <w:t xml:space="preserve">(1)</w:t>
      </w:r>
      <w:r/>
    </w:p>
    <w:p>
      <w:pPr>
        <w:pBdr>
          <w:top w:val="none" w:color="000000" w:sz="4" w:space="0"/>
          <w:left w:val="none" w:color="000000" w:sz="4" w:space="0"/>
          <w:bottom w:val="none" w:color="000000" w:sz="4" w:space="0"/>
          <w:right w:val="none" w:color="000000" w:sz="4" w:space="0"/>
        </w:pBdr>
        <w:tabs>
          <w:tab w:val="left" w:leader="none" w:pos="426"/>
        </w:tabs>
        <w:spacing w:after="120" w:before="120"/>
        <w:ind w:right="0" w:firstLine="0" w:left="0"/>
        <w:jc w:val="both"/>
        <w:rPr/>
      </w:pPr>
      <w:r>
        <w:rPr>
          <w:rFonts w:ascii="Times New Roman" w:hAnsi="Times New Roman" w:eastAsia="Times New Roman" w:cs="Times New Roman"/>
          <w:color w:val="000000"/>
          <w:sz w:val="24"/>
        </w:rPr>
        <w:t xml:space="preserve">Theo chênh lệch giá đất ở so với đất trồng cây hàng năm khác theo giá UBND:</w:t>
      </w:r>
      <w:r/>
    </w:p>
    <w:p>
      <w:pPr>
        <w:pBdr>
          <w:top w:val="none" w:color="000000" w:sz="4" w:space="0"/>
          <w:left w:val="none" w:color="000000" w:sz="4" w:space="0"/>
          <w:bottom w:val="none" w:color="000000" w:sz="4" w:space="0"/>
          <w:right w:val="none" w:color="000000" w:sz="4" w:space="0"/>
        </w:pBdr>
        <w:tabs>
          <w:tab w:val="left" w:leader="none" w:pos="851"/>
        </w:tabs>
        <w:spacing w:after="120" w:before="120"/>
        <w:ind w:right="0" w:firstLine="284" w:left="0"/>
        <w:jc w:val="both"/>
        <w:rPr/>
      </w:pPr>
      <w:r>
        <w:rPr>
          <w:rFonts w:ascii="Times New Roman" w:hAnsi="Times New Roman" w:eastAsia="Times New Roman" w:cs="Times New Roman"/>
          <w:color w:val="000000"/>
          <w:sz w:val="24"/>
        </w:rPr>
        <w:tab/>
        <w:t xml:space="preserve">X – Y = 3.960.000 - 75.000</w:t>
      </w:r>
      <w:r/>
    </w:p>
    <w:p>
      <w:pPr>
        <w:pBdr>
          <w:top w:val="none" w:color="000000" w:sz="4" w:space="0"/>
          <w:left w:val="none" w:color="000000" w:sz="4" w:space="0"/>
          <w:bottom w:val="none" w:color="000000" w:sz="4" w:space="0"/>
          <w:right w:val="none" w:color="000000" w:sz="4" w:space="0"/>
        </w:pBdr>
        <w:tabs>
          <w:tab w:val="left" w:leader="none" w:pos="851"/>
        </w:tabs>
        <w:spacing w:after="120" w:before="120"/>
        <w:ind w:right="0" w:firstLine="0" w:left="0"/>
        <w:jc w:val="both"/>
        <w:rPr/>
      </w:pPr>
      <w:r>
        <w:rPr>
          <w:rFonts w:ascii="Times New Roman" w:hAnsi="Times New Roman" w:eastAsia="Times New Roman" w:cs="Times New Roman"/>
          <w:color w:val="000000"/>
          <w:sz w:val="24"/>
        </w:rPr>
        <w:t xml:space="preserve">  </w:t>
        <w:tab/>
        <w:t xml:space="preserve">X – Y = 3.885.000 </w:t>
      </w:r>
      <w:r>
        <w:rPr>
          <w:rFonts w:ascii="Times New Roman" w:hAnsi="Times New Roman" w:eastAsia="Times New Roman" w:cs="Times New Roman"/>
          <w:color w:val="000000"/>
          <w:sz w:val="20"/>
          <w:vertAlign w:val="superscript"/>
        </w:rPr>
        <w:t xml:space="preserve">(2)</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Từ (1) và (2) suy ra : X = </w:t>
      </w:r>
      <w:r>
        <w:rPr>
          <w:rFonts w:ascii="Times New Roman" w:hAnsi="Times New Roman" w:eastAsia="Times New Roman" w:cs="Times New Roman"/>
          <w:b/>
          <w:color w:val="000000"/>
          <w:sz w:val="24"/>
        </w:rPr>
        <w:t xml:space="preserve">8.302.585 đồng/m</w:t>
      </w:r>
      <w:r>
        <w:rPr>
          <w:rFonts w:ascii="Times New Roman" w:hAnsi="Times New Roman" w:eastAsia="Times New Roman" w:cs="Times New Roman"/>
          <w:b/>
          <w:color w:val="000000"/>
          <w:sz w:val="20"/>
          <w:vertAlign w:val="superscript"/>
        </w:rPr>
        <w:t xml:space="preserve">2</w:t>
      </w:r>
      <w:r>
        <w:rPr>
          <w:rFonts w:ascii="Times New Roman" w:hAnsi="Times New Roman" w:eastAsia="Times New Roman" w:cs="Times New Roman"/>
          <w:b/>
          <w:color w:val="000000"/>
          <w:sz w:val="24"/>
        </w:rPr>
        <w:t xml:space="preserve"> </w:t>
      </w:r>
      <w:r>
        <w:rPr>
          <w:rFonts w:ascii="Times New Roman" w:hAnsi="Times New Roman" w:eastAsia="Times New Roman" w:cs="Times New Roman"/>
          <w:color w:val="000000"/>
          <w:sz w:val="24"/>
        </w:rPr>
        <w:t xml:space="preserve">và Y =</w:t>
      </w:r>
      <w:r>
        <w:rPr>
          <w:rFonts w:ascii="Times New Roman" w:hAnsi="Times New Roman" w:eastAsia="Times New Roman" w:cs="Times New Roman"/>
          <w:b/>
          <w:color w:val="000000"/>
          <w:sz w:val="24"/>
        </w:rPr>
        <w:t xml:space="preserve"> 4.417.585 đồng/m</w:t>
      </w:r>
      <w:r>
        <w:rPr>
          <w:rFonts w:ascii="Times New Roman" w:hAnsi="Times New Roman" w:eastAsia="Times New Roman" w:cs="Times New Roman"/>
          <w:b/>
          <w:color w:val="000000"/>
          <w:sz w:val="20"/>
          <w:vertAlign w:val="superscript"/>
        </w:rPr>
        <w:t xml:space="preserve">2</w:t>
      </w:r>
      <w:r>
        <w:rPr>
          <w:rFonts w:ascii="Times New Roman" w:hAnsi="Times New Roman" w:eastAsia="Times New Roman" w:cs="Times New Roman"/>
          <w:sz w:val="24"/>
        </w:rPr>
      </w:r>
      <w:r/>
    </w:p>
    <w:p>
      <w:pPr>
        <w:pStyle w:val="1041"/>
        <w:numPr>
          <w:ilvl w:val="0"/>
          <w:numId w:val="26"/>
        </w:numPr>
        <w:pBdr/>
        <w:spacing w:after="120" w:before="120" w:line="276" w:lineRule="auto"/>
        <w:ind w:hanging="357" w:left="357"/>
        <w:jc w:val="both"/>
        <w:rPr>
          <w:b/>
          <w:bCs/>
          <w:lang w:val="pt-BR"/>
        </w:rPr>
      </w:pPr>
      <w:r>
        <w:rPr>
          <w:b/>
          <w:highlight w:val="none"/>
          <w:lang w:val="pt-BR" w:bidi="pt-BR"/>
        </w:rPr>
      </w:r>
      <w:r>
        <w:rPr>
          <w:b/>
          <w:highlight w:val="none"/>
          <w:lang w:val="pt-BR" w:bidi="pt-BR"/>
        </w:rPr>
        <w:t xml:space="preserve">Xác đinh đơn giá đất trồng cây hàng năm khác nằm trong chỉ giới HLGT:</w:t>
      </w:r>
      <w:r>
        <w:rPr>
          <w:b/>
          <w:bCs/>
          <w:lang w:val="pt-BR"/>
        </w:rPr>
      </w:r>
      <w:r>
        <w:rPr>
          <w:b/>
          <w:bCs/>
          <w:lang w:val="pt-BR"/>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Cho mục đích định giá tại báo cáo này, đối với đất nằm trong chỉ giới HLGT, tổ thẩm định xác định là đất trồng cây hàng năm khác, tổ thẩm định đề xuất xác định theo Bảng giá đất của UBND tỉnh Quảng Ngãi.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Căn cứ Nghị quyết số 40/2025/NQ-HĐND ngày 01/01/2026 của HĐND tỉnh Quảng Ngãi </w:t>
      </w:r>
      <w:r>
        <w:rPr>
          <w:rFonts w:ascii="Times New Roman" w:hAnsi="Times New Roman" w:eastAsia="Times New Roman" w:cs="Times New Roman"/>
          <w:color w:val="000000"/>
          <w:sz w:val="24"/>
        </w:rPr>
        <w:t xml:space="preserve">về việc </w:t>
      </w:r>
      <w:r>
        <w:rPr>
          <w:rFonts w:ascii="Times New Roman" w:hAnsi="Times New Roman" w:eastAsia="Times New Roman" w:cs="Times New Roman"/>
          <w:color w:val="000000"/>
          <w:sz w:val="24"/>
        </w:rPr>
        <w:t xml:space="preserve">quy định tiêu chí cụ thể để xác định vị trí từng loại đất, số lượng vị trí trong bảng giá đất; Quyết định bảng giá đất lần đầu trên địa bàn tỉnh Quảng Ngãi</w:t>
      </w:r>
      <w:r>
        <w:rPr>
          <w:rFonts w:ascii="Times New Roman" w:hAnsi="Times New Roman" w:eastAsia="Times New Roman" w:cs="Times New Roman"/>
          <w:color w:val="000000"/>
          <w:sz w:val="24"/>
        </w:rPr>
        <w:t xml:space="preserve">, đơn giá đất trồng cây hàng năm khác tại phường Sa Huỳnh là: </w:t>
      </w:r>
      <w:r>
        <w:rPr>
          <w:rFonts w:ascii="Times New Roman" w:hAnsi="Times New Roman" w:eastAsia="Times New Roman" w:cs="Times New Roman"/>
          <w:b/>
          <w:color w:val="000000"/>
          <w:sz w:val="24"/>
        </w:rPr>
        <w:t xml:space="preserve">75.000 đồng/m</w:t>
      </w:r>
      <w:r>
        <w:rPr>
          <w:rFonts w:ascii="Times New Roman" w:hAnsi="Times New Roman" w:eastAsia="Times New Roman" w:cs="Times New Roman"/>
          <w:b/>
          <w:color w:val="000000"/>
          <w:sz w:val="20"/>
          <w:vertAlign w:val="superscript"/>
        </w:rPr>
        <w:t xml:space="preserve">2</w:t>
      </w:r>
      <w:r>
        <w:rPr>
          <w:rFonts w:ascii="Times New Roman" w:hAnsi="Times New Roman" w:eastAsia="Times New Roman" w:cs="Times New Roman"/>
          <w:b/>
          <w:color w:val="000000"/>
          <w:sz w:val="24"/>
        </w:rPr>
        <w:t xml:space="preserve">.</w:t>
      </w:r>
      <w:r>
        <w:rPr>
          <w:rFonts w:ascii="Times New Roman" w:hAnsi="Times New Roman" w:eastAsia="Times New Roman" w:cs="Times New Roman"/>
          <w:sz w:val="24"/>
        </w:rPr>
      </w:r>
      <w:r/>
    </w:p>
    <w:p>
      <w:pPr>
        <w:pStyle w:val="1041"/>
        <w:numPr>
          <w:ilvl w:val="0"/>
          <w:numId w:val="26"/>
        </w:numPr>
        <w:pBdr/>
        <w:spacing w:after="120" w:before="120" w:line="276" w:lineRule="auto"/>
        <w:ind w:hanging="357" w:left="357"/>
        <w:jc w:val="both"/>
        <w:rPr>
          <w:b/>
          <w:bCs/>
          <w:lang w:val="pt-BR"/>
        </w:rPr>
      </w:pPr>
      <w:r>
        <w:rPr>
          <w:b/>
          <w:highlight w:val="none"/>
          <w:lang w:val="pt-BR" w:bidi="pt-BR"/>
        </w:rPr>
      </w:r>
      <w:r>
        <w:rPr>
          <w:b/>
          <w:highlight w:val="none"/>
          <w:lang w:val="pt-BR" w:bidi="pt-BR"/>
        </w:rPr>
        <w:t xml:space="preserve">Kết quả thẩm đinh giá:</w:t>
      </w:r>
      <w:r>
        <w:rPr>
          <w:b/>
          <w:highlight w:val="none"/>
          <w:lang w:val="pt-BR" w:bidi="pt-BR"/>
        </w:rPr>
      </w:r>
      <w:r>
        <w:rPr>
          <w:b/>
          <w:bCs/>
          <w:lang w:val="pt-BR"/>
        </w:rPr>
      </w:r>
    </w:p>
    <w:p>
      <w:pPr>
        <w:pStyle w:val="1041"/>
        <w:pBdr/>
        <w:tabs>
          <w:tab w:val="left" w:leader="none" w:pos="993"/>
          <w:tab w:val="left" w:leader="none" w:pos="324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05/2026</w:t>
      </w:r>
      <w:r>
        <w:t xml:space="preserve"> </w:t>
      </w:r>
      <w:r>
        <w:t xml:space="preserve">ước tính </w:t>
      </w:r>
      <w:r>
        <w:t xml:space="preserve">như sau</w:t>
      </w:r>
      <w:r>
        <w:t xml:space="preserve">:</w:t>
      </w:r>
      <w:r>
        <w:tab/>
      </w:r>
      <w:r>
        <w:rPr>
          <w:highlight w:val="none"/>
        </w:rP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595"/>
        <w:gridCol w:w="3260"/>
        <w:gridCol w:w="1559"/>
        <w:gridCol w:w="1947"/>
        <w:gridCol w:w="2164"/>
      </w:tblGrid>
      <w:tr>
        <w:trPr>
          <w:trHeight w:val="20"/>
        </w:trPr>
        <w:tc>
          <w:tcPr>
            <w:shd w:val="clear" w:color="000000" w:fill="ffffff"/>
            <w:tcBorders/>
            <w:tcW w:w="595"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3260"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559"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947"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95"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766" w:type="dxa"/>
            <w:vAlign w:val="center"/>
            <w:textDirection w:val="lrTb"/>
            <w:noWrap w:val="false"/>
          </w:tcPr>
          <w:p>
            <w:pPr>
              <w:pBdr/>
              <w:spacing w:after="40" w:before="40" w:line="288" w:lineRule="auto"/>
              <w:ind/>
              <w:jc w:val="both"/>
              <w:rPr>
                <w:b/>
                <w:bCs/>
              </w:rPr>
            </w:pPr>
            <w:r>
              <w:rPr>
                <w:color w:val="000000"/>
              </w:rPr>
            </w:r>
            <w:r>
              <w:rPr>
                <w:b/>
                <w:bCs/>
              </w:rPr>
              <w:t xml:space="preserve">Q</w:t>
            </w:r>
            <w:r>
              <w:rPr>
                <w:b/>
                <w:bCs/>
              </w:rPr>
              <w:t xml:space="preserve">uyền sử dụng đất tại thửa đất số 99, tờ bản đồ số: 87, có địa chỉ: Tổ dân phố Hưng Long, phường Sa Huỳnh, tỉnh Quảng Ngãi theo Giấy chứng nhận Quyền sử dụng đất, quyền sở hữu tài sản gắn liền với đất số: AA 06934846, số vào sổ cấp GCN: CN 6612 do Chi nhánh</w:t>
            </w:r>
            <w:r>
              <w:rPr>
                <w:b/>
                <w:bCs/>
              </w:rPr>
              <w:t xml:space="preserve"> văn phòng đất đai khu vực II cấp ngày 17/4/2026, Chủ sử dụng đất là ông Nguyễn Hoàng Nguyên</w:t>
            </w:r>
            <w:r>
              <w:rPr>
                <w:b/>
                <w:bCs/>
                <w:color w:val="000000"/>
              </w:rPr>
              <w:t xml:space="preserve">.</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95" w:type="dxa"/>
            <w:vAlign w:val="center"/>
            <w:textDirection w:val="lrTb"/>
            <w:noWrap w:val="false"/>
          </w:tcPr>
          <w:p>
            <w:pPr>
              <w:pBdr/>
              <w:spacing w:after="40" w:before="40" w:line="288" w:lineRule="auto"/>
              <w:ind/>
              <w:jc w:val="center"/>
              <w:rPr>
                <w:b w:val="0"/>
                <w:bCs w:val="0"/>
              </w:rPr>
            </w:pPr>
            <w:r>
              <w:rPr>
                <w:b w:val="0"/>
                <w:bCs w:val="0"/>
              </w:rPr>
              <w:t xml:space="preserve">-</w:t>
            </w:r>
            <w:r>
              <w:rPr>
                <w:b w:val="0"/>
                <w:bCs w:val="0"/>
              </w:rPr>
            </w:r>
          </w:p>
        </w:tc>
        <w:tc>
          <w:tcPr>
            <w:shd w:val="clear" w:color="000000" w:fill="ffffff"/>
            <w:tcBorders/>
            <w:tcW w:w="3260" w:type="dxa"/>
            <w:vAlign w:val="center"/>
            <w:textDirection w:val="lrTb"/>
            <w:noWrap w:val="false"/>
          </w:tcPr>
          <w:p>
            <w:pPr>
              <w:pBdr/>
              <w:tabs>
                <w:tab w:val="center" w:leader="none" w:pos="905"/>
              </w:tabs>
              <w:spacing w:after="40" w:before="40" w:line="288" w:lineRule="auto"/>
              <w:ind/>
              <w:rPr>
                <w:b w:val="0"/>
                <w:bCs w:val="0"/>
              </w:rPr>
            </w:pPr>
            <w:r>
              <w:rPr>
                <w:b w:val="0"/>
                <w:bCs w:val="0"/>
              </w:rPr>
              <w:t xml:space="preserve">Đất ở tại đô thị</w:t>
            </w:r>
            <w:r>
              <w:rPr>
                <w:b w:val="0"/>
                <w:bCs w:val="0"/>
              </w:rPr>
              <w:tab/>
            </w:r>
            <w:r>
              <w:rPr>
                <w:b w:val="0"/>
                <w:bCs w:val="0"/>
              </w:rPr>
            </w:r>
          </w:p>
        </w:tc>
        <w:tc>
          <w:tcPr>
            <w:tcBorders/>
            <w:tcW w:w="1559" w:type="dxa"/>
            <w:vAlign w:val="center"/>
            <w:textDirection w:val="lrTb"/>
            <w:noWrap/>
          </w:tcPr>
          <w:p>
            <w:pPr>
              <w:pBdr/>
              <w:spacing w:after="40" w:before="40" w:line="288" w:lineRule="auto"/>
              <w:ind/>
              <w:jc w:val="center"/>
              <w:rPr>
                <w:color w:val="000000"/>
              </w:rPr>
            </w:pPr>
            <w:r>
              <w:rPr>
                <w:color w:val="000000" w:themeColor="text1"/>
              </w:rPr>
              <w:t xml:space="preserve">100</w:t>
            </w:r>
            <w:r>
              <w:rPr>
                <w:color w:val="000000"/>
              </w:rPr>
            </w:r>
            <w:r>
              <w:rPr>
                <w:color w:val="000000"/>
              </w:rPr>
            </w:r>
          </w:p>
        </w:tc>
        <w:tc>
          <w:tcPr>
            <w:shd w:val="clear" w:color="000000" w:fill="ffffff"/>
            <w:tcBorders/>
            <w:tcW w:w="1947" w:type="dxa"/>
            <w:vAlign w:val="center"/>
            <w:textDirection w:val="lrTb"/>
            <w:noWrap w:val="false"/>
          </w:tcPr>
          <w:p>
            <w:pPr>
              <w:pBdr/>
              <w:spacing w:after="40" w:before="40" w:line="288" w:lineRule="auto"/>
              <w:ind/>
              <w:jc w:val="center"/>
              <w:rPr/>
            </w:pPr>
            <w:r>
              <w:rPr>
                <w:color w:val="000000" w:themeColor="text1"/>
              </w:rPr>
              <w:t xml:space="preserve">8.302.585</w:t>
            </w:r>
            <w:r/>
          </w:p>
        </w:tc>
        <w:tc>
          <w:tcPr>
            <w:shd w:val="clear" w:color="000000" w:fill="ffffff"/>
            <w:tcBorders/>
            <w:tcW w:w="2164" w:type="dxa"/>
            <w:vAlign w:val="center"/>
            <w:textDirection w:val="lrTb"/>
            <w:noWrap w:val="false"/>
          </w:tcPr>
          <w:p>
            <w:pPr>
              <w:pBdr/>
              <w:spacing w:after="40" w:before="40" w:line="288" w:lineRule="auto"/>
              <w:ind/>
              <w:jc w:val="center"/>
              <w:rPr/>
            </w:pPr>
            <w:r>
              <w:rPr>
                <w:color w:val="000000" w:themeColor="text1"/>
              </w:rPr>
              <w:t xml:space="preserve">830.258.500</w:t>
            </w:r>
            <w:r/>
          </w:p>
        </w:tc>
      </w:tr>
      <w:tr>
        <w:trPr>
          <w:trHeight w:val="20"/>
        </w:trPr>
        <w:tc>
          <w:tcPr>
            <w:shd w:val="clear" w:color="000000" w:fill="ffffff"/>
            <w:tcBorders/>
            <w:tcW w:w="595" w:type="dxa"/>
            <w:vAlign w:val="center"/>
            <w:textDirection w:val="lrTb"/>
            <w:noWrap w:val="false"/>
          </w:tcPr>
          <w:p>
            <w:pPr>
              <w:pBdr/>
              <w:spacing w:after="40" w:before="40" w:line="288" w:lineRule="auto"/>
              <w:ind/>
              <w:jc w:val="center"/>
              <w:rPr>
                <w:b w:val="0"/>
                <w:bCs w:val="0"/>
              </w:rPr>
            </w:pPr>
            <w:r>
              <w:rPr>
                <w:b w:val="0"/>
                <w:bCs w:val="0"/>
              </w:rPr>
              <w:t xml:space="preserve">-</w:t>
            </w:r>
            <w:r>
              <w:rPr>
                <w:b w:val="0"/>
                <w:bCs w:val="0"/>
              </w:rPr>
            </w:r>
          </w:p>
        </w:tc>
        <w:tc>
          <w:tcPr>
            <w:shd w:val="clear" w:color="000000" w:fill="ffffff"/>
            <w:tcBorders/>
            <w:tcW w:w="3260" w:type="dxa"/>
            <w:vAlign w:val="center"/>
            <w:textDirection w:val="lrTb"/>
            <w:noWrap w:val="false"/>
          </w:tcPr>
          <w:p>
            <w:pPr>
              <w:pBdr/>
              <w:spacing w:after="40" w:before="40" w:line="288" w:lineRule="auto"/>
              <w:ind/>
              <w:rPr>
                <w:b w:val="0"/>
                <w:bCs w:val="0"/>
              </w:rPr>
            </w:pPr>
            <w:r>
              <w:rPr>
                <w:b w:val="0"/>
                <w:bCs w:val="0"/>
              </w:rPr>
              <w:t xml:space="preserve">Đất trồng cây hàng năm khác nằm ngoài chỉ giới HLGT</w:t>
            </w:r>
            <w:r>
              <w:rPr>
                <w:b w:val="0"/>
                <w:bCs w:val="0"/>
              </w:rPr>
            </w:r>
          </w:p>
        </w:tc>
        <w:tc>
          <w:tcPr>
            <w:tcBorders/>
            <w:tcW w:w="1559" w:type="dxa"/>
            <w:vAlign w:val="center"/>
            <w:textDirection w:val="lrTb"/>
            <w:noWrap/>
          </w:tcPr>
          <w:p>
            <w:pPr>
              <w:pBdr/>
              <w:spacing w:after="40" w:before="40" w:line="288" w:lineRule="auto"/>
              <w:ind/>
              <w:jc w:val="center"/>
              <w:rPr>
                <w:color w:val="000000"/>
              </w:rPr>
            </w:pPr>
            <w:r>
              <w:rPr>
                <w:color w:val="000000" w:themeColor="text1"/>
              </w:rPr>
              <w:t xml:space="preserve">200,6</w:t>
            </w:r>
            <w:r>
              <w:rPr>
                <w:color w:val="000000"/>
              </w:rPr>
            </w:r>
            <w:r>
              <w:rPr>
                <w:color w:val="000000"/>
              </w:rPr>
            </w:r>
          </w:p>
        </w:tc>
        <w:tc>
          <w:tcPr>
            <w:shd w:val="clear" w:color="000000" w:fill="ffffff"/>
            <w:tcBorders/>
            <w:tcW w:w="1947" w:type="dxa"/>
            <w:vAlign w:val="center"/>
            <w:textDirection w:val="lrTb"/>
            <w:noWrap w:val="false"/>
          </w:tcPr>
          <w:p>
            <w:pPr>
              <w:pBdr/>
              <w:spacing w:after="40" w:before="40" w:line="288" w:lineRule="auto"/>
              <w:ind/>
              <w:jc w:val="center"/>
              <w:rPr/>
            </w:pPr>
            <w:r>
              <w:rPr>
                <w:color w:val="000000" w:themeColor="text1"/>
              </w:rPr>
              <w:t xml:space="preserve">4.417.585</w:t>
            </w:r>
            <w:r/>
          </w:p>
        </w:tc>
        <w:tc>
          <w:tcPr>
            <w:shd w:val="clear" w:color="000000" w:fill="ffffff"/>
            <w:tcBorders/>
            <w:tcW w:w="2164" w:type="dxa"/>
            <w:vAlign w:val="center"/>
            <w:textDirection w:val="lrTb"/>
            <w:noWrap w:val="false"/>
          </w:tcPr>
          <w:p>
            <w:pPr>
              <w:pBdr/>
              <w:spacing w:after="40" w:before="40" w:line="288" w:lineRule="auto"/>
              <w:ind/>
              <w:jc w:val="center"/>
              <w:rPr/>
            </w:pPr>
            <w:r>
              <w:rPr>
                <w:color w:val="000000" w:themeColor="text1"/>
              </w:rPr>
              <w:t xml:space="preserve">886.167.551</w:t>
            </w:r>
            <w:r/>
          </w:p>
        </w:tc>
      </w:tr>
      <w:tr>
        <w:trPr>
          <w:trHeight w:val="20"/>
        </w:trPr>
        <w:tc>
          <w:tcPr>
            <w:shd w:val="clear" w:color="000000" w:fill="ffffff"/>
            <w:tcBorders/>
            <w:tcW w:w="595" w:type="dxa"/>
            <w:vAlign w:val="center"/>
            <w:vMerge w:val="restart"/>
            <w:textDirection w:val="lrTb"/>
            <w:noWrap w:val="false"/>
          </w:tcPr>
          <w:p>
            <w:pPr>
              <w:pBdr/>
              <w:spacing w:after="40" w:before="40" w:line="288" w:lineRule="auto"/>
              <w:ind/>
              <w:jc w:val="center"/>
              <w:rPr>
                <w:b w:val="0"/>
                <w:bCs w:val="0"/>
              </w:rPr>
            </w:pPr>
            <w:r>
              <w:rPr>
                <w:b w:val="0"/>
                <w:bCs w:val="0"/>
              </w:rPr>
              <w:t xml:space="preserve">-</w:t>
            </w:r>
            <w:r>
              <w:rPr>
                <w:b w:val="0"/>
                <w:bCs w:val="0"/>
              </w:rPr>
            </w:r>
            <w:r>
              <w:rPr>
                <w:b w:val="0"/>
                <w:bCs w:val="0"/>
              </w:rPr>
            </w:r>
          </w:p>
        </w:tc>
        <w:tc>
          <w:tcPr>
            <w:shd w:val="clear" w:color="000000" w:fill="ffffff"/>
            <w:tcBorders/>
            <w:tcW w:w="3260" w:type="dxa"/>
            <w:vAlign w:val="center"/>
            <w:vMerge w:val="restart"/>
            <w:textDirection w:val="lrTb"/>
            <w:noWrap w:val="false"/>
          </w:tcPr>
          <w:p>
            <w:pPr>
              <w:pBdr/>
              <w:spacing w:after="40" w:before="40" w:line="288" w:lineRule="auto"/>
              <w:ind/>
              <w:rPr>
                <w:b w:val="0"/>
                <w:bCs w:val="0"/>
              </w:rPr>
            </w:pPr>
            <w:r>
              <w:rPr>
                <w:b w:val="0"/>
                <w:bCs w:val="0"/>
              </w:rPr>
              <w:t xml:space="preserve">Đất trồng cây hàng năm khác nằm trong chỉ giới HLGT</w:t>
            </w:r>
            <w:r>
              <w:rPr>
                <w:b w:val="0"/>
                <w:bCs w:val="0"/>
              </w:rPr>
            </w:r>
            <w:r>
              <w:rPr>
                <w:b w:val="0"/>
                <w:bCs w:val="0"/>
              </w:rPr>
            </w:r>
          </w:p>
        </w:tc>
        <w:tc>
          <w:tcPr>
            <w:tcBorders/>
            <w:tcW w:w="1559" w:type="dxa"/>
            <w:vAlign w:val="center"/>
            <w:vMerge w:val="restart"/>
            <w:textDirection w:val="lrTb"/>
            <w:noWrap/>
          </w:tcPr>
          <w:p>
            <w:pPr>
              <w:pBdr/>
              <w:spacing w:after="40" w:before="40" w:line="288" w:lineRule="auto"/>
              <w:ind/>
              <w:jc w:val="center"/>
              <w:rPr>
                <w:color w:val="000000" w:themeColor="text1"/>
              </w:rPr>
            </w:pPr>
            <w:r>
              <w:rPr>
                <w:color w:val="000000" w:themeColor="text1"/>
              </w:rPr>
              <w:t xml:space="preserve">133,4</w:t>
            </w:r>
            <w:r>
              <w:rPr>
                <w:color w:val="000000" w:themeColor="text1"/>
              </w:rPr>
            </w:r>
            <w:r>
              <w:rPr>
                <w:color w:val="000000" w:themeColor="text1"/>
              </w:rPr>
            </w:r>
          </w:p>
        </w:tc>
        <w:tc>
          <w:tcPr>
            <w:shd w:val="clear" w:color="000000" w:fill="ffffff"/>
            <w:tcBorders/>
            <w:tcW w:w="1947" w:type="dxa"/>
            <w:vAlign w:val="center"/>
            <w:vMerge w:val="restart"/>
            <w:textDirection w:val="lrTb"/>
            <w:noWrap w:val="false"/>
          </w:tcPr>
          <w:p>
            <w:pPr>
              <w:pBdr/>
              <w:spacing w:after="40" w:before="40" w:line="288" w:lineRule="auto"/>
              <w:ind/>
              <w:jc w:val="center"/>
              <w:rPr>
                <w:color w:val="000000" w:themeColor="text1"/>
              </w:rPr>
            </w:pPr>
            <w:r>
              <w:rPr>
                <w:color w:val="000000" w:themeColor="text1"/>
              </w:rPr>
              <w:t xml:space="preserve">75.000</w:t>
            </w:r>
            <w:r>
              <w:rPr>
                <w:color w:val="000000" w:themeColor="text1"/>
              </w:rPr>
            </w:r>
            <w:r>
              <w:rPr>
                <w:color w:val="000000" w:themeColor="text1"/>
              </w:rPr>
            </w:r>
          </w:p>
        </w:tc>
        <w:tc>
          <w:tcPr>
            <w:shd w:val="clear" w:color="000000" w:fill="ffffff"/>
            <w:tcBorders/>
            <w:tcW w:w="2164" w:type="dxa"/>
            <w:vAlign w:val="center"/>
            <w:vMerge w:val="restart"/>
            <w:textDirection w:val="lrTb"/>
            <w:noWrap w:val="false"/>
          </w:tcPr>
          <w:p>
            <w:pPr>
              <w:pBdr/>
              <w:spacing w:after="40" w:before="40" w:line="288" w:lineRule="auto"/>
              <w:ind/>
              <w:jc w:val="center"/>
              <w:rPr>
                <w:color w:val="000000" w:themeColor="text1"/>
              </w:rPr>
            </w:pPr>
            <w:r>
              <w:rPr>
                <w:color w:val="000000" w:themeColor="text1"/>
              </w:rPr>
              <w:t xml:space="preserve">10.005.000</w:t>
            </w:r>
            <w:r>
              <w:rPr>
                <w:color w:val="000000" w:themeColor="text1"/>
              </w:rPr>
            </w:r>
            <w:r>
              <w:rPr>
                <w:color w:val="000000" w:themeColor="text1"/>
              </w:rPr>
            </w:r>
          </w:p>
        </w:tc>
      </w:tr>
      <w:tr>
        <w:trPr>
          <w:trHeight w:val="20"/>
        </w:trPr>
        <w:tc>
          <w:tcPr>
            <w:gridSpan w:val="4"/>
            <w:tcBorders/>
            <w:tcW w:w="7361"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t xml:space="preserve">1.726.431.051</w:t>
            </w:r>
            <w:r>
              <w:rPr>
                <w:b/>
                <w:bCs/>
                <w:color w:val="000000"/>
              </w:rPr>
            </w:r>
            <w:r>
              <w:rPr>
                <w:b/>
                <w:bCs/>
                <w:color w:val="000000"/>
              </w:rPr>
            </w:r>
          </w:p>
        </w:tc>
      </w:tr>
      <w:tr>
        <w:trPr>
          <w:trHeight w:val="20"/>
        </w:trPr>
        <w:tc>
          <w:tcPr>
            <w:gridSpan w:val="4"/>
            <w:tcBorders/>
            <w:tcW w:w="7361" w:type="dxa"/>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rPr>
                <w:b/>
                <w:bCs/>
                <w:color w:val="000000"/>
              </w:rPr>
              <w:t xml:space="preserve">1.726.000.000</w:t>
            </w:r>
            <w:r>
              <w:rPr>
                <w:b/>
                <w:bCs/>
                <w:color w:val="000000"/>
              </w:rPr>
            </w:r>
            <w:r>
              <w:rPr>
                <w:b/>
                <w:bCs/>
                <w:color w:val="000000"/>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Một tỷ bảy trăm hai mươi sáu triệu đồng </w:t>
            </w:r>
            <w:r>
              <w:rPr>
                <w:b/>
                <w:bCs/>
                <w:i/>
                <w:iCs/>
                <w:color w:val="000000"/>
              </w:rPr>
              <w:t xml:space="preserve">./.)</w:t>
            </w:r>
            <w:r>
              <w:rPr>
                <w:b/>
                <w:bCs/>
                <w:i/>
                <w:iCs/>
                <w:color w:val="000000"/>
              </w:rPr>
            </w:r>
            <w:r>
              <w:rPr>
                <w:b/>
                <w:bCs/>
                <w:i/>
                <w:iCs/>
                <w:color w:val="000000"/>
              </w:rPr>
            </w:r>
          </w:p>
        </w:tc>
      </w:tr>
    </w:tbl>
    <w:p>
      <w:pPr>
        <w:pStyle w:val="1041"/>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41"/>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41"/>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41"/>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41"/>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41"/>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41"/>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41"/>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41"/>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41"/>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41"/>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41"/>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4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41"/>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41"/>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41"/>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41"/>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41"/>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41"/>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41"/>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41"/>
        <w:numPr>
          <w:ilvl w:val="0"/>
          <w:numId w:val="5"/>
        </w:numPr>
        <w:pBdr/>
        <w:tabs>
          <w:tab w:val="left" w:leader="none" w:pos="993"/>
        </w:tabs>
        <w:spacing w:after="120" w:before="120" w:line="288" w:lineRule="auto"/>
        <w:ind/>
        <w:jc w:val="both"/>
        <w:rPr>
          <w:bCs/>
          <w:spacing w:val="-2"/>
          <w:lang w:val="pt-BR"/>
        </w:rPr>
      </w:pPr>
      <w:r>
        <w:rPr>
          <w:bCs/>
          <w:spacing w:val="-2"/>
          <w:lang w:val="pt-BR"/>
        </w:rPr>
      </w:r>
      <w:r>
        <w:rPr>
          <w:rFonts w:ascii="Times New Roman" w:hAnsi="Times New Roman" w:eastAsia="Times New Roman" w:cs="Times New Roman"/>
          <w:color w:val="000000"/>
          <w:sz w:val="24"/>
        </w:rPr>
        <w:t xml:space="preserve">Tại thời điểm thẩn định giá, tổ thẩm định giá nhận thấy tại trang 3 của GCN AA 06934846 có 133,4m2 đất nằm trong chỉ giới hành lang an toàn giao thông</w:t>
      </w:r>
      <w:r>
        <w:rPr>
          <w:spacing w:val="-2"/>
          <w:highlight w:val="none"/>
          <w:lang w:val="pt-BR" w:bidi="pt-BR"/>
        </w:rPr>
        <w:t xml:space="preserve">.</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 xml:space="preserve">Ngoài ra, khách hàng/Chủ sử dụng đất không cung cấp thêm bất cứ hồ sơ pháp lý nào liên quan tới thông tin quy hoạch của thửa đất. Theo đề nghị của Ngân hàng/Khách hàng, tổ thẩm định xác định giá trị tài sản theo thông tin quy hoạch nêu trên. Đối với diện t</w:t>
      </w:r>
      <w:r>
        <w:rPr>
          <w:rFonts w:ascii="Times New Roman" w:hAnsi="Times New Roman" w:eastAsia="Times New Roman" w:cs="Times New Roman"/>
          <w:color w:val="000000"/>
          <w:sz w:val="24"/>
        </w:rPr>
        <w:t xml:space="preserve">ích nằm ngoài quy hoạch tổ thẩm định đánh giá theo giá trị thị trường, đối với phần nằm trong quy hoạch tổ thẩm định đánh giá theo giá khung UBND tại thời điểm thẩm định, giá trị đền bù thực tế còn phụ thuộc vào thỏa thuận các bên tại thời điểm Nhà nước gi</w:t>
      </w:r>
      <w:r>
        <w:rPr>
          <w:rFonts w:ascii="Times New Roman" w:hAnsi="Times New Roman" w:eastAsia="Times New Roman" w:cs="Times New Roman"/>
          <w:color w:val="000000"/>
          <w:sz w:val="24"/>
        </w:rPr>
        <w:t xml:space="preserve">ải phóng mặt bằng thực hiện quy hoạch. Đề nghị đơn vị sử dụng kết quả lưu ý kiểm tra xác minh thêm thông tin quy hoạch nếu thấy cần thiết. Trong trường hợp Khách hàng/Ngân hàng cung cấp được Văn bản xác nhận rõ phần diện tích thuộc quy hoạch mà có sự sai k</w:t>
      </w:r>
      <w:r>
        <w:rPr>
          <w:rFonts w:ascii="Times New Roman" w:hAnsi="Times New Roman" w:eastAsia="Times New Roman" w:cs="Times New Roman"/>
          <w:color w:val="000000"/>
          <w:sz w:val="24"/>
        </w:rPr>
        <w:t xml:space="preserve">hác so với số liệu nêu trên thì kết quả thẩm định giá cần được xem xét, điều chỉnh phù hợp, đồng thời chúng tôi bảo lưu quyền xem xét lại kết quả thẩm định giá</w:t>
      </w:r>
      <w:r>
        <w:rPr>
          <w:bCs/>
          <w:spacing w:val="-2"/>
          <w:lang w:val="pt-BR"/>
        </w:rPr>
        <w:t xml:space="preserve">.</w:t>
      </w:r>
      <w:r>
        <w:rPr>
          <w:bCs/>
          <w:spacing w:val="-2"/>
          <w:lang w:val="pt-BR"/>
        </w:rPr>
      </w:r>
      <w:r>
        <w:rPr>
          <w:bCs/>
          <w:spacing w:val="-2"/>
          <w:lang w:val="pt-BR"/>
        </w:rPr>
      </w:r>
    </w:p>
    <w:p>
      <w:pPr>
        <w:pStyle w:val="1041"/>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41"/>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41"/>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41"/>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41"/>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41"/>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275/2026/0754/VFI-CT.36.A</w:t>
      </w:r>
      <w:r>
        <w:rPr>
          <w:color w:val="ff0000"/>
          <w:lang w:val="vi-VN"/>
        </w:rPr>
        <w:t xml:space="preserve"> </w:t>
      </w:r>
      <w:r>
        <w:rPr>
          <w:color w:val="000000" w:themeColor="text1"/>
        </w:rPr>
        <w:t xml:space="preserve">ngày 18 tháng 5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Tấn Sang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275/2026/0754/VFI-BC.36.A</w:t>
      </w:r>
      <w:r>
        <w:rPr>
          <w:i/>
          <w:lang w:val="pt-BR"/>
        </w:rPr>
        <w:t xml:space="preserve"> ngày </w:t>
      </w:r>
      <w:r>
        <w:rPr>
          <w:i/>
          <w:lang w:val="pt-BR"/>
        </w:rPr>
        <w:t xml:space="preserve">18 tháng 5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4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72833" cy="3007152"/>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04134" name=""/>
                              <pic:cNvPicPr>
                                <a:picLocks noChangeAspect="1"/>
                              </pic:cNvPicPr>
                              <pic:nvPr/>
                            </pic:nvPicPr>
                            <pic:blipFill rotWithShape="1">
                              <a:blip r:embed="rId19"/>
                              <a:stretch/>
                            </pic:blipFill>
                            <pic:spPr bwMode="auto">
                              <a:xfrm flipH="0" flipV="0">
                                <a:off x="0" y="0"/>
                                <a:ext cx="2772833" cy="30071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18.33pt;height:236.78pt;mso-wrap-distance-left:0.00pt;mso-wrap-distance-top:0.00pt;mso-wrap-distance-right:0.00pt;mso-wrap-distance-bottom:0.00pt;z-index:1;" stroked="false">
                      <v:imagedata r:id="rId19"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60988" cy="298598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58123" name=""/>
                              <pic:cNvPicPr>
                                <a:picLocks noChangeAspect="1"/>
                              </pic:cNvPicPr>
                              <pic:nvPr/>
                            </pic:nvPicPr>
                            <pic:blipFill rotWithShape="1">
                              <a:blip r:embed="rId20"/>
                              <a:stretch/>
                            </pic:blipFill>
                            <pic:spPr bwMode="auto">
                              <a:xfrm flipH="0" flipV="0">
                                <a:off x="0" y="0"/>
                                <a:ext cx="2760987" cy="29859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17.40pt;height:235.12pt;mso-wrap-distance-left:0.00pt;mso-wrap-distance-top:0.00pt;mso-wrap-distance-right:0.00pt;mso-wrap-distance-bottom:0.00pt;z-index:1;" stroked="false">
                      <v:imagedata r:id="rId20"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41101" cy="225998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70012" name=""/>
                              <pic:cNvPicPr>
                                <a:picLocks noChangeAspect="1"/>
                              </pic:cNvPicPr>
                              <pic:nvPr/>
                            </pic:nvPicPr>
                            <pic:blipFill rotWithShape="1">
                              <a:blip r:embed="rId21"/>
                              <a:stretch/>
                            </pic:blipFill>
                            <pic:spPr bwMode="auto">
                              <a:xfrm flipH="0" flipV="0">
                                <a:off x="0" y="0"/>
                                <a:ext cx="2741101" cy="225997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5.83pt;height:177.95pt;mso-wrap-distance-left:0.00pt;mso-wrap-distance-top:0.00pt;mso-wrap-distance-right:0.00pt;mso-wrap-distance-bottom:0.00pt;z-index:1;" stroked="false">
                      <v:imagedata r:id="rId21"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912111" cy="2312896"/>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97549" name=""/>
                              <pic:cNvPicPr>
                                <a:picLocks noChangeAspect="1"/>
                              </pic:cNvPicPr>
                              <pic:nvPr/>
                            </pic:nvPicPr>
                            <pic:blipFill rotWithShape="1">
                              <a:blip r:embed="rId22"/>
                              <a:stretch/>
                            </pic:blipFill>
                            <pic:spPr bwMode="auto">
                              <a:xfrm flipH="0" flipV="0">
                                <a:off x="0" y="0"/>
                                <a:ext cx="2912110" cy="231289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9.30pt;height:182.12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29871" cy="2375993"/>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87832" name=""/>
                              <pic:cNvPicPr>
                                <a:picLocks noChangeAspect="1"/>
                              </pic:cNvPicPr>
                              <pic:nvPr/>
                            </pic:nvPicPr>
                            <pic:blipFill rotWithShape="1">
                              <a:blip r:embed="rId23"/>
                              <a:stretch/>
                            </pic:blipFill>
                            <pic:spPr bwMode="auto">
                              <a:xfrm flipH="0" flipV="0">
                                <a:off x="0" y="0"/>
                                <a:ext cx="2729871" cy="237599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4.95pt;height:187.09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970984" cy="2344243"/>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92042" name=""/>
                              <pic:cNvPicPr>
                                <a:picLocks noChangeAspect="1"/>
                              </pic:cNvPicPr>
                              <pic:nvPr/>
                            </pic:nvPicPr>
                            <pic:blipFill rotWithShape="1">
                              <a:blip r:embed="rId24"/>
                              <a:stretch/>
                            </pic:blipFill>
                            <pic:spPr bwMode="auto">
                              <a:xfrm flipH="0" flipV="0">
                                <a:off x="0" y="0"/>
                                <a:ext cx="2970983" cy="234424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3.94pt;height:184.59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pPr>
        <w:pBdr/>
        <w:shd w:val="nil" w:color="auto"/>
        <w:spacing/>
        <w:ind/>
        <w:jc w:val="center"/>
        <w:rPr>
          <w:b/>
          <w:bCs/>
          <w:highlight w:val="none"/>
        </w:rPr>
      </w:pPr>
      <w:r>
        <w:rPr>
          <w:b/>
          <w:bCs/>
          <w:highlight w:val="none"/>
        </w:rPr>
        <w:t xml:space="preserve">GIẤY  CHỨNG NHẬN QUYỀN SỬ DỤNG ĐẤT</w:t>
      </w:r>
      <w:r>
        <w:rPr>
          <w:b/>
          <w:bCs/>
          <w:highlight w:val="none"/>
        </w:rPr>
      </w:r>
      <w:r>
        <w:rPr>
          <w:b/>
          <w:bCs/>
          <w:highlight w:val="none"/>
        </w:rPr>
      </w:r>
    </w:p>
    <w:p>
      <w:pPr>
        <w:pBdr/>
        <w:shd w:val="nil" w:color="000000"/>
        <w:spacing/>
        <w:ind/>
        <w:jc w:val="center"/>
        <w:rPr>
          <w:b/>
          <w:bCs/>
          <w:highlight w:val="none"/>
        </w:rPr>
      </w:pPr>
      <w:r>
        <w:rPr>
          <w:b/>
          <w:bCs/>
          <w:highlight w:val="none"/>
        </w:rPr>
      </w:r>
      <w:r>
        <w:rPr>
          <w:b/>
          <w:bCs/>
          <w:highlight w:val="none"/>
        </w:rPr>
      </w:r>
      <w:r>
        <w:rPr>
          <w:b/>
          <w:bCs/>
          <w:highlight w:val="none"/>
        </w:rPr>
      </w:r>
    </w:p>
    <w:p>
      <w:pPr>
        <w:pBdr/>
        <w:shd w:val="nil" w:color="000000"/>
        <w:spacing/>
        <w:ind/>
        <w:jc w:val="center"/>
        <w:rPr>
          <w:b/>
          <w:bCs/>
          <w:highlight w:val="none"/>
        </w:rPr>
      </w:pPr>
      <w:r>
        <w:rPr>
          <w:b/>
          <w:bCs/>
          <w:highlight w:val="none"/>
        </w:rPr>
      </w:r>
      <w:r>
        <mc:AlternateContent>
          <mc:Choice Requires="wpg">
            <w:drawing>
              <wp:inline xmlns:wp="http://schemas.openxmlformats.org/drawingml/2006/wordprocessingDrawing" distT="0" distB="0" distL="0" distR="0">
                <wp:extent cx="5799410" cy="838857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12590" name=""/>
                        <pic:cNvPicPr>
                          <a:picLocks noChangeAspect="1"/>
                        </pic:cNvPicPr>
                        <pic:nvPr/>
                      </pic:nvPicPr>
                      <pic:blipFill rotWithShape="1">
                        <a:blip r:embed="rId25"/>
                        <a:stretch/>
                      </pic:blipFill>
                      <pic:spPr bwMode="auto">
                        <a:xfrm flipH="0" flipV="0">
                          <a:off x="0" y="0"/>
                          <a:ext cx="5799409" cy="838856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56.65pt;height:660.52pt;mso-wrap-distance-left:0.00pt;mso-wrap-distance-top:0.00pt;mso-wrap-distance-right:0.00pt;mso-wrap-distance-bottom:0.00pt;z-index:1;" stroked="false">
                <v:imagedata r:id="rId25" o:title=""/>
                <o:lock v:ext="edit" rotation="t"/>
              </v:shape>
            </w:pict>
          </mc:Fallback>
        </mc:AlternateContent>
      </w:r>
      <w:r>
        <w:rPr>
          <w:b/>
          <w:bCs/>
          <w:highlight w:val="none"/>
        </w:rPr>
        <w:br w:type="page" w:clear="all"/>
      </w:r>
      <w:r>
        <w:rPr>
          <w:b/>
          <w:bCs/>
          <w:highlight w:val="none"/>
        </w:rPr>
      </w:r>
      <w:r>
        <w:rPr>
          <w:b/>
          <w:bCs/>
          <w:highlight w:val="none"/>
        </w:rPr>
      </w:r>
    </w:p>
    <w:p>
      <w:pPr>
        <w:pBdr/>
        <w:shd w:val="nil" w:color="000000"/>
        <w:spacing/>
        <w:ind/>
        <w:jc w:val="center"/>
        <w:rPr>
          <w:b/>
          <w:bCs/>
          <w:highlight w:val="none"/>
        </w:rPr>
      </w:pPr>
      <w:r>
        <w:rPr>
          <w:b/>
          <w:bCs/>
          <w:highlight w:val="none"/>
        </w:rPr>
      </w:r>
      <w:r>
        <w:rPr>
          <w:b/>
          <w:bCs/>
          <w:highlight w:val="none"/>
        </w:rPr>
      </w:r>
      <w:r>
        <w:rPr>
          <w:b/>
          <w:bCs/>
          <w:highlight w:val="none"/>
        </w:rPr>
      </w:r>
    </w:p>
    <w:p>
      <w:pPr>
        <w:pBdr/>
        <w:shd w:val="nil" w:color="000000"/>
        <w:spacing/>
        <w:ind/>
        <w:jc w:val="center"/>
        <w:rPr>
          <w:b/>
          <w:bCs/>
          <w:highlight w:val="none"/>
        </w:rPr>
      </w:pPr>
      <w:r>
        <w:rPr>
          <w:b/>
          <w:bCs/>
          <w:highlight w:val="none"/>
        </w:rPr>
      </w:r>
      <w:r>
        <w:rPr>
          <w:b/>
          <w:bCs/>
          <w:highlight w:val="none"/>
        </w:rPr>
      </w:r>
      <w:r>
        <w:rPr>
          <w:b/>
          <w:bCs/>
          <w:highlight w:val="none"/>
        </w:rPr>
      </w:r>
    </w:p>
    <w:p>
      <w:pPr>
        <w:pBdr/>
        <w:shd w:val="nil" w:color="auto"/>
        <w:spacing/>
        <w:ind/>
        <w:jc w:val="center"/>
        <w:rPr>
          <w:b/>
          <w:bCs/>
          <w:highlight w:val="none"/>
        </w:rPr>
      </w:pPr>
      <w:r>
        <w:rPr>
          <w:b/>
          <w:bCs/>
          <w:highlight w:val="none"/>
        </w:rPr>
      </w:r>
      <w:r>
        <mc:AlternateContent>
          <mc:Choice Requires="wpg">
            <w:drawing>
              <wp:inline xmlns:wp="http://schemas.openxmlformats.org/drawingml/2006/wordprocessingDrawing" distT="0" distB="0" distL="0" distR="0">
                <wp:extent cx="6066110" cy="841141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40829" name=""/>
                        <pic:cNvPicPr>
                          <a:picLocks noChangeAspect="1"/>
                        </pic:cNvPicPr>
                        <pic:nvPr/>
                      </pic:nvPicPr>
                      <pic:blipFill rotWithShape="1">
                        <a:blip r:embed="rId26"/>
                        <a:stretch/>
                      </pic:blipFill>
                      <pic:spPr bwMode="auto">
                        <a:xfrm flipH="0" flipV="0">
                          <a:off x="0" y="0"/>
                          <a:ext cx="6066109" cy="841141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7.65pt;height:662.32pt;mso-wrap-distance-left:0.00pt;mso-wrap-distance-top:0.00pt;mso-wrap-distance-right:0.00pt;mso-wrap-distance-bottom:0.00pt;z-index:1;" stroked="false">
                <v:imagedata r:id="rId26" o:title=""/>
                <o:lock v:ext="edit" rotation="t"/>
              </v:shape>
            </w:pict>
          </mc:Fallback>
        </mc:AlternateContent>
      </w:r>
      <w:r>
        <w:rPr>
          <w:b/>
          <w:bCs/>
          <w:highlight w:val="none"/>
        </w:rPr>
        <w:br w:type="page" w:clear="all"/>
      </w:r>
      <w:r>
        <w:rPr>
          <w:b/>
          <w:bCs/>
          <w:highlight w:val="none"/>
        </w:rPr>
      </w:r>
      <w:r>
        <w:rPr>
          <w:b/>
          <w:bCs/>
          <w:highlight w:val="none"/>
        </w:rPr>
      </w:r>
    </w:p>
    <w:p>
      <w:pPr>
        <w:pBdr/>
        <w:shd w:val="nil" w:color="000000"/>
        <w:spacing/>
        <w:ind/>
        <w:jc w:val="center"/>
        <w:rPr>
          <w:b/>
          <w:bCs/>
          <w:highlight w:val="none"/>
        </w:rPr>
      </w:pPr>
      <w:r>
        <w:rPr>
          <w:b/>
          <w:bCs/>
          <w:highlight w:val="none"/>
        </w:rPr>
      </w:r>
      <w:r>
        <w:rPr>
          <w:b/>
          <w:bCs/>
          <w:highlight w:val="none"/>
        </w:rPr>
        <w:t xml:space="preserve">BIÊN BẢN KHẢO SÁT</w:t>
      </w:r>
      <w:r>
        <w:rPr>
          <w:b/>
          <w:bCs/>
          <w:highlight w:val="none"/>
        </w:rPr>
      </w:r>
      <w:r>
        <w:rPr>
          <w:b/>
          <w:bCs/>
          <w:highlight w:val="none"/>
        </w:rPr>
      </w:r>
    </w:p>
    <w:p>
      <w:pPr>
        <w:pBdr/>
        <w:shd w:val="nil" w:color="000000"/>
        <w:spacing/>
        <w:ind/>
        <w:jc w:val="center"/>
        <w:rPr>
          <w:b/>
          <w:bCs/>
          <w:highlight w:val="none"/>
        </w:rPr>
      </w:pPr>
      <w:r>
        <w:rPr>
          <w:b/>
          <w:highlight w:val="none"/>
        </w:rPr>
      </w:r>
      <w:r>
        <w:rPr>
          <w:b/>
          <w:highlight w:val="none"/>
        </w:rPr>
      </w:r>
      <w:r>
        <w:rPr>
          <w:b/>
          <w:bCs/>
          <w:highlight w:val="none"/>
        </w:rPr>
      </w:r>
    </w:p>
    <w:p>
      <w:pPr>
        <w:pBdr/>
        <w:shd w:val="nil" w:color="auto"/>
        <w:spacing/>
        <w:ind/>
        <w:jc w:val="left"/>
        <w:rPr>
          <w:b/>
          <w:bCs/>
          <w:highlight w:val="none"/>
        </w:rPr>
      </w:pPr>
      <w:r>
        <w:rPr>
          <w:b/>
          <w:highlight w:val="none"/>
        </w:rPr>
      </w:r>
      <w:r/>
      <w:r>
        <w:rPr>
          <w:b/>
          <w:highlight w:val="none"/>
        </w:rPr>
      </w:r>
      <w:r/>
      <w:r>
        <w:rPr>
          <w:b/>
          <w:highlight w:val="none"/>
        </w:rPr>
      </w:r>
      <w:r>
        <mc:AlternateContent>
          <mc:Choice Requires="wpg">
            <w:drawing>
              <wp:inline xmlns:wp="http://schemas.openxmlformats.org/drawingml/2006/wordprocessingDrawing" distT="0" distB="0" distL="0" distR="0">
                <wp:extent cx="6114060" cy="814554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35610" name=""/>
                        <pic:cNvPicPr>
                          <a:picLocks noChangeAspect="1"/>
                        </pic:cNvPicPr>
                        <pic:nvPr/>
                      </pic:nvPicPr>
                      <pic:blipFill rotWithShape="1">
                        <a:blip r:embed="rId27"/>
                        <a:stretch/>
                      </pic:blipFill>
                      <pic:spPr bwMode="auto">
                        <a:xfrm flipH="0" flipV="0">
                          <a:off x="0" y="0"/>
                          <a:ext cx="6114060" cy="814554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81.42pt;height:641.38pt;mso-wrap-distance-left:0.00pt;mso-wrap-distance-top:0.00pt;mso-wrap-distance-right:0.00pt;mso-wrap-distance-bottom:0.00pt;z-index:1;" stroked="false">
                <v:imagedata r:id="rId27" o:title=""/>
                <o:lock v:ext="edit" rotation="t"/>
              </v:shape>
            </w:pict>
          </mc:Fallback>
        </mc:AlternateContent>
      </w:r>
      <w:r>
        <w:rPr>
          <w:b/>
          <w:highlight w:val="none"/>
        </w:rPr>
        <w:br w:type="page" w:clear="all"/>
      </w:r>
      <w:r>
        <w:rPr>
          <w:b/>
          <w:highlight w:val="none"/>
        </w:rPr>
      </w:r>
      <w:r>
        <w:rPr>
          <w:b/>
          <w:bCs/>
          <w:highlight w:val="none"/>
        </w:rPr>
      </w:r>
    </w:p>
    <w:p>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b/>
          <w:bCs/>
          <w:highlight w:val="none"/>
        </w:rPr>
      </w:r>
    </w:p>
    <w:p>
      <w:pPr>
        <w:pBdr/>
        <w:spacing/>
        <w:ind/>
        <w:jc w:val="center"/>
        <w:rPr>
          <w:i/>
          <w:lang w:val="pt-BR"/>
        </w:rPr>
      </w:pPr>
      <w:r>
        <w:rPr>
          <w:i/>
          <w:lang w:val="pt-BR"/>
        </w:rPr>
        <w:t xml:space="preserve">(Kèm theo Báo cáo thẩm định số </w:t>
      </w:r>
      <w:r>
        <w:rPr>
          <w:i/>
        </w:rPr>
        <w:t xml:space="preserve">275/2026/0754/VFI-BC.36.A ngày</w:t>
      </w:r>
      <w:r>
        <w:rPr>
          <w:i/>
          <w:lang w:val="pt-BR"/>
        </w:rPr>
        <w:t xml:space="preserve"> </w:t>
      </w:r>
      <w:r>
        <w:rPr>
          <w:i/>
          <w:lang w:val="pt-BR"/>
        </w:rPr>
        <w:t xml:space="preserve">18 tháng 5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https://www.facebook.com/groups/1348050795330011/posts/3888663751268690/ - 0326993327 (Ngân)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1.595.584.000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1.276.467.200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5/2026</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Đầy đủ pháp lý</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Mục đích sử dụng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Đất trồng cây hàng năm khác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trên đường Quốc lộ 1A, Xã Đức Phong, Huyện Mộ Đức, Tỉnh Quảng Ngãi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20m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185</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5,4</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Tiếp giáp 1 mặt tiền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Hình chữ nhật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ở/Kinh doanh</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Yếu tố khác (Yếu tố phong thủy/Yếu tố tâm linh)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Bình thường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lineRule="auto"/>
              <w:ind/>
              <w:jc w:val="center"/>
              <w:rPr>
                <w:rFonts w:ascii="Times New Roman" w:hAnsi="Times New Roman" w:eastAsia="Times New Roman" w:cs="Times New Roman"/>
                <w:b/>
                <w:bCs/>
                <w:color w:val="000000"/>
                <w:sz w:val="22"/>
              </w:rPr>
            </w:pPr>
            <w:r>
              <w:rPr>
                <w:rFonts w:ascii="Times New Roman" w:hAnsi="Times New Roman" w:eastAsia="Times New Roman" w:cs="Times New Roman"/>
                <w:b/>
                <w:bCs/>
                <w:color w:val="000000"/>
                <w:sz w:val="22"/>
              </w:rPr>
              <w:t xml:space="preserve">B</w:t>
            </w:r>
            <w:r>
              <w:rPr>
                <w:rFonts w:ascii="Times New Roman" w:hAnsi="Times New Roman" w:eastAsia="Times New Roman" w:cs="Times New Roman"/>
                <w:b/>
                <w:bCs/>
                <w:color w:val="000000"/>
                <w:sz w:val="22"/>
              </w:rPr>
            </w:r>
            <w:r>
              <w:rPr>
                <w:rFonts w:ascii="Times New Roman" w:hAnsi="Times New Roman" w:eastAsia="Times New Roman" w:cs="Times New Roman"/>
                <w:b/>
                <w:bCs/>
                <w:color w:val="000000"/>
                <w:sz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lineRule="auto"/>
              <w:ind/>
              <w:rPr>
                <w:rFonts w:ascii="Times New Roman" w:hAnsi="Times New Roman" w:eastAsia="Times New Roman" w:cs="Times New Roman"/>
                <w:b/>
                <w:bCs/>
                <w:color w:val="000000"/>
                <w:sz w:val="22"/>
              </w:rPr>
            </w:pPr>
            <w:r>
              <w:rPr>
                <w:rFonts w:ascii="Times New Roman" w:hAnsi="Times New Roman" w:eastAsia="Times New Roman" w:cs="Times New Roman"/>
                <w:b/>
                <w:bCs/>
                <w:color w:val="000000"/>
                <w:sz w:val="22"/>
              </w:rPr>
              <w:t xml:space="preserve">Bằng chừn thu thập</w:t>
            </w:r>
            <w:r>
              <w:rPr>
                <w:rFonts w:ascii="Times New Roman" w:hAnsi="Times New Roman" w:eastAsia="Times New Roman" w:cs="Times New Roman"/>
                <w:b/>
                <w:bCs/>
                <w:color w:val="000000"/>
                <w:sz w:val="22"/>
              </w:rPr>
            </w:r>
            <w:r>
              <w:rPr>
                <w:rFonts w:ascii="Times New Roman" w:hAnsi="Times New Roman" w:eastAsia="Times New Roman" w:cs="Times New Roman"/>
                <w:b/>
                <w:bCs/>
                <w:color w:val="000000"/>
                <w:sz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lineRule="auto"/>
              <w:ind/>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jc w:val="left"/>
              <w:rPr>
                <w:color w:val="000000"/>
                <w:sz w:val="22"/>
                <w:szCs w:val="22"/>
              </w:rPr>
            </w:pPr>
            <w:r>
              <w:rPr>
                <w:color w:val="000000"/>
                <w:sz w:val="22"/>
                <w:szCs w:val="22"/>
              </w:rPr>
            </w:r>
            <w:r>
              <w:rPr>
                <w:color w:val="000000"/>
                <w:sz w:val="22"/>
                <w:szCs w:val="22"/>
              </w:rPr>
            </w: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749998" cy="2395872"/>
                      <wp:effectExtent l="0" t="0" r="0" b="0"/>
                      <wp:docPr id="15" name=""/>
                      <wp:cNvGraphicFramePr/>
                      <a:graphic xmlns:a="http://schemas.openxmlformats.org/drawingml/2006/main">
                        <a:graphicData uri="http://schemas.openxmlformats.org/drawingml/2006/picture">
                          <pic:pic xmlns:pic="http://schemas.openxmlformats.org/drawingml/2006/picture">
                            <pic:nvPicPr>
                              <pic:cNvPr id="23814554" name="" descr=""/>
                              <pic:cNvPicPr/>
                              <pic:nvPr/>
                            </pic:nvPicPr>
                            <pic:blipFill rotWithShape="1">
                              <a:blip r:embed="rId28"/>
                              <a:stretch/>
                            </pic:blipFill>
                            <pic:spPr bwMode="auto">
                              <a:xfrm flipH="0" flipV="0">
                                <a:off x="0" y="0"/>
                                <a:ext cx="2749998" cy="239587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16.54pt;height:188.65pt;mso-wrap-distance-left:0.00pt;mso-wrap-distance-top:0.00pt;mso-wrap-distance-right:0.00pt;mso-wrap-distance-bottom:0.00pt;z-index:1;" stroked="false">
                      <v:imagedata r:id="rId28" o:title=""/>
                      <o:lock v:ext="edit" rotation="t"/>
                    </v:shape>
                  </w:pict>
                </mc:Fallback>
              </mc:AlternateContent>
            </w:r>
            <w:r>
              <w:rPr>
                <w:color w:val="000000"/>
                <w:sz w:val="22"/>
                <w:szCs w:val="22"/>
              </w:rPr>
            </w: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633581" cy="2374705"/>
                      <wp:effectExtent l="0" t="0" r="0" b="0"/>
                      <wp:docPr id="16" name=""/>
                      <wp:cNvGraphicFramePr/>
                      <a:graphic xmlns:a="http://schemas.openxmlformats.org/drawingml/2006/main">
                        <a:graphicData uri="http://schemas.openxmlformats.org/drawingml/2006/picture">
                          <pic:pic xmlns:pic="http://schemas.openxmlformats.org/drawingml/2006/picture">
                            <pic:nvPicPr>
                              <pic:cNvPr id="1571421353" name="" descr=""/>
                              <pic:cNvPicPr/>
                              <pic:nvPr/>
                            </pic:nvPicPr>
                            <pic:blipFill rotWithShape="1">
                              <a:blip r:embed="rId29"/>
                              <a:stretch/>
                            </pic:blipFill>
                            <pic:spPr bwMode="auto">
                              <a:xfrm flipH="0" flipV="0">
                                <a:off x="0" y="0"/>
                                <a:ext cx="2633581" cy="237470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07.37pt;height:186.98pt;mso-wrap-distance-left:0.00pt;mso-wrap-distance-top:0.00pt;mso-wrap-distance-right:0.00pt;mso-wrap-distance-bottom:0.00pt;z-index:1;" stroked="false">
                      <v:imagedata r:id="rId29" o:title=""/>
                      <o:lock v:ext="edit" rotation="t"/>
                    </v:shape>
                  </w:pict>
                </mc:Fallback>
              </mc:AlternateContent>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
              <w:rPr>
                <w:color w:val="000000"/>
                <w:sz w:val="22"/>
                <w:szCs w:val="22"/>
              </w:rPr>
            </w:r>
            <w:r>
              <w:rPr>
                <w:color w:val="000000"/>
                <w:sz w:val="22"/>
                <w:szCs w:val="22"/>
              </w:rP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Tấn Sang</w:t>
            </w:r>
            <w:r/>
          </w:p>
        </w:tc>
      </w:tr>
    </w:tbl>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Liên hệ trực tiếp - 0914 182 898</w:t>
              <w:br/>
              <w:t xml:space="preserve">(Hoàng Oanh)</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2.190.000.000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1.861.500.000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5/2026</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Đầy đủ pháp lý</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Mục đích sử dụng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Đất trồng cây hàng năm khác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hạn sử dụng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lâu dài; Đất BHK đến 2026</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trên đường Quốc lộ 1A, Thị xã Đức phổ, tỉnh Quảng Ngãi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20m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353,1</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5,9</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Tiếp giáp 1 mặt tiền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 giác khác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ở/Kinh doanh</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Yếu tố khác (Yếu tố phong thủy/Yếu tố tâm linh)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Bình thường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lineRule="auto"/>
              <w:ind/>
              <w:jc w:val="center"/>
              <w:rPr>
                <w:rFonts w:ascii="Times New Roman" w:hAnsi="Times New Roman" w:eastAsia="Times New Roman" w:cs="Times New Roman"/>
                <w:b/>
                <w:bCs/>
                <w:color w:val="000000"/>
                <w:sz w:val="22"/>
              </w:rPr>
            </w:pPr>
            <w:r>
              <w:rPr>
                <w:rFonts w:ascii="Times New Roman" w:hAnsi="Times New Roman" w:eastAsia="Times New Roman" w:cs="Times New Roman"/>
                <w:b/>
                <w:bCs/>
                <w:color w:val="000000"/>
                <w:sz w:val="22"/>
              </w:rPr>
              <w:t xml:space="preserve">B</w:t>
            </w:r>
            <w:r>
              <w:rPr>
                <w:rFonts w:ascii="Times New Roman" w:hAnsi="Times New Roman" w:eastAsia="Times New Roman" w:cs="Times New Roman"/>
                <w:b/>
                <w:bCs/>
                <w:color w:val="000000"/>
                <w:sz w:val="22"/>
              </w:rPr>
            </w:r>
            <w:r>
              <w:rPr>
                <w:rFonts w:ascii="Times New Roman" w:hAnsi="Times New Roman" w:eastAsia="Times New Roman" w:cs="Times New Roman"/>
                <w:b/>
                <w:bCs/>
                <w:color w:val="000000"/>
                <w:sz w:val="22"/>
              </w:rP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lineRule="auto"/>
              <w:ind/>
              <w:rPr>
                <w:rFonts w:ascii="Times New Roman" w:hAnsi="Times New Roman" w:eastAsia="Times New Roman" w:cs="Times New Roman"/>
                <w:b/>
                <w:bCs/>
                <w:color w:val="000000"/>
                <w:sz w:val="22"/>
              </w:rPr>
            </w:pPr>
            <w:r>
              <w:rPr>
                <w:rFonts w:ascii="Times New Roman" w:hAnsi="Times New Roman" w:eastAsia="Times New Roman" w:cs="Times New Roman"/>
                <w:b/>
                <w:bCs/>
                <w:color w:val="000000"/>
                <w:sz w:val="22"/>
              </w:rPr>
              <w:t xml:space="preserve">Bằng chứng thu thập</w:t>
            </w:r>
            <w:r>
              <w:rPr>
                <w:rFonts w:ascii="Times New Roman" w:hAnsi="Times New Roman" w:eastAsia="Times New Roman" w:cs="Times New Roman"/>
                <w:b/>
                <w:bCs/>
                <w:color w:val="000000"/>
                <w:sz w:val="22"/>
              </w:rPr>
            </w:r>
            <w:r>
              <w:rPr>
                <w:rFonts w:ascii="Times New Roman" w:hAnsi="Times New Roman" w:eastAsia="Times New Roman" w:cs="Times New Roman"/>
                <w:b/>
                <w:bCs/>
                <w:color w:val="000000"/>
                <w:sz w:val="22"/>
              </w:rP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lineRule="auto"/>
              <w:ind/>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188290"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flipH="0" flipV="0">
                                <a:off x="0" y="0"/>
                                <a:ext cx="5188289"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08.53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654477"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flipH="0" flipV="0">
                                <a:off x="0" y="0"/>
                                <a:ext cx="2654477"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09.01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724324"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1334903335" name="" descr=""/>
                              <pic:cNvPicPr/>
                              <pic:nvPr/>
                            </pic:nvPicPr>
                            <pic:blipFill rotWithShape="1">
                              <a:blip r:embed="rId32"/>
                              <a:stretch/>
                            </pic:blipFill>
                            <pic:spPr bwMode="auto">
                              <a:xfrm flipH="0" flipV="0">
                                <a:off x="0" y="0"/>
                                <a:ext cx="2724324"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14.51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Tấn Sang</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https://www.facebook.com/groups/1348050795330011/posts/3921092861359112/ - 0914 182 898</w:t>
              <w:br/>
              <w:t xml:space="preserve">(Hoàng Oanh)</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750.000.000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675.000.000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5/2026</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Đầy đủ pháp lý</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Mục đích sử dụng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Đất trồng cây hàng năm khác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hạn sử dụng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Lâu dài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nằm trên đường Quốc lộ 1A, Xã Phổ Cường, Huyện Đức Phổ, Tỉnh Quảng Ngãi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20m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115</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Tiếp giáp 1 mặt tiền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Hình chữ nhật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ở/Kinh doanh</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Yếu tố khác (Yếu tố phong thủy/Yếu tố tâm linh)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Bình thường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trống</w:t>
            </w:r>
            <w:r/>
          </w:p>
        </w:tc>
      </w:tr>
      <w:tr>
        <w:trPr>
          <w:trHeight w:val="151"/>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tabs>
                <w:tab w:val="center" w:leader="none" w:pos="2138"/>
              </w:tabs>
              <w:spacing w:line="276" w:lineRule="auto"/>
              <w:ind/>
              <w:rPr>
                <w:b/>
                <w:bCs/>
                <w:color w:val="000000"/>
                <w:sz w:val="22"/>
                <w:szCs w:val="22"/>
              </w:rPr>
            </w:pPr>
            <w:r>
              <w:rPr>
                <w:b/>
                <w:bCs/>
                <w:color w:val="000000"/>
                <w:sz w:val="22"/>
                <w:szCs w:val="22"/>
              </w:rPr>
              <w:t xml:space="preserve">Bằng chứng thu thập</w:t>
            </w:r>
            <w:r>
              <w:rPr>
                <w:b/>
                <w:bCs/>
                <w:color w:val="000000"/>
                <w:sz w:val="22"/>
                <w:szCs w:val="22"/>
              </w:rPr>
              <w:tab/>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451201" cy="3175000"/>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flipH="0" flipV="0">
                                <a:off x="0" y="0"/>
                                <a:ext cx="4451200"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350.49pt;height:250.00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739023" cy="3332406"/>
                      <wp:effectExtent l="0" t="0" r="0" b="0"/>
                      <wp:docPr id="21" name=""/>
                      <wp:cNvGraphicFramePr/>
                      <a:graphic xmlns:a="http://schemas.openxmlformats.org/drawingml/2006/main">
                        <a:graphicData uri="http://schemas.openxmlformats.org/drawingml/2006/picture">
                          <pic:pic xmlns:pic="http://schemas.openxmlformats.org/drawingml/2006/picture">
                            <pic:nvPicPr>
                              <pic:cNvPr id="581005726" name="" descr=""/>
                              <pic:cNvPicPr/>
                              <pic:nvPr/>
                            </pic:nvPicPr>
                            <pic:blipFill rotWithShape="1">
                              <a:blip r:embed="rId34"/>
                              <a:stretch/>
                            </pic:blipFill>
                            <pic:spPr bwMode="auto">
                              <a:xfrm flipH="0" flipV="0">
                                <a:off x="0" y="0"/>
                                <a:ext cx="2739022" cy="3332406"/>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15.67pt;height:262.39pt;mso-wrap-distance-left:0.00pt;mso-wrap-distance-top:0.00pt;mso-wrap-distance-right:0.00pt;mso-wrap-distance-bottom:0.00pt;z-index:1;" stroked="false">
                      <v:imagedata r:id="rId34" o:title=""/>
                      <o:lock v:ext="edit" rotation="t"/>
                    </v:shape>
                  </w:pict>
                </mc:Fallback>
              </mc:AlternateContent>
              <w:t xml:space="preserve">     </w:t>
            </w:r>
            <w:r>
              <w:rPr>
                <w:color w:val="000000"/>
                <w:sz w:val="22"/>
                <w:szCs w:val="22"/>
              </w:rPr>
              <mc:AlternateContent>
                <mc:Choice Requires="wpg">
                  <w:drawing>
                    <wp:inline xmlns:wp="http://schemas.openxmlformats.org/drawingml/2006/wordprocessingDrawing" distT="0" distB="0" distL="0" distR="0">
                      <wp:extent cx="2620170" cy="3316247"/>
                      <wp:effectExtent l="0" t="0" r="0" b="0"/>
                      <wp:docPr id="2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flipH="0" flipV="0">
                                <a:off x="0" y="0"/>
                                <a:ext cx="2620170" cy="331624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06.31pt;height:261.12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Pr>
                <w:highlight w:val="none"/>
              </w:rPr>
            </w:r>
            <w:r>
              <w:rPr>
                <w:highlight w:val="none"/>
              </w:rPr>
            </w: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t xml:space="preserve">Nguyễn Tấn Sang</w:t>
            </w:r>
            <w:r>
              <w:rPr>
                <w:highlight w:val="none"/>
              </w:rPr>
            </w:r>
            <w:r>
              <w:rPr>
                <w:highlight w:val="none"/>
              </w:rP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3"/>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7"/>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7"/>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7"/>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5"/>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5"/>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425AA9F5"/>
    <w:lvl w:ilvl="0">
      <w:isLgl w:val="false"/>
      <w:lvlJc w:val="left"/>
      <w:lvlText w:val="–"/>
      <w:numFmt w:val="bullet"/>
      <w:pPr>
        <w:pBdr/>
        <w:spacing/>
        <w:ind w:hanging="360" w:left="853"/>
      </w:pPr>
      <w:rPr>
        <w:rFonts w:hint="default" w:ascii="Arial" w:hAnsi="Arial" w:eastAsia="Arial" w:cs="Arial"/>
      </w:rPr>
      <w:start w:val="1"/>
      <w:suff w:val="tab"/>
    </w:lvl>
    <w:lvl w:ilvl="1">
      <w:isLgl w:val="false"/>
      <w:lvlJc w:val="left"/>
      <w:lvlText w:val="o"/>
      <w:numFmt w:val="bullet"/>
      <w:pPr>
        <w:pBdr/>
        <w:spacing/>
        <w:ind w:hanging="360" w:left="1573"/>
      </w:pPr>
      <w:rPr>
        <w:rFonts w:hint="default" w:ascii="Courier New" w:hAnsi="Courier New" w:eastAsia="Courier New" w:cs="Courier New"/>
      </w:rPr>
      <w:start w:val="1"/>
      <w:suff w:val="tab"/>
    </w:lvl>
    <w:lvl w:ilvl="2">
      <w:isLgl w:val="false"/>
      <w:lvlJc w:val="left"/>
      <w:lvlText w:val="§"/>
      <w:numFmt w:val="bullet"/>
      <w:pPr>
        <w:pBdr/>
        <w:spacing/>
        <w:ind w:hanging="360" w:left="2293"/>
      </w:pPr>
      <w:rPr>
        <w:rFonts w:hint="default" w:ascii="Wingdings" w:hAnsi="Wingdings" w:eastAsia="Wingdings" w:cs="Wingdings"/>
      </w:rPr>
      <w:start w:val="1"/>
      <w:suff w:val="tab"/>
    </w:lvl>
    <w:lvl w:ilvl="3">
      <w:isLgl w:val="false"/>
      <w:lvlJc w:val="left"/>
      <w:lvlText w:val="·"/>
      <w:numFmt w:val="bullet"/>
      <w:pPr>
        <w:pBdr/>
        <w:spacing/>
        <w:ind w:hanging="360" w:left="3013"/>
      </w:pPr>
      <w:rPr>
        <w:rFonts w:hint="default" w:ascii="Symbol" w:hAnsi="Symbol" w:eastAsia="Symbol" w:cs="Symbol"/>
      </w:rPr>
      <w:start w:val="1"/>
      <w:suff w:val="tab"/>
    </w:lvl>
    <w:lvl w:ilvl="4">
      <w:isLgl w:val="false"/>
      <w:lvlJc w:val="left"/>
      <w:lvlText w:val="o"/>
      <w:numFmt w:val="bullet"/>
      <w:pPr>
        <w:pBdr/>
        <w:spacing/>
        <w:ind w:hanging="360" w:left="3733"/>
      </w:pPr>
      <w:rPr>
        <w:rFonts w:hint="default" w:ascii="Courier New" w:hAnsi="Courier New" w:eastAsia="Courier New" w:cs="Courier New"/>
      </w:rPr>
      <w:start w:val="1"/>
      <w:suff w:val="tab"/>
    </w:lvl>
    <w:lvl w:ilvl="5">
      <w:isLgl w:val="false"/>
      <w:lvlJc w:val="left"/>
      <w:lvlText w:val="§"/>
      <w:numFmt w:val="bullet"/>
      <w:pPr>
        <w:pBdr/>
        <w:spacing/>
        <w:ind w:hanging="360" w:left="4453"/>
      </w:pPr>
      <w:rPr>
        <w:rFonts w:hint="default" w:ascii="Wingdings" w:hAnsi="Wingdings" w:eastAsia="Wingdings" w:cs="Wingdings"/>
      </w:rPr>
      <w:start w:val="1"/>
      <w:suff w:val="tab"/>
    </w:lvl>
    <w:lvl w:ilvl="6">
      <w:isLgl w:val="false"/>
      <w:lvlJc w:val="left"/>
      <w:lvlText w:val="·"/>
      <w:numFmt w:val="bullet"/>
      <w:pPr>
        <w:pBdr/>
        <w:spacing/>
        <w:ind w:hanging="360" w:left="5173"/>
      </w:pPr>
      <w:rPr>
        <w:rFonts w:hint="default" w:ascii="Symbol" w:hAnsi="Symbol" w:eastAsia="Symbol" w:cs="Symbol"/>
      </w:rPr>
      <w:start w:val="1"/>
      <w:suff w:val="tab"/>
    </w:lvl>
    <w:lvl w:ilvl="7">
      <w:isLgl w:val="false"/>
      <w:lvlJc w:val="left"/>
      <w:lvlText w:val="o"/>
      <w:numFmt w:val="bullet"/>
      <w:pPr>
        <w:pBdr/>
        <w:spacing/>
        <w:ind w:hanging="360" w:left="5893"/>
      </w:pPr>
      <w:rPr>
        <w:rFonts w:hint="default" w:ascii="Courier New" w:hAnsi="Courier New" w:eastAsia="Courier New" w:cs="Courier New"/>
      </w:rPr>
      <w:start w:val="1"/>
      <w:suff w:val="tab"/>
    </w:lvl>
    <w:lvl w:ilvl="8">
      <w:isLgl w:val="false"/>
      <w:lvlJc w:val="left"/>
      <w:lvlText w:val="§"/>
      <w:numFmt w:val="bullet"/>
      <w:pPr>
        <w:pBdr/>
        <w:spacing/>
        <w:ind w:hanging="360" w:left="6613"/>
      </w:pPr>
      <w:rPr>
        <w:rFonts w:hint="default" w:ascii="Wingdings" w:hAnsi="Wingdings" w:eastAsia="Wingdings" w:cs="Wingdings"/>
      </w:rPr>
      <w:start w:val="1"/>
      <w:suff w:val="tab"/>
    </w:lvl>
  </w:abstractNum>
  <w:abstractNum w:abstractNumId="38">
    <w:nsid w:val="29B6EB0E"/>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9">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53">
    <w:name w:val="Table Grid Light"/>
    <w:basedOn w:val="102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Plain Table 1"/>
    <w:basedOn w:val="102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Plain Table 2"/>
    <w:basedOn w:val="102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Plain Table 3"/>
    <w:basedOn w:val="102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Plain Table 4"/>
    <w:basedOn w:val="102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Plain Table 5"/>
    <w:basedOn w:val="102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w:basedOn w:val="102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1 Light - Accent 1"/>
    <w:basedOn w:val="102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1 Light - Accent 2"/>
    <w:basedOn w:val="102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1 Light - Accent 3"/>
    <w:basedOn w:val="102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1 Light - Accent 4"/>
    <w:basedOn w:val="102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1 Light - Accent 5"/>
    <w:basedOn w:val="102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1 Light - Accent 6"/>
    <w:basedOn w:val="102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w:basedOn w:val="102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2 - Accent 1"/>
    <w:basedOn w:val="102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2 - Accent 2"/>
    <w:basedOn w:val="102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2 - Accent 3"/>
    <w:basedOn w:val="102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2 - Accent 4"/>
    <w:basedOn w:val="102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2 - Accent 5"/>
    <w:basedOn w:val="102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2 - Accent 6"/>
    <w:basedOn w:val="102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w:basedOn w:val="102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3 - Accent 1"/>
    <w:basedOn w:val="102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3 - Accent 2"/>
    <w:basedOn w:val="102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3 - Accent 3"/>
    <w:basedOn w:val="102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3 - Accent 4"/>
    <w:basedOn w:val="102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3 - Accent 5"/>
    <w:basedOn w:val="102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3 - Accent 6"/>
    <w:basedOn w:val="102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w:basedOn w:val="102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4 - Accent 1"/>
    <w:basedOn w:val="102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4 - Accent 2"/>
    <w:basedOn w:val="102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4 - Accent 3"/>
    <w:basedOn w:val="102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4 - Accent 4"/>
    <w:basedOn w:val="102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4 - Accent 5"/>
    <w:basedOn w:val="102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4 - Accent 6"/>
    <w:basedOn w:val="102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5 Dark- Accent 1"/>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5 Dark - Accent 2"/>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5 Dark - Accent 3"/>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5 Dark- Accent 4"/>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5 Dark - Accent 5"/>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5 Dark - Accent 6"/>
    <w:basedOn w:val="10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6 Colorful"/>
    <w:basedOn w:val="102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5">
    <w:name w:val="Grid Table 6 Colorful - Accent 1"/>
    <w:basedOn w:val="102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6">
    <w:name w:val="Grid Table 6 Colorful - Accent 2"/>
    <w:basedOn w:val="102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7">
    <w:name w:val="Grid Table 6 Colorful - Accent 3"/>
    <w:basedOn w:val="102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8">
    <w:name w:val="Grid Table 6 Colorful - Accent 4"/>
    <w:basedOn w:val="102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9">
    <w:name w:val="Grid Table 6 Colorful - Accent 5"/>
    <w:basedOn w:val="102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0">
    <w:name w:val="Grid Table 6 Colorful - Accent 6"/>
    <w:basedOn w:val="102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1">
    <w:name w:val="Grid Table 7 Colorful"/>
    <w:basedOn w:val="102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7 Colorful - Accent 1"/>
    <w:basedOn w:val="102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7 Colorful - Accent 2"/>
    <w:basedOn w:val="102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Grid Table 7 Colorful - Accent 3"/>
    <w:basedOn w:val="102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7 Colorful - Accent 4"/>
    <w:basedOn w:val="102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Grid Table 7 Colorful - Accent 5"/>
    <w:basedOn w:val="102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Grid Table 7 Colorful - Accent 6"/>
    <w:basedOn w:val="102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1 Light - Accent 1"/>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1 Light - Accent 2"/>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1 Light - Accent 3"/>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1 Light - Accent 4"/>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1 Light - Accent 5"/>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1 Light - Accent 6"/>
    <w:basedOn w:val="10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w:basedOn w:val="102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2 - Accent 1"/>
    <w:basedOn w:val="102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2 - Accent 2"/>
    <w:basedOn w:val="102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2 - Accent 3"/>
    <w:basedOn w:val="102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2 - Accent 4"/>
    <w:basedOn w:val="102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2 - Accent 5"/>
    <w:basedOn w:val="102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2 - Accent 6"/>
    <w:basedOn w:val="102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w:basedOn w:val="102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3 - Accent 1"/>
    <w:basedOn w:val="102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3 - Accent 2"/>
    <w:basedOn w:val="102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3 - Accent 3"/>
    <w:basedOn w:val="102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3 - Accent 4"/>
    <w:basedOn w:val="102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3 - Accent 5"/>
    <w:basedOn w:val="102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3 - Accent 6"/>
    <w:basedOn w:val="102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w:basedOn w:val="102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4 - Accent 1"/>
    <w:basedOn w:val="102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4 - Accent 2"/>
    <w:basedOn w:val="102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4 - Accent 3"/>
    <w:basedOn w:val="102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4 - Accent 4"/>
    <w:basedOn w:val="102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4 - Accent 5"/>
    <w:basedOn w:val="102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4 - Accent 6"/>
    <w:basedOn w:val="102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5 Dark"/>
    <w:basedOn w:val="102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5 Dark - Accent 1"/>
    <w:basedOn w:val="102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8">
    <w:name w:val="List Table 5 Dark - Accent 2"/>
    <w:basedOn w:val="102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9">
    <w:name w:val="List Table 5 Dark - Accent 3"/>
    <w:basedOn w:val="102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0">
    <w:name w:val="List Table 5 Dark - Accent 4"/>
    <w:basedOn w:val="102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1">
    <w:name w:val="List Table 5 Dark - Accent 5"/>
    <w:basedOn w:val="102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2">
    <w:name w:val="List Table 5 Dark - Accent 6"/>
    <w:basedOn w:val="102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3">
    <w:name w:val="List Table 6 Colorful"/>
    <w:basedOn w:val="102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6 Colorful - Accent 1"/>
    <w:basedOn w:val="102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6 Colorful - Accent 2"/>
    <w:basedOn w:val="102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6 Colorful - Accent 3"/>
    <w:basedOn w:val="102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st Table 6 Colorful - Accent 4"/>
    <w:basedOn w:val="102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st Table 6 Colorful - Accent 5"/>
    <w:basedOn w:val="102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st Table 6 Colorful - Accent 6"/>
    <w:basedOn w:val="102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st Table 7 Colorful"/>
    <w:basedOn w:val="102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51">
    <w:name w:val="List Table 7 Colorful - Accent 1"/>
    <w:basedOn w:val="102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52">
    <w:name w:val="List Table 7 Colorful - Accent 2"/>
    <w:basedOn w:val="102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53">
    <w:name w:val="List Table 7 Colorful - Accent 3"/>
    <w:basedOn w:val="102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54">
    <w:name w:val="List Table 7 Colorful - Accent 4"/>
    <w:basedOn w:val="102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5">
    <w:name w:val="List Table 7 Colorful - Accent 5"/>
    <w:basedOn w:val="102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6">
    <w:name w:val="List Table 7 Colorful - Accent 6"/>
    <w:basedOn w:val="102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7">
    <w:name w:val="Lined - Accent"/>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ned - Accent 1"/>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ned - Accent 2"/>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Lined - Accent 3"/>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ned - Accent 4"/>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Lined - Accent 5"/>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Lined - Accent 6"/>
    <w:basedOn w:val="10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w:basedOn w:val="102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amp; Lined - Accent 1"/>
    <w:basedOn w:val="102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amp; Lined - Accent 2"/>
    <w:basedOn w:val="102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amp; Lined - Accent 3"/>
    <w:basedOn w:val="102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amp; Lined - Accent 4"/>
    <w:basedOn w:val="102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amp; Lined - Accent 5"/>
    <w:basedOn w:val="102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amp; Lined - Accent 6"/>
    <w:basedOn w:val="102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w:basedOn w:val="102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 Accent 1"/>
    <w:basedOn w:val="102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 Accent 2"/>
    <w:basedOn w:val="102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 Accent 3"/>
    <w:basedOn w:val="102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 Accent 4"/>
    <w:basedOn w:val="102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Bordered - Accent 5"/>
    <w:basedOn w:val="102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Bordered - Accent 6"/>
    <w:basedOn w:val="102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8">
    <w:name w:val="Heading 5"/>
    <w:basedOn w:val="1019"/>
    <w:next w:val="1019"/>
    <w:link w:val="98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9">
    <w:name w:val="Heading 6"/>
    <w:basedOn w:val="1019"/>
    <w:next w:val="1019"/>
    <w:link w:val="98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80">
    <w:name w:val="Heading 7"/>
    <w:basedOn w:val="1019"/>
    <w:next w:val="1019"/>
    <w:link w:val="98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81">
    <w:name w:val="Heading 8"/>
    <w:basedOn w:val="1019"/>
    <w:next w:val="1019"/>
    <w:link w:val="98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82">
    <w:name w:val="Heading 9"/>
    <w:basedOn w:val="1019"/>
    <w:next w:val="1019"/>
    <w:link w:val="98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83">
    <w:name w:val="Heading 5 Char"/>
    <w:basedOn w:val="1024"/>
    <w:link w:val="978"/>
    <w:uiPriority w:val="9"/>
    <w:pPr>
      <w:pBdr/>
      <w:spacing/>
      <w:ind/>
    </w:pPr>
    <w:rPr>
      <w:rFonts w:ascii="Arial" w:hAnsi="Arial" w:eastAsia="Arial" w:cs="Arial"/>
      <w:color w:val="0f4761" w:themeColor="accent1" w:themeShade="BF"/>
    </w:rPr>
  </w:style>
  <w:style w:type="character" w:styleId="984">
    <w:name w:val="Heading 6 Char"/>
    <w:basedOn w:val="1024"/>
    <w:link w:val="979"/>
    <w:uiPriority w:val="9"/>
    <w:pPr>
      <w:pBdr/>
      <w:spacing/>
      <w:ind/>
    </w:pPr>
    <w:rPr>
      <w:rFonts w:ascii="Arial" w:hAnsi="Arial" w:eastAsia="Arial" w:cs="Arial"/>
      <w:i/>
      <w:iCs/>
      <w:color w:val="595959" w:themeColor="text1" w:themeTint="A6"/>
    </w:rPr>
  </w:style>
  <w:style w:type="character" w:styleId="985">
    <w:name w:val="Heading 7 Char"/>
    <w:basedOn w:val="1024"/>
    <w:link w:val="980"/>
    <w:uiPriority w:val="9"/>
    <w:pPr>
      <w:pBdr/>
      <w:spacing/>
      <w:ind/>
    </w:pPr>
    <w:rPr>
      <w:rFonts w:ascii="Arial" w:hAnsi="Arial" w:eastAsia="Arial" w:cs="Arial"/>
      <w:color w:val="595959" w:themeColor="text1" w:themeTint="A6"/>
    </w:rPr>
  </w:style>
  <w:style w:type="character" w:styleId="986">
    <w:name w:val="Heading 8 Char"/>
    <w:basedOn w:val="1024"/>
    <w:link w:val="981"/>
    <w:uiPriority w:val="9"/>
    <w:pPr>
      <w:pBdr/>
      <w:spacing/>
      <w:ind/>
    </w:pPr>
    <w:rPr>
      <w:rFonts w:ascii="Arial" w:hAnsi="Arial" w:eastAsia="Arial" w:cs="Arial"/>
      <w:i/>
      <w:iCs/>
      <w:color w:val="272727" w:themeColor="text1" w:themeTint="D8"/>
    </w:rPr>
  </w:style>
  <w:style w:type="character" w:styleId="987">
    <w:name w:val="Heading 9 Char"/>
    <w:basedOn w:val="1024"/>
    <w:link w:val="982"/>
    <w:uiPriority w:val="9"/>
    <w:pPr>
      <w:pBdr/>
      <w:spacing/>
      <w:ind/>
    </w:pPr>
    <w:rPr>
      <w:rFonts w:ascii="Arial" w:hAnsi="Arial" w:eastAsia="Arial" w:cs="Arial"/>
      <w:i/>
      <w:iCs/>
      <w:color w:val="272727" w:themeColor="text1" w:themeTint="D8"/>
    </w:rPr>
  </w:style>
  <w:style w:type="paragraph" w:styleId="988">
    <w:name w:val="Subtitle"/>
    <w:basedOn w:val="1019"/>
    <w:next w:val="1019"/>
    <w:link w:val="989"/>
    <w:uiPriority w:val="11"/>
    <w:qFormat/>
    <w:pPr>
      <w:numPr>
        <w:ilvl w:val="1"/>
      </w:numPr>
      <w:pBdr/>
      <w:spacing/>
      <w:ind/>
    </w:pPr>
    <w:rPr>
      <w:color w:val="595959" w:themeColor="text1" w:themeTint="A6"/>
      <w:spacing w:val="15"/>
      <w:sz w:val="28"/>
      <w:szCs w:val="28"/>
    </w:rPr>
  </w:style>
  <w:style w:type="character" w:styleId="989">
    <w:name w:val="Subtitle Char"/>
    <w:basedOn w:val="1024"/>
    <w:link w:val="988"/>
    <w:uiPriority w:val="11"/>
    <w:pPr>
      <w:pBdr/>
      <w:spacing/>
      <w:ind/>
    </w:pPr>
    <w:rPr>
      <w:color w:val="595959" w:themeColor="text1" w:themeTint="A6"/>
      <w:spacing w:val="15"/>
      <w:sz w:val="28"/>
      <w:szCs w:val="28"/>
    </w:rPr>
  </w:style>
  <w:style w:type="paragraph" w:styleId="990">
    <w:name w:val="Quote"/>
    <w:basedOn w:val="1019"/>
    <w:next w:val="1019"/>
    <w:link w:val="991"/>
    <w:uiPriority w:val="29"/>
    <w:qFormat/>
    <w:pPr>
      <w:pBdr/>
      <w:spacing w:before="160"/>
      <w:ind/>
      <w:jc w:val="center"/>
    </w:pPr>
    <w:rPr>
      <w:i/>
      <w:iCs/>
      <w:color w:val="404040" w:themeColor="text1" w:themeTint="BF"/>
    </w:rPr>
  </w:style>
  <w:style w:type="character" w:styleId="991">
    <w:name w:val="Quote Char"/>
    <w:basedOn w:val="1024"/>
    <w:link w:val="990"/>
    <w:uiPriority w:val="29"/>
    <w:pPr>
      <w:pBdr/>
      <w:spacing/>
      <w:ind/>
    </w:pPr>
    <w:rPr>
      <w:i/>
      <w:iCs/>
      <w:color w:val="404040" w:themeColor="text1" w:themeTint="BF"/>
    </w:rPr>
  </w:style>
  <w:style w:type="character" w:styleId="992">
    <w:name w:val="Intense Emphasis"/>
    <w:basedOn w:val="1024"/>
    <w:uiPriority w:val="21"/>
    <w:qFormat/>
    <w:pPr>
      <w:pBdr/>
      <w:spacing/>
      <w:ind/>
    </w:pPr>
    <w:rPr>
      <w:i/>
      <w:iCs/>
      <w:color w:val="0f4761" w:themeColor="accent1" w:themeShade="BF"/>
    </w:rPr>
  </w:style>
  <w:style w:type="paragraph" w:styleId="993">
    <w:name w:val="Intense Quote"/>
    <w:basedOn w:val="1019"/>
    <w:next w:val="1019"/>
    <w:link w:val="994"/>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4">
    <w:name w:val="Intense Quote Char"/>
    <w:basedOn w:val="1024"/>
    <w:link w:val="993"/>
    <w:uiPriority w:val="30"/>
    <w:pPr>
      <w:pBdr/>
      <w:spacing/>
      <w:ind/>
    </w:pPr>
    <w:rPr>
      <w:i/>
      <w:iCs/>
      <w:color w:val="0f4761" w:themeColor="accent1" w:themeShade="BF"/>
    </w:rPr>
  </w:style>
  <w:style w:type="character" w:styleId="995">
    <w:name w:val="Intense Reference"/>
    <w:basedOn w:val="1024"/>
    <w:uiPriority w:val="32"/>
    <w:qFormat/>
    <w:pPr>
      <w:pBdr/>
      <w:spacing/>
      <w:ind/>
    </w:pPr>
    <w:rPr>
      <w:b/>
      <w:bCs/>
      <w:smallCaps/>
      <w:color w:val="0f4761" w:themeColor="accent1" w:themeShade="BF"/>
      <w:spacing w:val="5"/>
    </w:rPr>
  </w:style>
  <w:style w:type="paragraph" w:styleId="996">
    <w:name w:val="No Spacing"/>
    <w:basedOn w:val="1019"/>
    <w:uiPriority w:val="1"/>
    <w:qFormat/>
    <w:pPr>
      <w:pBdr/>
      <w:spacing w:after="0" w:line="240" w:lineRule="auto"/>
      <w:ind/>
    </w:pPr>
  </w:style>
  <w:style w:type="character" w:styleId="997">
    <w:name w:val="Subtle Emphasis"/>
    <w:basedOn w:val="1024"/>
    <w:uiPriority w:val="19"/>
    <w:qFormat/>
    <w:pPr>
      <w:pBdr/>
      <w:spacing/>
      <w:ind/>
    </w:pPr>
    <w:rPr>
      <w:i/>
      <w:iCs/>
      <w:color w:val="404040" w:themeColor="text1" w:themeTint="BF"/>
    </w:rPr>
  </w:style>
  <w:style w:type="character" w:styleId="998">
    <w:name w:val="Subtle Reference"/>
    <w:basedOn w:val="1024"/>
    <w:uiPriority w:val="31"/>
    <w:qFormat/>
    <w:pPr>
      <w:pBdr/>
      <w:spacing/>
      <w:ind/>
    </w:pPr>
    <w:rPr>
      <w:smallCaps/>
      <w:color w:val="5a5a5a" w:themeColor="text1" w:themeTint="A5"/>
    </w:rPr>
  </w:style>
  <w:style w:type="character" w:styleId="999">
    <w:name w:val="Book Title"/>
    <w:basedOn w:val="1024"/>
    <w:uiPriority w:val="33"/>
    <w:qFormat/>
    <w:pPr>
      <w:pBdr/>
      <w:spacing/>
      <w:ind/>
    </w:pPr>
    <w:rPr>
      <w:b/>
      <w:bCs/>
      <w:i/>
      <w:iCs/>
      <w:spacing w:val="5"/>
    </w:rPr>
  </w:style>
  <w:style w:type="paragraph" w:styleId="1000">
    <w:name w:val="Caption"/>
    <w:basedOn w:val="1019"/>
    <w:next w:val="1019"/>
    <w:uiPriority w:val="35"/>
    <w:unhideWhenUsed/>
    <w:qFormat/>
    <w:pPr>
      <w:pBdr/>
      <w:spacing w:after="200" w:line="240" w:lineRule="auto"/>
      <w:ind/>
    </w:pPr>
    <w:rPr>
      <w:i/>
      <w:iCs/>
      <w:color w:val="0e2841" w:themeColor="text2"/>
      <w:sz w:val="18"/>
      <w:szCs w:val="18"/>
    </w:rPr>
  </w:style>
  <w:style w:type="paragraph" w:styleId="1001">
    <w:name w:val="footnote text"/>
    <w:basedOn w:val="1019"/>
    <w:link w:val="1002"/>
    <w:uiPriority w:val="99"/>
    <w:semiHidden/>
    <w:unhideWhenUsed/>
    <w:pPr>
      <w:pBdr/>
      <w:spacing w:after="0" w:line="240" w:lineRule="auto"/>
      <w:ind/>
    </w:pPr>
    <w:rPr>
      <w:sz w:val="20"/>
      <w:szCs w:val="20"/>
    </w:rPr>
  </w:style>
  <w:style w:type="character" w:styleId="1002">
    <w:name w:val="Footnote Text Char"/>
    <w:basedOn w:val="1024"/>
    <w:link w:val="1001"/>
    <w:uiPriority w:val="99"/>
    <w:semiHidden/>
    <w:pPr>
      <w:pBdr/>
      <w:spacing/>
      <w:ind/>
    </w:pPr>
    <w:rPr>
      <w:sz w:val="20"/>
      <w:szCs w:val="20"/>
    </w:rPr>
  </w:style>
  <w:style w:type="character" w:styleId="1003">
    <w:name w:val="footnote reference"/>
    <w:basedOn w:val="1024"/>
    <w:uiPriority w:val="99"/>
    <w:semiHidden/>
    <w:unhideWhenUsed/>
    <w:pPr>
      <w:pBdr/>
      <w:spacing/>
      <w:ind/>
    </w:pPr>
    <w:rPr>
      <w:vertAlign w:val="superscript"/>
    </w:rPr>
  </w:style>
  <w:style w:type="paragraph" w:styleId="1004">
    <w:name w:val="endnote text"/>
    <w:basedOn w:val="1019"/>
    <w:link w:val="1005"/>
    <w:uiPriority w:val="99"/>
    <w:semiHidden/>
    <w:unhideWhenUsed/>
    <w:pPr>
      <w:pBdr/>
      <w:spacing w:after="0" w:line="240" w:lineRule="auto"/>
      <w:ind/>
    </w:pPr>
    <w:rPr>
      <w:sz w:val="20"/>
      <w:szCs w:val="20"/>
    </w:rPr>
  </w:style>
  <w:style w:type="character" w:styleId="1005">
    <w:name w:val="Endnote Text Char"/>
    <w:basedOn w:val="1024"/>
    <w:link w:val="1004"/>
    <w:uiPriority w:val="99"/>
    <w:semiHidden/>
    <w:pPr>
      <w:pBdr/>
      <w:spacing/>
      <w:ind/>
    </w:pPr>
    <w:rPr>
      <w:sz w:val="20"/>
      <w:szCs w:val="20"/>
    </w:rPr>
  </w:style>
  <w:style w:type="character" w:styleId="1006">
    <w:name w:val="endnote reference"/>
    <w:basedOn w:val="1024"/>
    <w:uiPriority w:val="99"/>
    <w:semiHidden/>
    <w:unhideWhenUsed/>
    <w:pPr>
      <w:pBdr/>
      <w:spacing/>
      <w:ind/>
    </w:pPr>
    <w:rPr>
      <w:vertAlign w:val="superscript"/>
    </w:rPr>
  </w:style>
  <w:style w:type="paragraph" w:styleId="1007">
    <w:name w:val="toc 1"/>
    <w:basedOn w:val="1019"/>
    <w:next w:val="1019"/>
    <w:uiPriority w:val="39"/>
    <w:unhideWhenUsed/>
    <w:pPr>
      <w:pBdr/>
      <w:spacing w:after="100"/>
      <w:ind/>
    </w:pPr>
  </w:style>
  <w:style w:type="paragraph" w:styleId="1008">
    <w:name w:val="toc 2"/>
    <w:basedOn w:val="1019"/>
    <w:next w:val="1019"/>
    <w:uiPriority w:val="39"/>
    <w:unhideWhenUsed/>
    <w:pPr>
      <w:pBdr/>
      <w:spacing w:after="100"/>
      <w:ind w:left="220"/>
    </w:pPr>
  </w:style>
  <w:style w:type="paragraph" w:styleId="1009">
    <w:name w:val="toc 3"/>
    <w:basedOn w:val="1019"/>
    <w:next w:val="1019"/>
    <w:uiPriority w:val="39"/>
    <w:unhideWhenUsed/>
    <w:pPr>
      <w:pBdr/>
      <w:spacing w:after="100"/>
      <w:ind w:left="440"/>
    </w:pPr>
  </w:style>
  <w:style w:type="paragraph" w:styleId="1010">
    <w:name w:val="toc 4"/>
    <w:basedOn w:val="1019"/>
    <w:next w:val="1019"/>
    <w:uiPriority w:val="39"/>
    <w:unhideWhenUsed/>
    <w:pPr>
      <w:pBdr/>
      <w:spacing w:after="100"/>
      <w:ind w:left="660"/>
    </w:pPr>
  </w:style>
  <w:style w:type="paragraph" w:styleId="1011">
    <w:name w:val="toc 5"/>
    <w:basedOn w:val="1019"/>
    <w:next w:val="1019"/>
    <w:uiPriority w:val="39"/>
    <w:unhideWhenUsed/>
    <w:pPr>
      <w:pBdr/>
      <w:spacing w:after="100"/>
      <w:ind w:left="880"/>
    </w:pPr>
  </w:style>
  <w:style w:type="paragraph" w:styleId="1012">
    <w:name w:val="toc 6"/>
    <w:basedOn w:val="1019"/>
    <w:next w:val="1019"/>
    <w:uiPriority w:val="39"/>
    <w:unhideWhenUsed/>
    <w:pPr>
      <w:pBdr/>
      <w:spacing w:after="100"/>
      <w:ind w:left="1100"/>
    </w:pPr>
  </w:style>
  <w:style w:type="paragraph" w:styleId="1013">
    <w:name w:val="toc 7"/>
    <w:basedOn w:val="1019"/>
    <w:next w:val="1019"/>
    <w:uiPriority w:val="39"/>
    <w:unhideWhenUsed/>
    <w:pPr>
      <w:pBdr/>
      <w:spacing w:after="100"/>
      <w:ind w:left="1320"/>
    </w:pPr>
  </w:style>
  <w:style w:type="paragraph" w:styleId="1014">
    <w:name w:val="toc 8"/>
    <w:basedOn w:val="1019"/>
    <w:next w:val="1019"/>
    <w:uiPriority w:val="39"/>
    <w:unhideWhenUsed/>
    <w:pPr>
      <w:pBdr/>
      <w:spacing w:after="100"/>
      <w:ind w:left="1540"/>
    </w:pPr>
  </w:style>
  <w:style w:type="paragraph" w:styleId="1015">
    <w:name w:val="toc 9"/>
    <w:basedOn w:val="1019"/>
    <w:next w:val="1019"/>
    <w:uiPriority w:val="39"/>
    <w:unhideWhenUsed/>
    <w:pPr>
      <w:pBdr/>
      <w:spacing w:after="100"/>
      <w:ind w:left="1760"/>
    </w:pPr>
  </w:style>
  <w:style w:type="character" w:styleId="1016">
    <w:name w:val="Placeholder Text"/>
    <w:basedOn w:val="1024"/>
    <w:uiPriority w:val="99"/>
    <w:semiHidden/>
    <w:pPr>
      <w:pBdr/>
      <w:spacing/>
      <w:ind/>
    </w:pPr>
    <w:rPr>
      <w:color w:val="666666"/>
    </w:rPr>
  </w:style>
  <w:style w:type="paragraph" w:styleId="1017">
    <w:name w:val="TOC Heading"/>
    <w:uiPriority w:val="39"/>
    <w:unhideWhenUsed/>
    <w:pPr>
      <w:pBdr/>
      <w:spacing/>
      <w:ind/>
    </w:pPr>
  </w:style>
  <w:style w:type="paragraph" w:styleId="1018">
    <w:name w:val="table of figures"/>
    <w:basedOn w:val="1019"/>
    <w:next w:val="1019"/>
    <w:uiPriority w:val="99"/>
    <w:unhideWhenUsed/>
    <w:pPr>
      <w:pBdr/>
      <w:spacing w:after="0" w:afterAutospacing="0"/>
      <w:ind/>
    </w:pPr>
  </w:style>
  <w:style w:type="paragraph" w:styleId="1019" w:default="1">
    <w:name w:val="Normal"/>
    <w:qFormat/>
    <w:pPr>
      <w:pBdr/>
      <w:spacing w:after="0" w:line="240" w:lineRule="auto"/>
      <w:ind/>
    </w:pPr>
    <w:rPr>
      <w:rFonts w:ascii="Times New Roman" w:hAnsi="Times New Roman" w:eastAsia="Times New Roman" w:cs="Times New Roman"/>
      <w:sz w:val="24"/>
      <w:szCs w:val="24"/>
    </w:rPr>
  </w:style>
  <w:style w:type="paragraph" w:styleId="1020">
    <w:name w:val="Heading 1"/>
    <w:basedOn w:val="1019"/>
    <w:next w:val="1019"/>
    <w:link w:val="1027"/>
    <w:qFormat/>
    <w:pPr>
      <w:keepNext w:val="true"/>
      <w:pBdr/>
      <w:spacing w:after="120" w:before="120"/>
      <w:ind/>
      <w:jc w:val="center"/>
      <w:outlineLvl w:val="0"/>
    </w:pPr>
    <w:rPr>
      <w:b/>
      <w:bCs/>
      <w:sz w:val="27"/>
      <w:szCs w:val="27"/>
    </w:rPr>
  </w:style>
  <w:style w:type="paragraph" w:styleId="1021">
    <w:name w:val="Heading 2"/>
    <w:basedOn w:val="1019"/>
    <w:next w:val="1019"/>
    <w:link w:val="1028"/>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22">
    <w:name w:val="Heading 3"/>
    <w:basedOn w:val="1019"/>
    <w:next w:val="1019"/>
    <w:link w:val="1029"/>
    <w:qFormat/>
    <w:pPr>
      <w:keepNext w:val="true"/>
      <w:pBdr/>
      <w:spacing w:before="60"/>
      <w:ind/>
      <w:outlineLvl w:val="2"/>
    </w:pPr>
    <w:rPr>
      <w:sz w:val="28"/>
      <w:szCs w:val="28"/>
    </w:rPr>
  </w:style>
  <w:style w:type="paragraph" w:styleId="1023">
    <w:name w:val="Heading 4"/>
    <w:basedOn w:val="1019"/>
    <w:next w:val="1019"/>
    <w:link w:val="1030"/>
    <w:qFormat/>
    <w:pPr>
      <w:keepNext w:val="true"/>
      <w:pBdr/>
      <w:spacing/>
      <w:ind/>
      <w:jc w:val="center"/>
      <w:outlineLvl w:val="3"/>
    </w:pPr>
    <w:rPr>
      <w:b/>
      <w:bCs/>
    </w:rPr>
  </w:style>
  <w:style w:type="character" w:styleId="1024" w:default="1">
    <w:name w:val="Default Paragraph Font"/>
    <w:uiPriority w:val="1"/>
    <w:semiHidden/>
    <w:unhideWhenUsed/>
    <w:pPr>
      <w:pBdr/>
      <w:spacing/>
      <w:ind/>
    </w:pPr>
  </w:style>
  <w:style w:type="table" w:styleId="102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6" w:default="1">
    <w:name w:val="No List"/>
    <w:uiPriority w:val="99"/>
    <w:semiHidden/>
    <w:unhideWhenUsed/>
    <w:pPr>
      <w:pBdr/>
      <w:spacing/>
      <w:ind/>
    </w:pPr>
  </w:style>
  <w:style w:type="character" w:styleId="1027" w:customStyle="1">
    <w:name w:val="Heading 1 Char"/>
    <w:basedOn w:val="1024"/>
    <w:link w:val="1020"/>
    <w:pPr>
      <w:pBdr/>
      <w:spacing/>
      <w:ind/>
    </w:pPr>
    <w:rPr>
      <w:rFonts w:ascii="Times New Roman" w:hAnsi="Times New Roman" w:eastAsia="Times New Roman" w:cs="Times New Roman"/>
      <w:b/>
      <w:bCs/>
      <w:sz w:val="27"/>
      <w:szCs w:val="27"/>
    </w:rPr>
  </w:style>
  <w:style w:type="character" w:styleId="1028" w:customStyle="1">
    <w:name w:val="Heading 2 Char"/>
    <w:basedOn w:val="1024"/>
    <w:link w:val="1021"/>
    <w:uiPriority w:val="9"/>
    <w:pPr>
      <w:pBdr/>
      <w:spacing/>
      <w:ind/>
    </w:pPr>
    <w:rPr>
      <w:rFonts w:asciiTheme="majorHAnsi" w:hAnsiTheme="majorHAnsi" w:eastAsiaTheme="majorEastAsia" w:cstheme="majorBidi"/>
      <w:color w:val="365f91" w:themeColor="accent1" w:themeShade="BF"/>
      <w:sz w:val="26"/>
      <w:szCs w:val="26"/>
    </w:rPr>
  </w:style>
  <w:style w:type="character" w:styleId="1029" w:customStyle="1">
    <w:name w:val="Heading 3 Char"/>
    <w:basedOn w:val="1024"/>
    <w:link w:val="1022"/>
    <w:pPr>
      <w:pBdr/>
      <w:spacing/>
      <w:ind/>
    </w:pPr>
    <w:rPr>
      <w:rFonts w:ascii="Times New Roman" w:hAnsi="Times New Roman" w:eastAsia="Times New Roman" w:cs="Times New Roman"/>
      <w:sz w:val="28"/>
      <w:szCs w:val="28"/>
    </w:rPr>
  </w:style>
  <w:style w:type="character" w:styleId="1030" w:customStyle="1">
    <w:name w:val="Heading 4 Char"/>
    <w:basedOn w:val="1024"/>
    <w:link w:val="1023"/>
    <w:pPr>
      <w:pBdr/>
      <w:spacing/>
      <w:ind/>
    </w:pPr>
    <w:rPr>
      <w:rFonts w:ascii="Times New Roman" w:hAnsi="Times New Roman" w:eastAsia="Times New Roman" w:cs="Times New Roman"/>
      <w:b/>
      <w:bCs/>
      <w:sz w:val="24"/>
      <w:szCs w:val="24"/>
    </w:rPr>
  </w:style>
  <w:style w:type="character" w:styleId="1031">
    <w:name w:val="Hyperlink"/>
    <w:uiPriority w:val="99"/>
    <w:pPr>
      <w:pBdr/>
      <w:spacing/>
      <w:ind/>
    </w:pPr>
    <w:rPr>
      <w:color w:val="000000"/>
      <w:u w:val="single"/>
    </w:rPr>
  </w:style>
  <w:style w:type="character" w:styleId="1032">
    <w:name w:val="Strong"/>
    <w:uiPriority w:val="22"/>
    <w:qFormat/>
    <w:pPr>
      <w:pBdr/>
      <w:spacing/>
      <w:ind/>
    </w:pPr>
    <w:rPr>
      <w:b/>
      <w:bCs/>
    </w:rPr>
  </w:style>
  <w:style w:type="paragraph" w:styleId="1033">
    <w:name w:val="Balloon Text"/>
    <w:basedOn w:val="1019"/>
    <w:link w:val="1034"/>
    <w:uiPriority w:val="99"/>
    <w:semiHidden/>
    <w:unhideWhenUsed/>
    <w:pPr>
      <w:pBdr/>
      <w:spacing/>
      <w:ind/>
    </w:pPr>
    <w:rPr>
      <w:rFonts w:ascii="Tahoma" w:hAnsi="Tahoma" w:cs="Tahoma"/>
      <w:sz w:val="16"/>
      <w:szCs w:val="16"/>
    </w:rPr>
  </w:style>
  <w:style w:type="character" w:styleId="1034" w:customStyle="1">
    <w:name w:val="Balloon Text Char"/>
    <w:basedOn w:val="1024"/>
    <w:link w:val="1033"/>
    <w:uiPriority w:val="99"/>
    <w:semiHidden/>
    <w:pPr>
      <w:pBdr/>
      <w:spacing/>
      <w:ind/>
    </w:pPr>
    <w:rPr>
      <w:rFonts w:ascii="Tahoma" w:hAnsi="Tahoma" w:eastAsia="Times New Roman" w:cs="Tahoma"/>
      <w:sz w:val="16"/>
      <w:szCs w:val="16"/>
    </w:rPr>
  </w:style>
  <w:style w:type="paragraph" w:styleId="1035">
    <w:name w:val="Header"/>
    <w:basedOn w:val="1019"/>
    <w:link w:val="1036"/>
    <w:unhideWhenUsed/>
    <w:pPr>
      <w:pBdr/>
      <w:tabs>
        <w:tab w:val="center" w:leader="none" w:pos="4680"/>
        <w:tab w:val="right" w:leader="none" w:pos="9360"/>
      </w:tabs>
      <w:spacing/>
      <w:ind/>
    </w:pPr>
  </w:style>
  <w:style w:type="character" w:styleId="1036" w:customStyle="1">
    <w:name w:val="Header Char"/>
    <w:basedOn w:val="1024"/>
    <w:link w:val="1035"/>
    <w:pPr>
      <w:pBdr/>
      <w:spacing/>
      <w:ind/>
    </w:pPr>
    <w:rPr>
      <w:rFonts w:ascii="Times New Roman" w:hAnsi="Times New Roman" w:eastAsia="Times New Roman" w:cs="Times New Roman"/>
      <w:sz w:val="24"/>
      <w:szCs w:val="24"/>
    </w:rPr>
  </w:style>
  <w:style w:type="paragraph" w:styleId="1037">
    <w:name w:val="Footer"/>
    <w:basedOn w:val="1019"/>
    <w:link w:val="1038"/>
    <w:uiPriority w:val="99"/>
    <w:unhideWhenUsed/>
    <w:pPr>
      <w:pBdr/>
      <w:tabs>
        <w:tab w:val="center" w:leader="none" w:pos="4680"/>
        <w:tab w:val="right" w:leader="none" w:pos="9360"/>
      </w:tabs>
      <w:spacing/>
      <w:ind/>
    </w:pPr>
  </w:style>
  <w:style w:type="character" w:styleId="1038" w:customStyle="1">
    <w:name w:val="Footer Char"/>
    <w:basedOn w:val="1024"/>
    <w:link w:val="1037"/>
    <w:uiPriority w:val="99"/>
    <w:pPr>
      <w:pBdr/>
      <w:spacing/>
      <w:ind/>
    </w:pPr>
    <w:rPr>
      <w:rFonts w:ascii="Times New Roman" w:hAnsi="Times New Roman" w:eastAsia="Times New Roman" w:cs="Times New Roman"/>
      <w:sz w:val="24"/>
      <w:szCs w:val="24"/>
    </w:rPr>
  </w:style>
  <w:style w:type="character" w:styleId="1039" w:customStyle="1">
    <w:name w:val="normal-h1"/>
    <w:pPr>
      <w:pBdr/>
      <w:spacing/>
      <w:ind/>
    </w:pPr>
    <w:rPr>
      <w:rFonts w:hint="default" w:ascii=".VnTime" w:hAnsi=".VnTime"/>
      <w:color w:val="0000ff"/>
      <w:sz w:val="24"/>
      <w:szCs w:val="24"/>
    </w:rPr>
  </w:style>
  <w:style w:type="paragraph" w:styleId="1040" w:customStyle="1">
    <w:name w:val="normal-p"/>
    <w:basedOn w:val="1019"/>
    <w:pPr>
      <w:pBdr/>
      <w:spacing/>
      <w:ind/>
      <w:jc w:val="both"/>
    </w:pPr>
    <w:rPr>
      <w:sz w:val="20"/>
      <w:szCs w:val="20"/>
    </w:rPr>
  </w:style>
  <w:style w:type="paragraph" w:styleId="1041">
    <w:name w:val="List Paragraph"/>
    <w:basedOn w:val="1019"/>
    <w:link w:val="1128"/>
    <w:uiPriority w:val="34"/>
    <w:qFormat/>
    <w:pPr>
      <w:pBdr/>
      <w:spacing/>
      <w:ind w:left="720"/>
    </w:pPr>
  </w:style>
  <w:style w:type="paragraph" w:styleId="1042">
    <w:name w:val="Normal (Web)"/>
    <w:basedOn w:val="1019"/>
    <w:uiPriority w:val="99"/>
    <w:pPr>
      <w:pBdr/>
      <w:spacing w:after="100" w:afterAutospacing="1" w:before="100" w:beforeAutospacing="1"/>
      <w:ind/>
    </w:pPr>
  </w:style>
  <w:style w:type="paragraph" w:styleId="1043">
    <w:name w:val="Body Text"/>
    <w:basedOn w:val="1019"/>
    <w:link w:val="1044"/>
    <w:pPr>
      <w:pBdr/>
      <w:spacing w:after="120"/>
      <w:ind/>
      <w:jc w:val="both"/>
    </w:pPr>
  </w:style>
  <w:style w:type="character" w:styleId="1044" w:customStyle="1">
    <w:name w:val="Body Text Char"/>
    <w:basedOn w:val="1024"/>
    <w:link w:val="1043"/>
    <w:pPr>
      <w:pBdr/>
      <w:spacing/>
      <w:ind/>
    </w:pPr>
    <w:rPr>
      <w:rFonts w:ascii="Times New Roman" w:hAnsi="Times New Roman" w:eastAsia="Times New Roman" w:cs="Times New Roman"/>
      <w:sz w:val="24"/>
      <w:szCs w:val="24"/>
    </w:rPr>
  </w:style>
  <w:style w:type="table" w:styleId="1045">
    <w:name w:val="Table Grid"/>
    <w:basedOn w:val="1025"/>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6"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7">
    <w:name w:val="annotation reference"/>
    <w:basedOn w:val="1024"/>
    <w:uiPriority w:val="99"/>
    <w:semiHidden/>
    <w:unhideWhenUsed/>
    <w:pPr>
      <w:pBdr/>
      <w:spacing/>
      <w:ind/>
    </w:pPr>
    <w:rPr>
      <w:sz w:val="16"/>
      <w:szCs w:val="16"/>
    </w:rPr>
  </w:style>
  <w:style w:type="paragraph" w:styleId="1048">
    <w:name w:val="annotation text"/>
    <w:basedOn w:val="1019"/>
    <w:link w:val="1049"/>
    <w:uiPriority w:val="99"/>
    <w:unhideWhenUsed/>
    <w:pPr>
      <w:pBdr/>
      <w:spacing/>
      <w:ind/>
    </w:pPr>
    <w:rPr>
      <w:sz w:val="20"/>
      <w:szCs w:val="20"/>
    </w:rPr>
  </w:style>
  <w:style w:type="character" w:styleId="1049" w:customStyle="1">
    <w:name w:val="Comment Text Char"/>
    <w:basedOn w:val="1024"/>
    <w:link w:val="1048"/>
    <w:uiPriority w:val="99"/>
    <w:pPr>
      <w:pBdr/>
      <w:spacing/>
      <w:ind/>
    </w:pPr>
    <w:rPr>
      <w:rFonts w:ascii="Times New Roman" w:hAnsi="Times New Roman" w:eastAsia="Times New Roman" w:cs="Times New Roman"/>
      <w:sz w:val="20"/>
      <w:szCs w:val="20"/>
    </w:rPr>
  </w:style>
  <w:style w:type="paragraph" w:styleId="1050">
    <w:name w:val="annotation subject"/>
    <w:basedOn w:val="1048"/>
    <w:next w:val="1048"/>
    <w:link w:val="1051"/>
    <w:uiPriority w:val="99"/>
    <w:semiHidden/>
    <w:unhideWhenUsed/>
    <w:pPr>
      <w:pBdr/>
      <w:spacing/>
      <w:ind/>
    </w:pPr>
    <w:rPr>
      <w:b/>
      <w:bCs/>
    </w:rPr>
  </w:style>
  <w:style w:type="character" w:styleId="1051" w:customStyle="1">
    <w:name w:val="Comment Subject Char"/>
    <w:basedOn w:val="1049"/>
    <w:link w:val="1050"/>
    <w:uiPriority w:val="99"/>
    <w:semiHidden/>
    <w:pPr>
      <w:pBdr/>
      <w:spacing/>
      <w:ind/>
    </w:pPr>
    <w:rPr>
      <w:rFonts w:ascii="Times New Roman" w:hAnsi="Times New Roman" w:eastAsia="Times New Roman" w:cs="Times New Roman"/>
      <w:b/>
      <w:bCs/>
      <w:sz w:val="20"/>
      <w:szCs w:val="20"/>
    </w:rPr>
  </w:style>
  <w:style w:type="paragraph" w:styleId="1052" w:customStyle="1">
    <w:name w:val="font5"/>
    <w:basedOn w:val="1019"/>
    <w:pPr>
      <w:pBdr/>
      <w:spacing w:after="100" w:afterAutospacing="1" w:before="100" w:beforeAutospacing="1"/>
      <w:ind/>
    </w:pPr>
    <w:rPr>
      <w:rFonts w:ascii="Tahoma" w:hAnsi="Tahoma" w:cs="Tahoma"/>
      <w:color w:val="000000"/>
      <w:sz w:val="18"/>
      <w:szCs w:val="18"/>
    </w:rPr>
  </w:style>
  <w:style w:type="paragraph" w:styleId="1053" w:customStyle="1">
    <w:name w:val="font6"/>
    <w:basedOn w:val="1019"/>
    <w:pPr>
      <w:pBdr/>
      <w:spacing w:after="100" w:afterAutospacing="1" w:before="100" w:beforeAutospacing="1"/>
      <w:ind/>
    </w:pPr>
    <w:rPr>
      <w:rFonts w:ascii="Tahoma" w:hAnsi="Tahoma" w:cs="Tahoma"/>
      <w:b/>
      <w:bCs/>
      <w:color w:val="000000"/>
      <w:sz w:val="18"/>
      <w:szCs w:val="18"/>
    </w:rPr>
  </w:style>
  <w:style w:type="paragraph" w:styleId="1054" w:customStyle="1">
    <w:name w:val="xl233"/>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34"/>
    <w:basedOn w:val="1019"/>
    <w:pPr>
      <w:pBdr/>
      <w:spacing w:after="100" w:afterAutospacing="1" w:before="100" w:beforeAutospacing="1"/>
      <w:ind/>
      <w:jc w:val="center"/>
    </w:pPr>
  </w:style>
  <w:style w:type="paragraph" w:styleId="1056" w:customStyle="1">
    <w:name w:val="xl235"/>
    <w:basedOn w:val="1019"/>
    <w:pPr>
      <w:pBdr/>
      <w:spacing w:after="100" w:afterAutospacing="1" w:before="100" w:beforeAutospacing="1"/>
      <w:ind/>
      <w:jc w:val="center"/>
    </w:pPr>
    <w:rPr>
      <w:b/>
      <w:bCs/>
    </w:rPr>
  </w:style>
  <w:style w:type="paragraph" w:styleId="1057" w:customStyle="1">
    <w:name w:val="xl236"/>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37"/>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9" w:customStyle="1">
    <w:name w:val="xl238"/>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0" w:customStyle="1">
    <w:name w:val="xl239"/>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61" w:customStyle="1">
    <w:name w:val="xl240"/>
    <w:basedOn w:val="1019"/>
    <w:pPr>
      <w:pBdr/>
      <w:spacing w:after="100" w:afterAutospacing="1" w:before="100" w:beforeAutospacing="1"/>
      <w:ind/>
    </w:pPr>
  </w:style>
  <w:style w:type="paragraph" w:styleId="1062" w:customStyle="1">
    <w:name w:val="xl241"/>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3" w:customStyle="1">
    <w:name w:val="xl242"/>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4" w:customStyle="1">
    <w:name w:val="xl243"/>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44"/>
    <w:basedOn w:val="1019"/>
    <w:pPr>
      <w:pBdr/>
      <w:spacing w:after="100" w:afterAutospacing="1" w:before="100" w:beforeAutospacing="1"/>
      <w:ind/>
    </w:pPr>
    <w:rPr>
      <w:b/>
      <w:bCs/>
    </w:rPr>
  </w:style>
  <w:style w:type="paragraph" w:styleId="1066" w:customStyle="1">
    <w:name w:val="xl245"/>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46"/>
    <w:basedOn w:val="101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8" w:customStyle="1">
    <w:name w:val="xl247"/>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9" w:customStyle="1">
    <w:name w:val="xl248"/>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0" w:customStyle="1">
    <w:name w:val="xl249"/>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50"/>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51"/>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3" w:customStyle="1">
    <w:name w:val="xl252"/>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3"/>
    <w:basedOn w:val="101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54"/>
    <w:basedOn w:val="1019"/>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55"/>
    <w:basedOn w:val="101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7" w:customStyle="1">
    <w:name w:val="xl256"/>
    <w:basedOn w:val="1019"/>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8" w:customStyle="1">
    <w:name w:val="xl257"/>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9" w:customStyle="1">
    <w:name w:val="xl258"/>
    <w:basedOn w:val="1019"/>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0" w:customStyle="1">
    <w:name w:val="xl259"/>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1" w:customStyle="1">
    <w:name w:val="xl260"/>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61"/>
    <w:basedOn w:val="1019"/>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3" w:customStyle="1">
    <w:name w:val="xl262"/>
    <w:basedOn w:val="1019"/>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3"/>
    <w:basedOn w:val="1019"/>
    <w:pPr>
      <w:pBdr/>
      <w:shd w:val="clear" w:color="000000" w:fill="ffffff"/>
      <w:spacing w:after="100" w:afterAutospacing="1" w:before="100" w:beforeAutospacing="1"/>
      <w:ind/>
    </w:pPr>
  </w:style>
  <w:style w:type="paragraph" w:styleId="1085" w:customStyle="1">
    <w:name w:val="xl264"/>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65"/>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66"/>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8" w:customStyle="1">
    <w:name w:val="xl267"/>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68"/>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0" w:customStyle="1">
    <w:name w:val="xl269"/>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1" w:customStyle="1">
    <w:name w:val="xl270"/>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71"/>
    <w:basedOn w:val="1019"/>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93" w:customStyle="1">
    <w:name w:val="xl272"/>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4" w:customStyle="1">
    <w:name w:val="xl273"/>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5" w:customStyle="1">
    <w:name w:val="xl274"/>
    <w:basedOn w:val="1019"/>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6" w:customStyle="1">
    <w:name w:val="xl275"/>
    <w:basedOn w:val="1019"/>
    <w:pPr>
      <w:pBdr/>
      <w:spacing w:after="100" w:afterAutospacing="1" w:before="100" w:beforeAutospacing="1"/>
      <w:ind/>
    </w:pPr>
  </w:style>
  <w:style w:type="paragraph" w:styleId="1097" w:customStyle="1">
    <w:name w:val="xl276"/>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8" w:customStyle="1">
    <w:name w:val="xl277"/>
    <w:basedOn w:val="1019"/>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9" w:customStyle="1">
    <w:name w:val="xl278"/>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customStyle="1">
    <w:name w:val="xl279"/>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1" w:customStyle="1">
    <w:name w:val="xl280"/>
    <w:basedOn w:val="1019"/>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2" w:customStyle="1">
    <w:name w:val="xl281"/>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3" w:customStyle="1">
    <w:name w:val="xl282"/>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4" w:customStyle="1">
    <w:name w:val="xl283"/>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84"/>
    <w:basedOn w:val="1019"/>
    <w:pPr>
      <w:pBdr>
        <w:left w:val="single" w:color="000000" w:sz="4" w:space="0"/>
        <w:bottom w:val="single" w:color="000000" w:sz="4" w:space="0"/>
        <w:right w:val="single" w:color="000000" w:sz="4" w:space="0"/>
      </w:pBdr>
      <w:spacing w:after="100" w:afterAutospacing="1" w:before="100" w:beforeAutospacing="1"/>
      <w:ind/>
    </w:pPr>
  </w:style>
  <w:style w:type="paragraph" w:styleId="1106" w:customStyle="1">
    <w:name w:val="xl285"/>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7" w:customStyle="1">
    <w:name w:val="xl286"/>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8" w:customStyle="1">
    <w:name w:val="xl287"/>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88"/>
    <w:basedOn w:val="1019"/>
    <w:pPr>
      <w:pBdr>
        <w:top w:val="single" w:color="000000" w:sz="4" w:space="0"/>
        <w:left w:val="single" w:color="000000" w:sz="4" w:space="0"/>
        <w:right w:val="single" w:color="000000" w:sz="4" w:space="0"/>
      </w:pBdr>
      <w:spacing w:after="100" w:afterAutospacing="1" w:before="100" w:beforeAutospacing="1"/>
      <w:ind/>
    </w:pPr>
  </w:style>
  <w:style w:type="paragraph" w:styleId="1110" w:customStyle="1">
    <w:name w:val="xl289"/>
    <w:basedOn w:val="1019"/>
    <w:pPr>
      <w:pBdr>
        <w:left w:val="single" w:color="000000" w:sz="4" w:space="0"/>
        <w:right w:val="single" w:color="000000" w:sz="4" w:space="0"/>
      </w:pBdr>
      <w:spacing w:after="100" w:afterAutospacing="1" w:before="100" w:beforeAutospacing="1"/>
      <w:ind/>
    </w:pPr>
    <w:rPr>
      <w:b/>
      <w:bCs/>
    </w:rPr>
  </w:style>
  <w:style w:type="paragraph" w:styleId="1111" w:customStyle="1">
    <w:name w:val="xl290"/>
    <w:basedOn w:val="1019"/>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12" w:customStyle="1">
    <w:name w:val="xl291"/>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3" w:customStyle="1">
    <w:name w:val="xl292"/>
    <w:basedOn w:val="1019"/>
    <w:pPr>
      <w:pBdr>
        <w:top w:val="single" w:color="000000" w:sz="4" w:space="0"/>
        <w:left w:val="single" w:color="000000" w:sz="4" w:space="0"/>
        <w:right w:val="single" w:color="000000" w:sz="4" w:space="0"/>
      </w:pBdr>
      <w:spacing w:after="100" w:afterAutospacing="1" w:before="100" w:beforeAutospacing="1"/>
      <w:ind/>
    </w:pPr>
  </w:style>
  <w:style w:type="paragraph" w:styleId="1114" w:customStyle="1">
    <w:name w:val="xl293"/>
    <w:basedOn w:val="1019"/>
    <w:pPr>
      <w:pBdr>
        <w:left w:val="single" w:color="000000" w:sz="4" w:space="0"/>
        <w:bottom w:val="single" w:color="000000" w:sz="4" w:space="0"/>
        <w:right w:val="single" w:color="000000" w:sz="4" w:space="0"/>
      </w:pBdr>
      <w:spacing w:after="100" w:afterAutospacing="1" w:before="100" w:beforeAutospacing="1"/>
      <w:ind/>
    </w:pPr>
  </w:style>
  <w:style w:type="paragraph" w:styleId="1115" w:customStyle="1">
    <w:name w:val="xl294"/>
    <w:basedOn w:val="1019"/>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6">
    <w:name w:val="Title"/>
    <w:basedOn w:val="1019"/>
    <w:link w:val="1117"/>
    <w:qFormat/>
    <w:pPr>
      <w:pBdr/>
      <w:spacing/>
      <w:ind/>
      <w:jc w:val="center"/>
    </w:pPr>
    <w:rPr>
      <w:b/>
      <w:bCs/>
      <w:sz w:val="32"/>
      <w:szCs w:val="26"/>
    </w:rPr>
  </w:style>
  <w:style w:type="character" w:styleId="1117" w:customStyle="1">
    <w:name w:val="Title Char"/>
    <w:basedOn w:val="1024"/>
    <w:link w:val="1116"/>
    <w:pPr>
      <w:pBdr/>
      <w:spacing/>
      <w:ind/>
    </w:pPr>
    <w:rPr>
      <w:rFonts w:ascii="Times New Roman" w:hAnsi="Times New Roman" w:eastAsia="Times New Roman" w:cs="Times New Roman"/>
      <w:b/>
      <w:bCs/>
      <w:sz w:val="32"/>
      <w:szCs w:val="26"/>
    </w:rPr>
  </w:style>
  <w:style w:type="character" w:styleId="1118" w:customStyle="1">
    <w:name w:val="Unresolved Mention1"/>
    <w:basedOn w:val="1024"/>
    <w:uiPriority w:val="99"/>
    <w:semiHidden/>
    <w:unhideWhenUsed/>
    <w:pPr>
      <w:pBdr/>
      <w:spacing/>
      <w:ind/>
    </w:pPr>
    <w:rPr>
      <w:color w:val="605e5c"/>
      <w:shd w:val="clear" w:color="auto" w:fill="e1dfdd"/>
    </w:rPr>
  </w:style>
  <w:style w:type="character" w:styleId="1119" w:customStyle="1">
    <w:name w:val="Body text (3)_"/>
    <w:link w:val="1120"/>
    <w:pPr>
      <w:pBdr/>
      <w:spacing/>
      <w:ind/>
    </w:pPr>
    <w:rPr>
      <w:rFonts w:ascii="Times New Roman" w:hAnsi="Times New Roman" w:cs="Times New Roman"/>
      <w:i/>
      <w:iCs/>
      <w:spacing w:val="4"/>
      <w:shd w:val="clear" w:color="auto" w:fill="ffffff"/>
    </w:rPr>
  </w:style>
  <w:style w:type="paragraph" w:styleId="1120" w:customStyle="1">
    <w:name w:val="Body text (3)1"/>
    <w:basedOn w:val="1019"/>
    <w:link w:val="1119"/>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21" w:customStyle="1">
    <w:name w:val="t-j"/>
    <w:basedOn w:val="1019"/>
    <w:pPr>
      <w:pBdr/>
      <w:spacing w:after="100" w:afterAutospacing="1" w:before="100" w:beforeAutospacing="1"/>
      <w:ind/>
    </w:pPr>
  </w:style>
  <w:style w:type="character" w:styleId="1122" w:customStyle="1">
    <w:name w:val="Unresolved Mention2"/>
    <w:basedOn w:val="1024"/>
    <w:uiPriority w:val="99"/>
    <w:semiHidden/>
    <w:unhideWhenUsed/>
    <w:pPr>
      <w:pBdr/>
      <w:spacing/>
      <w:ind/>
    </w:pPr>
    <w:rPr>
      <w:color w:val="605e5c"/>
      <w:shd w:val="clear" w:color="auto" w:fill="e1dfdd"/>
    </w:rPr>
  </w:style>
  <w:style w:type="character" w:styleId="1123">
    <w:name w:val="FollowedHyperlink"/>
    <w:basedOn w:val="1024"/>
    <w:uiPriority w:val="99"/>
    <w:semiHidden/>
    <w:unhideWhenUsed/>
    <w:pPr>
      <w:pBdr/>
      <w:spacing/>
      <w:ind/>
    </w:pPr>
    <w:rPr>
      <w:color w:val="800080" w:themeColor="followedHyperlink"/>
      <w:u w:val="single"/>
    </w:rPr>
  </w:style>
  <w:style w:type="character" w:styleId="1124" w:customStyle="1">
    <w:name w:val="text"/>
    <w:basedOn w:val="1024"/>
    <w:pPr>
      <w:pBdr/>
      <w:spacing/>
      <w:ind/>
    </w:pPr>
  </w:style>
  <w:style w:type="character" w:styleId="1125" w:customStyle="1">
    <w:name w:val="card-send-time__sendtime"/>
    <w:basedOn w:val="1024"/>
    <w:pPr>
      <w:pBdr/>
      <w:spacing/>
      <w:ind/>
    </w:pPr>
  </w:style>
  <w:style w:type="character" w:styleId="1126" w:customStyle="1">
    <w:name w:val="Đề cập Chưa giải quyết1"/>
    <w:basedOn w:val="1024"/>
    <w:uiPriority w:val="99"/>
    <w:semiHidden/>
    <w:unhideWhenUsed/>
    <w:pPr>
      <w:pBdr/>
      <w:spacing/>
      <w:ind/>
    </w:pPr>
    <w:rPr>
      <w:color w:val="605e5c"/>
      <w:shd w:val="clear" w:color="auto" w:fill="e1dfdd"/>
    </w:rPr>
  </w:style>
  <w:style w:type="paragraph" w:styleId="1127" w:customStyle="1">
    <w:name w:val="nqtitle"/>
    <w:basedOn w:val="1019"/>
    <w:pPr>
      <w:pBdr/>
      <w:spacing w:after="100" w:afterAutospacing="1" w:before="100" w:beforeAutospacing="1"/>
      <w:ind/>
    </w:pPr>
    <w:rPr>
      <w:lang w:val="vi-VN" w:eastAsia="vi-VN"/>
    </w:rPr>
  </w:style>
  <w:style w:type="character" w:styleId="1128" w:customStyle="1">
    <w:name w:val="List Paragraph Char"/>
    <w:link w:val="1041"/>
    <w:uiPriority w:val="34"/>
    <w:qFormat/>
    <w:pPr>
      <w:pBdr/>
      <w:spacing/>
      <w:ind/>
    </w:pPr>
    <w:rPr>
      <w:rFonts w:ascii="Times New Roman" w:hAnsi="Times New Roman" w:eastAsia="Times New Roman" w:cs="Times New Roman"/>
      <w:sz w:val="24"/>
      <w:szCs w:val="24"/>
    </w:rPr>
  </w:style>
  <w:style w:type="character" w:styleId="1129" w:customStyle="1">
    <w:name w:val="Đề cập Chưa giải quyết2"/>
    <w:basedOn w:val="1024"/>
    <w:uiPriority w:val="99"/>
    <w:semiHidden/>
    <w:unhideWhenUsed/>
    <w:pPr>
      <w:pBdr/>
      <w:spacing/>
      <w:ind/>
    </w:pPr>
    <w:rPr>
      <w:color w:val="605e5c"/>
      <w:shd w:val="clear" w:color="auto" w:fill="e1dfdd"/>
    </w:rPr>
  </w:style>
  <w:style w:type="character" w:styleId="1130" w:customStyle="1">
    <w:name w:val="Unresolved Mention3"/>
    <w:basedOn w:val="1024"/>
    <w:uiPriority w:val="99"/>
    <w:semiHidden/>
    <w:unhideWhenUsed/>
    <w:pPr>
      <w:pBdr/>
      <w:spacing/>
      <w:ind/>
    </w:pPr>
    <w:rPr>
      <w:color w:val="605e5c"/>
      <w:shd w:val="clear" w:color="auto" w:fill="e1dfdd"/>
    </w:rPr>
  </w:style>
  <w:style w:type="character" w:styleId="1131" w:customStyle="1">
    <w:name w:val="copy"/>
    <w:basedOn w:val="1024"/>
    <w:pPr>
      <w:pBdr/>
      <w:spacing/>
      <w:ind/>
    </w:pPr>
  </w:style>
  <w:style w:type="paragraph" w:styleId="1132" w:customStyle="1">
    <w:name w:val="align-justify"/>
    <w:basedOn w:val="1019"/>
    <w:pPr>
      <w:pBdr/>
      <w:spacing w:after="100" w:afterAutospacing="1" w:before="100" w:beforeAutospacing="1"/>
      <w:ind/>
    </w:pPr>
  </w:style>
  <w:style w:type="character" w:styleId="1133" w:customStyle="1">
    <w:name w:val="btn"/>
    <w:basedOn w:val="1024"/>
    <w:pPr>
      <w:pBdr/>
      <w:spacing/>
      <w:ind/>
    </w:pPr>
  </w:style>
  <w:style w:type="character" w:styleId="1134" w:customStyle="1">
    <w:name w:val="hide_mobile"/>
    <w:basedOn w:val="1024"/>
    <w:pPr>
      <w:pBdr/>
      <w:spacing/>
      <w:ind/>
    </w:pPr>
  </w:style>
  <w:style w:type="character" w:styleId="1135">
    <w:name w:val="Emphasis"/>
    <w:basedOn w:val="1024"/>
    <w:uiPriority w:val="20"/>
    <w:qFormat/>
    <w:pPr>
      <w:pBdr/>
      <w:spacing/>
      <w:ind/>
    </w:pPr>
    <w:rPr>
      <w:i/>
      <w:iCs/>
    </w:rPr>
  </w:style>
  <w:style w:type="character" w:styleId="1136" w:customStyle="1">
    <w:name w:val="t1"/>
    <w:basedOn w:val="1024"/>
    <w:pPr>
      <w:pBdr/>
      <w:spacing/>
      <w:ind/>
    </w:pPr>
  </w:style>
  <w:style w:type="character" w:styleId="1137" w:customStyle="1">
    <w:name w:val="Unresolved Mention4"/>
    <w:basedOn w:val="1024"/>
    <w:uiPriority w:val="99"/>
    <w:semiHidden/>
    <w:unhideWhenUsed/>
    <w:pPr>
      <w:pBdr/>
      <w:spacing/>
      <w:ind/>
    </w:pPr>
    <w:rPr>
      <w:color w:val="605e5c"/>
      <w:shd w:val="clear" w:color="auto" w:fill="e1dfdd"/>
    </w:rPr>
  </w:style>
  <w:style w:type="character" w:styleId="1138">
    <w:name w:val="Unresolved Mention"/>
    <w:basedOn w:val="1024"/>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customXml" Target="../customXml/item1.xml" /><Relationship Id="rId15" Type="http://schemas.openxmlformats.org/officeDocument/2006/relationships/image" Target="media/image2.jpg"/><Relationship Id="rId16" Type="http://schemas.openxmlformats.org/officeDocument/2006/relationships/hyperlink" Target="mailto:ilotus.contact@gmail.com" TargetMode="External"/><Relationship Id="rId17" Type="http://schemas.openxmlformats.org/officeDocument/2006/relationships/hyperlink" Target="mailto:ilotus.contact@gmail.com" TargetMode="External"/><Relationship Id="rId18" Type="http://schemas.openxmlformats.org/officeDocument/2006/relationships/image" Target="media/image3.png"/><Relationship Id="rId19" Type="http://schemas.openxmlformats.org/officeDocument/2006/relationships/image" Target="media/image4.jpg"/><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jpg"/><Relationship Id="rId29" Type="http://schemas.openxmlformats.org/officeDocument/2006/relationships/image" Target="media/image14.jpg"/><Relationship Id="rId30" Type="http://schemas.openxmlformats.org/officeDocument/2006/relationships/image" Target="media/image15.jpg"/><Relationship Id="rId31" Type="http://schemas.openxmlformats.org/officeDocument/2006/relationships/image" Target="media/image16.jpg"/><Relationship Id="rId32" Type="http://schemas.openxmlformats.org/officeDocument/2006/relationships/image" Target="media/image17.jpg"/><Relationship Id="rId33" Type="http://schemas.openxmlformats.org/officeDocument/2006/relationships/image" Target="media/image18.jpg"/><Relationship Id="rId34" Type="http://schemas.openxmlformats.org/officeDocument/2006/relationships/image" Target="media/image19.jpg"/><Relationship Id="rId35" Type="http://schemas.openxmlformats.org/officeDocument/2006/relationships/image" Target="media/image20.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Tấn Sang</cp:lastModifiedBy>
  <cp:revision>281</cp:revision>
  <dcterms:created xsi:type="dcterms:W3CDTF">2025-09-15T09:58:00Z</dcterms:created>
  <dcterms:modified xsi:type="dcterms:W3CDTF">2026-05-21T05:09:24Z</dcterms:modified>
</cp:coreProperties>
</file>