
<file path=[Content_Types].xml><?xml version="1.0" encoding="utf-8"?>
<Types xmlns="http://schemas.openxmlformats.org/package/2006/content-types">
  <Default Extension="gif" ContentType="image/gif"/>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xml" ContentType="application/vnd.openxmlformats-officedocument.wordprocessingml.comment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commentsExtended.xml" ContentType="application/vnd.openxmlformats-officedocument.wordprocessingml.commentsExtended+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highlight w:val="none"/>
        </w:rPr>
      </w:r>
      <w:r>
        <w:rPr>
          <w:rFonts w:ascii="Times New Roman" w:hAnsi="Times New Roman" w:eastAsia="Times New Roman" w:cs="Times New Roman"/>
          <w:b/>
          <w:color w:val="000000"/>
          <w:sz w:val="28"/>
          <w:highlight w:val="none"/>
        </w:rPr>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b/>
          <w:color w:val="17365d"/>
          <w:sz w:val="30"/>
        </w:rPr>
        <w:t xml:space="preserve">CHỨNG THƯ, BÁO CÁO THẨM ĐỊNH </w:t>
      </w:r>
      <w:commentRangeStart w:id="0"/>
      <w:r>
        <w:rPr>
          <w:rFonts w:ascii="Times New Roman" w:hAnsi="Times New Roman" w:eastAsia="Times New Roman" w:cs="Times New Roman"/>
          <w:b/>
          <w:color w:val="17365d"/>
          <w:sz w:val="30"/>
        </w:rPr>
        <w:t xml:space="preserve">GIÁ</w:t>
      </w:r>
      <w:commentRangeEnd w:id="0"/>
      <w:r>
        <w:commentReference w:id="0"/>
      </w:r>
      <w:r>
        <w:rPr>
          <w:rFonts w:ascii="Times New Roman" w:hAnsi="Times New Roman" w:eastAsia="Times New Roman" w:cs="Times New Roman"/>
          <w:b/>
          <w:color w:val="17365d"/>
          <w:sz w:val="30"/>
        </w:rPr>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center"/>
        <w:rPr/>
      </w:pPr>
      <w:r>
        <w:rPr>
          <w:rFonts w:ascii="Times New Roman" w:hAnsi="Times New Roman" w:eastAsia="Times New Roman" w:cs="Times New Roman"/>
          <w:b/>
          <w:color w:val="000000"/>
          <w:sz w:val="24"/>
        </w:rPr>
        <w:t xml:space="preserve">Số: 275/2026/0699/VFI-CT.57.A</w:t>
      </w:r>
      <w:r/>
    </w:p>
    <w:p>
      <w:pPr>
        <w:pBdr>
          <w:top w:val="none" w:color="000000" w:sz="4" w:space="0"/>
          <w:left w:val="none" w:color="000000" w:sz="4" w:space="0"/>
          <w:bottom w:val="none" w:color="000000" w:sz="4" w:space="0"/>
          <w:right w:val="none" w:color="000000" w:sz="4" w:space="0"/>
        </w:pBdr>
        <w:tabs>
          <w:tab w:val="left" w:leader="none" w:pos="3002"/>
        </w:tabs>
        <w:spacing w:after="120" w:before="120" w:line="276" w:lineRule="auto"/>
        <w:ind w:right="0" w:firstLine="0" w:left="0"/>
        <w:jc w:val="center"/>
        <w:rPr/>
      </w:pPr>
      <w:r>
        <w:rPr>
          <w:rFonts w:ascii="Times New Roman" w:hAnsi="Times New Roman" w:eastAsia="Times New Roman" w:cs="Times New Roman"/>
          <w:b/>
          <w:color w:val="000000"/>
          <w:sz w:val="24"/>
        </w:rPr>
        <w:t xml:space="preserve">Khách hàng yêu cầu: NGUYỄN BÁ XUYỀN</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both"/>
        <w:rPr/>
      </w:pPr>
      <w:r>
        <w:rPr>
          <w:rFonts w:ascii="Times New Roman" w:hAnsi="Times New Roman" w:eastAsia="Times New Roman" w:cs="Times New Roman"/>
          <w:b/>
          <w:color w:val="000000"/>
          <w:sz w:val="24"/>
        </w:rPr>
        <w:t xml:space="preserve">Tài sản thẩm định: </w:t>
      </w:r>
      <w:r>
        <w:rPr>
          <w:rFonts w:ascii="Times New Roman" w:hAnsi="Times New Roman" w:eastAsia="Times New Roman" w:cs="Times New Roman"/>
          <w:color w:val="000000"/>
          <w:sz w:val="24"/>
        </w:rPr>
        <w:t xml:space="preserve">Quyền sử dụng đất tại thửa đất số: (624-2)-1, tờ bản đồ 02 có địa chỉ: Thôn 3, Xã Yên Sở, Huyện Hoài Đức, Thành phố Hà Nội</w:t>
      </w:r>
      <w:r>
        <w:rPr>
          <w:rFonts w:ascii="Times New Roman" w:hAnsi="Times New Roman" w:eastAsia="Times New Roman" w:cs="Times New Roman"/>
          <w:i/>
          <w:color w:val="000000"/>
          <w:sz w:val="24"/>
        </w:rPr>
        <w:t xml:space="preserve"> (Nay là Xã Dương Hòa,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CM 004171, số vào sổ cấp GCN: CS-HĐU 13670 do Sở Tài Nguyên và Môi Trường Thành Phố Hà cấp ngày 18/01/20218; Chủ sử dụng đất ông Nguyễn Bá Tuân.</w:t>
      </w:r>
      <w:r/>
    </w:p>
    <w:p>
      <w:pPr>
        <w:pBdr>
          <w:top w:val="none" w:color="000000" w:sz="4" w:space="0"/>
          <w:left w:val="none" w:color="000000" w:sz="4" w:space="0"/>
          <w:bottom w:val="none" w:color="000000" w:sz="4" w:space="0"/>
          <w:right w:val="none" w:color="000000" w:sz="4" w:space="0"/>
        </w:pBdr>
        <w:spacing w:after="120" w:before="120" w:line="360" w:lineRule="auto"/>
        <w:ind w:right="0" w:firstLine="0" w:left="0"/>
        <w:jc w:val="center"/>
        <w:rPr/>
      </w:pPr>
      <w:r>
        <w:rPr>
          <w:rFonts w:ascii="Times New Roman" w:hAnsi="Times New Roman" w:eastAsia="Times New Roman" w:cs="Times New Roman"/>
          <w:b/>
          <w:color w:val="000000"/>
          <w:sz w:val="24"/>
        </w:rPr>
        <w:t xml:space="preserve">Thời điểm thẩm định: </w:t>
      </w:r>
      <w:r>
        <w:rPr>
          <w:rFonts w:ascii="Times New Roman" w:hAnsi="Times New Roman" w:eastAsia="Times New Roman" w:cs="Times New Roman"/>
          <w:color w:val="000000"/>
          <w:sz w:val="24"/>
        </w:rPr>
        <w:t xml:space="preserve">Tháng 5/2026.</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 </w:t>
      </w:r>
      <w:r/>
    </w:p>
    <w:p>
      <w:pPr>
        <w:pBdr>
          <w:top w:val="none" w:color="000000" w:sz="4" w:space="0"/>
          <w:left w:val="none" w:color="000000" w:sz="4" w:space="0"/>
          <w:bottom w:val="none" w:color="000000" w:sz="4" w:space="0"/>
          <w:right w:val="none" w:color="000000" w:sz="4" w:space="0"/>
        </w:pBdr>
        <w:spacing/>
        <w:ind w:right="-1" w:firstLine="0" w:left="0"/>
        <w:jc w:val="center"/>
        <w:rPr/>
      </w:pPr>
      <w:r>
        <w:rPr>
          <w:rFonts w:ascii="Times New Roman" w:hAnsi="Times New Roman" w:eastAsia="Times New Roman" w:cs="Times New Roman"/>
          <w:b/>
          <w:color w:val="000000"/>
          <w:sz w:val="28"/>
        </w:rPr>
        <w:t xml:space="preserve">MỤC LỤC</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tbl>
      <w:tblPr>
        <w:tblStyle w:val="996"/>
        <w:tblInd w:w="93" w:type="dxa"/>
        <w:tblW w:w="0" w:type="auto"/>
        <w:tblCellMar>
          <w:left w:w="10" w:type="dxa"/>
          <w:top w:w="0" w:type="dxa"/>
          <w:right w:w="10"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7280"/>
        <w:gridCol w:w="1520"/>
      </w:tblGrid>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u w:val="single"/>
              </w:rPr>
              <w:t xml:space="preserve">NỘI DUNG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u w:val="single"/>
              </w:rPr>
              <w:t xml:space="preserve">TRANG</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Chứng thư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1-3</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Báo cáo thẩm định giá</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4-20</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rPr/>
            </w:pPr>
            <w:r>
              <w:rPr>
                <w:rFonts w:ascii="Times New Roman" w:hAnsi="Times New Roman" w:eastAsia="Times New Roman" w:cs="Times New Roman"/>
                <w:b/>
                <w:color w:val="000000"/>
                <w:sz w:val="24"/>
              </w:rPr>
              <w:t xml:space="preserve">Các phụ lục chi tiết kèm theo</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 </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1: Thông tin hiện trạng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r>
            <w:commentRangeStart w:id="1"/>
            <w:r>
              <w:rPr>
                <w:rFonts w:ascii="Times New Roman" w:hAnsi="Times New Roman" w:eastAsia="Times New Roman" w:cs="Times New Roman"/>
                <w:b/>
                <w:color w:val="000000"/>
                <w:sz w:val="24"/>
              </w:rPr>
              <w:t xml:space="preserve">21</w:t>
            </w:r>
            <w:r/>
          </w:p>
        </w:tc>
      </w:tr>
      <w:tr>
        <w:trPr/>
        <w:tc>
          <w:tcPr>
            <w:tcBorders/>
            <w:tcMar>
              <w:left w:w="108" w:type="dxa"/>
              <w:top w:w="0" w:type="dxa"/>
              <w:right w:w="108" w:type="dxa"/>
              <w:bottom w:w="0" w:type="dxa"/>
            </w:tcMar>
            <w:tcW w:w="728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tc>
        <w:tc>
          <w:tcPr>
            <w:tcBorders/>
            <w:tcMar>
              <w:left w:w="108" w:type="dxa"/>
              <w:top w:w="0" w:type="dxa"/>
              <w:right w:w="108" w:type="dxa"/>
              <w:bottom w:w="0" w:type="dxa"/>
            </w:tcMar>
            <w:tcW w:w="1520"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right"/>
              <w:rPr/>
            </w:pPr>
            <w:r>
              <w:rPr>
                <w:rFonts w:ascii="Times New Roman" w:hAnsi="Times New Roman" w:eastAsia="Times New Roman" w:cs="Times New Roman"/>
                <w:b/>
                <w:color w:val="000000"/>
                <w:sz w:val="24"/>
              </w:rPr>
              <w:t xml:space="preserve">22-29</w:t>
            </w:r>
            <w:commentRangeEnd w:id="1"/>
            <w:r>
              <w:commentReference w:id="1"/>
            </w:r>
            <w:r/>
            <w:r/>
          </w:p>
        </w:tc>
      </w:tr>
    </w:tbl>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rPr>
          <w:rFonts w:ascii="Times New Roman" w:hAnsi="Times New Roman" w:eastAsia="Times New Roman" w:cs="Times New Roman"/>
          <w:b/>
          <w:color w:val="000000"/>
          <w:sz w:val="22"/>
        </w:rPr>
        <w:t xml:space="preserve"> </w:t>
      </w:r>
      <w:r/>
    </w:p>
    <w:p>
      <w:pPr>
        <w:pBdr>
          <w:top w:val="none" w:color="000000" w:sz="4" w:space="0"/>
          <w:left w:val="none" w:color="000000" w:sz="4" w:space="0"/>
          <w:bottom w:val="none" w:color="000000" w:sz="4" w:space="0"/>
          <w:right w:val="none" w:color="000000" w:sz="4" w:space="0"/>
        </w:pBdr>
        <w:tabs>
          <w:tab w:val="left" w:leader="none" w:pos="5102"/>
        </w:tabs>
        <w:spacing w:line="360" w:lineRule="auto"/>
        <w:ind w:right="0" w:firstLine="0" w:left="0"/>
        <w:jc w:val="center"/>
        <w:rPr/>
      </w:pPr>
      <w:r>
        <w:br w:type="page" w:clear="all"/>
      </w:r>
      <w:r>
        <w:rPr>
          <w:rFonts w:ascii="Times New Roman" w:hAnsi="Times New Roman" w:eastAsia="Times New Roman" w:cs="Times New Roman"/>
          <w:sz w:val="20"/>
        </w:rPr>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 </w:t>
      </w:r>
      <w:r/>
    </w:p>
    <w:tbl>
      <w:tblPr>
        <w:tblStyle w:val="996"/>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588"/>
        <w:gridCol w:w="2835"/>
        <w:gridCol w:w="5244"/>
        <w:gridCol w:w="143"/>
      </w:tblGrid>
      <w:tr>
        <w:trPr>
          <w:trHeight w:val="1152"/>
        </w:trPr>
        <w:tc>
          <w:tcPr>
            <w:tcBorders/>
            <w:tcMar>
              <w:left w:w="108" w:type="dxa"/>
              <w:top w:w="0" w:type="dxa"/>
              <w:right w:w="108" w:type="dxa"/>
              <w:bottom w:w="0" w:type="dxa"/>
            </w:tcMar>
            <w:tcW w:w="1588"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695809" name=""/>
                              <pic:cNvPicPr>
                                <a:picLocks noChangeAspect="1"/>
                              </pic:cNvPicPr>
                              <pic:nvPr/>
                            </pic:nvPicPr>
                            <pic:blipFill rotWithShape="1">
                              <a:blip r:embed="rId11"/>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80.25pt;height:72.75pt;mso-wrap-distance-left:0.00pt;mso-wrap-distance-top:0.00pt;mso-wrap-distance-right:0.00pt;mso-wrap-distance-bottom:0.00pt;z-index:1;" stroked="false">
                      <v:imagedata r:id="rId11" o:title=""/>
                      <o:lock v:ext="edit" rotation="t"/>
                    </v:shape>
                  </w:pict>
                </mc:Fallback>
              </mc:AlternateContent>
            </w:r>
            <w:r/>
          </w:p>
        </w:tc>
        <w:tc>
          <w:tcPr>
            <w:gridSpan w:val="3"/>
            <w:tcBorders/>
            <w:tcMar>
              <w:left w:w="108" w:type="dxa"/>
              <w:top w:w="0" w:type="dxa"/>
              <w:right w:w="108" w:type="dxa"/>
              <w:bottom w:w="0" w:type="dxa"/>
            </w:tcMar>
            <w:tcW w:w="8221"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2" w:tooltip="mailto:ilotus.contact@gmail.com" w:history="1">
              <w:r>
                <w:rPr>
                  <w:rStyle w:val="982"/>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482"/>
        </w:trPr>
        <w:tc>
          <w:tcPr>
            <w:gridSpan w:val="2"/>
            <w:tcBorders/>
            <w:tcMar>
              <w:left w:w="108" w:type="dxa"/>
              <w:top w:w="0" w:type="dxa"/>
              <w:right w:w="108" w:type="dxa"/>
              <w:bottom w:w="0" w:type="dxa"/>
            </w:tcMar>
            <w:tcW w:w="4422"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275/2026/0699/VFI-CT.57.A</w:t>
            </w:r>
            <w:r/>
          </w:p>
        </w:tc>
        <w:tc>
          <w:tcPr>
            <w:tcBorders/>
            <w:tcMar>
              <w:left w:w="108" w:type="dxa"/>
              <w:top w:w="0" w:type="dxa"/>
              <w:right w:w="108" w:type="dxa"/>
              <w:bottom w:w="0" w:type="dxa"/>
            </w:tcMar>
            <w:tcW w:w="5244"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08 tháng 5 năm 2026</w:t>
            </w:r>
            <w:r/>
          </w:p>
        </w:tc>
      </w:tr>
    </w:tbl>
    <w:p>
      <w:pPr>
        <w:pBdr>
          <w:top w:val="none" w:color="000000" w:sz="4" w:space="0"/>
          <w:left w:val="none" w:color="000000" w:sz="4" w:space="0"/>
          <w:bottom w:val="none" w:color="000000" w:sz="4" w:space="0"/>
          <w:right w:val="none" w:color="000000" w:sz="4" w:space="0"/>
        </w:pBdr>
        <w:spacing w:after="120" w:before="200" w:line="288" w:lineRule="auto"/>
        <w:ind w:right="0" w:firstLine="0" w:left="0"/>
        <w:jc w:val="center"/>
        <w:rPr/>
      </w:pPr>
      <w:r>
        <w:rPr>
          <w:rFonts w:ascii="Times New Roman" w:hAnsi="Times New Roman" w:eastAsia="Times New Roman" w:cs="Times New Roman"/>
          <w:b/>
          <w:color w:val="000000"/>
          <w:sz w:val="30"/>
        </w:rPr>
        <w:t xml:space="preserve">CHỨNG THƯ THẨM ĐỊNH GIÁ</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u w:val="single"/>
        </w:rPr>
        <w:t xml:space="preserve">Kính gửi</w:t>
      </w:r>
      <w:r>
        <w:rPr>
          <w:rFonts w:ascii="Times New Roman" w:hAnsi="Times New Roman" w:eastAsia="Times New Roman" w:cs="Times New Roman"/>
          <w:b/>
          <w:color w:val="000000"/>
          <w:sz w:val="24"/>
        </w:rPr>
        <w:t xml:space="preserve">: NGUYỄN BÁ XUYỀN</w:t>
      </w:r>
      <w:r/>
    </w:p>
    <w:p>
      <w:pPr>
        <w:pBdr>
          <w:top w:val="none" w:color="000000" w:sz="4" w:space="0"/>
          <w:left w:val="none" w:color="000000" w:sz="4" w:space="0"/>
          <w:bottom w:val="none" w:color="000000" w:sz="4" w:space="0"/>
          <w:right w:val="none" w:color="000000" w:sz="4" w:space="0"/>
        </w:pBdr>
        <w:tabs>
          <w:tab w:val="left" w:leader="none" w:pos="450"/>
        </w:tabs>
        <w:spacing w:after="120" w:before="120" w:line="288" w:lineRule="auto"/>
        <w:ind w:right="0" w:firstLine="0" w:left="-72"/>
        <w:jc w:val="both"/>
        <w:rPr/>
      </w:pPr>
      <w:r>
        <w:rPr>
          <w:rFonts w:ascii="Times New Roman" w:hAnsi="Times New Roman" w:eastAsia="Times New Roman" w:cs="Times New Roman"/>
          <w:color w:val="000000"/>
          <w:spacing w:val="-4"/>
          <w:sz w:val="24"/>
        </w:rPr>
        <w:tab/>
        <w:t xml:space="preserve">Căn cứ Hợp đồng dịch vụ thẩm định giá số: 275/2026/0699/VFI-HĐTĐ.57.A ký ngày 04 tháng 5 năm 2026 giữa Nguyễn Bá Xuyền</w:t>
      </w:r>
      <w:r>
        <w:rPr>
          <w:rFonts w:ascii="Times New Roman" w:hAnsi="Times New Roman" w:eastAsia="Times New Roman" w:cs="Times New Roman"/>
          <w:color w:val="000000"/>
          <w:sz w:val="24"/>
        </w:rPr>
        <w:t xml:space="preserve"> </w:t>
      </w:r>
      <w:r>
        <w:rPr>
          <w:rFonts w:ascii="Times New Roman" w:hAnsi="Times New Roman" w:eastAsia="Times New Roman" w:cs="Times New Roman"/>
          <w:color w:val="000000"/>
          <w:spacing w:val="-6"/>
          <w:sz w:val="24"/>
        </w:rPr>
        <w:t xml:space="preserve">với </w:t>
      </w:r>
      <w:r>
        <w:rPr>
          <w:rFonts w:ascii="Times New Roman" w:hAnsi="Times New Roman" w:eastAsia="Times New Roman" w:cs="Times New Roman"/>
          <w:color w:val="000000"/>
          <w:spacing w:val="-4"/>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pacing w:val="-2"/>
          <w:sz w:val="24"/>
        </w:rPr>
        <w:t xml:space="preserve">Căn cứ Báo cáo thẩm định giá số 275/2026/0699/VFI-BC.57.A ngày 08 tháng 5 năm 2026 của 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before="120" w:line="288" w:lineRule="auto"/>
        <w:ind w:right="0" w:firstLine="432" w:left="0"/>
        <w:jc w:val="both"/>
        <w:rPr/>
      </w:pPr>
      <w:r>
        <w:rPr>
          <w:rFonts w:ascii="Times New Roman" w:hAnsi="Times New Roman" w:eastAsia="Times New Roman" w:cs="Times New Roman"/>
          <w:color w:val="000000"/>
          <w:sz w:val="24"/>
        </w:rPr>
        <w:t xml:space="preserve">Công ty Cổ phần Thẩm định và Đầu tư Tài chính Hoa Sen cung cấp Chứng thư thẩm định giá tài sản với nội dung sau:</w:t>
      </w:r>
      <w:r/>
    </w:p>
    <w:p>
      <w:pPr>
        <w:pBdr>
          <w:top w:val="none" w:color="000000" w:sz="4" w:space="0"/>
          <w:left w:val="none" w:color="000000" w:sz="4" w:space="0"/>
          <w:bottom w:val="none" w:color="000000" w:sz="4" w:space="0"/>
          <w:right w:val="none" w:color="000000" w:sz="4" w:space="0"/>
        </w:pBdr>
        <w:tabs>
          <w:tab w:val="left" w:leader="none" w:pos="851"/>
        </w:tabs>
        <w:spacing w:after="120" w:before="120" w:line="288" w:lineRule="auto"/>
        <w:ind w:right="0" w:firstLine="0" w:left="0"/>
        <w:jc w:val="both"/>
        <w:rPr/>
      </w:pPr>
      <w:r>
        <w:rPr>
          <w:rFonts w:ascii="Times New Roman" w:hAnsi="Times New Roman" w:eastAsia="Times New Roman" w:cs="Times New Roman"/>
          <w:b/>
          <w:color w:val="000000"/>
          <w:sz w:val="24"/>
        </w:rPr>
        <w:t xml:space="preserve">1. Khách hàng yêu cầu thẩm định giá:</w:t>
      </w:r>
      <w:r/>
    </w:p>
    <w:tbl>
      <w:tblPr>
        <w:tblStyle w:val="99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2154"/>
        <w:gridCol w:w="283"/>
        <w:gridCol w:w="7087"/>
      </w:tblGrid>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NGUYỄN BÁ XUYỀN</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001069004485</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1969</w:t>
            </w:r>
            <w:r/>
          </w:p>
        </w:tc>
      </w:tr>
      <w:tr>
        <w:trPr>
          <w:trHeight w:val="20"/>
        </w:trPr>
        <w:tc>
          <w:tcPr>
            <w:tcBorders/>
            <w:tcMar>
              <w:left w:w="108" w:type="dxa"/>
              <w:top w:w="0" w:type="dxa"/>
              <w:right w:w="108" w:type="dxa"/>
              <w:bottom w:w="0" w:type="dxa"/>
            </w:tcMar>
            <w:tcW w:w="2154"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3"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center"/>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087"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 3, Xã Dương Hòa, Thành phố Hà Nội</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2. Thông tin về doanh nghiệp thẩm định giá:</w:t>
      </w:r>
      <w:r/>
    </w:p>
    <w:tbl>
      <w:tblPr>
        <w:tblStyle w:val="99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269"/>
        <w:gridCol w:w="289"/>
        <w:gridCol w:w="7115"/>
      </w:tblGrid>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40" w:before="4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000000"/>
                <w:sz w:val="24"/>
              </w:rPr>
              <w:t xml:space="preserve">Thông báo</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jc w:val="both"/>
              <w:rPr/>
            </w:pPr>
            <w:r>
              <w:rPr>
                <w:rFonts w:ascii="Times New Roman" w:hAnsi="Times New Roman" w:eastAsia="Times New Roman" w:cs="Times New Roman"/>
                <w:color w:val="292a2e"/>
                <w:sz w:val="24"/>
              </w:rPr>
              <w:t xml:space="preserve">Số 1294/TB-BTC ngày 25/12/2025</w:t>
            </w:r>
            <w:r>
              <w:rPr>
                <w:rFonts w:ascii="Segoe UI" w:hAnsi="Segoe UI" w:eastAsia="Segoe UI" w:cs="Segoe UI"/>
                <w:color w:val="292a2e"/>
                <w:sz w:val="21"/>
              </w:rPr>
              <w:t xml:space="preserve"> </w:t>
            </w:r>
            <w:r>
              <w:rPr>
                <w:rFonts w:ascii="Times New Roman" w:hAnsi="Times New Roman" w:eastAsia="Times New Roman" w:cs="Times New Roman"/>
                <w:color w:val="000000"/>
                <w:sz w:val="24"/>
              </w:rPr>
              <w:t xml:space="preserve">về việc doanh nghiệp đủ điều kiện kinh doanh Dịch vụ thẩm định giá.</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26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711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76" w:lineRule="auto"/>
              <w:ind w:right="0" w:firstLine="0" w:left="0"/>
              <w:rPr/>
            </w:pPr>
            <w:r>
              <w:rPr>
                <w:rFonts w:ascii="Times New Roman" w:hAnsi="Times New Roman" w:eastAsia="Times New Roman" w:cs="Times New Roman"/>
                <w:b/>
                <w:color w:val="000000"/>
                <w:sz w:val="24"/>
              </w:rPr>
              <w:t xml:space="preserve">Ông Vũ Văn Quân</w:t>
              <w:tab/>
              <w:t xml:space="preserve">        Chức vụ: Chủ tịch HĐQT kiêm Tổng Giám Đốc</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3. Tài sản thẩm định:</w:t>
      </w:r>
      <w:r>
        <w:rPr>
          <w:rFonts w:ascii="Times New Roman" w:hAnsi="Times New Roman" w:eastAsia="Times New Roman" w:cs="Times New Roman"/>
          <w:color w:val="000000"/>
          <w:sz w:val="24"/>
        </w:rPr>
        <w:t xml:space="preserve"> Quyền sử dụng đất tại thửa đất số: (624-2)-1, tờ bản đồ 02 có địa chỉ: Thôn 3, Xã Yên Sở, Huyện Hoài Đức, Thành phố Hà Nội</w:t>
      </w:r>
      <w:r>
        <w:rPr>
          <w:rFonts w:ascii="Times New Roman" w:hAnsi="Times New Roman" w:eastAsia="Times New Roman" w:cs="Times New Roman"/>
          <w:i/>
          <w:color w:val="000000"/>
          <w:sz w:val="24"/>
        </w:rPr>
        <w:t xml:space="preserve"> (Nay là Xã Dương Hòa,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CM 004171, số vào sổ cấp GCN: CS-HĐU 13670 do Sở Tài Nguyên và Môi Trường </w:t>
      </w:r>
      <w:commentRangeStart w:id="2"/>
      <w:r>
        <w:rPr>
          <w:rFonts w:ascii="Times New Roman" w:hAnsi="Times New Roman" w:eastAsia="Times New Roman" w:cs="Times New Roman"/>
          <w:color w:val="000000"/>
          <w:sz w:val="24"/>
        </w:rPr>
        <w:t xml:space="preserve">Thành Phố Hà Nội</w:t>
      </w:r>
      <w:commentRangeEnd w:id="2"/>
      <w:r>
        <w:commentReference w:id="2"/>
      </w:r>
      <w:r>
        <w:rPr>
          <w:rFonts w:ascii="Times New Roman" w:hAnsi="Times New Roman" w:eastAsia="Times New Roman" w:cs="Times New Roman"/>
          <w:color w:val="000000"/>
          <w:sz w:val="24"/>
        </w:rPr>
        <w:t xml:space="preserve"> cấp ngày 18/01/20218; Chủ sử dụng đất ông Nguyễn Bá Tuân.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4. Thời điểm thẩm định giá:</w:t>
      </w:r>
      <w:r>
        <w:rPr>
          <w:rFonts w:ascii="Times New Roman" w:hAnsi="Times New Roman" w:eastAsia="Times New Roman" w:cs="Times New Roman"/>
          <w:color w:val="000000"/>
          <w:sz w:val="24"/>
        </w:rPr>
        <w:t xml:space="preserve"> Tháng 5/2026.</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5. Mục đích thẩm định giá: </w:t>
      </w: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rPr>
          <w:rFonts w:ascii="Times New Roman" w:hAnsi="Times New Roman" w:eastAsia="Times New Roman" w:cs="Times New Roman"/>
          <w:color w:val="000000"/>
          <w:sz w:val="24"/>
        </w:rPr>
        <w:t xml:space="preserve">.</w:t>
      </w:r>
      <w:r/>
    </w:p>
    <w:p>
      <w:pPr>
        <w:pBdr>
          <w:top w:val="none" w:color="000000" w:sz="4" w:space="0"/>
          <w:left w:val="none" w:color="000000" w:sz="4" w:space="0"/>
          <w:bottom w:val="none" w:color="000000" w:sz="4" w:space="0"/>
          <w:right w:val="none" w:color="000000" w:sz="4" w:space="0"/>
        </w:pBdr>
        <w:tabs>
          <w:tab w:val="left" w:leader="none" w:pos="851"/>
        </w:tabs>
        <w:spacing w:after="120" w:before="120" w:line="312" w:lineRule="auto"/>
        <w:ind w:right="0" w:firstLine="0" w:left="0"/>
        <w:jc w:val="both"/>
        <w:rPr/>
      </w:pPr>
      <w:r>
        <w:rPr>
          <w:rFonts w:ascii="Times New Roman" w:hAnsi="Times New Roman" w:eastAsia="Times New Roman" w:cs="Times New Roman"/>
          <w:b/>
          <w:color w:val="000000"/>
          <w:sz w:val="24"/>
        </w:rPr>
        <w:t xml:space="preserve">6. Cơ sở giá trị của tài sản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 </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7. Giả thiết và giả thiết đặc biệt:</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8. Cách tiếp cận và phương pháp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312" w:lineRule="auto"/>
        <w:ind w:right="0" w:firstLine="432" w:left="0"/>
        <w:jc w:val="both"/>
        <w:rPr/>
      </w:pPr>
      <w:r>
        <w:rPr>
          <w:rFonts w:ascii="Times New Roman" w:hAnsi="Times New Roman" w:eastAsia="Times New Roman" w:cs="Times New Roman"/>
          <w:i/>
          <w:color w:val="000000"/>
          <w:sz w:val="24"/>
        </w:rPr>
        <w:t xml:space="preserve">Chi tiết như Báo cáo kèm theo</w:t>
      </w:r>
      <w:r/>
    </w:p>
    <w:p>
      <w:pPr>
        <w:pBdr>
          <w:top w:val="none" w:color="000000" w:sz="4" w:space="0"/>
          <w:left w:val="none" w:color="000000" w:sz="4" w:space="0"/>
          <w:bottom w:val="none" w:color="000000" w:sz="4" w:space="0"/>
          <w:right w:val="none" w:color="000000" w:sz="4" w:space="0"/>
        </w:pBdr>
        <w:tabs>
          <w:tab w:val="left" w:leader="none" w:pos="2430"/>
          <w:tab w:val="left" w:leader="none" w:pos="5130"/>
        </w:tabs>
        <w:spacing w:after="120" w:before="120" w:line="312" w:lineRule="auto"/>
        <w:ind w:right="0" w:firstLine="0" w:left="0"/>
        <w:jc w:val="both"/>
        <w:rPr/>
      </w:pPr>
      <w:r>
        <w:rPr>
          <w:rFonts w:ascii="Times New Roman" w:hAnsi="Times New Roman" w:eastAsia="Times New Roman" w:cs="Times New Roman"/>
          <w:b/>
          <w:color w:val="000000"/>
          <w:sz w:val="24"/>
        </w:rPr>
        <w:t xml:space="preserve">9. Giá trị tài sản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Trên cơ sở các hồ sơ, tài liệu do Khách hàng cung cấp, qua điều tra thông tin thực tế trên thị trường với cách tiếp cận và phương pháp thẩm định được áp dụng trong tính toán, Công ty Cổ phần Thẩm định và Đầu tư Tài chính Hoa Sen thông báo giá trị tài sản c</w:t>
      </w:r>
      <w:r>
        <w:rPr>
          <w:rFonts w:ascii="Times New Roman" w:hAnsi="Times New Roman" w:eastAsia="Times New Roman" w:cs="Times New Roman"/>
          <w:color w:val="000000"/>
          <w:sz w:val="24"/>
        </w:rPr>
        <w:t xml:space="preserve">hưa bao gồm các loại thuế, phí và lệ phí liên quan đến việc chuyển nhượng tài sản của Quý khách hàng tại thời điểm Tháng 5/2026 ước tính như sau:</w:t>
      </w:r>
      <w:r/>
    </w:p>
    <w:tbl>
      <w:tblPr>
        <w:tblStyle w:val="99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78"/>
        <w:gridCol w:w="2932"/>
        <w:gridCol w:w="1905"/>
        <w:gridCol w:w="1905"/>
        <w:gridCol w:w="190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9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(624-2)-1, tờ bản đồ 02 có địa chỉ: Thôn 3, Xã Yên Sở, Huyện Hoài Đức, Thành phố Hà Nội</w:t>
            </w:r>
            <w:r>
              <w:rPr>
                <w:rFonts w:ascii="Times New Roman" w:hAnsi="Times New Roman" w:eastAsia="Times New Roman" w:cs="Times New Roman"/>
                <w:b/>
                <w:i/>
                <w:color w:val="000000"/>
                <w:sz w:val="24"/>
              </w:rPr>
              <w:t xml:space="preserve"> (Nay là Xã Dương Hòa,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CM 004171, số vào sổ cấp GCN: CS-HĐU 13670 do Sở Tài Nguyên và Môi Trường Thành Phố Hà cấp ngày 18/01/20218; Chủ sử dụng đất ông Nguyễn Bá Tuân.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9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r>
            <w:commentRangeStart w:id="3"/>
            <w:r>
              <w:rPr>
                <w:rFonts w:ascii="Times New Roman" w:hAnsi="Times New Roman" w:eastAsia="Times New Roman" w:cs="Times New Roman"/>
                <w:b/>
                <w:color w:val="000000"/>
                <w:sz w:val="24"/>
              </w:rPr>
              <w:t xml:space="preserve">Đất ở tại nông thôn</w:t>
            </w:r>
            <w:commentRangeEnd w:id="3"/>
            <w:r>
              <w:commentReference w:id="3"/>
            </w:r>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6.250.000.000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6.250.000.000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Sáu tỷ, hai trăm năm mươi triệu đồng./.)</w:t>
            </w:r>
            <w:r/>
          </w:p>
        </w:tc>
      </w:tr>
    </w:tbl>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b/>
          <w:color w:val="000000"/>
          <w:sz w:val="24"/>
        </w:rPr>
        <w:t xml:space="preserve">10. Thời hạn hiệu lực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jc w:val="both"/>
        <w:rPr/>
      </w:pPr>
      <w:r>
        <w:rPr>
          <w:rFonts w:ascii="Times New Roman" w:hAnsi="Times New Roman" w:eastAsia="Times New Roman" w:cs="Times New Roman"/>
          <w:color w:val="000000"/>
          <w:sz w:val="24"/>
        </w:rPr>
        <w:t xml:space="preserve">- 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pPr>
      <w:r>
        <w:rPr>
          <w:rFonts w:ascii="Times New Roman" w:hAnsi="Times New Roman" w:eastAsia="Times New Roman" w:cs="Times New Roman"/>
          <w:b/>
          <w:color w:val="000000"/>
          <w:sz w:val="24"/>
        </w:rPr>
        <w:t xml:space="preserve">11. Những điều khoản loại trừ và hạn chế của kết quả thẩm định giá:</w:t>
      </w:r>
      <w:r/>
    </w:p>
    <w:p>
      <w:pPr>
        <w:pBdr>
          <w:top w:val="none" w:color="000000" w:sz="4" w:space="0"/>
          <w:left w:val="none" w:color="000000" w:sz="4" w:space="0"/>
          <w:bottom w:val="none" w:color="000000" w:sz="4" w:space="0"/>
          <w:right w:val="none" w:color="000000" w:sz="4" w:space="0"/>
        </w:pBdr>
        <w:spacing w:after="120" w:before="120" w:line="312" w:lineRule="auto"/>
        <w:ind w:right="0" w:firstLine="36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 Chi tiết như Báo cáo kèm theo.</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after="120" w:before="120" w:line="312" w:lineRule="auto"/>
        <w:ind w:right="0" w:firstLine="0" w:left="0"/>
        <w:rPr>
          <w:rFonts w:ascii="Times New Roman" w:hAnsi="Times New Roman" w:eastAsia="Times New Roman" w:cs="Times New Roman"/>
          <w:sz w:val="24"/>
          <w:szCs w:val="24"/>
        </w:rPr>
      </w:pPr>
      <w:r>
        <w:rPr>
          <w:rFonts w:ascii="Times New Roman" w:hAnsi="Times New Roman" w:eastAsia="Times New Roman" w:cs="Times New Roman"/>
          <w:color w:val="000000"/>
          <w:sz w:val="24"/>
        </w:rPr>
      </w:r>
      <w:r>
        <w:rPr>
          <w:rFonts w:ascii="Times New Roman" w:hAnsi="Times New Roman" w:eastAsia="Times New Roman" w:cs="Times New Roman"/>
          <w:b/>
          <w:color w:val="000000"/>
          <w:spacing w:val="-4"/>
          <w:sz w:val="24"/>
        </w:rPr>
        <w:t xml:space="preserve"> 12. Các tài liệu kèm theo:</w:t>
      </w:r>
      <w:r>
        <w:rPr>
          <w:rFonts w:ascii="Times New Roman" w:hAnsi="Times New Roman" w:eastAsia="Times New Roman" w:cs="Times New Roman"/>
          <w:sz w:val="24"/>
          <w:szCs w:val="24"/>
        </w:rPr>
      </w:r>
      <w:r>
        <w:rPr>
          <w:rFonts w:ascii="Times New Roman" w:hAnsi="Times New Roman" w:eastAsia="Times New Roman" w:cs="Times New Roman"/>
          <w:sz w:val="24"/>
          <w:szCs w:val="24"/>
        </w:rP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Báo cáo kết quả thẩm định giá.</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Các phụ lục chi tiết kèm theo.</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Chứng thư thẩm định giá được phát hành 03 (ba) bản chính bằng tiếng Việt, cấp cho quý khách hàng 02 (hai) bản, lưu lại Công ty Cổ phần Thẩm định và Đầu tư Tài chính Hoa Sen 01 (một) bản có giá trị pháp lý như nhau.</w:t>
      </w:r>
      <w:r/>
    </w:p>
    <w:p>
      <w:pPr>
        <w:pBdr>
          <w:top w:val="none" w:color="000000" w:sz="4" w:space="0"/>
          <w:left w:val="none" w:color="000000" w:sz="4" w:space="0"/>
          <w:bottom w:val="none" w:color="000000" w:sz="4" w:space="0"/>
          <w:right w:val="none" w:color="000000" w:sz="4" w:space="0"/>
        </w:pBdr>
        <w:tabs>
          <w:tab w:val="left" w:leader="none" w:pos="5202"/>
        </w:tabs>
        <w:spacing w:after="120" w:before="120" w:line="276" w:lineRule="auto"/>
        <w:ind w:right="0" w:firstLine="431" w:left="0"/>
        <w:jc w:val="both"/>
        <w:rPr/>
      </w:pPr>
      <w:r>
        <w:rPr>
          <w:rFonts w:ascii="Times New Roman" w:hAnsi="Times New Roman" w:eastAsia="Times New Roman" w:cs="Times New Roman"/>
          <w:color w:val="000000"/>
          <w:spacing w:val="-6"/>
          <w:sz w:val="24"/>
        </w:rPr>
        <w:t xml:space="preserve"> - Mọi hình thức sao chép báo cáo và chứng thư thẩm định giá không có sự đồng ý bằng văn bản của Công ty Cổ phần Thẩm định và Đầu tư Tài chính Hoa Sen đều là hành vi vi phạm pháp luật.</w:t>
      </w:r>
      <w:r/>
    </w:p>
    <w:tbl>
      <w:tblPr>
        <w:tblStyle w:val="996"/>
        <w:tblInd w:w="-114" w:type="dxa"/>
        <w:tblW w:w="5134"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677"/>
        <w:gridCol w:w="5102"/>
      </w:tblGrid>
      <w:tr>
        <w:trPr>
          <w:trHeight w:val="20"/>
        </w:trPr>
        <w:tc>
          <w:tcPr>
            <w:tcBorders/>
            <w:tcMar>
              <w:left w:w="108" w:type="dxa"/>
              <w:top w:w="0" w:type="dxa"/>
              <w:right w:w="108" w:type="dxa"/>
              <w:bottom w:w="0" w:type="dxa"/>
            </w:tcMar>
            <w:tcW w:w="4677"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510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10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5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996"/>
        <w:tblInd w:w="-28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1729"/>
        <w:gridCol w:w="2160"/>
        <w:gridCol w:w="5635"/>
        <w:gridCol w:w="284"/>
      </w:tblGrid>
      <w:tr>
        <w:trPr>
          <w:trHeight w:val="1433"/>
        </w:trPr>
        <w:tc>
          <w:tcPr>
            <w:tcBorders/>
            <w:tcMar>
              <w:left w:w="108" w:type="dxa"/>
              <w:top w:w="0" w:type="dxa"/>
              <w:right w:w="108" w:type="dxa"/>
              <w:bottom w:w="0" w:type="dxa"/>
            </w:tcMar>
            <w:tcW w:w="1729" w:type="dxa"/>
            <w:vAlign w:val="top"/>
            <w:textDirection w:val="lrTb"/>
            <w:noWrap w:val="false"/>
          </w:tcPr>
          <w:p>
            <w:pPr>
              <w:pBdr>
                <w:top w:val="none" w:color="000000" w:sz="4" w:space="0"/>
                <w:left w:val="none" w:color="000000" w:sz="4" w:space="0"/>
                <w:bottom w:val="none" w:color="000000" w:sz="4" w:space="0"/>
                <w:right w:val="none" w:color="000000" w:sz="4" w:space="0"/>
              </w:pBdr>
              <w:spacing w:line="360" w:lineRule="auto"/>
              <w:ind w:right="0" w:hanging="108" w:left="0"/>
              <w:rPr/>
            </w:pPr>
            <w:r>
              <mc:AlternateContent>
                <mc:Choice Requires="wpg">
                  <w:drawing>
                    <wp:inline xmlns:wp="http://schemas.openxmlformats.org/drawingml/2006/wordprocessingDrawing" distT="0" distB="0" distL="0" distR="0">
                      <wp:extent cx="1019175" cy="923925"/>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81434" name=""/>
                              <pic:cNvPicPr>
                                <a:picLocks noChangeAspect="1"/>
                              </pic:cNvPicPr>
                              <pic:nvPr/>
                            </pic:nvPicPr>
                            <pic:blipFill rotWithShape="1">
                              <a:blip r:embed="rId11"/>
                              <a:stretch/>
                            </pic:blipFill>
                            <pic:spPr bwMode="auto">
                              <a:xfrm>
                                <a:off x="0" y="0"/>
                                <a:ext cx="1019174" cy="9239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80.25pt;height:72.75pt;mso-wrap-distance-left:0.00pt;mso-wrap-distance-top:0.00pt;mso-wrap-distance-right:0.00pt;mso-wrap-distance-bottom:0.00pt;z-index:1;" stroked="false">
                      <v:imagedata r:id="rId11" o:title=""/>
                      <o:lock v:ext="edit" rotation="t"/>
                    </v:shape>
                  </w:pict>
                </mc:Fallback>
              </mc:AlternateContent>
            </w:r>
            <w:r/>
          </w:p>
        </w:tc>
        <w:tc>
          <w:tcPr>
            <w:gridSpan w:val="3"/>
            <w:tcBorders/>
            <w:tcMar>
              <w:left w:w="108" w:type="dxa"/>
              <w:top w:w="0" w:type="dxa"/>
              <w:right w:w="108" w:type="dxa"/>
              <w:bottom w:w="0" w:type="dxa"/>
            </w:tcMar>
            <w:tcW w:w="8080" w:type="dxa"/>
            <w:vAlign w:val="top"/>
            <w:textDirection w:val="lrTb"/>
            <w:noWrap w:val="false"/>
          </w:tcPr>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Trụ sở: BT5 - 23, Khu đô thị mới Văn Phú, Phường Kiến Hưng, Thành phố Hà Nội</w:t>
            </w:r>
            <w:r/>
          </w:p>
          <w:p>
            <w:pPr>
              <w:pBdr>
                <w:top w:val="none" w:color="000000" w:sz="4" w:space="0"/>
                <w:left w:val="none" w:color="000000" w:sz="4" w:space="0"/>
                <w:bottom w:val="none" w:color="000000" w:sz="4" w:space="0"/>
                <w:right w:val="none" w:color="000000" w:sz="4" w:space="0"/>
              </w:pBdr>
              <w:spacing w:line="312" w:lineRule="auto"/>
              <w:ind w:right="0" w:firstLine="0" w:left="0"/>
              <w:jc w:val="both"/>
              <w:rPr/>
            </w:pPr>
            <w:r>
              <w:rPr>
                <w:rFonts w:ascii="Times New Roman" w:hAnsi="Times New Roman" w:eastAsia="Times New Roman" w:cs="Times New Roman"/>
                <w:color w:val="000000"/>
                <w:sz w:val="24"/>
              </w:rPr>
              <w:t xml:space="preserve">Điện thoại:  085 329 3333/ 024 2264 4333</w:t>
            </w:r>
            <w:r/>
          </w:p>
          <w:p>
            <w:pPr>
              <w:pBdr>
                <w:top w:val="none" w:color="000000" w:sz="4" w:space="0"/>
                <w:left w:val="none" w:color="000000" w:sz="4" w:space="0"/>
                <w:bottom w:val="none" w:color="000000" w:sz="4" w:space="0"/>
                <w:right w:val="none" w:color="000000" w:sz="4" w:space="0"/>
              </w:pBdr>
              <w:spacing w:line="276" w:lineRule="auto"/>
              <w:ind w:right="0" w:firstLine="0" w:left="0"/>
              <w:jc w:val="both"/>
              <w:rPr/>
            </w:pPr>
            <w:r>
              <w:rPr>
                <w:rFonts w:ascii="Times New Roman" w:hAnsi="Times New Roman" w:eastAsia="Times New Roman" w:cs="Times New Roman"/>
                <w:color w:val="000000"/>
                <w:sz w:val="24"/>
              </w:rPr>
              <w:t xml:space="preserve">Email: </w:t>
              <w:tab/>
            </w:r>
            <w:hyperlink r:id="rId13" w:tooltip="mailto:ilotus.contact@gmail.com" w:history="1">
              <w:r>
                <w:rPr>
                  <w:rStyle w:val="982"/>
                  <w:rFonts w:ascii="Times New Roman" w:hAnsi="Times New Roman" w:eastAsia="Times New Roman" w:cs="Times New Roman"/>
                  <w:color w:val="000000"/>
                  <w:sz w:val="24"/>
                  <w:u w:val="none"/>
                </w:rPr>
                <w:t xml:space="preserve">ilotus.contact@gmail.com</w:t>
              </w:r>
            </w:hyperlink>
            <w:r>
              <w:rPr>
                <w:rFonts w:ascii="Times New Roman" w:hAnsi="Times New Roman" w:eastAsia="Times New Roman" w:cs="Times New Roman"/>
                <w:color w:val="000000"/>
                <w:sz w:val="24"/>
              </w:rPr>
              <w:t xml:space="preserve">                         Website: ilotus.com.vn</w:t>
            </w:r>
            <w:r/>
          </w:p>
        </w:tc>
      </w:tr>
      <w:tr>
        <w:trPr>
          <w:gridAfter w:val="1"/>
          <w:trHeight w:val="84"/>
        </w:trPr>
        <w:tc>
          <w:tcPr>
            <w:gridSpan w:val="2"/>
            <w:tcBorders/>
            <w:tcMar>
              <w:left w:w="108" w:type="dxa"/>
              <w:top w:w="0" w:type="dxa"/>
              <w:right w:w="108" w:type="dxa"/>
              <w:bottom w:w="0" w:type="dxa"/>
            </w:tcMar>
            <w:tcW w:w="3889" w:type="dxa"/>
            <w:vAlign w:val="top"/>
            <w:textDirection w:val="lrTb"/>
            <w:noWrap w:val="false"/>
          </w:tcPr>
          <w:p>
            <w:pPr>
              <w:pBdr>
                <w:top w:val="none" w:color="000000" w:sz="4" w:space="0"/>
                <w:left w:val="none" w:color="000000" w:sz="4" w:space="0"/>
                <w:bottom w:val="none" w:color="000000" w:sz="4" w:space="0"/>
                <w:right w:val="none" w:color="000000" w:sz="4" w:space="0"/>
              </w:pBdr>
              <w:spacing w:after="60"/>
              <w:ind w:right="0" w:firstLine="0" w:left="0"/>
              <w:jc w:val="both"/>
              <w:rPr/>
            </w:pPr>
            <w:r>
              <w:rPr>
                <w:rFonts w:ascii="Times New Roman" w:hAnsi="Times New Roman" w:eastAsia="Times New Roman" w:cs="Times New Roman"/>
                <w:color w:val="000000"/>
                <w:sz w:val="24"/>
              </w:rPr>
              <w:t xml:space="preserve">Số: 275/2026/0699/VFI-BC.57.A</w:t>
            </w:r>
            <w:r/>
          </w:p>
        </w:tc>
        <w:tc>
          <w:tcPr>
            <w:tcBorders/>
            <w:tcMar>
              <w:left w:w="108" w:type="dxa"/>
              <w:top w:w="0" w:type="dxa"/>
              <w:right w:w="108" w:type="dxa"/>
              <w:bottom w:w="0" w:type="dxa"/>
            </w:tcMar>
            <w:tcW w:w="5635" w:type="dxa"/>
            <w:vAlign w:val="top"/>
            <w:textDirection w:val="lrTb"/>
            <w:noWrap w:val="false"/>
          </w:tcPr>
          <w:p>
            <w:pPr>
              <w:pBdr>
                <w:top w:val="none" w:color="000000" w:sz="4" w:space="0"/>
                <w:left w:val="none" w:color="000000" w:sz="4" w:space="0"/>
                <w:bottom w:val="none" w:color="000000" w:sz="4" w:space="0"/>
                <w:right w:val="none" w:color="000000" w:sz="4" w:space="0"/>
              </w:pBdr>
              <w:spacing w:after="60" w:before="0"/>
              <w:ind w:right="-56" w:firstLine="0" w:left="0"/>
              <w:jc w:val="right"/>
              <w:rPr/>
            </w:pPr>
            <w:r>
              <w:rPr>
                <w:rFonts w:ascii="Times New Roman" w:hAnsi="Times New Roman" w:eastAsia="Times New Roman" w:cs="Times New Roman"/>
                <w:i/>
                <w:color w:val="000000"/>
                <w:sz w:val="24"/>
              </w:rPr>
              <w:t xml:space="preserve">TP. Hà Nội, ngày 08 tháng 5 năm 2026</w:t>
            </w:r>
            <w:r/>
          </w:p>
        </w:tc>
      </w:tr>
    </w:tbl>
    <w:p>
      <w:pPr>
        <w:pBdr>
          <w:top w:val="none" w:color="000000" w:sz="4" w:space="0"/>
          <w:left w:val="none" w:color="000000" w:sz="4" w:space="0"/>
          <w:bottom w:val="none" w:color="000000" w:sz="4" w:space="0"/>
          <w:right w:val="none" w:color="000000" w:sz="4" w:space="0"/>
        </w:pBdr>
        <w:tabs>
          <w:tab w:val="left" w:leader="none" w:pos="5102"/>
        </w:tabs>
        <w:spacing w:before="200" w:line="340" w:lineRule="atLeast"/>
        <w:ind w:right="0" w:firstLine="0" w:left="0"/>
        <w:jc w:val="center"/>
        <w:rPr/>
      </w:pPr>
      <w:r>
        <w:rPr>
          <w:rFonts w:ascii="Times New Roman" w:hAnsi="Times New Roman" w:eastAsia="Times New Roman" w:cs="Times New Roman"/>
          <w:b/>
          <w:color w:val="000000"/>
          <w:sz w:val="30"/>
        </w:rPr>
        <w:t xml:space="preserve">BÁO CÁO KẾT QUẢ THẨM ĐỊNH GIÁ</w:t>
      </w:r>
      <w:r/>
    </w:p>
    <w:p>
      <w:pPr>
        <w:pStyle w:val="971"/>
        <w:pBdr>
          <w:top w:val="none" w:color="000000" w:sz="4" w:space="0"/>
          <w:left w:val="none" w:color="000000" w:sz="4" w:space="0"/>
          <w:bottom w:val="none" w:color="000000" w:sz="4" w:space="0"/>
          <w:right w:val="none" w:color="000000" w:sz="4" w:space="0"/>
        </w:pBdr>
        <w:tabs>
          <w:tab w:val="left" w:leader="none" w:pos="4820"/>
        </w:tabs>
        <w:spacing w:after="200" w:before="100" w:line="340" w:lineRule="atLeast"/>
        <w:ind w:right="0" w:hanging="180" w:left="0"/>
        <w:jc w:val="center"/>
        <w:rPr>
          <w:b w:val="0"/>
          <w:bCs w:val="0"/>
        </w:rPr>
      </w:pPr>
      <w:r>
        <w:rPr>
          <w:rFonts w:ascii="Times New Roman" w:hAnsi="Times New Roman" w:eastAsia="Times New Roman" w:cs="Times New Roman"/>
          <w:b w:val="0"/>
          <w:bCs w:val="0"/>
          <w:i/>
          <w:color w:val="000000"/>
          <w:spacing w:val="-6"/>
          <w:sz w:val="24"/>
        </w:rPr>
        <w:t xml:space="preserve">(Kèm theo Chứng thư thẩm định giá số: 275/2026/0699/VFI-CT.57.A ngày 08 tháng 5 năm 2026)</w:t>
      </w:r>
      <w:r>
        <w:rPr>
          <w:b w:val="0"/>
          <w:bCs w:val="0"/>
        </w:rPr>
      </w:r>
      <w:r>
        <w:rPr>
          <w:b w:val="0"/>
          <w:bCs w:val="0"/>
        </w:rPr>
      </w:r>
    </w:p>
    <w:p>
      <w:pPr>
        <w:pStyle w:val="971"/>
        <w:pBdr>
          <w:top w:val="none" w:color="000000" w:sz="4" w:space="0"/>
          <w:left w:val="none" w:color="000000" w:sz="4" w:space="0"/>
          <w:bottom w:val="none" w:color="000000" w:sz="4" w:space="0"/>
          <w:right w:val="none" w:color="000000" w:sz="4" w:space="0"/>
        </w:pBdr>
        <w:tabs>
          <w:tab w:val="left" w:leader="none" w:pos="4820"/>
        </w:tabs>
        <w:spacing w:after="200" w:before="0" w:line="340" w:lineRule="atLeast"/>
        <w:ind w:right="0" w:firstLine="0" w:left="0"/>
        <w:jc w:val="both"/>
        <w:rPr/>
      </w:pPr>
      <w:r>
        <w:rPr>
          <w:rFonts w:ascii="Times New Roman" w:hAnsi="Times New Roman" w:eastAsia="Times New Roman" w:cs="Times New Roman"/>
          <w:b/>
          <w:color w:val="000000"/>
          <w:sz w:val="24"/>
        </w:rPr>
        <w:t xml:space="preserve">I. THÔNG TIN VỀ DOANH NGHIỆP THẨM ĐỊNH GIÁ </w:t>
      </w:r>
      <w:r/>
    </w:p>
    <w:tbl>
      <w:tblPr>
        <w:tblStyle w:val="996"/>
        <w:tblInd w:w="-34"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52"/>
        <w:gridCol w:w="289"/>
        <w:gridCol w:w="6940"/>
      </w:tblGrid>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Đơn vị thẩm định</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b/>
                <w:color w:val="000000"/>
                <w:spacing w:val="-4"/>
                <w:sz w:val="24"/>
              </w:rPr>
              <w:t xml:space="preserve">CÔNG TY CỔ PHẦN THẨM ĐỊNH VÀ ĐẦU TƯ TÀI CHÍNH HOA SEN</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 trụ sở</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2"/>
                <w:sz w:val="24"/>
              </w:rPr>
              <w:t xml:space="preserve">BT5 - 23, Khu đô thị mới Văn Phú, Phường Kiến Hưng, Thành phố Hà Nội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Điện thoại</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3382"/>
              </w:tabs>
              <w:spacing w:after="60" w:before="60" w:line="276" w:lineRule="auto"/>
              <w:ind w:right="0" w:firstLine="0" w:left="0"/>
              <w:rPr/>
            </w:pPr>
            <w:r>
              <w:rPr>
                <w:rFonts w:ascii="Times New Roman" w:hAnsi="Times New Roman" w:eastAsia="Times New Roman" w:cs="Times New Roman"/>
                <w:color w:val="000000"/>
                <w:sz w:val="24"/>
              </w:rPr>
              <w:t xml:space="preserve">024 2264 4333</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Mã số thuế</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0102708994</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GCN đủ điều kiện hành nghề</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275/TĐG</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khoản số</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4"/>
                <w:sz w:val="24"/>
              </w:rPr>
              <w:t xml:space="preserve">1505112366666 tại Agribank Chi nhánh Hà Nội II</w:t>
            </w:r>
            <w:r/>
          </w:p>
        </w:tc>
      </w:tr>
      <w:tr>
        <w:trPr>
          <w:trHeight w:val="20"/>
        </w:trPr>
        <w:tc>
          <w:tcPr>
            <w:tcBorders/>
            <w:tcMar>
              <w:left w:w="108" w:type="dxa"/>
              <w:top w:w="0" w:type="dxa"/>
              <w:right w:w="108" w:type="dxa"/>
              <w:bottom w:w="0" w:type="dxa"/>
            </w:tcMar>
            <w:tcW w:w="2552"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Đại diện</w:t>
            </w:r>
            <w:r/>
          </w:p>
        </w:tc>
        <w:tc>
          <w:tcPr>
            <w:tcBorders/>
            <w:tcMar>
              <w:left w:w="108" w:type="dxa"/>
              <w:top w:w="0" w:type="dxa"/>
              <w:right w:w="108" w:type="dxa"/>
              <w:bottom w:w="0" w:type="dxa"/>
            </w:tcMar>
            <w:tcW w:w="289"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0"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b/>
                <w:color w:val="000000"/>
                <w:sz w:val="24"/>
              </w:rPr>
              <w:t xml:space="preserve">Ông Vũ Văn Quân </w:t>
              <w:tab/>
              <w:t xml:space="preserve">Chức vụ: Chủ tịch HĐQT kiêm Tổng Giám Đốc</w:t>
            </w:r>
            <w:r/>
          </w:p>
        </w:tc>
      </w:tr>
    </w:tbl>
    <w:p>
      <w:pPr>
        <w:pBdr>
          <w:top w:val="none" w:color="000000" w:sz="4" w:space="0"/>
          <w:left w:val="none" w:color="000000" w:sz="4" w:space="0"/>
          <w:bottom w:val="none" w:color="000000" w:sz="4" w:space="0"/>
          <w:right w:val="none" w:color="000000" w:sz="4" w:space="0"/>
        </w:pBdr>
        <w:tabs>
          <w:tab w:val="left" w:leader="none" w:pos="284"/>
        </w:tabs>
        <w:spacing w:after="120" w:before="0" w:line="320" w:lineRule="atLeast"/>
        <w:ind w:right="0" w:firstLine="0" w:left="0"/>
        <w:jc w:val="both"/>
        <w:rPr/>
      </w:pPr>
      <w:r>
        <w:rPr>
          <w:rFonts w:ascii="Times New Roman" w:hAnsi="Times New Roman" w:eastAsia="Times New Roman" w:cs="Times New Roman"/>
          <w:b/>
          <w:color w:val="000000"/>
          <w:sz w:val="24"/>
        </w:rPr>
        <w:t xml:space="preserve">II. THÔNG TIN CƠ BẢN VỀ CUỘC THẨM ĐỊNH GIÁ</w:t>
      </w:r>
      <w:r/>
    </w:p>
    <w:p>
      <w:pPr>
        <w:pBdr>
          <w:top w:val="none" w:color="000000" w:sz="4" w:space="0"/>
          <w:left w:val="none" w:color="000000" w:sz="4" w:space="0"/>
          <w:bottom w:val="none" w:color="000000" w:sz="4" w:space="0"/>
          <w:right w:val="none" w:color="000000" w:sz="4" w:space="0"/>
        </w:pBdr>
        <w:tabs>
          <w:tab w:val="left" w:leader="none" w:pos="284"/>
        </w:tabs>
        <w:spacing w:after="120" w:before="120" w:line="320" w:lineRule="atLeast"/>
        <w:ind w:right="0" w:firstLine="0" w:left="0"/>
        <w:jc w:val="both"/>
        <w:rPr/>
      </w:pPr>
      <w:r>
        <w:rPr>
          <w:rFonts w:ascii="Times New Roman" w:hAnsi="Times New Roman" w:eastAsia="Times New Roman" w:cs="Times New Roman"/>
          <w:b/>
          <w:color w:val="000000"/>
          <w:sz w:val="24"/>
        </w:rPr>
        <w:t xml:space="preserve">1. Thông tin cơ bản về cuộc thẩm định giá:</w:t>
      </w: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2518"/>
        <w:gridCol w:w="284"/>
        <w:gridCol w:w="6945"/>
      </w:tblGrid>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Tên khách hàng</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NGUYỄN BÁ XUYỀN</w:t>
            </w:r>
            <w:r>
              <w:rPr>
                <w:rFonts w:ascii="Times New Roman" w:hAnsi="Times New Roman" w:eastAsia="Times New Roman" w:cs="Times New Roman"/>
                <w:b/>
                <w:color w:val="000000"/>
                <w:sz w:val="22"/>
              </w:rPr>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CCCD</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001069004485</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Năm sinh:</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1969</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Địa chỉ</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Thôn 3, Xã Dương Hòa, Thành phố Hà Nội</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Tài sản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before="120" w:line="312" w:lineRule="auto"/>
              <w:ind w:right="0" w:firstLine="0" w:left="0"/>
              <w:jc w:val="both"/>
              <w:rPr/>
            </w:pPr>
            <w:r>
              <w:rPr>
                <w:rFonts w:ascii="Times New Roman" w:hAnsi="Times New Roman" w:eastAsia="Times New Roman" w:cs="Times New Roman"/>
                <w:color w:val="000000"/>
                <w:sz w:val="24"/>
              </w:rPr>
              <w:t xml:space="preserve">Quyền sử dụng đất tại thửa đất số: (624-2)-1, tờ bản đồ 02 có địa chỉ: Thôn 3, Xã Yên Sở, Huyện Hoài Đức, Thành phố Hà Nội</w:t>
            </w:r>
            <w:r>
              <w:rPr>
                <w:rFonts w:ascii="Times New Roman" w:hAnsi="Times New Roman" w:eastAsia="Times New Roman" w:cs="Times New Roman"/>
                <w:i/>
                <w:color w:val="000000"/>
                <w:sz w:val="24"/>
              </w:rPr>
              <w:t xml:space="preserve"> (Nay là Xã Dương Hòa, Thành Phố Hà Nội)</w:t>
            </w:r>
            <w:r>
              <w:rPr>
                <w:rFonts w:ascii="Times New Roman" w:hAnsi="Times New Roman" w:eastAsia="Times New Roman" w:cs="Times New Roman"/>
                <w:color w:val="000000"/>
                <w:sz w:val="24"/>
              </w:rPr>
              <w:t xml:space="preserve"> theo Giấy chứng nhận quyền sử dụng đất quyền sở hữu nhà ở và tài sản khác gắn liền với  đất số: CM 004171, số vào sổ cấp GCN: CS-HĐU 13670 do Sở Tài Nguyên và Môi Trường Thành Phố Hà cấp ngày 18/01/20218; Chủ sử dụng đất ông Nguyễn Bá Tuân.</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Mục đích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Kết quả thẩm định giá để khách hàng tham khảo giá trị tài sản phục vụ công tác vay vốn tại tổ chức tín dụng.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pacing w:val="-12"/>
                <w:sz w:val="24"/>
              </w:rPr>
              <w:t xml:space="preserve">Cơ sở giá trị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tabs>
                <w:tab w:val="left" w:leader="none" w:pos="851"/>
              </w:tabs>
              <w:spacing w:after="60" w:before="60" w:line="276" w:lineRule="auto"/>
              <w:ind w:right="0" w:firstLine="0" w:left="0"/>
              <w:jc w:val="both"/>
              <w:rPr/>
            </w:pPr>
            <w:r>
              <w:rPr>
                <w:rFonts w:ascii="Times New Roman" w:hAnsi="Times New Roman" w:eastAsia="Times New Roman" w:cs="Times New Roman"/>
                <w:color w:val="000000"/>
                <w:spacing w:val="-4"/>
                <w:sz w:val="24"/>
              </w:rPr>
              <w:t xml:space="preserve">Giá trị thị trường.</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Địa điểm thẩm định giá</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bCs w:val="0"/>
                <w:i w:val="0"/>
              </w:rPr>
            </w:pPr>
            <w:r>
              <w:rPr>
                <w:rFonts w:ascii="Times New Roman" w:hAnsi="Times New Roman" w:eastAsia="Times New Roman" w:cs="Times New Roman"/>
                <w:i w:val="0"/>
                <w:iCs w:val="0"/>
                <w:color w:val="000000"/>
                <w:sz w:val="24"/>
              </w:rPr>
            </w:r>
            <w:r>
              <w:rPr>
                <w:rFonts w:ascii="Times New Roman" w:hAnsi="Times New Roman" w:eastAsia="Times New Roman" w:cs="Times New Roman"/>
                <w:i w:val="0"/>
                <w:iCs w:val="0"/>
                <w:color w:val="000000"/>
                <w:sz w:val="24"/>
              </w:rPr>
              <w:t xml:space="preserve">Xã Dương Hòa, Thành Phố Hà Nội</w:t>
            </w:r>
            <w:r>
              <w:rPr>
                <w:bCs w:val="0"/>
                <w:i w:val="0"/>
              </w:rPr>
            </w:r>
            <w:r>
              <w:rPr>
                <w:bCs w:val="0"/>
                <w:i w:val="0"/>
              </w:rP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Vị trí tài sản thẩm định </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before="60"/>
              <w:ind w:right="0" w:firstLine="0" w:left="0"/>
              <w:rPr/>
            </w:pPr>
            <w:r>
              <w:rPr>
                <w:rFonts w:ascii="Times New Roman" w:hAnsi="Times New Roman" w:eastAsia="Times New Roman" w:cs="Times New Roman"/>
                <w:color w:val="000000"/>
                <w:sz w:val="24"/>
              </w:rPr>
              <w:t xml:space="preserve">(21.042388888889, 105.67683333333)</w:t>
            </w:r>
            <w:r/>
          </w:p>
        </w:tc>
      </w:tr>
      <w:tr>
        <w:trPr>
          <w:trHeight w:val="20"/>
        </w:trPr>
        <w:tc>
          <w:tcPr>
            <w:tcBorders/>
            <w:tcMar>
              <w:left w:w="108" w:type="dxa"/>
              <w:top w:w="0" w:type="dxa"/>
              <w:right w:w="108" w:type="dxa"/>
              <w:bottom w:w="0" w:type="dxa"/>
            </w:tcMar>
            <w:tcW w:w="2518"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pacing w:val="-6"/>
                <w:sz w:val="24"/>
              </w:rPr>
              <w:t xml:space="preserve">Thời điểm khảo sát</w:t>
            </w:r>
            <w:r/>
          </w:p>
        </w:tc>
        <w:tc>
          <w:tcPr>
            <w:tcBorders/>
            <w:tcMar>
              <w:left w:w="108" w:type="dxa"/>
              <w:top w:w="0" w:type="dxa"/>
              <w:right w:w="108" w:type="dxa"/>
              <w:bottom w:w="0" w:type="dxa"/>
            </w:tcMar>
            <w:tcW w:w="284"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rPr/>
            </w:pPr>
            <w:r>
              <w:rPr>
                <w:rFonts w:ascii="Times New Roman" w:hAnsi="Times New Roman" w:eastAsia="Times New Roman" w:cs="Times New Roman"/>
                <w:color w:val="000000"/>
                <w:sz w:val="24"/>
              </w:rPr>
              <w:t xml:space="preserve">:</w:t>
            </w:r>
            <w:r/>
          </w:p>
        </w:tc>
        <w:tc>
          <w:tcPr>
            <w:tcBorders/>
            <w:tcMar>
              <w:left w:w="108" w:type="dxa"/>
              <w:top w:w="0" w:type="dxa"/>
              <w:right w:w="108" w:type="dxa"/>
              <w:bottom w:w="0" w:type="dxa"/>
            </w:tcMar>
            <w:tcW w:w="6945" w:type="dxa"/>
            <w:vAlign w:val="center"/>
            <w:textDirection w:val="lrTb"/>
            <w:noWrap w:val="false"/>
          </w:tcPr>
          <w:p>
            <w:pPr>
              <w:pBdr>
                <w:top w:val="none" w:color="000000" w:sz="4" w:space="0"/>
                <w:left w:val="none" w:color="000000" w:sz="4" w:space="0"/>
                <w:bottom w:val="none" w:color="000000" w:sz="4" w:space="0"/>
                <w:right w:val="none" w:color="000000" w:sz="4" w:space="0"/>
              </w:pBdr>
              <w:spacing w:after="60" w:before="60" w:line="276" w:lineRule="auto"/>
              <w:ind w:right="0" w:firstLine="0" w:left="0"/>
              <w:jc w:val="both"/>
              <w:rPr/>
            </w:pPr>
            <w:r>
              <w:rPr>
                <w:rFonts w:ascii="Times New Roman" w:hAnsi="Times New Roman" w:eastAsia="Times New Roman" w:cs="Times New Roman"/>
                <w:color w:val="000000"/>
                <w:sz w:val="24"/>
              </w:rPr>
              <w:t xml:space="preserve">Tháng 5/2026.</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pacing w:val="-6"/>
          <w:sz w:val="24"/>
        </w:rPr>
        <w:t xml:space="preserve">2. Các nguồn thông tin được sử dụng trong quá trình thẩm định giá và xem xét đánh giá các thông tin thu thập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pacing w:val="-6"/>
          <w:sz w:val="24"/>
        </w:rPr>
        <w:t xml:space="preserve">Tham khảo nguồn thông tin từ các trang giao bán bất động sản qua mạng Internet, gọi điện trực tiếp</w:t>
      </w:r>
      <w:r>
        <w:rPr>
          <w:rFonts w:ascii="Times New Roman" w:hAnsi="Times New Roman" w:eastAsia="Times New Roman" w:cs="Times New Roman"/>
          <w:color w:val="000000"/>
          <w:sz w:val="24"/>
        </w:rPr>
        <w:t xml:space="preserve">.</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Tham khảo nguồn thông tin trực tiếp từ những người dân sinh sống xung quanh trên địa bàn.</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Đánh giá nguồn thông tin thu thập: Nguồn thông tin thu thập khách quan và phổ biến trên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 Căn cứ pháp lý</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3.1. Văn bản quy phạm pháp luật:</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    Luật Giá số 16/2023/QH15 ngày 19/6/2023;</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Đất đai số 31/2024/QH15 đã được Quốc hội nước Cộng hòa xã hội chủ nghĩa Việt Nam khóa XV, kỳ họp bất thường lần thứ 5 thông qua ngày 18 tháng 01 năm 2024;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Xây dựng số 50/2014/QH13 đã được Quốc hội nước Cộng hòa xã hội chủ nghĩa Việt Nam khóa XIII, kỳ họp thứ 7 thông qua ngày 18 tháng 6 năm 2014;</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số 62/2020/QH14 đã được Quốc hội nước Cộng hòa xã hội chủ nghĩa Việt Nam khóa XIV, kỳ họp thứ 9 thông qua ngày 17 tháng 6 năm 2020 về việc Sửa đổi, bổ sung một số điều của Luật Xây dựng;</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Luật Nhà ở số 27/2023/QH15 đã được Quốc hội nước Cộng hòa xã hội chủ nghĩa Việt Nam khóa XV, kỳ họp thứ 6 thông qua ngày 27 tháng 11 năm 2023;</w:t>
      </w: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rPr/>
      </w:pPr>
      <w:r>
        <w:rPr>
          <w:rFonts w:ascii="Times New Roman" w:hAnsi="Times New Roman" w:eastAsia="Times New Roman" w:cs="Times New Roman"/>
          <w:color w:val="000000"/>
          <w:sz w:val="24"/>
        </w:rPr>
        <w:t xml:space="preserve">Nghị định số 71/2024/NĐ-CP ngày 27/6/2024 của Chính phủ Quy định về giá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Nghị định số 103/2024/NĐ-CP ngày 30/7/2024 của Chính phủ quy định về thu tiền sử dụng đất, tiền thuê đất;</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28/2024/TT-BTC ngày 16/5/2024 của Bộ Tài chính Quy định về trình tự, thủ tục kiểm tra việc chấp hành pháp luật về giá, thẩm định giá do Bộ trưởng Bộ Tài chính ban hành;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30/2024/TT-BTC ngày 16/5/2024 của Bộ Tài chính ban hành các chuẩn mực thẩm định giá Việt Nam về quy tắc đạo đức nghề nghiệp thẩm định giá, phạm vi công việc thẩm định giá, cơ sở giá trị thẩm định giá, hồ sơ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31/2024/TT-BTC ngày 16/5/2024 của Bộ Tài chính ban hành chuẩn mực thẩm định giá Việt Nam về thu thập và phân tích thông tin về tài sản thẩm định giá;</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32/2024/TT-BTC ngày 16/5/2024 của Bộ Tài chính ban hành các chuẩn mực thẩm định giá Việt Nam về cách tiếp cận từ thị trường, cách tiếp cận từ chi phí, cách tiếp cận từ thu nhập;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36/2024/TT-BTC ngày 16/5/2024 của Bộ Tài chính ban hành chuẩn mực thẩm định giá Việt Nam về thẩm định giá doanh nghiệp;</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37/2024/TT-BTC ngày 16/5/2024 của Bộ Tài chính ban hành chuẩn mực thẩm định giá Việt Nam về thẩm định giá tài sản vô hình;</w:t>
      </w:r>
      <w:r/>
    </w:p>
    <w:p>
      <w:pPr>
        <w:numPr>
          <w:ilvl w:val="0"/>
          <w:numId w:val="39"/>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Thông tư số 42/2024/TT-BTC ngày 20/6/2024 của Bộ Tài chính ban hành chuẩn mực thẩm định giá Việt Nam về thẩm định giá bất động sản;</w:t>
      </w:r>
      <w:r/>
    </w:p>
    <w:p>
      <w:pPr>
        <w:numPr>
          <w:ilvl w:val="0"/>
          <w:numId w:val="40"/>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Và các văn bản pháp luật có liên quan khác.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3.2. Các văn bản liên quan khác:</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b/>
          <w:color w:val="000000"/>
          <w:sz w:val="24"/>
        </w:rPr>
        <w:t xml:space="preserve">a. Hồ sơ pháp lý của tài sản: </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Giấy chứng nhận quyền sử dụng đất quyền sở hữu nhà ở và tài sản khác gắn liền với  đất số: CM 004171, số vào sổ cấp GCN: CS-HĐU 13670 do Sở Tài Nguyên và Môi Trường Thành Phố Hà cấp ngày 18/01/20218; Chủ sử dụng đất ông Nguyễn Bá Tuân.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b. Hồ sơ khác:</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Hợp đồng số 275/2026/0699/VFI-HĐTĐ.57.A ngày </w:t>
      </w:r>
      <w:commentRangeStart w:id="4"/>
      <w:r>
        <w:rPr>
          <w:rFonts w:ascii="Times New Roman" w:hAnsi="Times New Roman" w:eastAsia="Times New Roman" w:cs="Times New Roman"/>
          <w:color w:val="000000"/>
          <w:sz w:val="24"/>
        </w:rPr>
        <w:t xml:space="preserve">04/05/2026</w:t>
      </w:r>
      <w:commentRangeEnd w:id="4"/>
      <w:r>
        <w:commentReference w:id="4"/>
      </w:r>
      <w:r>
        <w:rPr>
          <w:rFonts w:ascii="Times New Roman" w:hAnsi="Times New Roman" w:eastAsia="Times New Roman" w:cs="Times New Roman"/>
          <w:color w:val="000000"/>
          <w:sz w:val="24"/>
        </w:rPr>
        <w:t xml:space="preserve"> giữa Nguyễn Bá Xuyền với Công ty Cổ phần Thẩm định và Đầu tư Tài chính Hoa Sen.</w:t>
      </w:r>
      <w:r/>
    </w:p>
    <w:p>
      <w:pPr>
        <w:numPr>
          <w:ilvl w:val="0"/>
          <w:numId w:val="41"/>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color w:val="000000"/>
          <w:sz w:val="24"/>
        </w:rPr>
        <w:t xml:space="preserve">Hồ sơ, tài liệu, chứng từ liên quan đến tài sản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80" w:lineRule="atLeast"/>
        <w:ind w:right="0" w:firstLine="0" w:left="0"/>
        <w:jc w:val="both"/>
        <w:rPr/>
      </w:pPr>
      <w:r>
        <w:rPr>
          <w:rFonts w:ascii="Times New Roman" w:hAnsi="Times New Roman" w:eastAsia="Times New Roman" w:cs="Times New Roman"/>
          <w:b/>
          <w:color w:val="000000"/>
          <w:sz w:val="24"/>
        </w:rPr>
        <w:t xml:space="preserve">III. TỔNG QUAN VỀ THỊ TRƯỜNG CỦA TÀI SẢN THẨM ĐỊNH GIÁ</w:t>
      </w: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rPr>
        <w:tab/>
      </w:r>
      <w:r>
        <w:rPr>
          <w:rFonts w:ascii="Times New Roman" w:hAnsi="Times New Roman" w:eastAsia="Times New Roman" w:cs="Times New Roman"/>
          <w:color w:val="000000"/>
          <w:sz w:val="24"/>
          <w:highlight w:val="white"/>
        </w:rPr>
        <w:t xml:space="preserve">Chung Cư: Đà Tăng Giá Chững, Giao Dịch Tập Trung Ở Khu Vực Vệ Tinh</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none"/>
        </w:rPr>
        <w:tab/>
      </w:r>
      <w:r>
        <w:rPr>
          <w:rFonts w:ascii="Times New Roman" w:hAnsi="Times New Roman" w:eastAsia="Times New Roman" w:cs="Times New Roman"/>
          <w:color w:val="000000"/>
          <w:sz w:val="24"/>
          <w:highlight w:val="white"/>
        </w:rPr>
        <w:t xml:space="preserve">Thị trường căn hộ tại Hà Nội đang bước vào giai đoạn ổn định sau chu kỳ tăng giá kéo dài từ 2021 đến đầu 2024. Trong quý 1/2025, giá căn hộ không có nhiều biến động mạnh, mức tăng trung bì</w:t>
      </w:r>
      <w:r>
        <w:rPr>
          <w:rFonts w:ascii="Times New Roman" w:hAnsi="Times New Roman" w:eastAsia="Times New Roman" w:cs="Times New Roman"/>
          <w:color w:val="000000"/>
          <w:sz w:val="24"/>
          <w:highlight w:val="white"/>
        </w:rPr>
        <w:t xml:space="preserve">nh chỉ từ 1,5–2% so với quý trước – thấp hơn nhiều so với các giai đoạn tăng nóng trước đó.</w:t>
        <w:br/>
        <w:t xml:space="preserve"> Theo dữ liệu trực tuyến của Batdongsan.com.vn, giá căn hộ chung cư Hà Nội trong quý 1/2025 đạt mức trung bình 63 triệu/m2, tăng khoảng 61,5% so với đầu năm 2023 (3</w:t>
      </w:r>
      <w:r>
        <w:rPr>
          <w:rFonts w:ascii="Times New Roman" w:hAnsi="Times New Roman" w:eastAsia="Times New Roman" w:cs="Times New Roman"/>
          <w:color w:val="000000"/>
          <w:sz w:val="24"/>
          <w:highlight w:val="white"/>
        </w:rPr>
        <w:t xml:space="preserve">9 triệu/m2). Hiện tại giá chung cư Hà Nội đang có xu hướng chững nhưng vẫn neo cao.</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none"/>
        </w:rPr>
        <w:tab/>
      </w:r>
      <w:r>
        <w:rPr>
          <w:rFonts w:ascii="Times New Roman" w:hAnsi="Times New Roman" w:eastAsia="Times New Roman" w:cs="Times New Roman"/>
          <w:color w:val="000000"/>
          <w:sz w:val="24"/>
          <w:highlight w:val="white"/>
        </w:rPr>
        <w:t xml:space="preserve">Nguồn cung dự án mới chủ yếu đến từ các khu vực ven đô như Gia Lâm, Đông Anh, Thạch Thất, Thanh Trì, nơi đang hưởng lợi từ quy hoạch đồng bộ và hạ tầng kết nối với vành đa</w:t>
      </w:r>
      <w:r>
        <w:rPr>
          <w:rFonts w:ascii="Times New Roman" w:hAnsi="Times New Roman" w:eastAsia="Times New Roman" w:cs="Times New Roman"/>
          <w:color w:val="000000"/>
          <w:sz w:val="24"/>
          <w:highlight w:val="white"/>
        </w:rPr>
        <w:t xml:space="preserve">i 3 và tuyến metro số 1. Trong đó, Đông Anh có hai dự án Imperia Signature Cổ Loa và Masteri Grand Avenue đều thuộc phân khúc cao cấp với giá từ 90-120 triệu/m2. </w:t>
      </w:r>
      <w:r>
        <w:rPr>
          <w:rFonts w:ascii="Times New Roman" w:hAnsi="Times New Roman" w:eastAsia="Times New Roman" w:cs="Times New Roman"/>
          <w:color w:val="000000"/>
          <w:sz w:val="24"/>
          <w:highlight w:val="white"/>
        </w:rPr>
        <w:t xml:space="preserve">Đáng chú ý, phân khúc bình dân tiếp tục rơi vào tình trạng "trắng nguồn cung" – khi không có </w:t>
      </w:r>
      <w:r>
        <w:rPr>
          <w:rFonts w:ascii="Times New Roman" w:hAnsi="Times New Roman" w:eastAsia="Times New Roman" w:cs="Times New Roman"/>
          <w:color w:val="000000"/>
          <w:sz w:val="24"/>
          <w:highlight w:val="white"/>
        </w:rPr>
        <w:t xml:space="preserve">dự án mới nào thuộc nhóm giá dưới 30 triệu đồng/m² được mở bán kể từ năm 2022 đến nay. Điều này tạo ra áp lực lớn cho người mua ở thực có thu nhập thấp.</w:t>
      </w:r>
      <w:r>
        <w:rPr>
          <w:rFonts w:ascii="Times New Roman" w:hAnsi="Times New Roman" w:eastAsia="Times New Roman" w:cs="Times New Roman"/>
          <w:color w:val="000000"/>
          <w:sz w:val="24"/>
          <w:highlight w:val="white"/>
        </w:rPr>
        <w:t xml:space="preserve"> Trong khi đó, căn hộ trung và cao cấp với mức giá từ 45–70 triệu đồng/m² vẫn có thanh khoản khá, nhất </w:t>
      </w:r>
      <w:r>
        <w:rPr>
          <w:rFonts w:ascii="Times New Roman" w:hAnsi="Times New Roman" w:eastAsia="Times New Roman" w:cs="Times New Roman"/>
          <w:color w:val="000000"/>
          <w:sz w:val="24"/>
          <w:highlight w:val="white"/>
        </w:rPr>
        <w:t xml:space="preserve">là những dự án có pháp lý rõ ràng, tiến độ xây dựng tốt và chính sách bán hàng linh hoạt (ưu đãi lãi suất, hỗ trợ thanh toán giãn tiến độ…).</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2. Nhà Thấp Tầng: Nguồn Cung Tăng Trở Lại, Thu Hút Nhóm Khách Mua Ở Thực</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r>
      <w:r>
        <w:rPr>
          <w:rFonts w:ascii="Times New Roman" w:hAnsi="Times New Roman" w:eastAsia="Times New Roman" w:cs="Times New Roman"/>
          <w:color w:val="000000"/>
          <w:sz w:val="24"/>
          <w:highlight w:val="white"/>
        </w:rPr>
        <w:t xml:space="preserve"> Bất động sản nhà thấp tầng – gồm biệt th</w:t>
      </w:r>
      <w:r>
        <w:rPr>
          <w:rFonts w:ascii="Times New Roman" w:hAnsi="Times New Roman" w:eastAsia="Times New Roman" w:cs="Times New Roman"/>
          <w:color w:val="000000"/>
          <w:sz w:val="24"/>
          <w:highlight w:val="white"/>
        </w:rPr>
        <w:t xml:space="preserve">ự, nhà liền kề, shophouse – đang dần phục hồi sau giai đoạn trầm lắng 2023. Theo CBRE, nguồn cung mới trong năm 2025 dự kiến vượt 7.000 căn, đến từ các khu đô thị tại Đan Phượng; Long Biên; Tây Hồ Tây. </w:t>
      </w:r>
      <w:r>
        <w:rPr>
          <w:rFonts w:ascii="Times New Roman" w:hAnsi="Times New Roman" w:eastAsia="Times New Roman" w:cs="Times New Roman"/>
          <w:color w:val="000000"/>
          <w:sz w:val="24"/>
          <w:highlight w:val="white"/>
        </w:rPr>
        <w:t xml:space="preserve">Điểm mạnh của dòng sản phẩm này là quỹ đất rộng, thiết</w:t>
      </w:r>
      <w:r>
        <w:rPr>
          <w:rFonts w:ascii="Times New Roman" w:hAnsi="Times New Roman" w:eastAsia="Times New Roman" w:cs="Times New Roman"/>
          <w:color w:val="000000"/>
          <w:sz w:val="24"/>
          <w:highlight w:val="white"/>
        </w:rPr>
        <w:t xml:space="preserve"> kế thoáng, mật độ xây dựng thấp và dễ chuyển nhượng. Tuy nhiên, áp lực về giá khiến giao dịch chủ yếu đến từ nhóm khách hàng có tài chính vững hoặc mua ở thực, ít xuất hiện nhà đầu tư lướt sóng.</w:t>
      </w:r>
      <w:r>
        <w:rPr>
          <w:rFonts w:ascii="Times New Roman" w:hAnsi="Times New Roman" w:eastAsia="Times New Roman" w:cs="Times New Roman"/>
          <w:color w:val="000000"/>
          <w:sz w:val="24"/>
          <w:highlight w:val="white"/>
        </w:rPr>
        <w:t xml:space="preserve"> Các dự án tiêu biểu có thể kể tới như Sunshine Capital Tây </w:t>
      </w:r>
      <w:r>
        <w:rPr>
          <w:rFonts w:ascii="Times New Roman" w:hAnsi="Times New Roman" w:eastAsia="Times New Roman" w:cs="Times New Roman"/>
          <w:color w:val="000000"/>
          <w:sz w:val="24"/>
          <w:highlight w:val="white"/>
        </w:rPr>
        <w:t xml:space="preserve">Thăng Long, Vinhomes Wonder Park, BRG Smart City Đông Anh… được giới thiệu ra thị trường với mức giá từ 85–150 triệu đồng/m², tùy vị trí và hạng mục. </w:t>
      </w:r>
      <w:r>
        <w:rPr>
          <w:rFonts w:ascii="Times New Roman" w:hAnsi="Times New Roman" w:eastAsia="Times New Roman" w:cs="Times New Roman"/>
          <w:color w:val="000000"/>
          <w:sz w:val="24"/>
          <w:highlight w:val="white"/>
        </w:rPr>
        <w:t xml:space="preserve">Trong năm 2024, Hà Nội được coi là điểm sáng về nguồn cung nhà thấp tầng với hơn 6.300 căn nhà phố và biệ</w:t>
      </w:r>
      <w:r>
        <w:rPr>
          <w:rFonts w:ascii="Times New Roman" w:hAnsi="Times New Roman" w:eastAsia="Times New Roman" w:cs="Times New Roman"/>
          <w:color w:val="000000"/>
          <w:sz w:val="24"/>
          <w:highlight w:val="white"/>
        </w:rPr>
        <w:t xml:space="preserve">t thự được mở bán mới trong năm qua, chủ yếu từ các đợt mở bán tiếp theo tại các khu đô thị ở Đông Anh và Hà Đông. So với năm 2023, nguồn cung mới tại Hà Nội đã tăng gấp đôi.</w:t>
      </w:r>
      <w:r>
        <w:rPr>
          <w:rFonts w:ascii="Times New Roman" w:hAnsi="Times New Roman" w:eastAsia="Times New Roman" w:cs="Times New Roman"/>
          <w:color w:val="000000"/>
          <w:sz w:val="24"/>
          <w:highlight w:val="white"/>
        </w:rPr>
        <w:t xml:space="preserve"> Trong bối cảnh nguồn cung mới vẫn tương đối dồi dào, sức hấp thụ của thị trường </w:t>
      </w:r>
      <w:r>
        <w:rPr>
          <w:rFonts w:ascii="Times New Roman" w:hAnsi="Times New Roman" w:eastAsia="Times New Roman" w:cs="Times New Roman"/>
          <w:color w:val="000000"/>
          <w:sz w:val="24"/>
          <w:highlight w:val="white"/>
        </w:rPr>
        <w:t xml:space="preserve">nhà phố/biệt thự tại Hà Nội duy trì sự ổn định. Tổng số căn bán được trong cả năm 2024 đã đạt hơn 6.100 căn, tăng hơn 43% so với cùng kỳ năm 2023.</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3. Đất Nền: Sức Hút Quay Lại Mạnh Mẽ Tại Các Huyện Ngoại Thành</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white"/>
        </w:rPr>
        <w:t xml:space="preserve"> Phân khúc đất nền đã có sự phục hồi rõ rệt t</w:t>
      </w:r>
      <w:r>
        <w:rPr>
          <w:rFonts w:ascii="Times New Roman" w:hAnsi="Times New Roman" w:eastAsia="Times New Roman" w:cs="Times New Roman"/>
          <w:color w:val="000000"/>
          <w:sz w:val="24"/>
          <w:highlight w:val="white"/>
        </w:rPr>
        <w:t xml:space="preserve">rong đầu năm 2025, đặc biệt là tại các khu vực đang được đầu tư mạnh về hạ tầng và chuẩn bị nâng cấp hành chính.</w:t>
      </w:r>
      <w:r>
        <w:rPr>
          <w:rFonts w:ascii="Times New Roman" w:hAnsi="Times New Roman" w:eastAsia="Times New Roman" w:cs="Times New Roman"/>
          <w:color w:val="000000"/>
          <w:sz w:val="24"/>
          <w:highlight w:val="white"/>
        </w:rPr>
        <w:t xml:space="preserve">Theo dữ liệu của Batdongsan.com.vn, trong tháng 3/2025, lượng tìm kiếm đất nền Hà Nội tăng khá mạnh, ở mức 52%, tại TP.HCM tăng 31% và tại các</w:t>
      </w:r>
      <w:r>
        <w:rPr>
          <w:rFonts w:ascii="Times New Roman" w:hAnsi="Times New Roman" w:eastAsia="Times New Roman" w:cs="Times New Roman"/>
          <w:color w:val="000000"/>
          <w:sz w:val="24"/>
          <w:highlight w:val="white"/>
        </w:rPr>
        <w:t xml:space="preserve"> tỉnh khác tăng 54% so với tháng 2/2025. Trong khi đó, giá bán đất nền phổ biến vào tháng 3/2025 tại Hà Nội đã tăng 42%, tại TP.HCM tăng 7% và tại các tỉnh khác tăng tới 67% so với tháng 1/2023). Ba khu vực có biến động giá mạnh nhất gồm: Hoài Đức có giá t</w:t>
      </w:r>
      <w:r>
        <w:rPr>
          <w:rFonts w:ascii="Times New Roman" w:hAnsi="Times New Roman" w:eastAsia="Times New Roman" w:cs="Times New Roman"/>
          <w:color w:val="000000"/>
          <w:sz w:val="24"/>
          <w:highlight w:val="white"/>
        </w:rPr>
        <w:t xml:space="preserve">ăng trung bình 81% so với đầu 2023; Đông Anh tăng 53% và Thanh Oai tăng tới 90%.</w:t>
      </w:r>
      <w:r>
        <w:rPr>
          <w:rFonts w:ascii="Times New Roman" w:hAnsi="Times New Roman" w:eastAsia="Times New Roman" w:cs="Times New Roman"/>
          <w:color w:val="000000"/>
          <w:sz w:val="24"/>
          <w:highlight w:val="white"/>
        </w:rPr>
        <w:t xml:space="preserve"> Nguyên nhân đến từ thông tin quy hoạch, nâng cấp đơn vị hành chính, cùng với xu hướng dịch chuyển dân cư ra khu vực vùng ven. Các lô đất diện tích từ 50–80m² có sổ đỏ, hạ tần</w:t>
      </w:r>
      <w:r>
        <w:rPr>
          <w:rFonts w:ascii="Times New Roman" w:hAnsi="Times New Roman" w:eastAsia="Times New Roman" w:cs="Times New Roman"/>
          <w:color w:val="000000"/>
          <w:sz w:val="24"/>
          <w:highlight w:val="white"/>
        </w:rPr>
        <w:t xml:space="preserve">g hoàn chỉnh là loại hình được săn đón nhiều nhất. Tuy nhiên, chuyên gia cảnh báo nhà đầu tư nên tránh mua theo tin đồn, chỉ nên tập trung vào các khu vực có pháp lý rõ ràng và quy hoạch đã phê duyệt, để tránh rủi ro “mắc kẹt vốn”.</w:t>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426"/>
          <w:tab w:val="left" w:leader="none" w:pos="2179"/>
        </w:tabs>
        <w:spacing w:after="120" w:before="120" w:line="276" w:lineRule="auto"/>
        <w:ind w:right="0" w:firstLine="0" w:left="0"/>
        <w:jc w:val="both"/>
        <w:rPr>
          <w:rFonts w:ascii="Times New Roman" w:hAnsi="Times New Roman" w:eastAsia="Times New Roman" w:cs="Times New Roman"/>
          <w:color w:val="000000"/>
          <w:sz w:val="24"/>
          <w:szCs w:val="24"/>
          <w:highlight w:val="white"/>
        </w:rPr>
      </w:pPr>
      <w:r>
        <w:rPr>
          <w:rFonts w:ascii="Times New Roman" w:hAnsi="Times New Roman" w:eastAsia="Times New Roman" w:cs="Times New Roman"/>
          <w:color w:val="000000"/>
          <w:sz w:val="24"/>
          <w:highlight w:val="none"/>
        </w:rPr>
        <w:tab/>
      </w:r>
      <w:r>
        <w:rPr>
          <w:rFonts w:ascii="Times New Roman" w:hAnsi="Times New Roman" w:eastAsia="Times New Roman" w:cs="Times New Roman"/>
          <w:color w:val="000000"/>
          <w:sz w:val="24"/>
          <w:highlight w:val="white"/>
        </w:rPr>
        <w:t xml:space="preserve">Nhìn chung, các phân k</w:t>
      </w:r>
      <w:r>
        <w:rPr>
          <w:rFonts w:ascii="Times New Roman" w:hAnsi="Times New Roman" w:eastAsia="Times New Roman" w:cs="Times New Roman"/>
          <w:color w:val="000000"/>
          <w:sz w:val="24"/>
          <w:highlight w:val="white"/>
        </w:rPr>
        <w:t xml:space="preserve">húc BĐS tại Hà Nội đầu năm 2025 đang phân hóa mạnh. Chung cư ổn định, nhà thấp tầng dần phục hồi, còn đất nền ngoại thành có dấu hiệu tăng nóng trở lại – nhưng tiềm ẩn rủi ro đầu cơ. Nhà đầu tư cần tỉnh táo lựa chọn sản phẩm phù hợp với khẩu vị và dòng vốn</w:t>
      </w:r>
      <w:r>
        <w:rPr>
          <w:rFonts w:ascii="Times New Roman" w:hAnsi="Times New Roman" w:eastAsia="Times New Roman" w:cs="Times New Roman"/>
          <w:color w:val="000000"/>
          <w:sz w:val="24"/>
          <w:highlight w:val="white"/>
        </w:rPr>
        <w:t xml:space="preserve"> của mình.</w:t>
      </w:r>
      <w:r>
        <w:tab/>
      </w:r>
      <w:r>
        <w:rPr>
          <w:rFonts w:ascii="Times New Roman" w:hAnsi="Times New Roman" w:eastAsia="Times New Roman" w:cs="Times New Roman"/>
          <w:color w:val="000000"/>
          <w:sz w:val="24"/>
          <w:szCs w:val="24"/>
          <w:highlight w:val="white"/>
        </w:rPr>
      </w:r>
      <w:r>
        <w:rPr>
          <w:rFonts w:ascii="Times New Roman" w:hAnsi="Times New Roman" w:eastAsia="Times New Roman" w:cs="Times New Roman"/>
          <w:color w:val="000000"/>
          <w:sz w:val="24"/>
          <w:szCs w:val="24"/>
          <w:highlight w:val="white"/>
        </w:rP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IV. THÔNG TIN VỀ TÀI SẢN THẨM ĐỊNH GIÁ</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734"/>
        <w:gridCol w:w="2522"/>
        <w:gridCol w:w="2126"/>
        <w:gridCol w:w="2126"/>
        <w:gridCol w:w="2007"/>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4"/>
            <w:tcBorders>
              <w:top w:val="single" w:color="000000" w:sz="8" w:space="0"/>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b/>
                <w:color w:val="000000"/>
                <w:sz w:val="24"/>
              </w:rPr>
              <w:t xml:space="preserve">Quyền sử dụng đất tại thửa đất số: (624-2)-1, tờ bản đồ 02 có địa chỉ: Thôn 3, Xã Yên Sở, Huyện Hoài Đức, Thành phố Hà Nội</w:t>
            </w:r>
            <w:r>
              <w:rPr>
                <w:rFonts w:ascii="Times New Roman" w:hAnsi="Times New Roman" w:eastAsia="Times New Roman" w:cs="Times New Roman"/>
                <w:b/>
                <w:i/>
                <w:color w:val="000000"/>
                <w:sz w:val="24"/>
              </w:rPr>
              <w:t xml:space="preserve"> (Nay là Xã Dương Hòa,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CM 004171, số vào sổ cấp GCN: CS-HĐU 13670 do Sở Tài Nguyên và Môi Trường Thành Phố Hà cấp ngày 18/01/20218; Chủ sử dụng đất ông Nguyễn Bá Tuân.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(624-2)-1</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Địa chỉ:</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Thôn 3, Xã Yên Sở, Huyện Hoài Đức, Thành phố Hà Nội </w:t>
            </w:r>
            <w:r>
              <w:rPr>
                <w:rFonts w:ascii="Times New Roman" w:hAnsi="Times New Roman" w:eastAsia="Times New Roman" w:cs="Times New Roman"/>
                <w:i/>
                <w:color w:val="000000"/>
                <w:sz w:val="24"/>
              </w:rPr>
              <w:t xml:space="preserve">(Nay là Xã Dương Hòa, Thành Phố Hà Nội)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Sử dụng riêng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commentRangeStart w:id="5"/>
            <w:r>
              <w:rPr>
                <w:rFonts w:ascii="Times New Roman" w:hAnsi="Times New Roman" w:eastAsia="Times New Roman" w:cs="Times New Roman"/>
                <w:color w:val="000000"/>
                <w:sz w:val="24"/>
              </w:rPr>
              <w:t xml:space="preserve">Đất ở tại nông thôn</w:t>
            </w:r>
            <w:commentRangeEnd w:id="5"/>
            <w:r>
              <w:commentReference w:id="5"/>
            </w:r>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r>
      <w:tr>
        <w:trPr>
          <w:trHeight w:val="546"/>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Nguồn gốc sử dụng đất:</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Nhận chuyển nhượng đất được Công nhận QSDĐ như giao đất có thu tiền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G</w:t>
            </w:r>
            <w:commentRangeStart w:id="6"/>
            <w:r>
              <w:rPr>
                <w:rFonts w:ascii="Times New Roman" w:hAnsi="Times New Roman" w:eastAsia="Times New Roman" w:cs="Times New Roman"/>
                <w:color w:val="000000"/>
                <w:sz w:val="24"/>
              </w:rPr>
              <w:t xml:space="preserve">hi chú:</w:t>
            </w:r>
            <w:commentRangeEnd w:id="6"/>
            <w:r>
              <w:commentReference w:id="6"/>
            </w:r>
            <w:r>
              <w:rPr>
                <w:rFonts w:ascii="Times New Roman" w:hAnsi="Times New Roman" w:eastAsia="Times New Roman" w:cs="Times New Roman"/>
                <w:color w:val="000000"/>
                <w:sz w:val="24"/>
              </w:rPr>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Số tờ, số thừa và sơ đồ sẽ được điều chỉnh khi có bản đồ địa chính chính quy. </w:t>
            </w:r>
            <w:r/>
          </w:p>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 Thửa đất này được tách ra từ thừa 624-2 tờ bản đồ 02 tại Giấy chứng nhận số CM 004210 do Sở Tài nguyên và Môi trường TP Hà Nội cấp ngày 20/12/2017.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bottom w:val="single" w:color="000000" w:sz="8" w:space="0"/>
              <w:right w:val="single" w:color="000000" w:sz="8" w:space="0"/>
            </w:tcBorders>
            <w:tcMar>
              <w:left w:w="108" w:type="dxa"/>
              <w:top w:w="0" w:type="dxa"/>
              <w:right w:w="108" w:type="dxa"/>
              <w:bottom w:w="0" w:type="dxa"/>
            </w:tcMar>
            <w:tcW w:w="252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Thông tin quy hoạch</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highlight w:val="none"/>
              </w:rPr>
            </w:pPr>
            <w:r>
              <w:rPr>
                <w:rFonts w:ascii="Times New Roman" w:hAnsi="Times New Roman" w:eastAsia="Times New Roman" w:cs="Times New Roman"/>
                <w:color w:val="000000"/>
                <w:sz w:val="24"/>
              </w:rPr>
            </w:r>
            <w:r>
              <mc:AlternateContent>
                <mc:Choice Requires="wpg">
                  <w:drawing>
                    <wp:inline xmlns:wp="http://schemas.openxmlformats.org/drawingml/2006/wordprocessingDrawing" distT="0" distB="0" distL="0" distR="0">
                      <wp:extent cx="4229964" cy="2224173"/>
                      <wp:effectExtent l="0" t="0" r="0" b="0"/>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54735" name=""/>
                              <pic:cNvPicPr>
                                <a:picLocks noChangeAspect="1"/>
                              </pic:cNvPicPr>
                              <pic:nvPr/>
                            </pic:nvPicPr>
                            <pic:blipFill rotWithShape="1">
                              <a:blip r:embed="rId14"/>
                              <a:stretch/>
                            </pic:blipFill>
                            <pic:spPr bwMode="auto">
                              <a:xfrm flipH="0" flipV="0">
                                <a:off x="0" y="0"/>
                                <a:ext cx="4229963" cy="22241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333.07pt;height:175.13pt;mso-wrap-distance-left:0.00pt;mso-wrap-distance-top:0.00pt;mso-wrap-distance-right:0.00pt;mso-wrap-distance-bottom:0.00pt;z-index:1;" stroked="false">
                      <v:imagedata r:id="rId14" o:title=""/>
                      <o:lock v:ext="edit" rotation="t"/>
                    </v:shape>
                  </w:pict>
                </mc:Fallback>
              </mc:AlternateContent>
            </w:r>
            <w:r>
              <w:rPr>
                <w:highlight w:val="none"/>
              </w:rPr>
            </w:r>
            <w:r>
              <w:rPr>
                <w:highlight w:val="none"/>
              </w:rPr>
            </w:r>
          </w:p>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color w:val="000000"/>
                <w:sz w:val="24"/>
                <w:szCs w:val="24"/>
              </w:rPr>
            </w:pPr>
            <w:r>
              <w:rPr>
                <w:highlight w:val="none"/>
              </w:rPr>
            </w:r>
            <w:r>
              <w:rPr>
                <w:rFonts w:ascii="Times New Roman" w:hAnsi="Times New Roman" w:eastAsia="Times New Roman" w:cs="Times New Roman"/>
                <w:color w:val="000000"/>
                <w:sz w:val="24"/>
              </w:rPr>
              <w:t xml:space="preserve">Tại thời điểm thẩm định giá, tổ thẩm định tiến hành kiểm tra quy hoạch trên app Meeymap. Tổ thẩm định xác định thửa đất nằm trong khu vực đất ở nông thôn.</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Về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2.1</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Vị trí;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Đường tiếp giáp chính: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Đường nhựa</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Số mặt tiền:</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Tiếp giáp 2 mặt ngõ</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nhỏ nhất từ đường chính dẫn đến tài sản thẩm định giá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Mặt cắt đường/ngõ trước mặt tài sản thẩm định giá (m):</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9</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Khoảng cách đến trục đường chính (m):</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nằm tại mặt đường Yên Sở</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Các hướng tiếp giáp:</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Bắc và Tây tiếp giáp với đường giao thông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(21.042388888889, 105.67683333333)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
              <mc:AlternateContent>
                <mc:Choice Requires="wpg">
                  <w:drawing>
                    <wp:inline xmlns:wp="http://schemas.openxmlformats.org/drawingml/2006/wordprocessingDrawing" distT="0" distB="0" distL="0" distR="0">
                      <wp:extent cx="5279092" cy="2679742"/>
                      <wp:effectExtent l="0" t="0" r="0" b="0"/>
                      <wp:docPr id="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245104" name=""/>
                              <pic:cNvPicPr>
                                <a:picLocks noChangeAspect="1"/>
                              </pic:cNvPicPr>
                              <pic:nvPr/>
                            </pic:nvPicPr>
                            <pic:blipFill rotWithShape="1">
                              <a:blip r:embed="rId15"/>
                              <a:stretch/>
                            </pic:blipFill>
                            <pic:spPr bwMode="auto">
                              <a:xfrm flipH="0" flipV="0">
                                <a:off x="0" y="0"/>
                                <a:ext cx="5279091" cy="26797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415.68pt;height:211.00pt;mso-wrap-distance-left:0.00pt;mso-wrap-distance-top:0.00pt;mso-wrap-distance-right:0.00pt;mso-wrap-distance-bottom:0.00pt;z-index:1;" stroked="false">
                      <v:imagedata r:id="rId15" o:title=""/>
                      <o:lock v:ext="edit" rotation="t"/>
                    </v:shape>
                  </w:pict>
                </mc:Fallback>
              </mc:AlternateContent>
            </w:r>
            <w:r/>
            <w:r/>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2.2.</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Diện tích; Kích thước; Hình dáng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riêng thực tế (m²):</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50</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sử dụng chung thực tế (m²):</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Mặt tiền (m):</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Chiều sâu (m): </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12,3-12,78</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dáng:</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Bắc</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Hạ tầng cấp nước: Nước máy,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Hạ tầng thoát nước: Rãnh có nắp,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rPr>
              <w:t xml:space="preserve">Hạ tầng cấp điện: Điện lưới,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thông tin liên lạc: Điện thoại, Mạng internet, Truyền hình cáp</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3"/>
            <w:tcBorders>
              <w:bottom w:val="single" w:color="000000" w:sz="8" w:space="0"/>
              <w:right w:val="single" w:color="000000" w:sz="8" w:space="0"/>
            </w:tcBorders>
            <w:tcMar>
              <w:left w:w="108" w:type="dxa"/>
              <w:top w:w="0" w:type="dxa"/>
              <w:right w:w="108" w:type="dxa"/>
              <w:bottom w:w="0" w:type="dxa"/>
            </w:tcMar>
            <w:tcW w:w="6259"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Khu dân cư</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Cao/đông đúc</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Cao</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bottom w:val="single" w:color="000000" w:sz="8" w:space="0"/>
              <w:right w:val="single" w:color="000000" w:sz="8" w:space="0"/>
            </w:tcBorders>
            <w:tcMar>
              <w:left w:w="108" w:type="dxa"/>
              <w:top w:w="0" w:type="dxa"/>
              <w:right w:w="108" w:type="dxa"/>
              <w:bottom w:w="0" w:type="dxa"/>
            </w:tcMar>
            <w:tcW w:w="2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c>
          <w:tcPr>
            <w:tcBorders>
              <w:bottom w:val="single" w:color="000000" w:sz="8" w:space="0"/>
              <w:right w:val="single" w:color="000000" w:sz="8" w:space="0"/>
            </w:tcBorders>
            <w:tcMar>
              <w:left w:w="108" w:type="dxa"/>
              <w:top w:w="0" w:type="dxa"/>
              <w:right w:w="108" w:type="dxa"/>
              <w:bottom w:w="0" w:type="dxa"/>
            </w:tcMar>
            <w:tcW w:w="212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tcBorders>
              <w:bottom w:val="single" w:color="000000" w:sz="8" w:space="0"/>
              <w:right w:val="single" w:color="000000" w:sz="8" w:space="0"/>
            </w:tcBorders>
            <w:tcMar>
              <w:left w:w="108" w:type="dxa"/>
              <w:top w:w="0" w:type="dxa"/>
              <w:right w:w="108" w:type="dxa"/>
              <w:bottom w:w="0" w:type="dxa"/>
            </w:tcMar>
            <w:tcW w:w="200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Tài sản gắn liền với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73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 </w:t>
            </w:r>
            <w:r/>
          </w:p>
        </w:tc>
        <w:tc>
          <w:tcPr>
            <w:gridSpan w:val="4"/>
            <w:tcBorders>
              <w:bottom w:val="single" w:color="000000" w:sz="8" w:space="0"/>
              <w:right w:val="single" w:color="000000" w:sz="8" w:space="0"/>
            </w:tcBorders>
            <w:tcMar>
              <w:left w:w="108" w:type="dxa"/>
              <w:top w:w="0" w:type="dxa"/>
              <w:right w:w="108" w:type="dxa"/>
              <w:bottom w:w="0" w:type="dxa"/>
            </w:tcMar>
            <w:tcW w:w="878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khảo sát hiện trên đất có nhà 2 tầng, diện tích xây dựng khoảng 40m2 xây hoàn thiện khoảng năm 2022 công trình chưa được công nhận trên giấy chứng nhận quyền sử dụng đất.</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0"/>
        <w:jc w:val="both"/>
        <w:rPr/>
      </w:pPr>
      <w:r>
        <w:rPr>
          <w:rFonts w:ascii="Times New Roman" w:hAnsi="Times New Roman" w:eastAsia="Times New Roman" w:cs="Times New Roman"/>
          <w:b/>
          <w:color w:val="000000"/>
          <w:sz w:val="24"/>
          <w:u w:val="single"/>
        </w:rPr>
        <w:t xml:space="preserve">Các lợi thế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996"/>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1587"/>
        <w:gridCol w:w="3175"/>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bám biển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bám hồ (Diện tích &gt;=5ha thì được coi là hồ)</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Bám đầm, ao lớn thuộc sở hữu nhà nước (ao lớn - S=0.5ha)&lt;5ha</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Thế đất tọa sơn hướng thủy 'hậu tựa núi, trước view sông, hồ, đầm', view thoáng, không bị che khuất, loại đất rất được ưa chuộng nghỉ dưỡng, nhà nghỉ cao cấp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View hồ sông, sông, suối, đầm, ao lớn (S=0.5ha), ruộng lúa, đồi núi xa, ngắm hoàng hôn, bình minh xa soi mặt nước, thơ mộng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thoáng không đâm thẳng cửa chính 'Thế tránh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Có yếu tố 'Linh' gắn với tiếng lành, tài lộc, đại danh, văn hóa, truyền thuyết được xem là khu địa linh nhân kiệt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Đất/tài sản liền kề, đối diện vườn hoa, khu thể thao, bể bơi (không đối diện nhà ở) để được xe hơi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5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175"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view công viên, vườn hoa, khu thể thao, bể bơi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spacing w:line="233" w:lineRule="auto"/>
        <w:ind w:right="0" w:firstLine="0" w:left="646"/>
        <w:jc w:val="both"/>
        <w:rPr/>
      </w:pPr>
      <w:r>
        <w:rPr>
          <w:rFonts w:ascii="Times New Roman" w:hAnsi="Times New Roman" w:eastAsia="Times New Roman" w:cs="Times New Roman"/>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single"/>
        </w:rPr>
        <w:t xml:space="preserve">Các bất lợi thương mại của thửa đất:</w:t>
      </w:r>
      <w:r/>
    </w:p>
    <w:p>
      <w:pPr>
        <w:pBdr>
          <w:top w:val="none" w:color="000000" w:sz="4" w:space="0"/>
          <w:left w:val="none" w:color="000000" w:sz="4" w:space="0"/>
          <w:bottom w:val="none" w:color="000000" w:sz="4" w:space="0"/>
          <w:right w:val="none" w:color="000000" w:sz="4" w:space="0"/>
        </w:pBdr>
        <w:spacing w:line="233" w:lineRule="auto"/>
        <w:ind w:right="0" w:firstLine="0" w:left="284"/>
        <w:jc w:val="both"/>
        <w:rPr/>
      </w:pPr>
      <w:r>
        <w:rPr>
          <w:rFonts w:ascii="Times New Roman" w:hAnsi="Times New Roman" w:eastAsia="Times New Roman" w:cs="Times New Roman"/>
          <w:b/>
          <w:color w:val="000000"/>
          <w:sz w:val="24"/>
          <w:u w:val="none"/>
        </w:rPr>
        <w:t xml:space="preserve"> </w:t>
      </w:r>
      <w:r/>
    </w:p>
    <w:tbl>
      <w:tblPr>
        <w:tblStyle w:val="996"/>
        <w:tblInd w:w="0" w:type="dxa"/>
        <w:tblW w:w="5000" w:type="pct"/>
        <w:tblCellMar>
          <w:left w:w="0" w:type="dxa"/>
          <w:top w:w="0" w:type="dxa"/>
          <w:right w:w="0" w:type="dxa"/>
          <w:bottom w:w="0" w:type="dxa"/>
        </w:tblCellMar>
        <w:tblBorders>
          <w:top w:val="single" w:color="000000" w:sz="8" w:space="0"/>
          <w:left w:val="single" w:color="000000" w:sz="8" w:space="0"/>
          <w:bottom w:val="single" w:color="000000" w:sz="6" w:space="0"/>
          <w:right w:val="single" w:color="000000" w:sz="6" w:space="0"/>
          <w:insideH w:val="single" w:color="000000" w:sz="4" w:space="0"/>
          <w:insideV w:val="single" w:color="000000" w:sz="4" w:space="0"/>
        </w:tblBorders>
        <w:tblLayout w:type="fixed"/>
        <w:tblLook w:val="04A0" w:firstRow="1" w:lastRow="0" w:firstColumn="1" w:lastColumn="0" w:noHBand="0" w:noVBand="1"/>
      </w:tblPr>
      <w:tblGrid>
        <w:gridCol w:w="1304"/>
        <w:gridCol w:w="3459"/>
        <w:gridCol w:w="2381"/>
        <w:gridCol w:w="2381"/>
      </w:tblGrid>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STT</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Nội dung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 </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b/>
                <w:color w:val="000000"/>
                <w:sz w:val="24"/>
              </w:rPr>
              <w:t xml:space="preserve">Ghi chú</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(50m &lt;= 150m)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(150m &lt;= 300m)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có âm, sát khí (Nhà tang lễ, nghĩa trang, nhà xác…) (300m &lt;= 500m)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khu vực tâm linh (Miếu thờ cúng tâm linh, đình, đền, chùa…) (30m &lt;= 100m)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từng là nghĩa trang, khu tâm linh cũ (đền, đình, chùa, miếu mạo…) đã được san lấp làm khu dân cư</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đất/Công trình có mộ không thể hoặc rất khó có khả năng di chuyển (Mộ tổ chi, tộc, mộ cổ, mộ tâm linh gắn với miếu mạo được nhân dân thờ cúng)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mộ gia đình hoặc vô chủ có thể di chuyển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khu mộ phần hoặc liền kề mộ phần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Trên đất/ Công trình có điện thờ, nhà thợ họ dòng tộc</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sát hoặc liền kề nhà thờ họ</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gia tộc anh em, họ hàng sống xung quanh chung ngõ đi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 án mạng/ tại nạn... bị ảnh hưởng truyền thông Nhẹ “Một vụ tự sát cá biệt không ồn ào, không truyền thông, trong nhà riêng, người Mua/Bán đông ít quan tâm: thị trường ít phản ứng, nếu có phản ứng chỉ là tâm lý tạm thời.”</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Trung bình “Một vụ tự sát được biết trong khu vực nhưng có ít lời đồn, nhưng có thể che dấu/ khắc phục nhanh (sơn sửa, thay nội thất: phổ biến ở căn hộ chung cư, nhà phố ảnh hưởn</w:t>
            </w:r>
            <w:r>
              <w:rPr>
                <w:rFonts w:ascii="Times New Roman" w:hAnsi="Times New Roman" w:eastAsia="Times New Roman" w:cs="Times New Roman"/>
                <w:color w:val="000000"/>
                <w:sz w:val="24"/>
              </w:rPr>
              <w:t xml:space="preserve">g của nó giảm theo thời gian”.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Mạnh “Vụ có yếu tố bạo lực, hoặc được đăng báo địa phương; khu dân cư tỏ ra e ngại; mua ở chịu ảnh hưởng. Mức này thường dùng khi có giao dịch thực tế cho thấy có sự kiện bị bán </w:t>
            </w:r>
            <w:r>
              <w:rPr>
                <w:rFonts w:ascii="Times New Roman" w:hAnsi="Times New Roman" w:eastAsia="Times New Roman" w:cs="Times New Roman"/>
                <w:color w:val="000000"/>
                <w:sz w:val="24"/>
              </w:rPr>
              <w:t xml:space="preserve">rẻ hơn”.</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17</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Công trình có người tự sát/án mạng/ tai nạn... bị ảnh hưởng truyền thông Rất Mạnh “Vụ nổi tiếng, nhiều truyền thông, nhiều vụ tương tự tại cùng vị trí, hoặc địa điểm mang tính 'tăm tối' (ví dụ: nhiều vụ xảy ra liên tiếp hoặc lời đồn qua nhiều năm có m</w:t>
            </w:r>
            <w:r>
              <w:rPr>
                <w:rFonts w:ascii="Times New Roman" w:hAnsi="Times New Roman" w:eastAsia="Times New Roman" w:cs="Times New Roman"/>
                <w:color w:val="000000"/>
                <w:sz w:val="24"/>
              </w:rPr>
              <w:t xml:space="preserve">a, quỉ, hiện tượng tâm linh nhiều năm. Mức này dẫn tới tài sản rất khó bán thậm trí có thể loại trừ trong so sánh”.</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18</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cây xăng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19</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trạm thu phát sóng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20</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cao thế 500 KV &lt;= 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21</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hoặc liên kế đường dây truyền tải điện 220 KV &lt;= 30m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22</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Mặt tiền bị che chắn (có cột điện, trạm biến áp…)</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23</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gần đường sắt&lt;=50m</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24</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Đường vào thẳng tắp như mũi tên đâm thẳng cửa chính “Thế tiễn khí”.</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25</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Đất nằm dưới chân cầu, đường dốc cao (Thế bị xung : Hổ phục, Long phục) xe lao xuống, gió tạt thẳng sát khí, không tụ.</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r>
        <w:trPr>
          <w:trHeight w:val="300"/>
        </w:trPr>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1304"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jc w:val="center"/>
              <w:rPr/>
            </w:pPr>
            <w:r>
              <w:rPr>
                <w:rFonts w:ascii="Times New Roman" w:hAnsi="Times New Roman" w:eastAsia="Times New Roman" w:cs="Times New Roman"/>
                <w:color w:val="000000"/>
                <w:sz w:val="24"/>
              </w:rPr>
              <w:t xml:space="preserve">26</w:t>
            </w:r>
            <w:r/>
          </w:p>
        </w:tc>
        <w:tc>
          <w:tcPr>
            <w:tcBorders>
              <w:top w:val="single" w:color="000000" w:sz="8" w:space="0"/>
              <w:left w:val="single" w:color="000000" w:sz="8" w:space="0"/>
              <w:bottom w:val="single" w:color="000000" w:sz="8" w:space="0"/>
              <w:right w:val="single" w:color="000000" w:sz="8" w:space="0"/>
            </w:tcBorders>
            <w:tcMar>
              <w:left w:w="45" w:type="dxa"/>
              <w:top w:w="0" w:type="dxa"/>
              <w:right w:w="45" w:type="dxa"/>
              <w:bottom w:w="0" w:type="dxa"/>
            </w:tcMar>
            <w:tcW w:w="3459"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0"/>
              <w:rPr/>
            </w:pPr>
            <w:r>
              <w:rPr>
                <w:rFonts w:ascii="Times New Roman" w:hAnsi="Times New Roman" w:eastAsia="Times New Roman" w:cs="Times New Roman"/>
                <w:color w:val="000000"/>
                <w:sz w:val="24"/>
              </w:rPr>
              <w:t xml:space="preserve">Giao lộ Chữ “T”, bị đường đâm thẳng vào “Thế tiền đao sát”.</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jc w:val="center"/>
              <w:rPr/>
            </w:pPr>
            <w:r>
              <w:rPr>
                <w:rFonts w:ascii="Times New Roman" w:hAnsi="Times New Roman" w:eastAsia="Times New Roman" w:cs="Times New Roman"/>
                <w:color w:val="000000"/>
                <w:sz w:val="24"/>
              </w:rPr>
              <w:t xml:space="preserve">Không</w:t>
            </w:r>
            <w:r/>
          </w:p>
        </w:tc>
        <w:tc>
          <w:tcPr>
            <w:tcBorders>
              <w:top w:val="single" w:color="000000" w:sz="8" w:space="0"/>
              <w:left w:val="single" w:color="000000" w:sz="8" w:space="0"/>
              <w:bottom w:val="single" w:color="000000" w:sz="8" w:space="0"/>
              <w:right w:val="single" w:color="000000" w:sz="8" w:space="0"/>
            </w:tcBorders>
            <w:tcMar>
              <w:left w:w="0" w:type="dxa"/>
              <w:top w:w="0" w:type="dxa"/>
              <w:right w:w="0" w:type="dxa"/>
              <w:bottom w:w="0" w:type="dxa"/>
            </w:tcMar>
            <w:tcW w:w="2381" w:type="dxa"/>
            <w:vAlign w:val="center"/>
            <w:textDirection w:val="lrTb"/>
            <w:noWrap w:val="false"/>
          </w:tcPr>
          <w:p>
            <w:pPr>
              <w:pBdr>
                <w:top w:val="none" w:color="000000" w:sz="4" w:space="0"/>
                <w:left w:val="none" w:color="000000" w:sz="4" w:space="0"/>
                <w:bottom w:val="none" w:color="000000" w:sz="4" w:space="0"/>
                <w:right w:val="none" w:color="000000" w:sz="4" w:space="0"/>
              </w:pBdr>
              <w:spacing w:line="233" w:lineRule="auto"/>
              <w:ind w:right="0" w:firstLine="0" w:left="144"/>
              <w:rPr/>
            </w:pPr>
            <w:r>
              <w:rPr>
                <w:rFonts w:ascii="Times New Roman" w:hAnsi="Times New Roman" w:eastAsia="Times New Roman" w:cs="Times New Roman"/>
                <w:color w:val="000000"/>
                <w:sz w:val="24"/>
              </w:rPr>
              <w:t xml:space="preserve"> </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240" w:line="276" w:lineRule="auto"/>
        <w:ind w:right="0" w:firstLine="0" w:left="0"/>
        <w:jc w:val="both"/>
        <w:rPr/>
      </w:pPr>
      <w:r>
        <w:rPr>
          <w:rFonts w:ascii="Times New Roman" w:hAnsi="Times New Roman" w:eastAsia="Times New Roman" w:cs="Times New Roman"/>
          <w:b/>
          <w:color w:val="000000"/>
          <w:sz w:val="24"/>
        </w:rPr>
        <w:t xml:space="preserve">V. CÁC GIẢ THIẾT VÀ GIẢ THIẾT ĐẶC BIỆT</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pacing w:val="-2"/>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pacing w:val="-2"/>
          <w:sz w:val="24"/>
        </w:rPr>
        <w:t xml:space="preserve">Tại thời điểm khảo sát dưới dự hướng dẫn của khách hàng, CTXD có </w:t>
      </w:r>
      <w:r>
        <w:rPr>
          <w:rFonts w:ascii="Times New Roman" w:hAnsi="Times New Roman" w:eastAsia="Times New Roman" w:cs="Times New Roman"/>
          <w:color w:val="000000"/>
          <w:sz w:val="24"/>
        </w:rPr>
        <w:t xml:space="preserve">nhà 2 tầng, diện tích xây dựng khoảng 40m2 xây hoàn thiện khoảng năm 2022 </w:t>
      </w:r>
      <w:r>
        <w:rPr>
          <w:rFonts w:ascii="Times New Roman" w:hAnsi="Times New Roman" w:eastAsia="Times New Roman" w:cs="Times New Roman"/>
          <w:color w:val="000000"/>
          <w:spacing w:val="-2"/>
          <w:sz w:val="24"/>
        </w:rPr>
        <w:t xml:space="preserve">công trình chưa được chứng nhận trên GCN. 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w:t>
      </w:r>
      <w:r>
        <w:rPr>
          <w:rFonts w:ascii="Times New Roman" w:hAnsi="Times New Roman" w:eastAsia="Times New Roman" w:cs="Times New Roman"/>
          <w:color w:val="000000"/>
          <w:spacing w:val="-2"/>
          <w:sz w:val="24"/>
        </w:rPr>
        <w:t xml:space="preserve"> dụng kết quả lưu ý.</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color w:val="000000"/>
          <w:sz w:val="24"/>
        </w:rPr>
        <w:t xml:space="preserve">Giá trị tài sản thẩm định giá được ước tính dựa trên giả định không có bất kỳ yếu tố nào làm cản trở ảnh hưởng đến việc giao dịch bình thường của tài sản trên thị trường.</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color w:val="000000"/>
          <w:sz w:val="24"/>
        </w:rPr>
        <w:t xml:space="preserve">VI. CƠ SỞ GIÁ TRỊ THẨM ĐỊNH GIÁ</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64" w:lineRule="auto"/>
        <w:ind/>
        <w:jc w:val="both"/>
        <w:rPr/>
      </w:pPr>
      <w:r>
        <w:rPr>
          <w:rFonts w:ascii="Times New Roman" w:hAnsi="Times New Roman" w:eastAsia="Times New Roman" w:cs="Times New Roman"/>
          <w:b/>
          <w:color w:val="000000"/>
          <w:sz w:val="24"/>
        </w:rPr>
        <w:t xml:space="preserve">Giá trị thị trường:</w:t>
      </w:r>
      <w:r>
        <w:rPr>
          <w:rFonts w:ascii="Times New Roman" w:hAnsi="Times New Roman" w:eastAsia="Times New Roman" w:cs="Times New Roman"/>
          <w:color w:val="000000"/>
          <w:sz w:val="24"/>
        </w:rPr>
        <w:t xml:space="preserve"> Kết quả thẩm định giá trị tài sản được xác định dựa trên cơ sở giá trị thị trường tại thời điểm thẩm định theo Chuẩn mực thẩm định giá Việt Nam về Cơ sở giá trị thẩm định giá: </w:t>
      </w:r>
      <w:r>
        <w:rPr>
          <w:rFonts w:ascii="Times New Roman" w:hAnsi="Times New Roman" w:eastAsia="Times New Roman" w:cs="Times New Roman"/>
          <w:i/>
          <w:color w:val="000000"/>
          <w:sz w:val="24"/>
        </w:rPr>
        <w:t xml:space="preserve">“Giá trị thị trường là khoản tiền ước 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w:t>
      </w:r>
      <w:r>
        <w:rPr>
          <w:rFonts w:ascii="Times New Roman" w:hAnsi="Times New Roman" w:eastAsia="Times New Roman" w:cs="Times New Roman"/>
          <w:i/>
          <w:color w:val="000000"/>
          <w:sz w:val="24"/>
        </w:rPr>
        <w:t xml:space="preserve">u biết, thận trọng và không bị ép buộc”</w:t>
      </w: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 CÁCH TIẾP CẬN, PHƯƠNG PHÁP THẨM ĐỊNH GIÁ</w:t>
      </w:r>
      <w:r/>
    </w:p>
    <w:p>
      <w:pPr>
        <w:pStyle w:val="992"/>
        <w:numPr>
          <w:ilvl w:val="0"/>
          <w:numId w:val="47"/>
        </w:numPr>
        <w:pBdr>
          <w:top w:val="none" w:color="000000" w:sz="4" w:space="0"/>
          <w:left w:val="none" w:color="000000" w:sz="4" w:space="0"/>
          <w:bottom w:val="none" w:color="000000" w:sz="4" w:space="0"/>
          <w:right w:val="none" w:color="000000" w:sz="4" w:space="0"/>
        </w:pBdr>
        <w:spacing w:after="120" w:before="120" w:line="276" w:lineRule="auto"/>
        <w:ind/>
        <w:jc w:val="both"/>
        <w:rPr/>
      </w:pPr>
      <w:r/>
      <w:commentRangeStart w:id="7"/>
      <w:r>
        <w:rPr>
          <w:rFonts w:ascii="Times New Roman" w:hAnsi="Times New Roman" w:eastAsia="Times New Roman" w:cs="Times New Roman"/>
          <w:b/>
          <w:color w:val="000000"/>
          <w:sz w:val="24"/>
        </w:rPr>
        <w:t xml:space="preserve">Cách tiếp cận và phương pháp thẩm định:</w:t>
      </w:r>
      <w:commentRangeEnd w:id="7"/>
      <w:r>
        <w:commentReference w:id="7"/>
      </w:r>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Cách tiếp cận từ thị trường: </w:t>
      </w:r>
      <w:r>
        <w:rPr>
          <w:rFonts w:ascii="Times New Roman" w:hAnsi="Times New Roman" w:eastAsia="Times New Roman" w:cs="Times New Roman"/>
          <w:color w:val="000000"/>
          <w:sz w:val="24"/>
        </w:rPr>
        <w:t xml:space="preserve">Xác định giá trị của tài sản thẩm định giá thông qua việc so sánh tài sản thẩm định giá với các tài sản so sánh đã có các thông tin về giá trên thị trường.</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jc w:val="both"/>
        <w:rPr/>
      </w:pPr>
      <w:r>
        <w:rPr>
          <w:rFonts w:ascii="Times New Roman" w:hAnsi="Times New Roman" w:eastAsia="Times New Roman" w:cs="Times New Roman"/>
          <w:i/>
          <w:color w:val="000000"/>
          <w:sz w:val="24"/>
        </w:rPr>
        <w:t xml:space="preserve">Phương pháp so sánh:</w:t>
      </w:r>
      <w:r>
        <w:rPr>
          <w:rFonts w:ascii="Times New Roman" w:hAnsi="Times New Roman" w:eastAsia="Times New Roman" w:cs="Times New Roman"/>
          <w:color w:val="000000"/>
          <w:sz w:val="24"/>
        </w:rPr>
        <w:t xml:space="preserve"> Xác định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w:t>
      </w:r>
      <w:r>
        <w:rPr>
          <w:rFonts w:ascii="Times New Roman" w:hAnsi="Times New Roman" w:eastAsia="Times New Roman" w:cs="Times New Roman"/>
          <w:color w:val="000000"/>
          <w:sz w:val="24"/>
        </w:rPr>
        <w:t xml:space="preserve">nh giá.</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2. Xác định cách tiếp cận và phương pháp đối với tài sản thẩm định giá:</w:t>
      </w:r>
      <w:r/>
    </w:p>
    <w:p>
      <w:pPr>
        <w:numPr>
          <w:ilvl w:val="0"/>
          <w:numId w:val="42"/>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color w:val="000000"/>
          <w:spacing w:val="-4"/>
          <w:sz w:val="24"/>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 giá trị quyền sử dụng</w:t>
      </w:r>
      <w:r>
        <w:rPr>
          <w:rFonts w:ascii="Times New Roman" w:hAnsi="Times New Roman" w:eastAsia="Times New Roman" w:cs="Times New Roman"/>
          <w:color w:val="000000"/>
          <w:spacing w:val="-4"/>
          <w:sz w:val="24"/>
        </w:rPr>
        <w:t xml:space="preserve"> đất của tài sản thẩm định giá.</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b/>
          <w:color w:val="000000"/>
          <w:sz w:val="24"/>
        </w:rPr>
        <w:t xml:space="preserve">VIII. GIÁ TRỊ TÀI SẢN THẨM ĐỊNH</w:t>
      </w:r>
      <w:r/>
    </w:p>
    <w:p>
      <w:pPr>
        <w:pStyle w:val="992"/>
        <w:numPr>
          <w:ilvl w:val="0"/>
          <w:numId w:val="46"/>
        </w:numPr>
        <w:pBdr>
          <w:top w:val="none" w:color="000000" w:sz="4" w:space="0"/>
          <w:left w:val="none" w:color="000000" w:sz="4" w:space="0"/>
          <w:bottom w:val="none" w:color="000000" w:sz="4" w:space="0"/>
          <w:right w:val="none" w:color="000000" w:sz="4" w:space="0"/>
        </w:pBdr>
        <w:spacing w:after="120" w:before="120" w:line="276" w:lineRule="auto"/>
        <w:ind/>
        <w:jc w:val="both"/>
        <w:rPr/>
      </w:pPr>
      <w:r/>
      <w:commentRangeStart w:id="8"/>
      <w:r>
        <w:rPr>
          <w:rFonts w:ascii="Times New Roman" w:hAnsi="Times New Roman" w:eastAsia="Times New Roman" w:cs="Times New Roman"/>
          <w:b/>
          <w:color w:val="000000"/>
          <w:sz w:val="24"/>
        </w:rPr>
        <w:t xml:space="preserve">Xác định đơn giá quyền sử dụng đất:</w:t>
      </w:r>
      <w:commentRangeEnd w:id="8"/>
      <w:r>
        <w:commentReference w:id="8"/>
      </w:r>
      <w:r/>
      <w:r/>
    </w:p>
    <w:p>
      <w:pPr>
        <w:pBdr>
          <w:top w:val="none" w:color="000000" w:sz="4" w:space="0"/>
          <w:left w:val="none" w:color="000000" w:sz="4" w:space="0"/>
          <w:bottom w:val="none" w:color="000000" w:sz="4" w:space="0"/>
          <w:right w:val="none" w:color="000000" w:sz="4" w:space="0"/>
        </w:pBdr>
        <w:spacing w:after="120" w:before="120" w:line="276" w:lineRule="auto"/>
        <w:ind w:right="0" w:firstLine="357" w:left="0"/>
        <w:jc w:val="both"/>
        <w:rPr/>
      </w:pPr>
      <w:r>
        <w:rPr>
          <w:rFonts w:ascii="Times New Roman" w:hAnsi="Times New Roman" w:eastAsia="Times New Roman" w:cs="Times New Roman"/>
          <w:color w:val="000000"/>
          <w:sz w:val="24"/>
        </w:rPr>
        <w:t xml:space="preserve">Qua khảo sát thị trường, Tổ thẩm định thu thập được 03 giao dịch được cho là tương đồng về đặc điểm vị trí, giao thông, kích thước, mặt tiền, điều kiện hạ tầng và điều kiện xã hội,… với tài sản thẩm định giá, cụ thể như sau:</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hanging="425" w:left="425"/>
        <w:jc w:val="both"/>
        <w:rPr/>
      </w:pPr>
      <w:r>
        <w:rPr>
          <w:rFonts w:ascii="Times New Roman" w:hAnsi="Times New Roman" w:eastAsia="Times New Roman" w:cs="Times New Roman"/>
          <w:b/>
          <w:color w:val="000000"/>
          <w:sz w:val="24"/>
        </w:rPr>
        <w:t xml:space="preserve">Thông tin tài sản so sánh:</w:t>
      </w: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737"/>
        <w:gridCol w:w="1984"/>
        <w:gridCol w:w="1701"/>
        <w:gridCol w:w="1701"/>
        <w:gridCol w:w="1701"/>
        <w:gridCol w:w="1701"/>
      </w:tblGrid>
      <w:tr>
        <w:trPr>
          <w:trHeight w:val="30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TSTĐ</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TSSS1</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TSSS2</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TSSS3</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1984"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top"/>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 </w:t>
            </w:r>
            <w:r/>
          </w:p>
        </w:tc>
      </w:tr>
      <w:tr>
        <w:trPr>
          <w:trHeight w:val="425"/>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Địa chỉ</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Sở, Huyện Hoài Đức, Thành phố Hà Nội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Sở, Huyện Hoài Đức, Thành phố Hà Nội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Sở, Huyện Hoài Đức, Thành phố Hà Nội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Xã Yên Sở, Huyện Hoài Đức, Thành phố Hà Nội</w:t>
            </w:r>
            <w:r/>
          </w:p>
        </w:tc>
      </w:tr>
      <w:tr>
        <w:trPr>
          <w:trHeight w:val="240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https://www.facebook.com/groups/746498500682194/posts/1335526555112716/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https://alonhadat.com.vn/xa-hang-manh-57m2-mat-4-5m-duong-9m-khu-dau-gia-nam-yen-so-hoai-duc-chi-7-ty-16281246.html</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https://guland.vn/post/dep-me-ly-hang-moi-hot-51m-yen-so-o-to-do-cua-mt-rong-dep-cach-vai-buoc-ra-truc-chinh-o-to-tranh-2177958</w:t>
            </w:r>
            <w:r/>
          </w:p>
        </w:tc>
      </w:tr>
      <w:tr>
        <w:trPr>
          <w:trHeight w:val="42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Thông tin liên lạc</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0344.819.088 </w:t>
              <w:br/>
              <w:t xml:space="preserve"> (Minh)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0389.211.891</w:t>
              <w:br/>
              <w:t xml:space="preserve"> (Nguyễn Thành Huy)</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0333.058.140</w:t>
              <w:br/>
              <w:t xml:space="preserve"> (Nguyễn Bích)</w:t>
            </w:r>
            <w:r/>
          </w:p>
        </w:tc>
      </w:tr>
      <w:tr>
        <w:trPr>
          <w:trHeight w:val="541"/>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t xml:space="preserve">Đã tạm dừng giao dịch</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Đang giao dịch </w:t>
            </w:r>
            <w:r/>
          </w:p>
        </w:tc>
      </w:tr>
      <w:tr>
        <w:trPr>
          <w:trHeight w:val="114"/>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r>
            <w:commentRangeStart w:id="9"/>
            <w:r>
              <w:rPr>
                <w:rFonts w:ascii="Times New Roman" w:hAnsi="Times New Roman" w:eastAsia="Times New Roman" w:cs="Times New Roman"/>
                <w:color w:val="000000"/>
                <w:sz w:val="22"/>
              </w:rPr>
              <w:t xml:space="preserve"> Tháng 05/2026</w:t>
            </w:r>
            <w:commentRangeEnd w:id="9"/>
            <w:r>
              <w:commentReference w:id="9"/>
            </w:r>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Tháng 04/2026</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2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Đất ở tại nông thôn</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Lâu dài</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đường Mặt đường Yên Sở</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khoảng cách ra đường chính Cách trục chính khoảng 50m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Thành phố Hà Nội, khoảng cách ra đường chính  Cách đường Yên Sở khoảng 400m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khoảng cách ra đường chính Cách đường Yên Sở khoảng 100m</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không có vỉa hè</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r>
      <w:tr>
        <w:trPr>
          <w:trHeight w:val="81"/>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57</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51</w:t>
            </w:r>
            <w:r/>
          </w:p>
        </w:tc>
      </w:tr>
      <w:tr>
        <w:trPr>
          <w:trHeight w:val="9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4,5</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5,33</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2 mặt ngõ</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3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Hình chữ nhật</w:t>
            </w:r>
            <w:r/>
          </w:p>
        </w:tc>
      </w:tr>
      <w:tr>
        <w:trPr>
          <w:trHeight w:val="23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vMerge w:val="restart"/>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15</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984"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Mật độ dân cư</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Đông đúc</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Đông đúc</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Đông đúc</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701"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Bình thường</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r>
      <w:tr>
        <w:trPr>
          <w:trHeight w:val="9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Tài sản trên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trống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Đất trống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spacing/>
              <w:ind/>
              <w:jc w:val="center"/>
              <w:rPr/>
            </w:pPr>
            <w:r>
              <w:rPr>
                <w:rFonts w:ascii="Times New Roman" w:hAnsi="Times New Roman" w:eastAsia="Times New Roman" w:cs="Times New Roman"/>
                <w:color w:val="000000"/>
                <w:sz w:val="22"/>
              </w:rPr>
              <w:t xml:space="preserve">Đất trống </w:t>
            </w:r>
            <w:r/>
          </w:p>
        </w:tc>
      </w:tr>
      <w:tr>
        <w:trPr>
          <w:trHeight w:val="229"/>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17</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6.804.000.000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7.000.000.000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4.230.000.000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Giá thương lượng/ bán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6.123.600.000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6.300.000.000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3.807.000.000</w:t>
            </w:r>
            <w:r/>
          </w:p>
        </w:tc>
      </w:tr>
      <w:tr>
        <w:trPr>
          <w:trHeight w:val="315"/>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Chi tiết tính toán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tài sản trên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Giá trị đất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6.123.600.000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6.300.000.000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3.807.000.000</w:t>
            </w:r>
            <w:r/>
          </w:p>
        </w:tc>
      </w:tr>
      <w:tr>
        <w:trPr>
          <w:trHeight w:val="552"/>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Đơn giá QSDĐ (đồng/m²)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97.200.000</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110.526.316</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74.647.059</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2"/>
              </w:rPr>
              <w:t xml:space="preserve">C</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2"/>
              </w:rPr>
              <w:t xml:space="preserve">NHẬN XÉT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6</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Độ rộng đường trước tài sản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r>
      <w:tr>
        <w:trPr>
          <w:trHeight w:val="276"/>
        </w:trPr>
        <w:tc>
          <w:tcPr>
            <w:tcBorders>
              <w:left w:val="single" w:color="000000" w:sz="8" w:space="0"/>
              <w:bottom w:val="single" w:color="000000" w:sz="8" w:space="0"/>
              <w:right w:val="single" w:color="000000" w:sz="8" w:space="0"/>
            </w:tcBorders>
            <w:tcMar>
              <w:left w:w="108" w:type="dxa"/>
              <w:top w:w="0" w:type="dxa"/>
              <w:right w:w="108" w:type="dxa"/>
              <w:bottom w:w="0" w:type="dxa"/>
            </w:tcMar>
            <w:tcW w:w="737"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r>
            <w:commentRangeStart w:id="10"/>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198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Mật độ dân cư</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Tương đồng</w:t>
            </w:r>
            <w:r/>
          </w:p>
        </w:tc>
        <w:tc>
          <w:tcPr>
            <w:tcBorders>
              <w:bottom w:val="single" w:color="000000" w:sz="8" w:space="0"/>
              <w:right w:val="single" w:color="000000" w:sz="8" w:space="0"/>
            </w:tcBorders>
            <w:tcMar>
              <w:left w:w="108" w:type="dxa"/>
              <w:top w:w="0" w:type="dxa"/>
              <w:right w:w="108" w:type="dxa"/>
              <w:bottom w:w="0" w:type="dxa"/>
            </w:tcMar>
            <w:tcW w:w="170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Kém lợi thế hơn</w:t>
            </w:r>
            <w:commentRangeEnd w:id="10"/>
            <w:r>
              <w:commentReference w:id="10"/>
            </w:r>
            <w:r/>
            <w:r/>
          </w:p>
        </w:tc>
      </w:tr>
    </w:tbl>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Các yếu tố như vị trí, giao thông, diện tích, hình dáng, hạ tầng kỹ thuật và hạ tầng xã hội… làm ảnh hưởng đến giá trị của thửa đất. Mỗi yếu tố đóng góp một tỷ lệ nhất định vào giá trị của thửa đất. Vì vậy, dựa trên ba tài sản so sánh tương đồng với tài sả</w:t>
      </w:r>
      <w:r>
        <w:rPr>
          <w:rFonts w:ascii="Times New Roman" w:hAnsi="Times New Roman" w:eastAsia="Times New Roman" w:cs="Times New Roman"/>
          <w:color w:val="000000"/>
          <w:sz w:val="24"/>
        </w:rPr>
        <w:t xml:space="preserve">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p>
    <w:p>
      <w:pPr>
        <w:pBdr>
          <w:top w:val="none" w:color="000000" w:sz="4" w:space="0"/>
          <w:left w:val="none" w:color="000000" w:sz="4" w:space="0"/>
          <w:bottom w:val="none" w:color="000000" w:sz="4" w:space="0"/>
          <w:right w:val="none" w:color="000000" w:sz="4" w:space="0"/>
        </w:pBdr>
        <w:tabs>
          <w:tab w:val="left" w:leader="none" w:pos="90"/>
          <w:tab w:val="left" w:leader="none" w:pos="180"/>
        </w:tabs>
        <w:spacing w:after="120" w:before="120" w:line="264" w:lineRule="auto"/>
        <w:ind w:right="0" w:firstLine="0" w:left="0"/>
        <w:jc w:val="both"/>
        <w:rPr/>
      </w:pPr>
      <w:r>
        <w:rPr>
          <w:rFonts w:ascii="Times New Roman" w:hAnsi="Times New Roman" w:eastAsia="Times New Roman" w:cs="Times New Roman"/>
          <w:color w:val="000000"/>
          <w:sz w:val="24"/>
        </w:rPr>
        <w:t xml:space="preserve">Nguyên tắc điều chỉnh: Cố định TSTĐ, lấy TSTĐ làm chuẩn (tương đương với tỷ lệ tuyệt đối là 100%), các TSSS được điều chỉnh xoay quanh TSTĐ; Các điểm ở TSSS vượt trội hơn so với TSTĐ thì điều chỉnh giảm mức giá tính theo đơn vị chuẩn tài sản so sánh (trừ);</w:t>
      </w:r>
      <w:r>
        <w:rPr>
          <w:rFonts w:ascii="Times New Roman" w:hAnsi="Times New Roman" w:eastAsia="Times New Roman" w:cs="Times New Roman"/>
          <w:color w:val="000000"/>
          <w:sz w:val="24"/>
        </w:rPr>
        <w:t xml:space="preserve"> Các điểm ở TSSS kém lợi thế hơn so với TSTĐ thì điều chỉnh tăng mức giá tính theo đơn vị chuẩn của tài sản so sánh (cộng); Những yếu tố ở tài sản so sánh giống (tương tự) với tài sản cần thẩm định giá thì giữ nguyên mức giá của tài sản so sánh (không điều</w:t>
      </w:r>
      <w:r>
        <w:rPr>
          <w:rFonts w:ascii="Times New Roman" w:hAnsi="Times New Roman" w:eastAsia="Times New Roman" w:cs="Times New Roman"/>
          <w:color w:val="000000"/>
          <w:sz w:val="24"/>
        </w:rPr>
        <w:t xml:space="preserve"> chỉnh).</w:t>
      </w:r>
      <w:r/>
    </w:p>
    <w:p>
      <w:pPr>
        <w:numPr>
          <w:ilvl w:val="0"/>
          <w:numId w:val="43"/>
        </w:numPr>
        <w:pBdr>
          <w:top w:val="none" w:color="000000" w:sz="4" w:space="0"/>
          <w:left w:val="none" w:color="000000" w:sz="4" w:space="0"/>
          <w:bottom w:val="none" w:color="000000" w:sz="4" w:space="0"/>
          <w:right w:val="none" w:color="000000" w:sz="4" w:space="0"/>
        </w:pBdr>
        <w:tabs>
          <w:tab w:val="left" w:leader="none" w:pos="720"/>
        </w:tabs>
        <w:spacing w:after="120" w:before="120" w:line="276" w:lineRule="auto"/>
        <w:ind w:right="0" w:hanging="425" w:left="425"/>
        <w:jc w:val="both"/>
        <w:rPr/>
      </w:pPr>
      <w:r>
        <w:rPr>
          <w:rFonts w:ascii="Times New Roman" w:hAnsi="Times New Roman" w:eastAsia="Times New Roman" w:cs="Times New Roman"/>
          <w:b/>
          <w:color w:val="000000"/>
          <w:sz w:val="24"/>
        </w:rPr>
        <w:t xml:space="preserve">Bảng điều chỉnh:</w:t>
      </w: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1765"/>
        <w:gridCol w:w="1030"/>
        <w:gridCol w:w="1522"/>
        <w:gridCol w:w="1522"/>
        <w:gridCol w:w="1522"/>
        <w:gridCol w:w="1522"/>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STT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Yếu tố so sánh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Đơn vị tính</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TSTĐ</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TSSS1</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TSSS2</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A</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Giá trị QSDĐ thị trường (Ước tính sau thương lượng)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6.123.600.000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6.300.000.000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3.807.000.000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B</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Đơn giá đất ước tính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74.647.059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Điều chỉnh các yếu tố so sánh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Pháp lý</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74.647.059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Mục đích sử dụng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74.647.059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Thời hạn sử dụng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97.200.000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74.647.059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Vị trí</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đường Mặt đường Yên Sở</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khoảng cách ra đường chính Cách trục chính khoảng 50m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Thành phố Hà Nội, khoảng cách ra đường chính  Cách đường Yên Sở khoảng 400m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khoảng cách ra đường chính Cách đường Yên Sở khoảng 100m</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3.315.789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7.464.706</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102.060.000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113.842.105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82.111.765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Giao thông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không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nhựa có vỉa hè</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-3.315.789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3.732.353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106.920.000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85.844.118</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Độ rộng đường trước tài sản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15%</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14.580.000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11.197.059</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121.500.000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97.041.177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Diện tích đất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(m2)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57</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51</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4.860.000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126.360.000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110.526.316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97.041.177</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t xml:space="preserve">C.8</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Mặt tiền (m)</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5,33</w:t>
            </w: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-2</w:t>
            </w:r>
            <w:r>
              <w:rPr>
                <w:rFonts w:ascii="Times New Roman" w:hAnsi="Times New Roman" w:eastAsia="Times New Roman" w:cs="Times New Roman"/>
                <w:color w:val="000000"/>
                <w:sz w:val="22"/>
              </w:rPr>
              <w:t xml:space="preserve">%</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-2</w:t>
            </w:r>
            <w:r>
              <w:rPr>
                <w:rFonts w:ascii="Times New Roman" w:hAnsi="Times New Roman" w:eastAsia="Times New Roman" w:cs="Times New Roman"/>
                <w:color w:val="000000"/>
                <w:sz w:val="22"/>
              </w:rPr>
              <w:t xml:space="preserve">%</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-5</w:t>
            </w:r>
            <w:r>
              <w:rPr>
                <w:rFonts w:ascii="Times New Roman" w:hAnsi="Times New Roman" w:eastAsia="Times New Roman" w:cs="Times New Roman"/>
                <w:color w:val="000000"/>
                <w:sz w:val="22"/>
              </w:rPr>
              <w:t xml:space="preserve">%</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-1.944.000</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-2.210.526</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-3.732.353</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124.416.000</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108.315.790</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93.308.824</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Số lượng mặt tiếp giáp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Tiếp giáp 2 mặt ngõ</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Tiếp giáp 1 mặt tiền</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Tiếp giáp 1 mặt tiền</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Tiếp giáp 1 mặt tiền</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15</w:t>
            </w:r>
            <w:r>
              <w:rPr>
                <w:rFonts w:ascii="Times New Roman" w:hAnsi="Times New Roman" w:eastAsia="Times New Roman" w:cs="Times New Roman"/>
                <w:color w:val="000000"/>
                <w:sz w:val="22"/>
              </w:rPr>
              <w:t xml:space="preserve">%</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15</w:t>
            </w:r>
            <w:r>
              <w:rPr>
                <w:rFonts w:ascii="Times New Roman" w:hAnsi="Times New Roman" w:eastAsia="Times New Roman" w:cs="Times New Roman"/>
                <w:color w:val="000000"/>
                <w:sz w:val="22"/>
              </w:rPr>
              <w:t xml:space="preserve">%</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15</w:t>
            </w:r>
            <w:r>
              <w:rPr>
                <w:rFonts w:ascii="Times New Roman" w:hAnsi="Times New Roman" w:eastAsia="Times New Roman" w:cs="Times New Roman"/>
                <w:color w:val="000000"/>
                <w:sz w:val="22"/>
              </w:rPr>
              <w:t xml:space="preserve">%</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14.580.000</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16.578.947</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11.197.059</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138.996.000</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124.894.737</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104.505.883</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Hình dáng thửa đất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Hình chữ nhật</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Hình chữ nhật</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Hình chữ nhật</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Hình chữ nhật</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138.996.000</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124.894.737</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single" w:color="e5e7eb" w:sz="0" w:space="0"/>
                <w:left w:val="single" w:color="e5e7eb" w:sz="0" w:space="0"/>
                <w:bottom w:val="single" w:color="e5e7eb" w:sz="0" w:space="0"/>
                <w:right w:val="single" w:color="e5e7eb" w:sz="0" w:space="0"/>
              </w:pBdr>
              <w:shd w:val="clear" w:color="ffffff" w:fill="ffffff"/>
              <w:spacing/>
              <w:ind w:right="0" w:firstLine="0" w:left="0"/>
              <w:jc w:val="center"/>
              <w:rPr>
                <w:rFonts w:ascii="Times New Roman" w:hAnsi="Times New Roman" w:cs="Times New Roman"/>
                <w:b w:val="0"/>
                <w:bCs w:val="0"/>
                <w:color w:val="000000" w:themeColor="text1"/>
                <w:szCs w:val="22"/>
              </w:rPr>
            </w:pPr>
            <w:r>
              <w:rPr>
                <w:rFonts w:ascii="Times New Roman" w:hAnsi="Times New Roman" w:eastAsia="Times New Roman" w:cs="Times New Roman"/>
                <w:b w:val="0"/>
                <w:bCs w:val="0"/>
                <w:color w:val="000000" w:themeColor="text1"/>
                <w:sz w:val="22"/>
                <w:szCs w:val="22"/>
              </w:rPr>
              <w:t xml:space="preserve">104.505.883</w:t>
            </w:r>
            <w:r>
              <w:rPr>
                <w:rFonts w:ascii="Times New Roman" w:hAnsi="Times New Roman" w:cs="Times New Roman"/>
                <w:b w:val="0"/>
                <w:bCs w:val="0"/>
                <w:color w:val="000000" w:themeColor="text1"/>
                <w:szCs w:val="22"/>
              </w:rPr>
            </w:r>
            <w:r>
              <w:rPr>
                <w:rFonts w:ascii="Times New Roman" w:hAnsi="Times New Roman" w:cs="Times New Roman"/>
                <w:b w:val="0"/>
                <w:bCs w:val="0"/>
                <w:color w:val="000000" w:themeColor="text1"/>
                <w:szCs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C.11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Mật độ dân cư</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Đông đúc</w:t>
            </w:r>
            <w:r>
              <w:rPr>
                <w:rFonts w:ascii="Times New Roman" w:hAnsi="Times New Roman" w:eastAsia="Times New Roman" w:cs="Times New Roman"/>
                <w:color w:val="000000"/>
                <w:sz w:val="22"/>
              </w:rPr>
            </w:r>
            <w:r>
              <w:rPr>
                <w:rFonts w:ascii="Times New Roman" w:hAnsi="Times New Roman" w:eastAsia="Times New Roman" w:cs="Times New Roman"/>
                <w:color w:val="000000"/>
                <w:sz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Đông đúc</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Đông đúc</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Bình thường</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Tỷ lệ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10%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7.464.706</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tcBorders>
              <w:left w:val="single" w:color="000000" w:sz="8" w:space="0"/>
              <w:bottom w:val="single" w:color="000000" w:sz="8" w:space="0"/>
              <w:right w:val="single" w:color="000000" w:sz="8" w:space="0"/>
            </w:tcBorders>
            <w:vMerge w:val="continue"/>
            <w:textDirection w:val="lrTb"/>
            <w:noWrap w:val="false"/>
          </w:tcPr>
          <w:p>
            <w:pPr>
              <w:pBdr/>
              <w:spacing/>
              <w:ind/>
              <w:rPr/>
            </w:pPr>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sau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138.996.000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124.894.737</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r>
            <w:r>
              <w:rPr>
                <w:rFonts w:ascii="Times New Roman" w:hAnsi="Times New Roman" w:eastAsia="Times New Roman" w:cs="Times New Roman"/>
                <w:b w:val="0"/>
                <w:bCs w:val="0"/>
                <w:color w:val="000000" w:themeColor="text1"/>
                <w:sz w:val="22"/>
                <w:szCs w:val="22"/>
                <w:highlight w:val="white"/>
              </w:rPr>
              <w:t xml:space="preserve">111.970.589</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D</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Mức giá chỉ dẫn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Đồng/m²</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138.996.000</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124.894.737</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rFonts w:ascii="Times New Roman" w:hAnsi="Times New Roman" w:cs="Times New Roman"/>
                <w:b w:val="0"/>
                <w:bCs w:val="0"/>
                <w:color w:val="000000" w:themeColor="text1"/>
                <w:sz w:val="22"/>
                <w:szCs w:val="22"/>
              </w:rPr>
            </w:pPr>
            <w:r>
              <w:rPr>
                <w:rFonts w:ascii="Times New Roman" w:hAnsi="Times New Roman" w:eastAsia="Times New Roman" w:cs="Times New Roman"/>
                <w:b w:val="0"/>
                <w:bCs w:val="0"/>
                <w:color w:val="000000" w:themeColor="text1"/>
                <w:sz w:val="22"/>
                <w:szCs w:val="22"/>
              </w:rPr>
              <w:t xml:space="preserve">111.970.589</w:t>
            </w:r>
            <w:r>
              <w:rPr>
                <w:rFonts w:ascii="Times New Roman" w:hAnsi="Times New Roman" w:cs="Times New Roman"/>
                <w:b w:val="0"/>
                <w:bCs w:val="0"/>
                <w:color w:val="000000" w:themeColor="text1"/>
                <w:sz w:val="22"/>
                <w:szCs w:val="22"/>
              </w:rPr>
            </w:r>
            <w:r>
              <w:rPr>
                <w:rFonts w:ascii="Times New Roman" w:hAnsi="Times New Roman" w:cs="Times New Roman"/>
                <w:b w:val="0"/>
                <w:bCs w:val="0"/>
                <w:color w:val="000000" w:themeColor="text1"/>
                <w:sz w:val="22"/>
                <w:szCs w:val="22"/>
              </w:rP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Giá trị trung bình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4566"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125.287.109</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D2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Mức độ chênh lệch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10,94%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-0,31%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-10,63%</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Tổng hợp các số liệu điều chỉnh tại mục C</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b/>
                <w:color w:val="000000"/>
                <w:sz w:val="22"/>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gộp</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rPr>
                <w:rFonts w:ascii="Times New Roman" w:hAnsi="Times New Roman" w:eastAsia="Times New Roman" w:cs="Times New Roman"/>
                <w:b/>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20.999.999</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37.323.530</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E2</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số lần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Lần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E3</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Biên độ điều chỉnh</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0% - 15%</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E4</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76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ind w:right="0" w:firstLine="0" w:left="0"/>
              <w:rPr/>
            </w:pPr>
            <w:r>
              <w:rPr>
                <w:rFonts w:ascii="Times New Roman" w:hAnsi="Times New Roman" w:eastAsia="Times New Roman" w:cs="Times New Roman"/>
                <w:color w:val="000000"/>
                <w:sz w:val="22"/>
              </w:rPr>
              <w:t xml:space="preserve">Tổng giá trị điều chỉnh thuần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030"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Đồng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 </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41.796.000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14.368.421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52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ind w:right="0" w:firstLine="0" w:left="0"/>
              <w:jc w:val="center"/>
              <w:rPr/>
            </w:pPr>
            <w:r>
              <w:rPr>
                <w:rFonts w:ascii="Times New Roman" w:hAnsi="Times New Roman" w:eastAsia="Times New Roman" w:cs="Times New Roman"/>
                <w:color w:val="000000"/>
                <w:sz w:val="22"/>
              </w:rPr>
              <w:t xml:space="preserve">37.323.530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i/>
          <w:color w:val="000000"/>
          <w:sz w:val="24"/>
          <w:u w:val="single"/>
        </w:rPr>
        <w:t xml:space="preserve"> </w:t>
      </w:r>
      <w:r>
        <w:rPr>
          <w:rFonts w:ascii="Times New Roman" w:hAnsi="Times New Roman" w:eastAsia="Times New Roman" w:cs="Times New Roman"/>
          <w:b/>
          <w:i/>
          <w:color w:val="000000"/>
          <w:sz w:val="24"/>
          <w:u w:val="single"/>
        </w:rPr>
        <w:t xml:space="preserve">Về nguyên tắc khống chế</w:t>
      </w:r>
      <w:r>
        <w:rPr>
          <w:rFonts w:ascii="Times New Roman" w:hAnsi="Times New Roman" w:eastAsia="Times New Roman" w:cs="Times New Roman"/>
          <w:b/>
          <w:i/>
          <w:color w:val="000000"/>
          <w:sz w:val="24"/>
        </w:rPr>
        <w:t xml:space="preserve">: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Theo số liệu tại mục D2, chênh lệch giữa mức giá trung bình của các mức giá chỉ dẫn nằm trong khoảng từ  -10,63% đến 10,94%, đảm bảo không quá 15% (theo Thông tư số 32/2024/TT-BTC ngày 16/5/2024 của Bộ Tài chính).</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0"/>
        <w:rPr/>
      </w:pPr>
      <w:r>
        <w:rPr>
          <w:rFonts w:ascii="Times New Roman" w:hAnsi="Times New Roman" w:eastAsia="Times New Roman" w:cs="Times New Roman"/>
          <w:b/>
          <w:i/>
          <w:color w:val="000000"/>
          <w:sz w:val="24"/>
          <w:u w:val="single"/>
        </w:rPr>
        <w:t xml:space="preserve">Về thống nhất mức giá chỉ dẫn:</w:t>
      </w:r>
      <w:r>
        <w:rPr>
          <w:rFonts w:ascii="Times New Roman" w:hAnsi="Times New Roman" w:eastAsia="Times New Roman" w:cs="Times New Roman"/>
          <w:sz w:val="24"/>
        </w:rPr>
      </w:r>
      <w:r/>
    </w:p>
    <w:p>
      <w:pPr>
        <w:pBdr>
          <w:top w:val="none" w:color="000000" w:sz="4" w:space="0"/>
          <w:left w:val="none" w:color="000000" w:sz="4" w:space="0"/>
          <w:bottom w:val="none" w:color="000000" w:sz="4" w:space="0"/>
          <w:right w:val="none" w:color="000000" w:sz="4" w:space="0"/>
        </w:pBdr>
        <w:spacing/>
        <w:ind w:right="0" w:firstLine="0" w:left="0"/>
        <w:jc w:val="right"/>
        <w:rPr/>
      </w:pPr>
      <w:r>
        <w:rPr>
          <w:rFonts w:ascii="Times New Roman" w:hAnsi="Times New Roman" w:eastAsia="Times New Roman" w:cs="Times New Roman"/>
          <w:i/>
          <w:color w:val="000000"/>
          <w:sz w:val="24"/>
        </w:rPr>
        <w:t xml:space="preserve">Đơn vị tính: Đồng/m²</w:t>
      </w:r>
      <w:r/>
    </w:p>
    <w:tbl>
      <w:tblPr>
        <w:tblStyle w:val="99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905"/>
        <w:gridCol w:w="1905"/>
        <w:gridCol w:w="1905"/>
        <w:gridCol w:w="1905"/>
        <w:gridCol w:w="1905"/>
      </w:tblGrid>
      <w:tr>
        <w:trPr>
          <w:trHeight w:val="936"/>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Tài sản</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Mức giá chỉ dẫn của các TSSS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Trọng số của các TSSS sau điều chỉnh</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trung bình của mức giá chỉ dẫn sau điều chỉnh</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1</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138.996.000</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33,34%</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46.341.266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2</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124.894.737</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41.627.416</w:t>
            </w:r>
            <w:r/>
          </w:p>
        </w:tc>
      </w:tr>
      <w:tr>
        <w:trPr>
          <w:trHeight w:val="312"/>
        </w:trPr>
        <w:tc>
          <w:tcPr>
            <w:tcBorders>
              <w:left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Tài sản so sánh 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111.970.589</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33,33%</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37.319.797</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Giá trị bình quân theo trọng số:</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125.288.479</w:t>
            </w:r>
            <w:r/>
          </w:p>
        </w:tc>
      </w:tr>
      <w:tr>
        <w:trPr>
          <w:trHeight w:val="312"/>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Làm tròn: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125.000.000</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0"/>
        <w:jc w:val="both"/>
        <w:rPr/>
      </w:pPr>
      <w:r>
        <w:rPr>
          <w:rFonts w:ascii="Times New Roman" w:hAnsi="Times New Roman" w:eastAsia="Times New Roman" w:cs="Times New Roman"/>
          <w:color w:val="000000"/>
          <w:sz w:val="24"/>
        </w:rPr>
        <w:t xml:space="preserve">Tổ thẩm định sử dụng mức giá chỉ dẫn là mức giá bình quân có trọng số của 03 tài sản so sánh làm mức giá của tài sản thẩm định, tương ứng là: </w:t>
      </w:r>
      <w:r>
        <w:rPr>
          <w:rFonts w:ascii="Times New Roman" w:hAnsi="Times New Roman" w:eastAsia="Times New Roman" w:cs="Times New Roman"/>
          <w:b/>
          <w:color w:val="000000"/>
          <w:sz w:val="24"/>
        </w:rPr>
        <w:t xml:space="preserve">125.000.000 đồng/m².</w:t>
      </w:r>
      <w:r/>
    </w:p>
    <w:p>
      <w:pPr>
        <w:pBdr>
          <w:top w:val="none" w:color="000000" w:sz="4" w:space="0"/>
          <w:left w:val="none" w:color="000000" w:sz="4" w:space="0"/>
          <w:bottom w:val="none" w:color="000000" w:sz="4" w:space="0"/>
          <w:right w:val="none" w:color="000000" w:sz="4" w:space="0"/>
        </w:pBdr>
        <w:spacing w:after="120" w:before="120" w:line="276" w:lineRule="auto"/>
        <w:ind w:firstLine="0" w:left="0"/>
        <w:jc w:val="both"/>
        <w:rPr/>
      </w:pPr>
      <w:r>
        <w:rPr>
          <w:rFonts w:ascii="Times New Roman" w:hAnsi="Times New Roman" w:eastAsia="Times New Roman" w:cs="Times New Roman"/>
          <w:b/>
          <w:color w:val="000000"/>
          <w:sz w:val="24"/>
        </w:rPr>
        <w:t xml:space="preserve">2. Kết quả thẩm định giá:</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76" w:lineRule="auto"/>
        <w:ind w:right="0" w:firstLine="0" w:left="0"/>
        <w:jc w:val="both"/>
        <w:rPr/>
      </w:pPr>
      <w:r>
        <w:rPr>
          <w:rFonts w:ascii="Times New Roman" w:hAnsi="Times New Roman" w:eastAsia="Times New Roman" w:cs="Times New Roman"/>
          <w:color w:val="000000"/>
          <w:sz w:val="24"/>
        </w:rPr>
        <w:t xml:space="preserve">Dựa trên các lập luận trên, Tổ thẩm định ước tính giá trị tài sản thẩm định giá chưa bao gồm các loại thuế, phí và lệ phí liên quan đến việc chuyển nhượng tài sản tại thời điểm thẩm định giá Tháng 5/2026 ước tính như sau:</w:t>
      </w:r>
      <w:r/>
    </w:p>
    <w:tbl>
      <w:tblPr>
        <w:tblStyle w:val="996"/>
        <w:tblInd w:w="0" w:type="dxa"/>
        <w:tblW w:w="50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878"/>
        <w:gridCol w:w="2932"/>
        <w:gridCol w:w="1905"/>
        <w:gridCol w:w="1905"/>
        <w:gridCol w:w="1905"/>
      </w:tblGrid>
      <w:tr>
        <w:trPr>
          <w:trHeight w:val="20"/>
        </w:trPr>
        <w:tc>
          <w:tcPr>
            <w:shd w:val="clear" w:color="ffffff" w:fill="ffffff"/>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29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8" w:space="0"/>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Thành tiền (đồng)</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bottom w:val="single" w:color="000000" w:sz="8" w:space="0"/>
              <w:right w:val="single" w:color="000000" w:sz="8" w:space="0"/>
            </w:tcBorders>
            <w:tcMar>
              <w:left w:w="108" w:type="dxa"/>
              <w:top w:w="0" w:type="dxa"/>
              <w:right w:w="108" w:type="dxa"/>
              <w:bottom w:w="0" w:type="dxa"/>
            </w:tcMar>
            <w:tcW w:w="674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both"/>
              <w:rPr/>
            </w:pPr>
            <w:r>
              <w:rPr>
                <w:rFonts w:ascii="Times New Roman" w:hAnsi="Times New Roman" w:eastAsia="Times New Roman" w:cs="Times New Roman"/>
                <w:b/>
                <w:color w:val="000000"/>
                <w:sz w:val="24"/>
              </w:rPr>
              <w:t xml:space="preserve">Quyền sử dụng đất tại thửa đất số: (624-2)-1, tờ bản đồ 02 có địa chỉ: Thôn 3, Xã Yên Sở, Huyện Hoài Đức, Thành phố Hà Nội</w:t>
            </w:r>
            <w:r>
              <w:rPr>
                <w:rFonts w:ascii="Times New Roman" w:hAnsi="Times New Roman" w:eastAsia="Times New Roman" w:cs="Times New Roman"/>
                <w:b/>
                <w:i/>
                <w:color w:val="000000"/>
                <w:sz w:val="24"/>
              </w:rPr>
              <w:t xml:space="preserve"> (Nay là Xã Dương Hòa, Thành Phố Hà Nội)</w:t>
            </w:r>
            <w:r>
              <w:rPr>
                <w:rFonts w:ascii="Times New Roman" w:hAnsi="Times New Roman" w:eastAsia="Times New Roman" w:cs="Times New Roman"/>
                <w:b/>
                <w:color w:val="000000"/>
                <w:sz w:val="24"/>
              </w:rPr>
              <w:t xml:space="preserve"> theo Giấy chứng nhận quyền sử dụng đất quyền sở hữu nhà ở và tài sản khác gắn liền với  đất số: CM 004171, số vào sổ cấp GCN: CS-HĐU 13670 do Sở Tài Nguyên và Môi Trường Thành Phố Hà cấp ngày 18/01/20218; Chủ sử dụng đất ông Nguyễn Bá Tuân.</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right"/>
              <w:rPr/>
            </w:pPr>
            <w:r>
              <w:rPr>
                <w:rFonts w:ascii="Times New Roman" w:hAnsi="Times New Roman" w:eastAsia="Times New Roman" w:cs="Times New Roman"/>
                <w:b/>
                <w:color w:val="000000"/>
                <w:sz w:val="24"/>
              </w:rPr>
              <w:t xml:space="preserve"> </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87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b/>
                <w:color w:val="000000"/>
                <w:sz w:val="24"/>
              </w:rPr>
              <w:t xml:space="preserve">1</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2932"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rPr/>
            </w:pPr>
            <w:r>
              <w:rPr>
                <w:rFonts w:ascii="Times New Roman" w:hAnsi="Times New Roman" w:eastAsia="Times New Roman" w:cs="Times New Roman"/>
                <w:b/>
                <w:color w:val="000000"/>
                <w:sz w:val="24"/>
              </w:rPr>
              <w:t xml:space="preserve">Đất ở tại nông thôn</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50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125.000.000</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after="40" w:before="40" w:line="288" w:lineRule="auto"/>
              <w:ind w:right="0" w:firstLine="0" w:left="0"/>
              <w:jc w:val="center"/>
              <w:rPr/>
            </w:pPr>
            <w:r>
              <w:rPr>
                <w:rFonts w:ascii="Times New Roman" w:hAnsi="Times New Roman" w:eastAsia="Times New Roman" w:cs="Times New Roman"/>
                <w:color w:val="000000"/>
                <w:sz w:val="24"/>
              </w:rPr>
              <w:t xml:space="preserve">6.250.000.000</w:t>
            </w:r>
            <w:r/>
          </w:p>
        </w:tc>
      </w:tr>
      <w:tr>
        <w:trPr>
          <w:trHeight w:val="20"/>
        </w:trPr>
        <w:tc>
          <w:tcPr>
            <w:gridSpan w:val="4"/>
            <w:tcBorders>
              <w:left w:val="single" w:color="000000" w:sz="8" w:space="0"/>
              <w:bottom w:val="single" w:color="000000" w:sz="8" w:space="0"/>
              <w:right w:val="single" w:color="000000" w:sz="8" w:space="0"/>
            </w:tcBorders>
            <w:tcMar>
              <w:left w:w="108" w:type="dxa"/>
              <w:top w:w="0" w:type="dxa"/>
              <w:right w:w="108" w:type="dxa"/>
              <w:bottom w:w="0" w:type="dxa"/>
            </w:tcMar>
            <w:tcW w:w="7620"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color w:val="000000"/>
                <w:sz w:val="24"/>
              </w:rPr>
              <w:t xml:space="preserve">TỔNG CỘNG</w:t>
            </w:r>
            <w:r/>
          </w:p>
        </w:tc>
        <w:tc>
          <w:tcPr>
            <w:tcBorders>
              <w:bottom w:val="single" w:color="000000" w:sz="8" w:space="0"/>
              <w:right w:val="single" w:color="000000" w:sz="8" w:space="0"/>
            </w:tcBorders>
            <w:tcMar>
              <w:left w:w="108" w:type="dxa"/>
              <w:top w:w="0" w:type="dxa"/>
              <w:right w:w="108" w:type="dxa"/>
              <w:bottom w:w="0" w:type="dxa"/>
            </w:tcMar>
            <w:tcW w:w="1905" w:type="dxa"/>
            <w:vAlign w:val="center"/>
            <w:textDirection w:val="lrTb"/>
            <w:noWrap/>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color w:val="000000"/>
                <w:sz w:val="24"/>
              </w:rPr>
              <w:t xml:space="preserve">6.250.000.000</w:t>
            </w:r>
            <w:r/>
          </w:p>
        </w:tc>
      </w:tr>
      <w:tr>
        <w:trPr>
          <w:trHeight w:val="20"/>
        </w:trPr>
        <w:tc>
          <w:tcPr>
            <w:gridSpan w:val="5"/>
            <w:tcBorders>
              <w:left w:val="single" w:color="000000" w:sz="8" w:space="0"/>
              <w:bottom w:val="single" w:color="000000" w:sz="8" w:space="0"/>
              <w:right w:val="single" w:color="000000" w:sz="8" w:space="0"/>
            </w:tcBorders>
            <w:tcMar>
              <w:left w:w="108" w:type="dxa"/>
              <w:top w:w="0" w:type="dxa"/>
              <w:right w:w="108" w:type="dxa"/>
              <w:bottom w:w="0" w:type="dxa"/>
            </w:tcMar>
            <w:tcW w:w="9525" w:type="dxa"/>
            <w:vAlign w:val="center"/>
            <w:textDirection w:val="lrTb"/>
            <w:noWrap w:val="false"/>
          </w:tcPr>
          <w:p>
            <w:pPr>
              <w:pBdr>
                <w:top w:val="none" w:color="000000" w:sz="4" w:space="0"/>
                <w:left w:val="none" w:color="000000" w:sz="4" w:space="0"/>
                <w:bottom w:val="none" w:color="000000" w:sz="4" w:space="0"/>
                <w:right w:val="none" w:color="000000" w:sz="4" w:space="0"/>
              </w:pBdr>
              <w:spacing w:after="40" w:before="40" w:line="288" w:lineRule="auto"/>
              <w:ind w:right="0" w:firstLine="0" w:left="0"/>
              <w:jc w:val="center"/>
              <w:rPr/>
            </w:pPr>
            <w:r>
              <w:rPr>
                <w:rFonts w:ascii="Times New Roman" w:hAnsi="Times New Roman" w:eastAsia="Times New Roman" w:cs="Times New Roman"/>
                <w:b/>
                <w:i/>
                <w:color w:val="000000"/>
                <w:sz w:val="24"/>
              </w:rPr>
              <w:t xml:space="preserve">(Bằng chữ: Sáu tỷ, hai trăm năm mươi triệu đồng./.)</w:t>
            </w:r>
            <w:r/>
          </w:p>
        </w:tc>
      </w:tr>
    </w:tbl>
    <w:p>
      <w:p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right="0" w:firstLine="0" w:left="0"/>
        <w:jc w:val="both"/>
        <w:rPr/>
      </w:pPr>
      <w:r>
        <w:rPr>
          <w:rFonts w:ascii="Times New Roman" w:hAnsi="Times New Roman" w:eastAsia="Times New Roman" w:cs="Times New Roman"/>
          <w:b/>
          <w:color w:val="000000"/>
          <w:sz w:val="24"/>
        </w:rPr>
        <w:t xml:space="preserve">IX. THỜI HẠN HIỆU LỰC CỦA KẾT QUẢ THẨM ĐỊNH GIÁ</w:t>
      </w:r>
      <w:r/>
    </w:p>
    <w:p>
      <w:pPr>
        <w:numPr>
          <w:ilvl w:val="0"/>
          <w:numId w:val="44"/>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Tối đa 06 (sáu) tháng tính từ ngày ký đối với tài sản là Bất động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right="0" w:firstLine="0" w:left="0"/>
        <w:jc w:val="both"/>
        <w:rPr/>
      </w:pPr>
      <w:r>
        <w:rPr>
          <w:rFonts w:ascii="Times New Roman" w:hAnsi="Times New Roman" w:eastAsia="Times New Roman" w:cs="Times New Roman"/>
          <w:b/>
          <w:color w:val="000000"/>
          <w:spacing w:val="-4"/>
          <w:sz w:val="24"/>
        </w:rPr>
        <w:t xml:space="preserve">X. TUYÊN BỐ CHUNG VÀ MIỄN TRỪ TRÁCH NHIỆM</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Công ty Cổ phần Thẩm định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thẩm định gi</w:t>
      </w:r>
      <w:r>
        <w:rPr>
          <w:rFonts w:ascii="Times New Roman" w:hAnsi="Times New Roman" w:eastAsia="Times New Roman" w:cs="Times New Roman"/>
          <w:color w:val="000000"/>
          <w:sz w:val="24"/>
        </w:rPr>
        <w:t xml:space="preserve">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Chứng thư, Báo cáo này được soạn thảo theo Hợp đồng được ký kết và tuân theo các điều khoản được nêu trong Hợp đồng. Chứng thư, báo cáo này chỉ nhằm phục vụ cho mục đích sử dụng được nêu trong Báo cáo và không nhằm mục đích sử dụng cho bất kỳ bên nào khác </w:t>
      </w:r>
      <w:r>
        <w:rPr>
          <w:rFonts w:ascii="Times New Roman" w:hAnsi="Times New Roman" w:eastAsia="Times New Roman" w:cs="Times New Roman"/>
          <w:color w:val="000000"/>
          <w:sz w:val="24"/>
        </w:rPr>
        <w:t xml:space="preserve">không được đề cập đến trong Hợp đồng (gọi tắt là “các bên liên quan”).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Các bên liên quan khi đọc và thực hiện sử dụng sản phẩm tư vấn này, tức là đã chấp nhận và đồng ý với những điều khoản sau:</w:t>
      </w:r>
      <w:r/>
    </w:p>
    <w:p>
      <w:pPr>
        <w:numPr>
          <w:ilvl w:val="0"/>
          <w:numId w:val="39"/>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color w:val="000000"/>
          <w:sz w:val="24"/>
        </w:rPr>
        <w:t xml:space="preserve">Sản phẩm tư vấn của Chúng tôi chỉ nhằm mục đích duy nhất đã ghi tại Mục 4 của Chứng thư mà không nhằm bất kỳ mục đích nào khác và mọi hành động khách hàng thực hiện đều thuộc quyết định cuối cùng của Quý Khách hàng và các bên liên quan tham gia giao dịch (</w:t>
      </w:r>
      <w:r>
        <w:rPr>
          <w:rFonts w:ascii="Times New Roman" w:hAnsi="Times New Roman" w:eastAsia="Times New Roman" w:cs="Times New Roman"/>
          <w:color w:val="000000"/>
          <w:sz w:val="24"/>
        </w:rPr>
        <w:t xml:space="preserve">nếu có), bao gồm cả việc xem xét các vấn đề nằm ngoài phạm vi công việc của Chúng tôi như Quý Khách hàng đã biết, và không nên sử dụng cho bất kỳ mục đích nào khác. Nếu Quý Khách hàng thực hiện cung cấp cho các bên liên quan nào khác để nhằm thực hiện bất </w:t>
      </w:r>
      <w:r>
        <w:rPr>
          <w:rFonts w:ascii="Times New Roman" w:hAnsi="Times New Roman" w:eastAsia="Times New Roman" w:cs="Times New Roman"/>
          <w:color w:val="000000"/>
          <w:sz w:val="24"/>
        </w:rPr>
        <w:t xml:space="preserve">kỳ mục đích nào thì mọi trách nhiệm có liên quan đều thuộc Quý Khách hàng và các bên liên quan đó tham gia vào các giao dịch có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color w:val="000000"/>
          <w:sz w:val="24"/>
        </w:rPr>
        <w:t xml:space="preserve">Lotus VFI, Ban Lãnh đạo, toàn thể nhân viên, Thẩm định viên và đại diện pháp luật của Lotus VFI không chấp nhận bất kỳ nghĩa vụ hoặc trách nhiệm nào đối với các bên liên quan, cho dù được thỏa thuận trong hợp đồng hoặc ngoài hợp đồng (bao gồm nhưng không g</w:t>
      </w:r>
      <w:r>
        <w:rPr>
          <w:rFonts w:ascii="Times New Roman" w:hAnsi="Times New Roman" w:eastAsia="Times New Roman" w:cs="Times New Roman"/>
          <w:color w:val="000000"/>
          <w:sz w:val="24"/>
        </w:rPr>
        <w:t xml:space="preserve">iới hạn lỗi bất cẩn và vi phạm nghĩa vụ theo luật định) hoặc phát sinh trong bất kỳ trường hợp nào khác, và không chịu trách nhiệm đối với bất kỳ tổn thất, thiệt hại hay chi phí trong bất cứ hoàn cảnh nào phát sinh từ bất kỳ mục đích sử dụng Sản phẩm tư vấ</w:t>
      </w:r>
      <w:r>
        <w:rPr>
          <w:rFonts w:ascii="Times New Roman" w:hAnsi="Times New Roman" w:eastAsia="Times New Roman" w:cs="Times New Roman"/>
          <w:color w:val="000000"/>
          <w:sz w:val="24"/>
        </w:rPr>
        <w:t xml:space="preserve">n của các bên liên quan, hoặc do hậu quả của việc cung cấp Chứng thư, Báo cáo cho các bên liên quan.</w:t>
      </w:r>
      <w:r/>
    </w:p>
    <w:p>
      <w:pPr>
        <w:numPr>
          <w:ilvl w:val="0"/>
          <w:numId w:val="39"/>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color w:val="000000"/>
          <w:sz w:val="24"/>
        </w:rPr>
        <w:t xml:space="preserve">Khách hàng hoặc bất kỳ bên nào khác sử dụng báo cáo này và bất kỳ hoạt động nào của bất kỳ bên liên quan nào có tham chiếu tới sản phẩm tư vấn này nếu có bất kỳ thắc mắc nào mà không có yêu cầu giải trình bằng văn bản gửi đến Lotus VFI trước 03 (ba) ngày l</w:t>
      </w:r>
      <w:r>
        <w:rPr>
          <w:rFonts w:ascii="Times New Roman" w:hAnsi="Times New Roman" w:eastAsia="Times New Roman" w:cs="Times New Roman"/>
          <w:color w:val="000000"/>
          <w:sz w:val="24"/>
        </w:rPr>
        <w:t xml:space="preserve">àm việc tính từ ngày báo cáo được tham chiếu hoặc sử dụng thì đều được coi là đã đọc, hiểu rõ toàn bộ nội dung sản phẩm tư vấn này và chấp nhận mục đích thẩm định giá, cơ sở giá trị, các giả định, các tính toán, các nội dung miễn trừ trách nhiệm, những điề</w:t>
      </w:r>
      <w:r>
        <w:rPr>
          <w:rFonts w:ascii="Times New Roman" w:hAnsi="Times New Roman" w:eastAsia="Times New Roman" w:cs="Times New Roman"/>
          <w:color w:val="000000"/>
          <w:sz w:val="24"/>
        </w:rPr>
        <w:t xml:space="preserve">u khoản loại trừ và hạn chế, kết quả thẩm định giá và toàn bộ giá trị đã được trình bày trên báo cáo này và được coi là đã đồng ý với toàn bộ nội dung của sản phẩm tư vấn đã được trình bày, đồng thời cam kết và đảm bảo không có bất kỳ khiếu lại nào có thể </w:t>
      </w:r>
      <w:r>
        <w:rPr>
          <w:rFonts w:ascii="Times New Roman" w:hAnsi="Times New Roman" w:eastAsia="Times New Roman" w:cs="Times New Roman"/>
          <w:color w:val="000000"/>
          <w:sz w:val="24"/>
        </w:rPr>
        <w:t xml:space="preserve">gây tổn hại đến danh dự, trách nhiệm pháp lý, nghĩa vụ kinh tế… của các cá nhân và tập thể Lotus VFI.</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right="0" w:firstLine="0" w:left="0"/>
        <w:jc w:val="both"/>
        <w:rPr/>
      </w:pPr>
      <w:r>
        <w:rPr>
          <w:rFonts w:ascii="Times New Roman" w:hAnsi="Times New Roman" w:eastAsia="Times New Roman" w:cs="Times New Roman"/>
          <w:b/>
          <w:color w:val="000000"/>
          <w:spacing w:val="-4"/>
          <w:sz w:val="24"/>
        </w:rPr>
        <w:t xml:space="preserve">XI. NHỮNG ĐIỀU KHOẢN LOẠI TRỪ VÀ HẠN CHẾ CỦA KẾT QUẢ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Chứng thư này chỉ được cung cấp theo yêu cầu của khách hàng. Chỉ bản chính và bản sao Chứng thư thẩm định giá do Công ty Cổ phần Thẩm định và Đầu tư Tài chính Hoa Sen cấp mới có giá trị. Mọi hành vi sử dụng bản sao Chứng thư/Báo cáo kết quả thẩm định giá m</w:t>
      </w:r>
      <w:r>
        <w:rPr>
          <w:rFonts w:ascii="Times New Roman" w:hAnsi="Times New Roman" w:eastAsia="Times New Roman" w:cs="Times New Roman"/>
          <w:color w:val="000000"/>
          <w:sz w:val="24"/>
        </w:rPr>
        <w:t xml:space="preserve">à không có xác nhận của Công ty Cổ phần Thẩm định và Đầu tư Tài chính Hoa Sen đều vi phạm pháp luật và không có giá trị.</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Kết quả thẩm định giá trên chỉ xác nhận khi khách hàng hoàn tất các thủ tục pháp lý và nghĩa vụ tài chính liên quan đến tài sản thẩm định theo quy định của pháp luật hiện hành.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pacing w:val="-2"/>
          <w:sz w:val="24"/>
        </w:rPr>
        <w:t xml:space="preserve">Tại thời điểm khảo sát dưới dự hướng dẫn của khách hàng, CTXD có </w:t>
      </w:r>
      <w:r>
        <w:rPr>
          <w:rFonts w:ascii="Times New Roman" w:hAnsi="Times New Roman" w:eastAsia="Times New Roman" w:cs="Times New Roman"/>
          <w:color w:val="000000"/>
          <w:sz w:val="24"/>
        </w:rPr>
        <w:t xml:space="preserve">nhà 2 tầng, diện tích xây dựng khoảng 40m2 xây hoàn thiện khoảng năm 2022 </w:t>
      </w:r>
      <w:r>
        <w:rPr>
          <w:rFonts w:ascii="Times New Roman" w:hAnsi="Times New Roman" w:eastAsia="Times New Roman" w:cs="Times New Roman"/>
          <w:color w:val="000000"/>
          <w:spacing w:val="-2"/>
          <w:sz w:val="24"/>
        </w:rPr>
        <w:t xml:space="preserve">công trình chưa được chứng nhận trên GCN. Do vậy, theo đề nghị của Ngân hàng/Khách hàng, Tổ thẩm định không xác định giá trị của công trình xây dựng vào tổng giá trị, nhưng vẫn coi đó là phần không thể tách rời của tài sản thẩm định. Kính đề nghị đơn vị sử</w:t>
      </w:r>
      <w:r>
        <w:rPr>
          <w:rFonts w:ascii="Times New Roman" w:hAnsi="Times New Roman" w:eastAsia="Times New Roman" w:cs="Times New Roman"/>
          <w:color w:val="000000"/>
          <w:spacing w:val="-2"/>
          <w:sz w:val="24"/>
        </w:rPr>
        <w:t xml:space="preserve"> dụng kết quả lưu ý.</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Các phương pháp tính toán trên cơ sở tài liệu được cung cấp bởi khách hàng và dựa trên các tài liệu khác có liên quan do tổ thẩm định thu thập, cũng như các điều kiện và kỳ vọng tại thời điểm thẩm định giá phù hợp với các luật định, chính sách quản lý của </w:t>
      </w:r>
      <w:r>
        <w:rPr>
          <w:rFonts w:ascii="Times New Roman" w:hAnsi="Times New Roman" w:eastAsia="Times New Roman" w:cs="Times New Roman"/>
          <w:color w:val="000000"/>
          <w:sz w:val="24"/>
        </w:rPr>
        <w:t xml:space="preserve">Nhà nước hiện hành và các điều kiện, giả định theo quan điểm hợp lý của tổ thẩm định kèm theo báo cáo này. Một số vấn đề, sự kiện tương lai không có khả năng tính toán chính xác, hoặc nằm ngoài phạm vi chuyên môn nên cần vận dụng các giả định cho việc thẩm</w:t>
      </w:r>
      <w:r>
        <w:rPr>
          <w:rFonts w:ascii="Times New Roman" w:hAnsi="Times New Roman" w:eastAsia="Times New Roman" w:cs="Times New Roman"/>
          <w:color w:val="000000"/>
          <w:sz w:val="24"/>
        </w:rPr>
        <w:t xml:space="preserve"> định giá này, tổ thẩm định không đảm bảo là các giả định làm cơ sở thẩm định giá là chính xác hoàn toàn.</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pacing w:val="2"/>
          <w:sz w:val="24"/>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việc phát sinh sử dụng khác của </w:t>
      </w:r>
      <w:r>
        <w:rPr>
          <w:rFonts w:ascii="Times New Roman" w:hAnsi="Times New Roman" w:eastAsia="Times New Roman" w:cs="Times New Roman"/>
          <w:color w:val="000000"/>
          <w:spacing w:val="2"/>
          <w:sz w:val="24"/>
        </w:rPr>
        <w:t xml:space="preserve">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và hợp lý. Công ty Cổ phần Th</w:t>
      </w:r>
      <w:r>
        <w:rPr>
          <w:rFonts w:ascii="Times New Roman" w:hAnsi="Times New Roman" w:eastAsia="Times New Roman" w:cs="Times New Roman"/>
          <w:color w:val="000000"/>
          <w:spacing w:val="2"/>
          <w:sz w:val="24"/>
        </w:rPr>
        <w:t xml:space="preserve">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Khách hàng yêu cầu thẩm định giá và người hướng dẫn tổ thẩm định thực hiện thẩm định hiện trạng tài sản phải chịu hoàn toàn trách nhiệm về thông tin liên quan đến đặc điểm kinh tế - kỹ thuật, tính năng và tính pháp lý của tài sản thẩm định giá đã cung cấp </w:t>
      </w:r>
      <w:r>
        <w:rPr>
          <w:rFonts w:ascii="Times New Roman" w:hAnsi="Times New Roman" w:eastAsia="Times New Roman" w:cs="Times New Roman"/>
          <w:color w:val="000000"/>
          <w:sz w:val="24"/>
        </w:rPr>
        <w:t xml:space="preserve">cho Công ty Cổ phần Thẩm định và Đầu tư Tài chính Hoa Sen tại thời điểm và địa điểm thẩm định giá.</w:t>
      </w:r>
      <w:r/>
    </w:p>
    <w:p>
      <w:pPr>
        <w:numPr>
          <w:ilvl w:val="0"/>
          <w:numId w:val="45"/>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color w:val="000000"/>
          <w:sz w:val="24"/>
          <w:highlight w:val="white"/>
        </w:rPr>
        <w:t xml:space="preserve">Chúng tôi nhấn mạnh rằng việc thẩm định giá không phải là môn khoa học chính xác, mà là kết luận đưa ra trong nhiều trường hợp sẽ mang tính chủ quan và phụ thuộc vào đánh giá cá nhân. Vì thế, chúng tôi đưa ra giá trị tài sản thẩm định là giá trị ước tính. </w:t>
      </w:r>
      <w:r>
        <w:rPr>
          <w:rFonts w:ascii="Times New Roman" w:hAnsi="Times New Roman" w:eastAsia="Times New Roman" w:cs="Times New Roman"/>
          <w:color w:val="000000"/>
          <w:sz w:val="24"/>
          <w:highlight w:val="white"/>
        </w:rPr>
        <w:t xml:space="preserve">Giá trị ước tính này không nhất thiết phải trùng khớp với giá trị dùng để giao dịch.</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highlight w:val="white"/>
        </w:rPr>
        <w:t xml:space="preserve">Chúng tôi chỉ hoạt động trong lĩnh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w:t>
      </w:r>
      <w:r>
        <w:rPr>
          <w:rFonts w:ascii="Times New Roman" w:hAnsi="Times New Roman" w:eastAsia="Times New Roman" w:cs="Times New Roman"/>
          <w:color w:val="000000"/>
          <w:sz w:val="24"/>
          <w:highlight w:val="white"/>
        </w:rPr>
        <w:t xml:space="preserve">ch, số ô, số thửa, tờ bản đồ theo </w:t>
      </w:r>
      <w:r>
        <w:rPr>
          <w:rFonts w:ascii="Times New Roman" w:hAnsi="Times New Roman" w:eastAsia="Times New Roman" w:cs="Times New Roman"/>
          <w:color w:val="000000"/>
          <w:sz w:val="24"/>
        </w:rPr>
        <w:t xml:space="preserve">Giấy chứng nhận quyền sử dụng đất  đã cung cấp cho chúng tôi.</w:t>
      </w:r>
      <w:r/>
    </w:p>
    <w:p>
      <w:pPr>
        <w:numPr>
          <w:ilvl w:val="0"/>
          <w:numId w:val="45"/>
        </w:numPr>
        <w:pBdr>
          <w:top w:val="none" w:color="000000" w:sz="4" w:space="0"/>
          <w:left w:val="none" w:color="000000" w:sz="4" w:space="0"/>
          <w:bottom w:val="none" w:color="000000" w:sz="4" w:space="0"/>
          <w:right w:val="none" w:color="000000" w:sz="4" w:space="0"/>
        </w:pBdr>
        <w:spacing w:after="120" w:before="120" w:line="300" w:lineRule="auto"/>
        <w:ind/>
        <w:jc w:val="both"/>
        <w:rPr/>
      </w:pPr>
      <w:r>
        <w:rPr>
          <w:rFonts w:ascii="Times New Roman" w:hAnsi="Times New Roman" w:eastAsia="Times New Roman" w:cs="Times New Roman"/>
          <w:color w:val="000000"/>
          <w:sz w:val="24"/>
        </w:rPr>
        <w:t xml:space="preserve">Chúng tôi giả định rằng tài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w:t>
      </w:r>
      <w:r>
        <w:rPr>
          <w:rFonts w:ascii="Times New Roman" w:hAnsi="Times New Roman" w:eastAsia="Times New Roman" w:cs="Times New Roman"/>
          <w:color w:val="000000"/>
          <w:sz w:val="24"/>
        </w:rPr>
        <w:t xml:space="preserve"> trừ mọi trách nhiệm phát sinh, liên đới (nếu có) trong trường hợp này.</w:t>
      </w:r>
      <w:r/>
    </w:p>
    <w:p>
      <w:pPr>
        <w:numPr>
          <w:ilvl w:val="0"/>
          <w:numId w:val="42"/>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Tổ thẩm định giá sử dụng Phương pháp so sánh để xác định giá trị tài sản thẩm định giá trong đó  việc thu thập thông tin TSSS đã giao dịch thành công còn gặp nhiều hạn chế, vì vậy, Tổ thẩm định giá sử dụng các TSSS là các tài sản đang được rao bán trên thị</w:t>
      </w:r>
      <w:r>
        <w:rPr>
          <w:rFonts w:ascii="Times New Roman" w:hAnsi="Times New Roman" w:eastAsia="Times New Roman" w:cs="Times New Roman"/>
          <w:color w:val="000000"/>
          <w:sz w:val="24"/>
        </w:rPr>
        <w:t xml:space="preserve"> trường. Kết quả thẩm định giá có thể thay đổi khi các TSSS được giao dịch thành công. Khách hàng và các bên thứ ba khi sử dụng kết quả thẩm định giá cần lưu ý khi sử dụng Chứng thư thẩm 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rPr>
        <w:t xml:space="preserve">Kết quả thẩm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w:t>
      </w:r>
      <w:r>
        <w:rPr>
          <w:rFonts w:ascii="Times New Roman" w:hAnsi="Times New Roman" w:eastAsia="Times New Roman" w:cs="Times New Roman"/>
          <w:color w:val="000000"/>
          <w:sz w:val="24"/>
        </w:rPr>
        <w:t xml:space="preserve">định giá.</w:t>
      </w:r>
      <w:r/>
    </w:p>
    <w:p>
      <w:pPr>
        <w:numPr>
          <w:ilvl w:val="0"/>
          <w:numId w:val="45"/>
        </w:num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jc w:val="both"/>
        <w:rPr/>
      </w:pPr>
      <w:r>
        <w:rPr>
          <w:rFonts w:ascii="Times New Roman" w:hAnsi="Times New Roman" w:eastAsia="Times New Roman" w:cs="Times New Roman"/>
          <w:color w:val="000000"/>
          <w:sz w:val="24"/>
          <w:u w:val="none"/>
        </w:rPr>
        <w:t xml:space="preserve">Tổ thẩm định đã gửi các bản dự thảo chứng thư cho các đơn vị sử dụng chứng thư đọc, xem xét, cân nhắc và quyết định ra bản chứng thư này, sau ngày phát hành chứng thư chúng tôi hiểu rằng tất cả các bên đã thống nhất với các giả định, giả thiết và hạn chế, </w:t>
      </w:r>
      <w:r>
        <w:rPr>
          <w:rFonts w:ascii="Times New Roman" w:hAnsi="Times New Roman" w:eastAsia="Times New Roman" w:cs="Times New Roman"/>
          <w:color w:val="000000"/>
          <w:sz w:val="24"/>
          <w:u w:val="none"/>
        </w:rPr>
        <w:t xml:space="preserve">kết quả…. và chấp nhận sử dụng tất cả nội dung được trình bày trong chứng thư này.</w:t>
      </w:r>
      <w:r/>
    </w:p>
    <w:p>
      <w:pPr>
        <w:pBdr>
          <w:top w:val="none" w:color="000000" w:sz="4" w:space="0"/>
          <w:left w:val="none" w:color="000000" w:sz="4" w:space="0"/>
          <w:bottom w:val="none" w:color="000000" w:sz="4" w:space="0"/>
          <w:right w:val="none" w:color="000000" w:sz="4" w:space="0"/>
        </w:pBdr>
        <w:spacing w:after="120" w:before="120" w:line="300" w:lineRule="auto"/>
        <w:ind w:right="0" w:firstLine="0" w:left="0"/>
        <w:rPr/>
      </w:pPr>
      <w:r>
        <w:rPr>
          <w:rFonts w:ascii="Times New Roman" w:hAnsi="Times New Roman" w:eastAsia="Times New Roman" w:cs="Times New Roman"/>
          <w:b/>
          <w:color w:val="000000"/>
          <w:sz w:val="24"/>
        </w:rPr>
        <w:t xml:space="preserve">XII. CÁC PHỤ LỤC KÈM THEO </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right="0" w:firstLine="0" w:left="0"/>
        <w:jc w:val="both"/>
        <w:rPr/>
      </w:pPr>
      <w:r>
        <w:rPr>
          <w:rFonts w:ascii="Times New Roman" w:hAnsi="Times New Roman" w:eastAsia="Times New Roman" w:cs="Times New Roman"/>
          <w:color w:val="000000"/>
          <w:sz w:val="24"/>
        </w:rPr>
        <w:t xml:space="preserve">Phụ lục 1: Hình ảnh hiện trạng của tài sản.</w:t>
      </w:r>
      <w:r/>
    </w:p>
    <w:p>
      <w:pPr>
        <w:pBdr>
          <w:top w:val="none" w:color="000000" w:sz="4" w:space="0"/>
          <w:left w:val="none" w:color="000000" w:sz="4" w:space="0"/>
          <w:bottom w:val="none" w:color="000000" w:sz="4" w:space="0"/>
          <w:right w:val="none" w:color="000000" w:sz="4" w:space="0"/>
        </w:pBdr>
        <w:tabs>
          <w:tab w:val="left" w:leader="none" w:pos="993"/>
        </w:tabs>
        <w:spacing w:after="120" w:before="120" w:line="300" w:lineRule="auto"/>
        <w:ind w:right="0" w:firstLine="0" w:left="0"/>
        <w:jc w:val="both"/>
        <w:rPr/>
      </w:pPr>
      <w:r>
        <w:rPr>
          <w:rFonts w:ascii="Times New Roman" w:hAnsi="Times New Roman" w:eastAsia="Times New Roman" w:cs="Times New Roman"/>
          <w:color w:val="000000"/>
          <w:sz w:val="24"/>
        </w:rPr>
        <w:t xml:space="preserve">Phụ lục 2: Thông tin thu thập thị trường.</w:t>
      </w:r>
      <w:r/>
    </w:p>
    <w:p>
      <w:pPr>
        <w:pBdr>
          <w:top w:val="none" w:color="000000" w:sz="4" w:space="0"/>
          <w:left w:val="none" w:color="000000" w:sz="4" w:space="0"/>
          <w:bottom w:val="none" w:color="000000" w:sz="4" w:space="0"/>
          <w:right w:val="none" w:color="000000" w:sz="4" w:space="0"/>
        </w:pBdr>
        <w:tabs>
          <w:tab w:val="left" w:leader="none" w:pos="993"/>
        </w:tabs>
        <w:spacing w:after="120" w:before="120" w:line="288" w:lineRule="auto"/>
        <w:ind w:right="0" w:firstLine="0" w:left="0"/>
        <w:jc w:val="both"/>
        <w:rPr/>
      </w:pPr>
      <w:r>
        <w:rPr>
          <w:rFonts w:ascii="Times New Roman" w:hAnsi="Times New Roman" w:eastAsia="Times New Roman" w:cs="Times New Roman"/>
          <w:color w:val="000000"/>
          <w:sz w:val="24"/>
        </w:rPr>
        <w:t xml:space="preserve">Báo cáo kết quả thẩm định giá được phát hành 03 (ba) bản chính bằng tiếng Việt kèm theo Chứng thư thẩm định giá số 275/2026/0699/VFI-CT.57.A</w:t>
      </w:r>
      <w:r>
        <w:rPr>
          <w:rFonts w:ascii="Times New Roman" w:hAnsi="Times New Roman" w:eastAsia="Times New Roman" w:cs="Times New Roman"/>
          <w:color w:val="ff0000"/>
          <w:sz w:val="24"/>
        </w:rPr>
        <w:t xml:space="preserve"> </w:t>
      </w:r>
      <w:r>
        <w:rPr>
          <w:rFonts w:ascii="Times New Roman" w:hAnsi="Times New Roman" w:eastAsia="Times New Roman" w:cs="Times New Roman"/>
          <w:color w:val="000000"/>
          <w:sz w:val="24"/>
        </w:rPr>
        <w:t xml:space="preserve">ngày 08 tháng 5 năm 2026 tại Công ty Cổ phần Thẩm định và Đầu tư Tài chính Hoa Sen.</w:t>
      </w:r>
      <w:r/>
    </w:p>
    <w:tbl>
      <w:tblPr>
        <w:tblStyle w:val="996"/>
        <w:tblInd w:w="-255" w:type="dxa"/>
        <w:tblW w:w="5134"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677"/>
        <w:gridCol w:w="5102"/>
      </w:tblGrid>
      <w:tr>
        <w:trPr>
          <w:trHeight w:val="20"/>
        </w:trPr>
        <w:tc>
          <w:tcPr>
            <w:tcBorders/>
            <w:tcMar>
              <w:left w:w="108" w:type="dxa"/>
              <w:top w:w="0" w:type="dxa"/>
              <w:right w:w="108" w:type="dxa"/>
              <w:bottom w:w="0" w:type="dxa"/>
            </w:tcMar>
            <w:tcW w:w="4677"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THẨM ĐỊNH VIÊN VỀ GIÁ</w:t>
            </w:r>
            <w:r/>
          </w:p>
        </w:tc>
        <w:tc>
          <w:tcPr>
            <w:tcBorders/>
            <w:tcMar>
              <w:left w:w="108" w:type="dxa"/>
              <w:top w:w="0" w:type="dxa"/>
              <w:right w:w="108" w:type="dxa"/>
              <w:bottom w:w="0" w:type="dxa"/>
            </w:tcMar>
            <w:tcW w:w="510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CHỦ TỊCH HĐQT KIÊM TỔNG GIÁM ĐỐC</w:t>
            </w:r>
            <w:r/>
          </w:p>
        </w:tc>
      </w:tr>
      <w:tr>
        <w:trPr>
          <w:trHeight w:val="1430"/>
        </w:trPr>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510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677"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 Dương</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Số thẻ thẩm định viên về giá: XVI25TS.2576</w:t>
            </w:r>
            <w:r/>
          </w:p>
        </w:tc>
        <w:tc>
          <w:tcPr>
            <w:tcBorders/>
            <w:tcMar>
              <w:left w:w="108" w:type="dxa"/>
              <w:top w:w="0" w:type="dxa"/>
              <w:right w:w="108" w:type="dxa"/>
              <w:bottom w:w="0" w:type="dxa"/>
            </w:tcMar>
            <w:tcW w:w="510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Vũ Văn Quân</w:t>
            </w:r>
            <w:r/>
          </w:p>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4"/>
              </w:rPr>
              <w:t xml:space="preserve">Số thẻ thẩm định viên về giá: XII17.1825</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none"/>
        </w:rPr>
        <w:t xml:space="preserve"> </w:t>
      </w:r>
      <w:r/>
    </w:p>
    <w:tbl>
      <w:tblPr>
        <w:tblStyle w:val="996"/>
        <w:tblInd w:w="0" w:type="dxa"/>
        <w:tblW w:w="4800" w:type="pct"/>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62"/>
        <w:gridCol w:w="4762"/>
      </w:tblGrid>
      <w:tr>
        <w:trPr>
          <w:trHeight w:val="20"/>
        </w:trPr>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TRỢ LÝ THẨM ĐỊNH VIÊN</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KIỂM SOÁT VIÊN</w:t>
            </w:r>
            <w:r/>
          </w:p>
        </w:tc>
      </w:tr>
      <w:tr>
        <w:trPr>
          <w:trHeight w:val="143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62" w:type="dxa"/>
            <w:vAlign w:val="bottom"/>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4"/>
              </w:rPr>
              <w:t xml:space="preserve"> </w:t>
            </w:r>
            <w:r/>
          </w:p>
        </w:tc>
      </w:tr>
      <w:tr>
        <w:trPr>
          <w:trHeight w:val="20"/>
        </w:trPr>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Minh Phúc</w:t>
            </w:r>
            <w:r/>
          </w:p>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color w:val="000000"/>
                <w:sz w:val="24"/>
              </w:rPr>
              <w:t xml:space="preserve"> </w:t>
            </w:r>
            <w:r/>
          </w:p>
        </w:tc>
        <w:tc>
          <w:tcPr>
            <w:tcBorders/>
            <w:tcMar>
              <w:left w:w="108" w:type="dxa"/>
              <w:top w:w="0" w:type="dxa"/>
              <w:right w:w="108" w:type="dxa"/>
              <w:bottom w:w="0" w:type="dxa"/>
            </w:tcMar>
            <w:tcW w:w="4762" w:type="dxa"/>
            <w:vAlign w:val="center"/>
            <w:textDirection w:val="lrTb"/>
            <w:noWrap w:val="false"/>
          </w:tcPr>
          <w:p>
            <w:pPr>
              <w:pBdr>
                <w:top w:val="none" w:color="000000" w:sz="4" w:space="0"/>
                <w:left w:val="none" w:color="000000" w:sz="4" w:space="0"/>
                <w:bottom w:val="none" w:color="000000" w:sz="4" w:space="0"/>
                <w:right w:val="none" w:color="000000" w:sz="4" w:space="0"/>
              </w:pBdr>
              <w:spacing w:line="239" w:lineRule="atLeast"/>
              <w:ind w:right="0" w:firstLine="0" w:left="0"/>
              <w:jc w:val="center"/>
              <w:rPr/>
            </w:pPr>
            <w:r>
              <w:rPr>
                <w:rFonts w:ascii="Times New Roman" w:hAnsi="Times New Roman" w:eastAsia="Times New Roman" w:cs="Times New Roman"/>
                <w:b/>
                <w:color w:val="000000"/>
                <w:sz w:val="24"/>
              </w:rPr>
              <w:t xml:space="preserve">Nguyễn Thị Thùy</w:t>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4"/>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u w:val="none"/>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01</w:t>
      </w:r>
      <w:r>
        <w:rPr>
          <w:rFonts w:ascii="Times New Roman" w:hAnsi="Times New Roman" w:eastAsia="Times New Roman" w:cs="Times New Roman"/>
          <w:b/>
          <w:color w:val="000000"/>
          <w:sz w:val="24"/>
        </w:rPr>
        <w:t xml:space="preserve">: THÔNG TIN HIỆN TRẠNG VÀ PHÁP LÝ CỦA TÀI SẢN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275/2026/0699/VFI-BC.57.A ngày 08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758"/>
        <w:gridCol w:w="4757"/>
      </w:tblGrid>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Hướng</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Tổng quan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428750" cy="1905000"/>
                      <wp:effectExtent l="0" t="0" r="0" b="0"/>
                      <wp:docPr id="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50116" name=""/>
                              <pic:cNvPicPr>
                                <a:picLocks noChangeAspect="1"/>
                              </pic:cNvPicPr>
                              <pic:nvPr/>
                            </pic:nvPicPr>
                            <pic:blipFill rotWithShape="1">
                              <a:blip r:embed="rId16"/>
                              <a:stretch/>
                            </pic:blipFill>
                            <pic:spPr bwMode="auto">
                              <a:xfrm>
                                <a:off x="0" y="0"/>
                                <a:ext cx="1428750"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112.50pt;height:150.00pt;mso-wrap-distance-left:0.00pt;mso-wrap-distance-top:0.00pt;mso-wrap-distance-right:0.00pt;mso-wrap-distance-bottom:0.00pt;z-index:1;" stroked="false">
                      <v:imagedata r:id="rId16"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428750" cy="1905000"/>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31666" name=""/>
                              <pic:cNvPicPr>
                                <a:picLocks noChangeAspect="1"/>
                              </pic:cNvPicPr>
                              <pic:nvPr/>
                            </pic:nvPicPr>
                            <pic:blipFill rotWithShape="1">
                              <a:blip r:embed="rId17"/>
                              <a:stretch/>
                            </pic:blipFill>
                            <pic:spPr bwMode="auto">
                              <a:xfrm>
                                <a:off x="0" y="0"/>
                                <a:ext cx="1428750"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12.50pt;height:150.00pt;mso-wrap-distance-left:0.00pt;mso-wrap-distance-top:0.00pt;mso-wrap-distance-right:0.00pt;mso-wrap-distance-bottom:0.00pt;z-index:1;" stroked="false">
                      <v:imagedata r:id="rId17"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Người khảo sát</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Đường trước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428750" cy="1905000"/>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66485" name=""/>
                              <pic:cNvPicPr>
                                <a:picLocks noChangeAspect="1"/>
                              </pic:cNvPicPr>
                              <pic:nvPr/>
                            </pic:nvPicPr>
                            <pic:blipFill rotWithShape="1">
                              <a:blip r:embed="rId18"/>
                              <a:stretch/>
                            </pic:blipFill>
                            <pic:spPr bwMode="auto">
                              <a:xfrm>
                                <a:off x="0" y="0"/>
                                <a:ext cx="1428750"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12.50pt;height:150.00pt;mso-wrap-distance-left:0.00pt;mso-wrap-distance-top:0.00pt;mso-wrap-distance-right:0.00pt;mso-wrap-distance-bottom:0.00pt;z-index:1;" stroked="false">
                      <v:imagedata r:id="rId18"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476500" cy="1857375"/>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259500" name=""/>
                              <pic:cNvPicPr>
                                <a:picLocks noChangeAspect="1"/>
                              </pic:cNvPicPr>
                              <pic:nvPr/>
                            </pic:nvPicPr>
                            <pic:blipFill rotWithShape="1">
                              <a:blip r:embed="rId19"/>
                              <a:stretch/>
                            </pic:blipFill>
                            <pic:spPr bwMode="auto">
                              <a:xfrm>
                                <a:off x="0" y="0"/>
                                <a:ext cx="2476499" cy="18573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5.00pt;height:146.25pt;mso-wrap-distance-left:0.00pt;mso-wrap-distance-top:0.00pt;mso-wrap-distance-right:0.00pt;mso-wrap-distance-bottom:0.00pt;z-index:1;" stroked="false">
                      <v:imagedata r:id="rId19" o:title=""/>
                      <o:lock v:ext="edit" rotation="t"/>
                    </v:shape>
                  </w:pict>
                </mc:Fallback>
              </mc:AlternateConten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i/>
                <w:color w:val="000000"/>
                <w:sz w:val="24"/>
              </w:rPr>
              <w:t xml:space="preserve">Hiện trạng tài sản</w:t>
            </w:r>
            <w:r/>
          </w:p>
        </w:tc>
      </w:tr>
      <w:tr>
        <w:trPr/>
        <w:tc>
          <w:tcPr>
            <w:tcBorders/>
            <w:tcMar>
              <w:left w:w="108" w:type="dxa"/>
              <w:top w:w="0" w:type="dxa"/>
              <w:right w:w="108" w:type="dxa"/>
              <w:bottom w:w="0" w:type="dxa"/>
            </w:tcMar>
            <w:tcW w:w="4758"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1428750" cy="190500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21049" name=""/>
                              <pic:cNvPicPr>
                                <a:picLocks noChangeAspect="1"/>
                              </pic:cNvPicPr>
                              <pic:nvPr/>
                            </pic:nvPicPr>
                            <pic:blipFill rotWithShape="1">
                              <a:blip r:embed="rId20"/>
                              <a:stretch/>
                            </pic:blipFill>
                            <pic:spPr bwMode="auto">
                              <a:xfrm>
                                <a:off x="0" y="0"/>
                                <a:ext cx="1428750" cy="19049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12.50pt;height:150.00pt;mso-wrap-distance-left:0.00pt;mso-wrap-distance-top:0.00pt;mso-wrap-distance-right:0.00pt;mso-wrap-distance-bottom:0.00pt;z-index:1;" stroked="false">
                      <v:imagedata r:id="rId20" o:title=""/>
                      <o:lock v:ext="edit" rotation="t"/>
                    </v:shape>
                  </w:pict>
                </mc:Fallback>
              </mc:AlternateContent>
            </w:r>
            <w:r/>
          </w:p>
        </w:tc>
        <w:tc>
          <w:tcPr>
            <w:tcBorders/>
            <w:tcMar>
              <w:left w:w="108" w:type="dxa"/>
              <w:top w:w="0" w:type="dxa"/>
              <w:right w:w="108" w:type="dxa"/>
              <w:bottom w:w="0" w:type="dxa"/>
            </w:tcMar>
            <w:tcW w:w="4757" w:type="dxa"/>
            <w:vAlign w:val="center"/>
            <w:textDirection w:val="lrTb"/>
            <w:noWrap w:val="false"/>
          </w:tcPr>
          <w:p>
            <w:pPr>
              <w:pBdr>
                <w:top w:val="none" w:color="000000" w:sz="4" w:space="0"/>
                <w:left w:val="none" w:color="000000" w:sz="4" w:space="0"/>
                <w:bottom w:val="none" w:color="000000" w:sz="4" w:space="0"/>
                <w:right w:val="none" w:color="000000" w:sz="4" w:space="0"/>
              </w:pBdr>
              <w:spacing w:after="120"/>
              <w:ind w:right="0" w:firstLine="0" w:left="0"/>
              <w:jc w:val="center"/>
              <w:rPr/>
            </w:pPr>
            <w:r>
              <mc:AlternateContent>
                <mc:Choice Requires="wpg">
                  <w:drawing>
                    <wp:inline xmlns:wp="http://schemas.openxmlformats.org/drawingml/2006/wordprocessingDrawing" distT="0" distB="0" distL="0" distR="0">
                      <wp:extent cx="2371725" cy="178117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425395" name=""/>
                              <pic:cNvPicPr>
                                <a:picLocks noChangeAspect="1"/>
                              </pic:cNvPicPr>
                              <pic:nvPr/>
                            </pic:nvPicPr>
                            <pic:blipFill rotWithShape="1">
                              <a:blip r:embed="rId21"/>
                              <a:stretch/>
                            </pic:blipFill>
                            <pic:spPr bwMode="auto">
                              <a:xfrm>
                                <a:off x="0" y="0"/>
                                <a:ext cx="2371724" cy="17811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86.75pt;height:140.25pt;mso-wrap-distance-left:0.00pt;mso-wrap-distance-top:0.00pt;mso-wrap-distance-right:0.00pt;mso-wrap-distance-bottom:0.00pt;z-index:1;" stroked="false">
                      <v:imagedata r:id="rId21" o:title=""/>
                      <o:lock v:ext="edit" rotation="t"/>
                    </v:shape>
                  </w:pict>
                </mc:Fallback>
              </mc:AlternateContent>
            </w:r>
            <w:r/>
          </w:p>
        </w:tc>
      </w:tr>
    </w:tbl>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w:br w:type="page" w:clear="all"/>
      </w:r>
      <w:r/>
    </w:p>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u w:val="single"/>
        </w:rPr>
        <w:t xml:space="preserve">PHỤ LỤC 02</w:t>
      </w:r>
      <w:r>
        <w:rPr>
          <w:rFonts w:ascii="Times New Roman" w:hAnsi="Times New Roman" w:eastAsia="Times New Roman" w:cs="Times New Roman"/>
          <w:b/>
          <w:color w:val="000000"/>
          <w:sz w:val="24"/>
        </w:rPr>
        <w:t xml:space="preserve">: THÔNG TIN THU THẬP THỊ TRƯỜNG</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i/>
          <w:color w:val="000000"/>
          <w:sz w:val="24"/>
        </w:rPr>
        <w:t xml:space="preserve">(Kèm theo Báo cáo thẩm định số 275/2026/0699/VFI-BC.57.A ngày 08 tháng 5 năm 2026 của </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Công ty Cổ phần Thẩm định và Đầu tư Tài chính Hoa Sen)</w:t>
      </w:r>
      <w:r/>
    </w:p>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b/>
          <w:color w:val="000000"/>
          <w:sz w:val="24"/>
        </w:rPr>
        <w:t xml:space="preserve">TSSS1</w:t>
      </w: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fixed"/>
        <w:tblLook w:val="04A0" w:firstRow="1" w:lastRow="0" w:firstColumn="1" w:lastColumn="0" w:noHBand="0" w:noVBand="1"/>
      </w:tblPr>
      <w:tblGrid>
        <w:gridCol w:w="632"/>
        <w:gridCol w:w="4498"/>
        <w:gridCol w:w="4395"/>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https://www.facebook.com/groups/746498500682194/posts/1335526555112716/</w:t>
              <w:br/>
              <w:t xml:space="preserve"> 0344819088 </w:t>
              <w:br/>
              <w:t xml:space="preserve"> (Minh)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6.804.000.000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6.123.600.000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r>
            <w:commentRangeStart w:id="11"/>
            <w:r>
              <w:rPr>
                <w:rFonts w:ascii="Times New Roman" w:hAnsi="Times New Roman" w:eastAsia="Times New Roman" w:cs="Times New Roman"/>
                <w:color w:val="000000"/>
                <w:sz w:val="22"/>
              </w:rPr>
              <w:t xml:space="preserve">Tháng 05/2026</w:t>
            </w:r>
            <w:commentRangeEnd w:id="11"/>
            <w:r>
              <w:commentReference w:id="11"/>
            </w:r>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(63m²)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khoảng cách ra đường chính Cách trục chính khoảng 50m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8"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395"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8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581275" cy="1685925"/>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175740" name=""/>
                              <pic:cNvPicPr>
                                <a:picLocks noChangeAspect="1"/>
                              </pic:cNvPicPr>
                              <pic:nvPr/>
                            </pic:nvPicPr>
                            <pic:blipFill rotWithShape="1">
                              <a:blip r:embed="rId22"/>
                              <a:stretch/>
                            </pic:blipFill>
                            <pic:spPr bwMode="auto">
                              <a:xfrm>
                                <a:off x="0" y="0"/>
                                <a:ext cx="2581274" cy="16859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3.25pt;height:132.75pt;mso-wrap-distance-left:0.00pt;mso-wrap-distance-top:0.00pt;mso-wrap-distance-right:0.00pt;mso-wrap-distance-bottom:0.00pt;z-index:1;" stroked="false">
                      <v:imagedata r:id="rId22"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3571875" cy="160972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19795" name=""/>
                              <pic:cNvPicPr>
                                <a:picLocks noChangeAspect="1"/>
                              </pic:cNvPicPr>
                              <pic:nvPr/>
                            </pic:nvPicPr>
                            <pic:blipFill rotWithShape="1">
                              <a:blip r:embed="rId23"/>
                              <a:stretch/>
                            </pic:blipFill>
                            <pic:spPr bwMode="auto">
                              <a:xfrm>
                                <a:off x="0" y="0"/>
                                <a:ext cx="3571875" cy="160972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81.25pt;height:126.75pt;mso-wrap-distance-left:0.00pt;mso-wrap-distance-top:0.00pt;mso-wrap-distance-right:0.00pt;mso-wrap-distance-bottom:0.00pt;z-index:1;" stroked="false">
                      <v:imagedata r:id="rId23"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1400175" cy="185737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915951" name=""/>
                              <pic:cNvPicPr>
                                <a:picLocks noChangeAspect="1"/>
                              </pic:cNvPicPr>
                              <pic:nvPr/>
                            </pic:nvPicPr>
                            <pic:blipFill rotWithShape="1">
                              <a:blip r:embed="rId24"/>
                              <a:stretch/>
                            </pic:blipFill>
                            <pic:spPr bwMode="auto">
                              <a:xfrm>
                                <a:off x="0" y="0"/>
                                <a:ext cx="1400174" cy="18573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10.25pt;height:146.25pt;mso-wrap-distance-left:0.00pt;mso-wrap-distance-top:0.00pt;mso-wrap-distance-right:0.00pt;mso-wrap-distance-bottom:0.00pt;z-index:1;" stroked="false">
                      <v:imagedata r:id="rId24"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4010025" cy="213360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49457" name=""/>
                              <pic:cNvPicPr>
                                <a:picLocks noChangeAspect="1"/>
                              </pic:cNvPicPr>
                              <pic:nvPr/>
                            </pic:nvPicPr>
                            <pic:blipFill rotWithShape="1">
                              <a:blip r:embed="rId25"/>
                              <a:stretch/>
                            </pic:blipFill>
                            <pic:spPr bwMode="auto">
                              <a:xfrm>
                                <a:off x="0" y="0"/>
                                <a:ext cx="4010024" cy="21335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15.75pt;height:168.00pt;mso-wrap-distance-left:0.00pt;mso-wrap-distance-top:0.00pt;mso-wrap-distance-right:0.00pt;mso-wrap-distance-bottom:0.00pt;z-index:1;" stroked="false">
                      <v:imagedata r:id="rId25" o:title=""/>
                      <o:lock v:ext="edit" rotation="t"/>
                    </v:shape>
                  </w:pict>
                </mc:Fallback>
              </mc:AlternateContent>
              <w:t xml:space="preserve">    </w:t>
            </w: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120"/>
        <w:ind w:right="0" w:firstLine="0" w:left="0"/>
        <w:jc w:val="center"/>
        <w:rPr/>
      </w:pPr>
      <w:r>
        <w:rPr>
          <w:rFonts w:ascii="Times New Roman" w:hAnsi="Times New Roman" w:eastAsia="Times New Roman" w:cs="Times New Roman"/>
          <w:i/>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i/>
          <w:color w:val="000000"/>
          <w:sz w:val="24"/>
        </w:rPr>
        <w:t xml:space="preserve"> </w:t>
      </w:r>
      <w:r/>
    </w:p>
    <w:tbl>
      <w:tblPr>
        <w:tblStyle w:val="99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358"/>
        <w:gridCol w:w="4701"/>
      </w:tblGrid>
      <w:tr>
        <w:trPr>
          <w:trHeight w:val="29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308"/>
        </w:trPr>
        <w:tc>
          <w:tcPr>
            <w:tcBorders/>
            <w:tcMar>
              <w:left w:w="108" w:type="dxa"/>
              <w:top w:w="0" w:type="dxa"/>
              <w:right w:w="108" w:type="dxa"/>
              <w:bottom w:w="0" w:type="dxa"/>
            </w:tcMar>
            <w:tcW w:w="435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01"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4"/>
              </w:rPr>
              <w:t xml:space="preserve">Nguyễn Minh Phúc</w:t>
            </w:r>
            <w:r>
              <w:rPr>
                <w:b/>
                <w:bCs/>
              </w:rPr>
            </w:r>
            <w:r>
              <w:rPr>
                <w:b/>
                <w:bCs/>
              </w:rP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rPr/>
      </w:pPr>
      <w:r>
        <w:br w:type="page" w:clear="all"/>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 </w:t>
      </w:r>
      <w:r>
        <w:rPr>
          <w:rFonts w:ascii="Times New Roman" w:hAnsi="Times New Roman" w:eastAsia="Times New Roman" w:cs="Times New Roman"/>
          <w:b/>
          <w:color w:val="000000"/>
          <w:sz w:val="24"/>
        </w:rPr>
        <w:t xml:space="preserve">TSSS2</w:t>
      </w: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TSSS2</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https://alonhadat.com.vn/xa-hang-manh-57m2-mat-4-5m-duong-9m-khu-dau-gia-nam-yen-so-hoai-duc-chi-7-ty-16281246.html</w:t>
              <w:br/>
              <w:t xml:space="preserve"> 0389.211.891 </w:t>
              <w:br/>
              <w:t xml:space="preserve"> (Nguyễn Thành Huy)</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7.000.000.000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6.300.000.000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(57m²)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Thành phố Hà Nội, khoảng cách ra đường chính  Cách đường Yên Sở khoảng 400m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nhựa có vỉa hè</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57</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4.5</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 </w:t>
            </w:r>
            <w:r>
              <mc:AlternateContent>
                <mc:Choice Requires="wpg">
                  <w:drawing>
                    <wp:inline xmlns:wp="http://schemas.openxmlformats.org/drawingml/2006/wordprocessingDrawing" distT="0" distB="0" distL="0" distR="0">
                      <wp:extent cx="2723537" cy="1588730"/>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647754" name=""/>
                              <pic:cNvPicPr>
                                <a:picLocks noChangeAspect="1"/>
                              </pic:cNvPicPr>
                              <pic:nvPr/>
                            </pic:nvPicPr>
                            <pic:blipFill rotWithShape="1">
                              <a:blip r:embed="rId26"/>
                              <a:stretch/>
                            </pic:blipFill>
                            <pic:spPr bwMode="auto">
                              <a:xfrm flipH="0" flipV="0">
                                <a:off x="0" y="0"/>
                                <a:ext cx="2723536" cy="158872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14.45pt;height:125.10pt;mso-wrap-distance-left:0.00pt;mso-wrap-distance-top:0.00pt;mso-wrap-distance-right:0.00pt;mso-wrap-distance-bottom:0.00pt;z-index:1;" stroked="false">
                      <v:imagedata r:id="rId26" o:title=""/>
                      <o:lock v:ext="edit" rotation="t"/>
                    </v:shape>
                  </w:pict>
                </mc:Fallback>
              </mc:AlternateContent>
            </w:r>
            <w:r>
              <w:rPr>
                <w:rFonts w:ascii="Times New Roman" w:hAnsi="Times New Roman" w:eastAsia="Times New Roman" w:cs="Times New Roman"/>
                <w:color w:val="000000"/>
                <w:sz w:val="22"/>
              </w:rPr>
              <w:t xml:space="preserve"> </w:t>
              <mc:AlternateContent>
                <mc:Choice Requires="wpg">
                  <w:drawing>
                    <wp:inline xmlns:wp="http://schemas.openxmlformats.org/drawingml/2006/wordprocessingDrawing" distT="0" distB="0" distL="0" distR="0">
                      <wp:extent cx="2654551" cy="1597327"/>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6451" name=""/>
                              <pic:cNvPicPr>
                                <a:picLocks noChangeAspect="1"/>
                              </pic:cNvPicPr>
                              <pic:nvPr/>
                            </pic:nvPicPr>
                            <pic:blipFill rotWithShape="1">
                              <a:blip r:embed="rId27"/>
                              <a:stretch/>
                            </pic:blipFill>
                            <pic:spPr bwMode="auto">
                              <a:xfrm flipH="0" flipV="0">
                                <a:off x="0" y="0"/>
                                <a:ext cx="2654550" cy="15973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209.02pt;height:125.77pt;mso-wrap-distance-left:0.00pt;mso-wrap-distance-top:0.00pt;mso-wrap-distance-right:0.00pt;mso-wrap-distance-bottom:0.00pt;z-index:1;" stroked="false">
                      <v:imagedata r:id="rId27" o:title=""/>
                      <o:lock v:ext="edit" rotation="t"/>
                    </v:shape>
                  </w:pict>
                </mc:Fallback>
              </mc:AlternateContent>
              <w:t xml:space="preserve">      </w:t>
            </w:r>
            <w:r>
              <w:rPr>
                <w:rFonts w:ascii="Times New Roman" w:hAnsi="Times New Roman" w:eastAsia="Times New Roman" w:cs="Times New Roman"/>
                <w:color w:val="000000"/>
                <w:sz w:val="22"/>
              </w:rPr>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jc w:val="center"/>
        <w:rPr/>
      </w:pPr>
      <w:r>
        <w:rPr>
          <w:rFonts w:ascii="Times New Roman" w:hAnsi="Times New Roman" w:eastAsia="Times New Roman" w:cs="Times New Roman"/>
          <w:color w:val="000000"/>
          <w:sz w:val="24"/>
        </w:rPr>
      </w:r>
      <w:r/>
    </w:p>
    <w:tbl>
      <w:tblPr>
        <w:tblStyle w:val="99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4"/>
              </w:rPr>
              <w:t xml:space="preserve">Nguyễn Minh Phúc</w:t>
            </w:r>
            <w:r>
              <w:rPr>
                <w:rFonts w:ascii="Times New Roman" w:hAnsi="Times New Roman" w:eastAsia="Times New Roman" w:cs="Times New Roman"/>
                <w:color w:val="000000"/>
                <w:sz w:val="24"/>
              </w:rPr>
              <w:t xml:space="preserve"> </w:t>
            </w:r>
            <w:r>
              <w:rPr>
                <w:b/>
                <w:bCs/>
              </w:rPr>
            </w:r>
            <w:r>
              <w:rPr>
                <w:b/>
                <w:bCs/>
              </w:rP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rPr>
      </w:pPr>
      <w:r>
        <w:rPr>
          <w:rFonts w:ascii="Times New Roman" w:hAnsi="Times New Roman" w:eastAsia="Times New Roman" w:cs="Times New Roman"/>
          <w:b/>
          <w:color w:val="000000"/>
          <w:sz w:val="24"/>
        </w:rPr>
        <w:t xml:space="preserve">                                                                  </w:t>
      </w:r>
      <w:r>
        <w:rPr>
          <w:rFonts w:ascii="Times New Roman" w:hAnsi="Times New Roman" w:eastAsia="Times New Roman" w:cs="Times New Roman"/>
          <w:b/>
          <w:bCs/>
          <w:color w:val="000000"/>
          <w:sz w:val="24"/>
          <w:szCs w:val="24"/>
        </w:rPr>
      </w:r>
      <w:r>
        <w:rPr>
          <w:rFonts w:ascii="Times New Roman" w:hAnsi="Times New Roman" w:eastAsia="Times New Roman" w:cs="Times New Roman"/>
          <w:b/>
          <w:bCs/>
          <w:color w:val="000000"/>
          <w:sz w:val="24"/>
          <w:szCs w:val="24"/>
        </w:rP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highlight w:val="none"/>
        </w:rPr>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p>
      <w:pPr>
        <w:pBdr>
          <w:top w:val="none" w:color="000000" w:sz="4" w:space="0"/>
          <w:left w:val="none" w:color="000000" w:sz="4" w:space="0"/>
          <w:bottom w:val="none" w:color="000000" w:sz="4" w:space="0"/>
          <w:right w:val="none" w:color="000000" w:sz="4" w:space="0"/>
        </w:pBdr>
        <w:spacing w:after="200" w:line="276" w:lineRule="auto"/>
        <w:ind w:right="0" w:firstLine="0" w:left="0"/>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                                                                    TSSS 3</w:t>
      </w:r>
      <w:r>
        <w:rPr>
          <w:rFonts w:ascii="Times New Roman" w:hAnsi="Times New Roman" w:eastAsia="Times New Roman" w:cs="Times New Roman"/>
          <w:b/>
          <w:bCs/>
          <w:color w:val="000000"/>
          <w:sz w:val="24"/>
          <w:szCs w:val="24"/>
          <w:highlight w:val="none"/>
        </w:rPr>
      </w:r>
      <w:r>
        <w:rPr>
          <w:rFonts w:ascii="Times New Roman" w:hAnsi="Times New Roman" w:eastAsia="Times New Roman" w:cs="Times New Roman"/>
          <w:b/>
          <w:bCs/>
          <w:color w:val="000000"/>
          <w:sz w:val="24"/>
          <w:szCs w:val="24"/>
          <w:highlight w:val="none"/>
        </w:rPr>
      </w:r>
    </w:p>
    <w:tbl>
      <w:tblPr>
        <w:tblStyle w:val="996"/>
        <w:tblInd w:w="0"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single" w:color="000000" w:sz="4" w:space="0"/>
          <w:insideV w:val="single" w:color="000000" w:sz="4" w:space="0"/>
        </w:tblBorders>
        <w:tblLayout w:type="autofit"/>
        <w:tblLook w:val="04A0" w:firstRow="1" w:lastRow="0" w:firstColumn="1" w:lastColumn="0" w:noHBand="0" w:noVBand="1"/>
      </w:tblPr>
      <w:tblGrid>
        <w:gridCol w:w="632"/>
        <w:gridCol w:w="4493"/>
        <w:gridCol w:w="4494"/>
      </w:tblGrid>
      <w:tr>
        <w:trPr>
          <w:trHeight w:val="20"/>
        </w:trPr>
        <w:tc>
          <w:tcPr>
            <w:tcBorders>
              <w:top w:val="single" w:color="000000" w:sz="8" w:space="0"/>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STT</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ĐẶC ĐIỂM BĐS</w:t>
            </w:r>
            <w:r/>
          </w:p>
        </w:tc>
        <w:tc>
          <w:tcPr>
            <w:tcBorders>
              <w:top w:val="single" w:color="000000" w:sz="8" w:space="0"/>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TSSS3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A</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b/>
                <w:color w:val="000000"/>
                <w:sz w:val="22"/>
              </w:rPr>
              <w:t xml:space="preserve">Thông tin về tài sản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Nguồn tham khảo</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https://guland.vn/post/dep-me-ly-hang-moi-hot-51m-yen-so-o-to-do-cua-mt-rong-dep-cach-vai-buoc-ra-truc-chinh-o-to-tranh-2177958 SĐT: 0333058140 </w:t>
              <w:br/>
              <w:t xml:space="preserve"> (Nguyễn Bích)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rao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4.230.000.000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Giá thương lượng/bán (đồng)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3.807.000.000</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Tình trạng giao dịch</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Đang giao dịch</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điểm thu thập thông tin</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Tháng 04/2026</w:t>
            </w:r>
            <w:r/>
          </w:p>
        </w:tc>
      </w:tr>
      <w:tr>
        <w:trPr>
          <w:trHeight w:val="20"/>
        </w:trPr>
        <w:tc>
          <w:tcPr>
            <w:shd w:val="clear" w:color="ffffff" w:fill="ffffff"/>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jc w:val="center"/>
              <w:rPr/>
            </w:pPr>
            <w:r>
              <w:rPr>
                <w:rFonts w:ascii="Times New Roman" w:hAnsi="Times New Roman" w:eastAsia="Times New Roman" w:cs="Times New Roman"/>
                <w:color w:val="000000"/>
                <w:sz w:val="22"/>
              </w:rPr>
              <w:t xml:space="preserve">6</w:t>
            </w:r>
            <w:r/>
          </w:p>
        </w:tc>
        <w:tc>
          <w:tcPr>
            <w:shd w:val="clear" w:color="ffffff" w:fill="ffffff"/>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hd w:val="clear" w:color="ffffff" w:fill="ffffff"/>
              <w:spacing w:line="276" w:lineRule="auto"/>
              <w:ind w:right="0" w:firstLine="0" w:left="0"/>
              <w:rPr/>
            </w:pPr>
            <w:r>
              <w:rPr>
                <w:rFonts w:ascii="Times New Roman" w:hAnsi="Times New Roman" w:eastAsia="Times New Roman" w:cs="Times New Roman"/>
                <w:color w:val="000000"/>
                <w:sz w:val="22"/>
              </w:rPr>
              <w:t xml:space="preserve">Pháp lý</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Giấy chứng nhận quyền sử dụng đất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7</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Mục đích sử dụng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Đất ở nông thôn (51m²)</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8</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Thời hạn sử dụng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Đất ở nông thôn – Lâu dài</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9</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Vị trí</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Tài sản tại: Xã Yên Sở, Huyện Hoài Đức, Thành phố Hà Nội, khoảng cách ra đường chính Cách đường Yên Sở khoảng 100m</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10</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Giao thông</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Đường bê tông</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11</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Diện tích đất (m²)</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51</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12</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Mặt tiền (m)</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5.33</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13</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Số lượng mặt tiếp giáp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Tiếp giáp 1 mặt tiền</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14</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Hình dáng thửa đất</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Hình chữ nhật</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B</w:t>
            </w:r>
            <w:r/>
          </w:p>
        </w:tc>
        <w:tc>
          <w:tcPr>
            <w:tcBorders>
              <w:bottom w:val="single" w:color="000000" w:sz="8" w:space="0"/>
              <w:right w:val="single" w:color="000000" w:sz="8" w:space="0"/>
            </w:tcBorders>
            <w:tcMar>
              <w:left w:w="108" w:type="dxa"/>
              <w:top w:w="0" w:type="dxa"/>
              <w:right w:w="108" w:type="dxa"/>
              <w:bottom w:w="0" w:type="dxa"/>
            </w:tcMar>
            <w:tcW w:w="4493"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w:rPr>
                <w:rFonts w:ascii="Times New Roman" w:hAnsi="Times New Roman" w:eastAsia="Times New Roman" w:cs="Times New Roman"/>
                <w:color w:val="000000"/>
                <w:sz w:val="22"/>
              </w:rPr>
              <w:t xml:space="preserve">Bằng chứng thu thập</w:t>
            </w:r>
            <w:r/>
          </w:p>
        </w:tc>
        <w:tc>
          <w:tcPr>
            <w:tcBorders>
              <w:bottom w:val="single" w:color="000000" w:sz="8" w:space="0"/>
              <w:right w:val="single" w:color="000000" w:sz="8" w:space="0"/>
            </w:tcBorders>
            <w:tcMar>
              <w:left w:w="108" w:type="dxa"/>
              <w:top w:w="0" w:type="dxa"/>
              <w:right w:w="108" w:type="dxa"/>
              <w:bottom w:w="0" w:type="dxa"/>
            </w:tcMar>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color w:val="000000"/>
                <w:sz w:val="22"/>
              </w:rPr>
              <w:t xml:space="preserve"> </w:t>
            </w:r>
            <w:r/>
          </w:p>
        </w:tc>
      </w:tr>
      <w:tr>
        <w:trPr>
          <w:trHeight w:val="20"/>
        </w:trPr>
        <w:tc>
          <w:tcPr>
            <w:tcBorders>
              <w:left w:val="single" w:color="000000" w:sz="8" w:space="0"/>
              <w:bottom w:val="single" w:color="000000" w:sz="8" w:space="0"/>
              <w:right w:val="single" w:color="000000" w:sz="8" w:space="0"/>
            </w:tcBorders>
            <w:tcMar>
              <w:left w:w="108" w:type="dxa"/>
              <w:top w:w="0" w:type="dxa"/>
              <w:right w:w="108" w:type="dxa"/>
              <w:bottom w:w="0" w:type="dxa"/>
            </w:tcMar>
            <w:tcW w:w="632" w:type="dxa"/>
            <w:vAlign w:val="center"/>
            <w:textDirection w:val="lrTb"/>
            <w:noWrap/>
          </w:tcPr>
          <w:p>
            <w:pPr>
              <w:pBdr>
                <w:top w:val="none" w:color="000000" w:sz="4" w:space="0"/>
                <w:left w:val="none" w:color="000000" w:sz="4" w:space="0"/>
                <w:bottom w:val="none" w:color="000000" w:sz="4" w:space="0"/>
                <w:right w:val="none" w:color="000000" w:sz="4" w:space="0"/>
              </w:pBdr>
              <w:spacing w:line="276" w:lineRule="auto"/>
              <w:ind w:right="0" w:firstLine="0" w:left="0"/>
              <w:jc w:val="center"/>
              <w:rPr/>
            </w:pPr>
            <w:r>
              <w:rPr>
                <w:rFonts w:ascii="Times New Roman" w:hAnsi="Times New Roman" w:eastAsia="Times New Roman" w:cs="Times New Roman"/>
                <w:b/>
                <w:color w:val="000000"/>
                <w:sz w:val="22"/>
              </w:rPr>
              <w:t xml:space="preserve"> </w:t>
            </w:r>
            <w:r/>
          </w:p>
        </w:tc>
        <w:tc>
          <w:tcPr>
            <w:gridSpan w:val="2"/>
            <w:tcBorders>
              <w:bottom w:val="single" w:color="000000" w:sz="8" w:space="0"/>
              <w:right w:val="single" w:color="000000" w:sz="8" w:space="0"/>
            </w:tcBorders>
            <w:tcMar>
              <w:left w:w="108" w:type="dxa"/>
              <w:top w:w="0" w:type="dxa"/>
              <w:right w:w="108" w:type="dxa"/>
              <w:bottom w:w="0" w:type="dxa"/>
            </w:tcMar>
            <w:tcW w:w="8987" w:type="dxa"/>
            <w:vAlign w:val="center"/>
            <w:textDirection w:val="lrTb"/>
            <w:noWrap w:val="false"/>
          </w:tcPr>
          <w:p>
            <w:pPr>
              <w:pBdr>
                <w:top w:val="none" w:color="000000" w:sz="4" w:space="0"/>
                <w:left w:val="none" w:color="000000" w:sz="4" w:space="0"/>
                <w:bottom w:val="none" w:color="000000" w:sz="4" w:space="0"/>
                <w:right w:val="none" w:color="000000" w:sz="4" w:space="0"/>
              </w:pBdr>
              <w:spacing w:line="276" w:lineRule="auto"/>
              <w:ind w:right="0" w:firstLine="0" w:left="0"/>
              <w:rPr/>
            </w:pPr>
            <w:r>
              <mc:AlternateContent>
                <mc:Choice Requires="wpg">
                  <w:drawing>
                    <wp:inline xmlns:wp="http://schemas.openxmlformats.org/drawingml/2006/wordprocessingDrawing" distT="0" distB="0" distL="0" distR="0">
                      <wp:extent cx="2784438" cy="2071158"/>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30416" name=""/>
                              <pic:cNvPicPr>
                                <a:picLocks noChangeAspect="1"/>
                              </pic:cNvPicPr>
                              <pic:nvPr/>
                            </pic:nvPicPr>
                            <pic:blipFill rotWithShape="1">
                              <a:blip r:embed="rId28"/>
                              <a:stretch/>
                            </pic:blipFill>
                            <pic:spPr bwMode="auto">
                              <a:xfrm flipH="0" flipV="0">
                                <a:off x="0" y="0"/>
                                <a:ext cx="2784437" cy="20711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19.25pt;height:163.08pt;mso-wrap-distance-left:0.00pt;mso-wrap-distance-top:0.00pt;mso-wrap-distance-right:0.00pt;mso-wrap-distance-bottom:0.00pt;z-index:1;" stroked="false">
                      <v:imagedata r:id="rId28" o:title=""/>
                      <o:lock v:ext="edit" rotation="t"/>
                    </v:shape>
                  </w:pict>
                </mc:Fallback>
              </mc:AlternateContent>
            </w:r>
            <w:r>
              <w:rPr>
                <w:rFonts w:ascii="Times New Roman" w:hAnsi="Times New Roman" w:eastAsia="Times New Roman" w:cs="Times New Roman"/>
                <w:color w:val="000000"/>
                <w:sz w:val="22"/>
              </w:rPr>
              <w:t xml:space="preserve"> </w:t>
            </w:r>
            <w:r>
              <w:rPr>
                <w:rFonts w:ascii="Times New Roman" w:hAnsi="Times New Roman" w:eastAsia="Times New Roman" w:cs="Times New Roman"/>
                <w:color w:val="000000"/>
                <w:sz w:val="22"/>
              </w:rPr>
              <mc:AlternateContent>
                <mc:Choice Requires="wpg">
                  <w:drawing>
                    <wp:inline xmlns:wp="http://schemas.openxmlformats.org/drawingml/2006/wordprocessingDrawing" distT="0" distB="0" distL="0" distR="0">
                      <wp:extent cx="2675372" cy="2071158"/>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51982" name=""/>
                              <pic:cNvPicPr>
                                <a:picLocks noChangeAspect="1"/>
                              </pic:cNvPicPr>
                              <pic:nvPr/>
                            </pic:nvPicPr>
                            <pic:blipFill rotWithShape="1">
                              <a:blip r:embed="rId29"/>
                              <a:stretch/>
                            </pic:blipFill>
                            <pic:spPr bwMode="auto">
                              <a:xfrm flipH="0" flipV="0">
                                <a:off x="0" y="0"/>
                                <a:ext cx="2675372" cy="2071158"/>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210.66pt;height:163.08pt;mso-wrap-distance-left:0.00pt;mso-wrap-distance-top:0.00pt;mso-wrap-distance-right:0.00pt;mso-wrap-distance-bottom:0.00pt;z-index:1;" stroked="false">
                      <v:imagedata r:id="rId29" o:title=""/>
                      <o:lock v:ext="edit" rotation="t"/>
                    </v:shape>
                  </w:pict>
                </mc:Fallback>
              </mc:AlternateContent>
            </w:r>
            <w:r>
              <w:rPr>
                <w:rFonts w:ascii="Times New Roman" w:hAnsi="Times New Roman" w:eastAsia="Times New Roman" w:cs="Times New Roman"/>
                <w:color w:val="000000"/>
                <w:sz w:val="22"/>
              </w:rPr>
              <w:t xml:space="preserve"> </w:t>
            </w: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tbl>
      <w:tblPr>
        <w:tblStyle w:val="996"/>
        <w:tblInd w:w="108"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4427"/>
        <w:gridCol w:w="4776"/>
      </w:tblGrid>
      <w:tr>
        <w:trPr>
          <w:trHeight w:val="31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Người thu thập thông tin</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r>
      <w:tr>
        <w:trPr>
          <w:trHeight w:val="322"/>
        </w:trPr>
        <w:tc>
          <w:tcPr>
            <w:tcBorders/>
            <w:tcMar>
              <w:left w:w="108" w:type="dxa"/>
              <w:top w:w="0" w:type="dxa"/>
              <w:right w:w="108" w:type="dxa"/>
              <w:bottom w:w="0" w:type="dxa"/>
            </w:tcMar>
            <w:tcW w:w="4427"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 </w:t>
            </w:r>
            <w:r/>
          </w:p>
        </w:tc>
        <w:tc>
          <w:tcPr>
            <w:tcBorders/>
            <w:tcMar>
              <w:left w:w="108" w:type="dxa"/>
              <w:top w:w="0" w:type="dxa"/>
              <w:right w:w="108" w:type="dxa"/>
              <w:bottom w:w="0" w:type="dxa"/>
            </w:tcMar>
            <w:tcW w:w="4776"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b/>
                <w:bCs/>
              </w:rPr>
            </w:pPr>
            <w:r>
              <w:rPr>
                <w:rFonts w:ascii="Times New Roman" w:hAnsi="Times New Roman" w:eastAsia="Times New Roman" w:cs="Times New Roman"/>
                <w:b/>
                <w:bCs/>
                <w:color w:val="000000"/>
                <w:sz w:val="24"/>
              </w:rPr>
              <w:t xml:space="preserve">Nguyễn Minh Phúc</w:t>
            </w:r>
            <w:r>
              <w:rPr>
                <w:rFonts w:ascii="Times New Roman" w:hAnsi="Times New Roman" w:eastAsia="Times New Roman" w:cs="Times New Roman"/>
                <w:b/>
                <w:bCs/>
                <w:color w:val="000000"/>
                <w:sz w:val="24"/>
              </w:rPr>
              <w:t xml:space="preserve"> </w:t>
            </w:r>
            <w:r>
              <w:rPr>
                <w:b/>
                <w:bCs/>
              </w:rPr>
            </w:r>
            <w:r>
              <w:rPr>
                <w:b/>
                <w:bCs/>
              </w:rPr>
            </w:r>
          </w:p>
        </w:tc>
      </w:tr>
    </w:tbl>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HỒ SƠ PHÁP LÝ</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48375" cy="806767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18386" name=""/>
                        <pic:cNvPicPr>
                          <a:picLocks noChangeAspect="1"/>
                        </pic:cNvPicPr>
                        <pic:nvPr/>
                      </pic:nvPicPr>
                      <pic:blipFill rotWithShape="1">
                        <a:blip r:embed="rId30"/>
                        <a:stretch/>
                      </pic:blipFill>
                      <pic:spPr bwMode="auto">
                        <a:xfrm>
                          <a:off x="0" y="0"/>
                          <a:ext cx="6048374" cy="8067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76.25pt;height:635.25pt;mso-wrap-distance-left:0.00pt;mso-wrap-distance-top:0.00pt;mso-wrap-distance-right:0.00pt;mso-wrap-distance-bottom:0.00pt;z-index:1;" stroked="false">
                <v:imagedata r:id="rId30"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5648325" cy="7915275"/>
                <wp:effectExtent l="0" t="0" r="0" b="0"/>
                <wp:docPr id="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34205" name=""/>
                        <pic:cNvPicPr>
                          <a:picLocks noChangeAspect="1"/>
                        </pic:cNvPicPr>
                        <pic:nvPr/>
                      </pic:nvPicPr>
                      <pic:blipFill rotWithShape="1">
                        <a:blip r:embed="rId31"/>
                        <a:stretch/>
                      </pic:blipFill>
                      <pic:spPr bwMode="auto">
                        <a:xfrm>
                          <a:off x="0" y="0"/>
                          <a:ext cx="5648324" cy="791527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444.75pt;height:623.25pt;mso-wrap-distance-left:0.00pt;mso-wrap-distance-top:0.00pt;mso-wrap-distance-right:0.00pt;mso-wrap-distance-bottom:0.00pt;z-index:1;" stroked="false">
                <v:imagedata r:id="rId31"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5895975" cy="8315325"/>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15882" name=""/>
                        <pic:cNvPicPr>
                          <a:picLocks noChangeAspect="1"/>
                        </pic:cNvPicPr>
                        <pic:nvPr/>
                      </pic:nvPicPr>
                      <pic:blipFill rotWithShape="1">
                        <a:blip r:embed="rId32"/>
                        <a:stretch/>
                      </pic:blipFill>
                      <pic:spPr bwMode="auto">
                        <a:xfrm>
                          <a:off x="0" y="0"/>
                          <a:ext cx="5895974" cy="831532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464.25pt;height:654.75pt;mso-wrap-distance-left:0.00pt;mso-wrap-distance-top:0.00pt;mso-wrap-distance-right:0.00pt;mso-wrap-distance-bottom:0.00pt;z-index:1;" stroked="false">
                <v:imagedata r:id="rId32" o:title=""/>
                <o:lock v:ext="edit" rotation="t"/>
              </v:shape>
            </w:pict>
          </mc:Fallback>
        </mc:AlternateConten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t xml:space="preserve"> </w:t>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w:rPr>
          <w:rFonts w:ascii="Times New Roman" w:hAnsi="Times New Roman" w:eastAsia="Times New Roman" w:cs="Times New Roman"/>
          <w:b/>
          <w:color w:val="000000"/>
          <w:sz w:val="24"/>
        </w:rPr>
      </w:r>
      <w:commentRangeStart w:id="12"/>
      <w:r>
        <w:rPr>
          <w:rFonts w:ascii="Times New Roman" w:hAnsi="Times New Roman" w:eastAsia="Times New Roman" w:cs="Times New Roman"/>
          <w:b/>
          <w:color w:val="000000"/>
          <w:sz w:val="24"/>
        </w:rPr>
        <w:t xml:space="preserve">                                               BIÊN BẢN KHẢO SÁT</w:t>
      </w:r>
      <w:commentRangeEnd w:id="12"/>
      <w:r>
        <w:commentReference w:id="12"/>
      </w:r>
      <w:r/>
      <w:r/>
    </w:p>
    <w:p>
      <w:pPr>
        <w:pBdr>
          <w:top w:val="none" w:color="000000" w:sz="4" w:space="0"/>
          <w:left w:val="none" w:color="000000" w:sz="4" w:space="0"/>
          <w:bottom w:val="none" w:color="000000" w:sz="4" w:space="0"/>
          <w:right w:val="none" w:color="000000" w:sz="4" w:space="0"/>
        </w:pBdr>
        <w:spacing w:after="200" w:line="276" w:lineRule="auto"/>
        <w:ind w:right="0" w:firstLine="0" w:left="0"/>
        <w:rPr/>
      </w:pPr>
      <w:r>
        <mc:AlternateContent>
          <mc:Choice Requires="wpg">
            <w:drawing>
              <wp:inline xmlns:wp="http://schemas.openxmlformats.org/drawingml/2006/wordprocessingDrawing" distT="0" distB="0" distL="0" distR="0">
                <wp:extent cx="6048375" cy="8064500"/>
                <wp:effectExtent l="0" t="0" r="0" b="0"/>
                <wp:docPr id="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8885" name=""/>
                        <pic:cNvPicPr>
                          <a:picLocks noChangeAspect="1"/>
                        </pic:cNvPicPr>
                        <pic:nvPr/>
                      </pic:nvPicPr>
                      <pic:blipFill rotWithShape="1">
                        <a:blip r:embed="rId33"/>
                        <a:stretch/>
                      </pic:blipFill>
                      <pic:spPr bwMode="auto">
                        <a:xfrm>
                          <a:off x="0" y="0"/>
                          <a:ext cx="6048374" cy="806449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476.25pt;height:635.00pt;mso-wrap-distance-left:0.00pt;mso-wrap-distance-top:0.00pt;mso-wrap-distance-right:0.00pt;mso-wrap-distance-bottom:0.00pt;z-index:1;" stroked="false">
                <v:imagedata r:id="rId33" o:title=""/>
                <o:lock v:ext="edit" rotation="t"/>
              </v:shape>
            </w:pict>
          </mc:Fallback>
        </mc:AlternateContent>
      </w:r>
      <w:r/>
    </w:p>
    <w:p>
      <w:pPr>
        <w:pBdr/>
        <w:spacing/>
        <w:ind/>
        <w:rPr/>
      </w:pPr>
      <w:r/>
      <w:r/>
    </w:p>
    <w:sectPr>
      <w:footerReference w:type="even" r:id="rId9"/>
      <w:footnotePr/>
      <w:endnotePr/>
      <w:type w:val="nextPage"/>
      <w:pgSz w:h="16839" w:orient="portrait" w:w="11907"/>
      <w:pgMar w:top="1134" w:right="851" w:bottom="1134" w:left="1531" w:header="284" w:footer="431" w:gutter="0"/>
      <w:pgNumType w:start="1"/>
      <w:cols w:num="1" w:sep="0" w:space="720" w:equalWidth="1"/>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Nguyễn Thị Thùy Dương" w:date="2026-05-08T11:31:42Z" w:initials="NTTD">
    <w:p w14:paraId="00000001" w14:textId="00000001">
      <w:pPr>
        <w:spacing w:line="240" w:after="0" w:lineRule="auto" w:before="0"/>
        <w:ind w:firstLine="0" w:left="0" w:right="0"/>
        <w:jc w:val="left"/>
      </w:pPr>
      <w:r>
        <w:rPr>
          <w:rFonts w:eastAsia="Arial" w:ascii="Arial" w:hAnsi="Arial" w:cs="Arial"/>
          <w:sz w:val="22"/>
        </w:rPr>
        <w:t xml:space="preserve">BBKS chưa dùng bản có ck</w:t>
      </w:r>
    </w:p>
  </w:comment>
  <w:comment w:id="11" w:author="Nguyễn Thị Thùy Dương" w:date="2026-05-08T11:29:11Z" w:initials="NTTD">
    <w:p w14:paraId="00000002" w14:textId="00000002">
      <w:pPr>
        <w:spacing w:line="240" w:after="0" w:lineRule="auto" w:before="0"/>
        <w:ind w:firstLine="0" w:left="0" w:right="0"/>
        <w:jc w:val="left"/>
      </w:pPr>
      <w:r>
        <w:rPr>
          <w:rFonts w:eastAsia="Arial" w:ascii="Arial" w:hAnsi="Arial" w:cs="Arial"/>
          <w:sz w:val="22"/>
        </w:rPr>
        <w:t xml:space="preserve">Tháng 5</w:t>
      </w:r>
    </w:p>
  </w:comment>
  <w:comment w:id="10" w:author="Nguyễn Thị Thùy Dương" w:date="2026-05-08T11:25:29Z" w:initials="NTTD">
    <w:p w14:paraId="00000003" w14:textId="00000003">
      <w:pPr>
        <w:spacing w:line="240" w:after="0" w:lineRule="auto" w:before="0"/>
        <w:ind w:firstLine="0" w:left="0" w:right="0"/>
        <w:jc w:val="left"/>
      </w:pPr>
      <w:r>
        <w:rPr>
          <w:rFonts w:eastAsia="Arial" w:ascii="Arial" w:hAnsi="Arial" w:cs="Arial"/>
          <w:sz w:val="22"/>
        </w:rPr>
        <w:t xml:space="preserve">Yếu tố này mô tả ở đâu?</w:t>
      </w:r>
    </w:p>
  </w:comment>
  <w:comment w:id="9" w:author="Nguyễn Thị Thùy Dương" w:date="2026-05-08T11:21:42Z" w:initials="NTTD">
    <w:p w14:paraId="00000004" w14:textId="00000004">
      <w:pPr>
        <w:spacing w:line="240" w:after="0" w:lineRule="auto" w:before="0"/>
        <w:ind w:firstLine="0" w:left="0" w:right="0"/>
        <w:jc w:val="left"/>
      </w:pPr>
      <w:r>
        <w:rPr>
          <w:rFonts w:eastAsia="Arial" w:ascii="Arial" w:hAnsi="Arial" w:cs="Arial"/>
          <w:sz w:val="22"/>
        </w:rPr>
        <w:t xml:space="preserve">Tháng 5</w:t>
      </w:r>
    </w:p>
  </w:comment>
  <w:comment w:id="8" w:author="Nguyễn Thị Thùy Dương" w:date="2026-05-08T11:35:14Z" w:initials="NTTD">
    <w:p w14:paraId="00000005" w14:textId="00000005">
      <w:pPr>
        <w:spacing w:line="240" w:after="0" w:lineRule="auto" w:before="0"/>
        <w:ind w:firstLine="0" w:left="0" w:right="0"/>
        <w:jc w:val="left"/>
      </w:pPr>
      <w:r>
        <w:rPr>
          <w:rFonts w:eastAsia="Arial" w:ascii="Arial" w:hAnsi="Arial" w:cs="Arial"/>
          <w:sz w:val="22"/>
        </w:rPr>
        <w:t xml:space="preserve">Sao đánh số theo mẫu mất hết vậy em?</w:t>
      </w:r>
    </w:p>
  </w:comment>
  <w:comment w:id="7" w:author="Nguyễn Thị Thùy Dương" w:date="2026-05-08T11:35:37Z" w:initials="NTTD">
    <w:p w14:paraId="00000006" w14:textId="00000006">
      <w:pPr>
        <w:spacing w:line="240" w:after="0" w:lineRule="auto" w:before="0"/>
        <w:ind w:firstLine="0" w:left="0" w:right="0"/>
        <w:jc w:val="left"/>
      </w:pPr>
      <w:r>
        <w:rPr>
          <w:rFonts w:eastAsia="Arial" w:ascii="Arial" w:hAnsi="Arial" w:cs="Arial"/>
          <w:sz w:val="22"/>
        </w:rPr>
        <w:t xml:space="preserve">Sao đánh số theo Mẫu mất hết vậy em?</w:t>
      </w:r>
    </w:p>
  </w:comment>
  <w:comment w:id="6" w:author="Nguyễn Thị Thùy Dương" w:date="2026-05-08T11:17:38Z" w:initials="NTTD">
    <w:p w14:paraId="00000007" w14:textId="00000007">
      <w:pPr>
        <w:spacing w:line="240" w:after="0" w:lineRule="auto" w:before="0"/>
        <w:ind w:firstLine="0" w:left="0" w:right="0"/>
        <w:jc w:val="left"/>
      </w:pPr>
      <w:r>
        <w:rPr>
          <w:rFonts w:eastAsia="Arial" w:ascii="Arial" w:hAnsi="Arial" w:cs="Arial"/>
          <w:sz w:val="22"/>
        </w:rPr>
        <w:t xml:space="preserve">Bổ sung thông tin quy hoạch</w:t>
      </w:r>
    </w:p>
  </w:comment>
  <w:comment w:id="5" w:author="Nguyễn Thị Thùy Dương" w:date="2026-05-08T11:16:38Z" w:initials="NTTD">
    <w:p w14:paraId="00000008" w14:textId="00000008">
      <w:pPr>
        <w:spacing w:line="240" w:after="0" w:lineRule="auto" w:before="0"/>
        <w:ind w:firstLine="0" w:left="0" w:right="0"/>
        <w:jc w:val="left"/>
      </w:pPr>
      <w:r>
        <w:rPr>
          <w:rFonts w:eastAsia="Arial" w:ascii="Arial" w:hAnsi="Arial" w:cs="Arial"/>
          <w:sz w:val="22"/>
        </w:rPr>
        <w:t xml:space="preserve">sửa lại</w:t>
      </w:r>
    </w:p>
  </w:comment>
  <w:comment w:id="4" w:author="Nguyễn Thị Thùy Dương" w:date="2026-05-08T11:13:52Z" w:initials="NTTD">
    <w:p w14:paraId="00000009" w14:textId="00000009">
      <w:pPr>
        <w:spacing w:line="240" w:after="0" w:lineRule="auto" w:before="0"/>
        <w:ind w:firstLine="0" w:left="0" w:right="0"/>
        <w:jc w:val="left"/>
      </w:pPr>
      <w:r>
        <w:rPr>
          <w:rFonts w:eastAsia="Arial" w:ascii="Arial" w:hAnsi="Arial" w:cs="Arial"/>
          <w:sz w:val="22"/>
        </w:rPr>
        <w:t xml:space="preserve">Xem lại</w:t>
      </w:r>
    </w:p>
  </w:comment>
  <w:comment w:id="3" w:author="Nguyễn Thị Thùy Dương" w:date="2026-05-08T11:11:22Z" w:initials="NTTD">
    <w:p w14:paraId="0000000A" w14:textId="0000000A">
      <w:pPr>
        <w:spacing w:line="240" w:after="0" w:lineRule="auto" w:before="0"/>
        <w:ind w:firstLine="0" w:left="0" w:right="0"/>
        <w:jc w:val="left"/>
      </w:pPr>
      <w:r>
        <w:rPr>
          <w:rFonts w:eastAsia="Arial" w:ascii="Arial" w:hAnsi="Arial" w:cs="Arial"/>
          <w:sz w:val="22"/>
        </w:rPr>
        <w:t xml:space="preserve">Ghi đúng mục đích trong sổ "Đất ở tại nông thôn"</w:t>
      </w:r>
    </w:p>
  </w:comment>
  <w:comment w:id="2" w:author="Nguyễn Thị Thùy Dương" w:date="2026-05-08T11:09:43Z" w:initials="NTTD">
    <w:p w14:paraId="0000000B" w14:textId="0000000B">
      <w:pPr>
        <w:spacing w:line="240" w:after="0" w:lineRule="auto" w:before="0"/>
        <w:ind w:firstLine="0" w:left="0" w:right="0"/>
        <w:jc w:val="left"/>
      </w:pPr>
      <w:r>
        <w:rPr>
          <w:rFonts w:eastAsia="Arial" w:ascii="Arial" w:hAnsi="Arial" w:cs="Arial"/>
          <w:sz w:val="22"/>
        </w:rPr>
        <w:t xml:space="preserve">Hà Nội</w:t>
      </w:r>
    </w:p>
  </w:comment>
  <w:comment w:id="1" w:author="Nguyễn Thị Thùy Dương" w:date="2026-05-08T11:38:38Z" w:initials="NTTD">
    <w:p w14:paraId="0000000C" w14:textId="0000000C">
      <w:pPr>
        <w:spacing w:line="240" w:after="0" w:lineRule="auto" w:before="0"/>
        <w:ind w:firstLine="0" w:left="0" w:right="0"/>
        <w:jc w:val="left"/>
      </w:pPr>
      <w:r>
        <w:rPr>
          <w:rFonts w:eastAsia="Arial" w:ascii="Arial" w:hAnsi="Arial" w:cs="Arial"/>
          <w:sz w:val="22"/>
        </w:rPr>
        <w:t xml:space="preserve">sửa xong bên dưới xe đánh số lại</w:t>
      </w:r>
    </w:p>
  </w:comment>
  <w:comment w:id="0" w:author="Nguyễn Thị Thùy Dương" w:date="2026-05-08T11:03:29Z" w:initials="NTTD">
    <w:p w14:paraId="0000000D" w14:textId="0000000D">
      <w:pPr>
        <w:spacing w:line="240" w:after="0" w:lineRule="auto" w:before="0"/>
        <w:ind w:firstLine="0" w:left="0" w:right="0"/>
        <w:jc w:val="left"/>
      </w:pPr>
      <w:r>
        <w:rPr>
          <w:rFonts w:eastAsia="Arial" w:ascii="Arial" w:hAnsi="Arial" w:cs="Arial"/>
          <w:sz w:val="22"/>
        </w:rPr>
        <w:t xml:space="preserve">Bổ sung viền bảng</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061109FE" w16cex:dateUtc="2026-05-08T04:31:42Z"/>
  <w16cex:commentExtensible w16cex:durableId="5F4327E9" w16cex:dateUtc="2026-05-08T04:29:11Z"/>
  <w16cex:commentExtensible w16cex:durableId="19E3DADD" w16cex:dateUtc="2026-05-08T04:25:29Z"/>
  <w16cex:commentExtensible w16cex:durableId="12F3C356" w16cex:dateUtc="2026-05-08T04:21:42Z"/>
  <w16cex:commentExtensible w16cex:durableId="057BB69B" w16cex:dateUtc="2026-05-08T04:35:14Z"/>
  <w16cex:commentExtensible w16cex:durableId="046AA7D9" w16cex:dateUtc="2026-05-08T04:35:37Z"/>
  <w16cex:commentExtensible w16cex:durableId="04831ADE" w16cex:dateUtc="2026-05-08T04:17:38Z"/>
  <w16cex:commentExtensible w16cex:durableId="1D480A37" w16cex:dateUtc="2026-05-08T04:16:38Z"/>
  <w16cex:commentExtensible w16cex:durableId="27B13604" w16cex:dateUtc="2026-05-08T04:13:52Z"/>
  <w16cex:commentExtensible w16cex:durableId="203F560E" w16cex:dateUtc="2026-05-08T04:11:22Z"/>
  <w16cex:commentExtensible w16cex:durableId="75EAA9C3" w16cex:dateUtc="2026-05-08T04:09:43Z"/>
  <w16cex:commentExtensible w16cex:durableId="62232A7E" w16cex:dateUtc="2026-05-08T04:38:38Z"/>
  <w16cex:commentExtensible w16cex:durableId="62568D00" w16cex:dateUtc="2026-05-08T04:03:29Z"/>
</w16cex:commentsExtensible>
</file>

<file path=word/commentsIds.xml><?xml version="1.0" encoding="utf-8"?>
<w16cid:commentsIds xmlns:mc="http://schemas.openxmlformats.org/markup-compatibility/2006" xmlns:w16cid="http://schemas.microsoft.com/office/word/2016/wordml/cid" mc:Ignorable="w16cid">
  <w16cid:commentId w16cid:paraId="00000001" w16cid:durableId="061109FE"/>
  <w16cid:commentId w16cid:paraId="00000002" w16cid:durableId="5F4327E9"/>
  <w16cid:commentId w16cid:paraId="00000003" w16cid:durableId="19E3DADD"/>
  <w16cid:commentId w16cid:paraId="00000004" w16cid:durableId="12F3C356"/>
  <w16cid:commentId w16cid:paraId="00000005" w16cid:durableId="057BB69B"/>
  <w16cid:commentId w16cid:paraId="00000006" w16cid:durableId="046AA7D9"/>
  <w16cid:commentId w16cid:paraId="00000007" w16cid:durableId="04831ADE"/>
  <w16cid:commentId w16cid:paraId="00000008" w16cid:durableId="1D480A37"/>
  <w16cid:commentId w16cid:paraId="00000009" w16cid:durableId="27B13604"/>
  <w16cid:commentId w16cid:paraId="0000000A" w16cid:durableId="203F560E"/>
  <w16cid:commentId w16cid:paraId="0000000B" w16cid:durableId="75EAA9C3"/>
  <w16cid:commentId w16cid:paraId="0000000C" w16cid:durableId="62232A7E"/>
  <w16cid:commentId w16cid:paraId="0000000D" w16cid:durableId="62568D0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Arial">
    <w:panose1 w:val="020B0604020202020204"/>
  </w:font>
  <w:font w:name="Calibri">
    <w:panose1 w:val="020F050202020403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988"/>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03AC428E"/>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4DE5511B"/>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9">
    <w:nsid w:val="6784853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0">
    <w:nsid w:val="1F80C2E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1">
    <w:nsid w:val="037A1B4F"/>
    <w:lvl w:ilvl="0">
      <w:isLgl w:val="false"/>
      <w:lvlJc w:val="left"/>
      <w:lvlText w:val=""/>
      <w:numFmt w:val="bullet"/>
      <w:pPr>
        <w:pBdr/>
        <w:spacing/>
        <w:ind w:hanging="360" w:left="1080"/>
      </w:pPr>
      <w:rPr>
        <w:rFonts w:hint="default" w:ascii="Wingdings" w:hAnsi="Wingdings" w:eastAsia="Wingdings" w:cs="Wingdings"/>
      </w:rPr>
      <w:start w:val="1"/>
      <w:suff w:val="tab"/>
    </w:lvl>
    <w:lvl w:ilvl="1">
      <w:isLgl w:val="false"/>
      <w:lvlJc w:val="left"/>
      <w:lvlText w:val="o"/>
      <w:numFmt w:val="bullet"/>
      <w:pPr>
        <w:pBdr/>
        <w:spacing/>
        <w:ind w:hanging="360" w:left="1800"/>
      </w:pPr>
      <w:rPr>
        <w:rFonts w:hint="default" w:ascii="Courier New" w:hAnsi="Courier New" w:eastAsia="Courier New" w:cs="Courier New"/>
      </w:rPr>
      <w:start w:val="1"/>
      <w:suff w:val="tab"/>
    </w:lvl>
    <w:lvl w:ilvl="2">
      <w:isLgl w:val="false"/>
      <w:lvlJc w:val="left"/>
      <w:lvlText w:val=""/>
      <w:numFmt w:val="bullet"/>
      <w:pPr>
        <w:pBdr/>
        <w:spacing/>
        <w:ind w:hanging="360" w:left="2520"/>
      </w:pPr>
      <w:rPr>
        <w:rFonts w:hint="default" w:ascii="Wingdings" w:hAnsi="Wingdings" w:eastAsia="Wingdings" w:cs="Wingdings"/>
      </w:rPr>
      <w:start w:val="1"/>
      <w:suff w:val="tab"/>
    </w:lvl>
    <w:lvl w:ilvl="3">
      <w:isLgl w:val="false"/>
      <w:lvlJc w:val="left"/>
      <w:lvlText w:val=""/>
      <w:numFmt w:val="bullet"/>
      <w:pPr>
        <w:pBdr/>
        <w:spacing/>
        <w:ind w:hanging="360" w:left="3240"/>
      </w:pPr>
      <w:rPr>
        <w:rFonts w:hint="default" w:ascii="Symbol" w:hAnsi="Symbol" w:eastAsia="Symbol" w:cs="Symbol"/>
      </w:rPr>
      <w:start w:val="1"/>
      <w:suff w:val="tab"/>
    </w:lvl>
    <w:lvl w:ilvl="4">
      <w:isLgl w:val="false"/>
      <w:lvlJc w:val="left"/>
      <w:lvlText w:val="o"/>
      <w:numFmt w:val="bullet"/>
      <w:pPr>
        <w:pBdr/>
        <w:spacing/>
        <w:ind w:hanging="360" w:left="3960"/>
      </w:pPr>
      <w:rPr>
        <w:rFonts w:hint="default" w:ascii="Courier New" w:hAnsi="Courier New" w:eastAsia="Courier New" w:cs="Courier New"/>
      </w:rPr>
      <w:start w:val="1"/>
      <w:suff w:val="tab"/>
    </w:lvl>
    <w:lvl w:ilvl="5">
      <w:isLgl w:val="false"/>
      <w:lvlJc w:val="left"/>
      <w:lvlText w:val=""/>
      <w:numFmt w:val="bullet"/>
      <w:pPr>
        <w:pBdr/>
        <w:spacing/>
        <w:ind w:hanging="360" w:left="4680"/>
      </w:pPr>
      <w:rPr>
        <w:rFonts w:hint="default" w:ascii="Wingdings" w:hAnsi="Wingdings" w:eastAsia="Wingdings" w:cs="Wingdings"/>
      </w:rPr>
      <w:start w:val="1"/>
      <w:suff w:val="tab"/>
    </w:lvl>
    <w:lvl w:ilvl="6">
      <w:isLgl w:val="false"/>
      <w:lvlJc w:val="left"/>
      <w:lvlText w:val=""/>
      <w:numFmt w:val="bullet"/>
      <w:pPr>
        <w:pBdr/>
        <w:spacing/>
        <w:ind w:hanging="360" w:left="5400"/>
      </w:pPr>
      <w:rPr>
        <w:rFonts w:hint="default" w:ascii="Symbol" w:hAnsi="Symbol" w:eastAsia="Symbol" w:cs="Symbol"/>
      </w:rPr>
      <w:start w:val="1"/>
      <w:suff w:val="tab"/>
    </w:lvl>
    <w:lvl w:ilvl="7">
      <w:isLgl w:val="false"/>
      <w:lvlJc w:val="left"/>
      <w:lvlText w:val="o"/>
      <w:numFmt w:val="bullet"/>
      <w:pPr>
        <w:pBdr/>
        <w:spacing/>
        <w:ind w:hanging="360" w:left="6120"/>
      </w:pPr>
      <w:rPr>
        <w:rFonts w:hint="default" w:ascii="Courier New" w:hAnsi="Courier New" w:eastAsia="Courier New" w:cs="Courier New"/>
      </w:rPr>
      <w:start w:val="1"/>
      <w:suff w:val="tab"/>
    </w:lvl>
    <w:lvl w:ilvl="8">
      <w:isLgl w:val="false"/>
      <w:lvlJc w:val="left"/>
      <w:lvlText w:val=""/>
      <w:numFmt w:val="bullet"/>
      <w:pPr>
        <w:pBdr/>
        <w:spacing/>
        <w:ind w:hanging="360" w:left="6840"/>
      </w:pPr>
      <w:rPr>
        <w:rFonts w:hint="default" w:ascii="Wingdings" w:hAnsi="Wingdings" w:eastAsia="Wingdings" w:cs="Wingdings"/>
      </w:rPr>
      <w:start w:val="1"/>
      <w:suff w:val="tab"/>
    </w:lvl>
  </w:abstractNum>
  <w:abstractNum w:abstractNumId="42">
    <w:nsid w:val="32892360"/>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3">
    <w:nsid w:val="5F228AE1"/>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44">
    <w:nsid w:val="2FD9A3AD"/>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abstractNum w:abstractNumId="45">
    <w:nsid w:val="4C2A70A6"/>
    <w:lvl w:ilvl="0">
      <w:isLgl w:val="false"/>
      <w:lvlJc w:val="left"/>
      <w:lvlText w:val="%1."/>
      <w:numFmt w:val="decimal"/>
      <w:pPr>
        <w:pBdr/>
        <w:spacing/>
        <w:ind w:hanging="360" w:left="709"/>
      </w:pPr>
      <w:rPr/>
      <w:start w:val="1"/>
      <w:suff w:val="tab"/>
    </w:lvl>
    <w:lvl w:ilvl="1">
      <w:isLgl w:val="false"/>
      <w:lvlJc w:val="left"/>
      <w:lvlText w:val="%2."/>
      <w:numFmt w:val="lowerLetter"/>
      <w:pPr>
        <w:pBdr/>
        <w:spacing/>
        <w:ind w:hanging="360" w:left="1429"/>
      </w:pPr>
      <w:rPr/>
      <w:start w:val="1"/>
      <w:suff w:val="tab"/>
    </w:lvl>
    <w:lvl w:ilvl="2">
      <w:isLgl w:val="false"/>
      <w:lvlJc w:val="right"/>
      <w:lvlText w:val="%3."/>
      <w:numFmt w:val="lowerRoman"/>
      <w:pPr>
        <w:pBdr/>
        <w:spacing/>
        <w:ind w:hanging="180" w:left="2149"/>
      </w:pPr>
      <w:rPr/>
      <w:start w:val="1"/>
      <w:suff w:val="tab"/>
    </w:lvl>
    <w:lvl w:ilvl="3">
      <w:isLgl w:val="false"/>
      <w:lvlJc w:val="left"/>
      <w:lvlText w:val="%4."/>
      <w:numFmt w:val="decimal"/>
      <w:pPr>
        <w:pBdr/>
        <w:spacing/>
        <w:ind w:hanging="360" w:left="2869"/>
      </w:pPr>
      <w:rPr/>
      <w:start w:val="1"/>
      <w:suff w:val="tab"/>
    </w:lvl>
    <w:lvl w:ilvl="4">
      <w:isLgl w:val="false"/>
      <w:lvlJc w:val="left"/>
      <w:lvlText w:val="%5."/>
      <w:numFmt w:val="lowerLetter"/>
      <w:pPr>
        <w:pBdr/>
        <w:spacing/>
        <w:ind w:hanging="360" w:left="3589"/>
      </w:pPr>
      <w:rPr/>
      <w:start w:val="1"/>
      <w:suff w:val="tab"/>
    </w:lvl>
    <w:lvl w:ilvl="5">
      <w:isLgl w:val="false"/>
      <w:lvlJc w:val="right"/>
      <w:lvlText w:val="%6."/>
      <w:numFmt w:val="lowerRoman"/>
      <w:pPr>
        <w:pBdr/>
        <w:spacing/>
        <w:ind w:hanging="180" w:left="4309"/>
      </w:pPr>
      <w:rPr/>
      <w:start w:val="1"/>
      <w:suff w:val="tab"/>
    </w:lvl>
    <w:lvl w:ilvl="6">
      <w:isLgl w:val="false"/>
      <w:lvlJc w:val="left"/>
      <w:lvlText w:val="%7."/>
      <w:numFmt w:val="decimal"/>
      <w:pPr>
        <w:pBdr/>
        <w:spacing/>
        <w:ind w:hanging="360" w:left="5029"/>
      </w:pPr>
      <w:rPr/>
      <w:start w:val="1"/>
      <w:suff w:val="tab"/>
    </w:lvl>
    <w:lvl w:ilvl="7">
      <w:isLgl w:val="false"/>
      <w:lvlJc w:val="left"/>
      <w:lvlText w:val="%8."/>
      <w:numFmt w:val="lowerLetter"/>
      <w:pPr>
        <w:pBdr/>
        <w:spacing/>
        <w:ind w:hanging="360" w:left="5749"/>
      </w:pPr>
      <w:rPr/>
      <w:start w:val="1"/>
      <w:suff w:val="tab"/>
    </w:lvl>
    <w:lvl w:ilvl="8">
      <w:isLgl w:val="false"/>
      <w:lvlJc w:val="right"/>
      <w:lvlText w:val="%9."/>
      <w:numFmt w:val="lowerRoman"/>
      <w:pPr>
        <w:pBdr/>
        <w:spacing/>
        <w:ind w:hanging="180" w:left="6469"/>
      </w:pPr>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abstractNumId w:val="41"/>
  </w:num>
  <w:num w:numId="44">
    <w:abstractNumId w:val="42"/>
  </w:num>
  <w:num w:numId="45">
    <w:abstractNumId w:val="43"/>
  </w:num>
  <w:num w:numId="46">
    <w:abstractNumId w:val="44"/>
  </w:num>
  <w:num w:numId="47">
    <w:abstractNumId w:val="4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guyễn Thị Thùy Dương">
    <w15:presenceInfo w15:providerId="Teamlab" w15:userId="ui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04">
    <w:name w:val="Table Grid Light"/>
    <w:basedOn w:val="97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5">
    <w:name w:val="Plain Table 1"/>
    <w:basedOn w:val="976"/>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6">
    <w:name w:val="Plain Table 2"/>
    <w:basedOn w:val="976"/>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7">
    <w:name w:val="Plain Table 3"/>
    <w:basedOn w:val="97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8">
    <w:name w:val="Plain Table 4"/>
    <w:basedOn w:val="97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9">
    <w:name w:val="Plain Table 5"/>
    <w:basedOn w:val="976"/>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0">
    <w:name w:val="Grid Table 1 Light"/>
    <w:basedOn w:val="976"/>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1">
    <w:name w:val="Grid Table 1 Light - Accent 1"/>
    <w:basedOn w:val="97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2">
    <w:name w:val="Grid Table 1 Light - Accent 2"/>
    <w:basedOn w:val="97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3">
    <w:name w:val="Grid Table 1 Light - Accent 3"/>
    <w:basedOn w:val="97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4">
    <w:name w:val="Grid Table 1 Light - Accent 4"/>
    <w:basedOn w:val="97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5">
    <w:name w:val="Grid Table 1 Light - Accent 5"/>
    <w:basedOn w:val="97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6">
    <w:name w:val="Grid Table 1 Light - Accent 6"/>
    <w:basedOn w:val="97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7">
    <w:name w:val="Grid Table 2"/>
    <w:basedOn w:val="97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8">
    <w:name w:val="Grid Table 2 - Accent 1"/>
    <w:basedOn w:val="97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9">
    <w:name w:val="Grid Table 2 - Accent 2"/>
    <w:basedOn w:val="97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0">
    <w:name w:val="Grid Table 2 - Accent 3"/>
    <w:basedOn w:val="97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1">
    <w:name w:val="Grid Table 2 - Accent 4"/>
    <w:basedOn w:val="97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2">
    <w:name w:val="Grid Table 2 - Accent 5"/>
    <w:basedOn w:val="97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3">
    <w:name w:val="Grid Table 2 - Accent 6"/>
    <w:basedOn w:val="97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4">
    <w:name w:val="Grid Table 3"/>
    <w:basedOn w:val="976"/>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5">
    <w:name w:val="Grid Table 3 - Accent 1"/>
    <w:basedOn w:val="976"/>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6">
    <w:name w:val="Grid Table 3 - Accent 2"/>
    <w:basedOn w:val="976"/>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7">
    <w:name w:val="Grid Table 3 - Accent 3"/>
    <w:basedOn w:val="976"/>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8">
    <w:name w:val="Grid Table 3 - Accent 4"/>
    <w:basedOn w:val="976"/>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9">
    <w:name w:val="Grid Table 3 - Accent 5"/>
    <w:basedOn w:val="976"/>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0">
    <w:name w:val="Grid Table 3 - Accent 6"/>
    <w:basedOn w:val="976"/>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1">
    <w:name w:val="Grid Table 4"/>
    <w:basedOn w:val="976"/>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2">
    <w:name w:val="Grid Table 4 - Accent 1"/>
    <w:basedOn w:val="976"/>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3">
    <w:name w:val="Grid Table 4 - Accent 2"/>
    <w:basedOn w:val="976"/>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4">
    <w:name w:val="Grid Table 4 - Accent 3"/>
    <w:basedOn w:val="976"/>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5">
    <w:name w:val="Grid Table 4 - Accent 4"/>
    <w:basedOn w:val="976"/>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6">
    <w:name w:val="Grid Table 4 - Accent 5"/>
    <w:basedOn w:val="976"/>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7">
    <w:name w:val="Grid Table 4 - Accent 6"/>
    <w:basedOn w:val="976"/>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Grid Table 5 Dark"/>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Grid Table 5 Dark- Accent 1"/>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Grid Table 5 Dark - Accent 2"/>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Grid Table 5 Dark - Accent 3"/>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Grid Table 5 Dark- Accent 4"/>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5 Dark - Accent 5"/>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5 Dark - Accent 6"/>
    <w:basedOn w:val="976"/>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6 Colorful"/>
    <w:basedOn w:val="976"/>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46">
    <w:name w:val="Grid Table 6 Colorful - Accent 1"/>
    <w:basedOn w:val="976"/>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47">
    <w:name w:val="Grid Table 6 Colorful - Accent 2"/>
    <w:basedOn w:val="97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48">
    <w:name w:val="Grid Table 6 Colorful - Accent 3"/>
    <w:basedOn w:val="976"/>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49">
    <w:name w:val="Grid Table 6 Colorful - Accent 4"/>
    <w:basedOn w:val="97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50">
    <w:name w:val="Grid Table 6 Colorful - Accent 5"/>
    <w:basedOn w:val="976"/>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51">
    <w:name w:val="Grid Table 6 Colorful - Accent 6"/>
    <w:basedOn w:val="976"/>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52">
    <w:name w:val="Grid Table 7 Colorful"/>
    <w:basedOn w:val="976"/>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7 Colorful - Accent 1"/>
    <w:basedOn w:val="976"/>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7 Colorful - Accent 2"/>
    <w:basedOn w:val="976"/>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7 Colorful - Accent 3"/>
    <w:basedOn w:val="976"/>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7 Colorful - Accent 4"/>
    <w:basedOn w:val="976"/>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7 Colorful - Accent 5"/>
    <w:basedOn w:val="976"/>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7 Colorful - Accent 6"/>
    <w:basedOn w:val="976"/>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List Table 1 Light"/>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List Table 1 Light - Accent 1"/>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List Table 1 Light - Accent 2"/>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List Table 1 Light - Accent 3"/>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List Table 1 Light - Accent 4"/>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List Table 1 Light - Accent 5"/>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List Table 1 Light - Accent 6"/>
    <w:basedOn w:val="976"/>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List Table 2"/>
    <w:basedOn w:val="976"/>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List Table 2 - Accent 1"/>
    <w:basedOn w:val="976"/>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List Table 2 - Accent 2"/>
    <w:basedOn w:val="976"/>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List Table 2 - Accent 3"/>
    <w:basedOn w:val="976"/>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List Table 2 - Accent 4"/>
    <w:basedOn w:val="976"/>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List Table 2 - Accent 5"/>
    <w:basedOn w:val="976"/>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List Table 2 - Accent 6"/>
    <w:basedOn w:val="976"/>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List Table 3"/>
    <w:basedOn w:val="97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List Table 3 - Accent 1"/>
    <w:basedOn w:val="976"/>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List Table 3 - Accent 2"/>
    <w:basedOn w:val="976"/>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List Table 3 - Accent 3"/>
    <w:basedOn w:val="976"/>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List Table 3 - Accent 4"/>
    <w:basedOn w:val="976"/>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List Table 3 - Accent 5"/>
    <w:basedOn w:val="976"/>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List Table 3 - Accent 6"/>
    <w:basedOn w:val="976"/>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List Table 4"/>
    <w:basedOn w:val="976"/>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List Table 4 - Accent 1"/>
    <w:basedOn w:val="976"/>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List Table 4 - Accent 2"/>
    <w:basedOn w:val="976"/>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List Table 4 - Accent 3"/>
    <w:basedOn w:val="976"/>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List Table 4 - Accent 4"/>
    <w:basedOn w:val="976"/>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List Table 4 - Accent 5"/>
    <w:basedOn w:val="976"/>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List Table 4 - Accent 6"/>
    <w:basedOn w:val="976"/>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List Table 5 Dark"/>
    <w:basedOn w:val="976"/>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8">
    <w:name w:val="List Table 5 Dark - Accent 1"/>
    <w:basedOn w:val="976"/>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89">
    <w:name w:val="List Table 5 Dark - Accent 2"/>
    <w:basedOn w:val="976"/>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90">
    <w:name w:val="List Table 5 Dark - Accent 3"/>
    <w:basedOn w:val="976"/>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91">
    <w:name w:val="List Table 5 Dark - Accent 4"/>
    <w:basedOn w:val="976"/>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92">
    <w:name w:val="List Table 5 Dark - Accent 5"/>
    <w:basedOn w:val="976"/>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93">
    <w:name w:val="List Table 5 Dark - Accent 6"/>
    <w:basedOn w:val="976"/>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894">
    <w:name w:val="List Table 6 Colorful"/>
    <w:basedOn w:val="976"/>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6 Colorful - Accent 1"/>
    <w:basedOn w:val="976"/>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6 Colorful - Accent 2"/>
    <w:basedOn w:val="976"/>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6 Colorful - Accent 3"/>
    <w:basedOn w:val="976"/>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6 Colorful - Accent 4"/>
    <w:basedOn w:val="976"/>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6 Colorful - Accent 5"/>
    <w:basedOn w:val="976"/>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6 Colorful - Accent 6"/>
    <w:basedOn w:val="976"/>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7 Colorful"/>
    <w:basedOn w:val="976"/>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02">
    <w:name w:val="List Table 7 Colorful - Accent 1"/>
    <w:basedOn w:val="976"/>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03">
    <w:name w:val="List Table 7 Colorful - Accent 2"/>
    <w:basedOn w:val="976"/>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04">
    <w:name w:val="List Table 7 Colorful - Accent 3"/>
    <w:basedOn w:val="976"/>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05">
    <w:name w:val="List Table 7 Colorful - Accent 4"/>
    <w:basedOn w:val="976"/>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06">
    <w:name w:val="List Table 7 Colorful - Accent 5"/>
    <w:basedOn w:val="976"/>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07">
    <w:name w:val="List Table 7 Colorful - Accent 6"/>
    <w:basedOn w:val="976"/>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08">
    <w:name w:val="Lined - Accent"/>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ned - Accent 1"/>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ned - Accent 2"/>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ned - Accent 3"/>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ned - Accent 4"/>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ned - Accent 5"/>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ned - Accent 6"/>
    <w:basedOn w:val="976"/>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Bordered &amp; Lined - Accent"/>
    <w:basedOn w:val="976"/>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Bordered &amp; Lined - Accent 1"/>
    <w:basedOn w:val="976"/>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Bordered &amp; Lined - Accent 2"/>
    <w:basedOn w:val="976"/>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Bordered &amp; Lined - Accent 3"/>
    <w:basedOn w:val="976"/>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Bordered &amp; Lined - Accent 4"/>
    <w:basedOn w:val="976"/>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Bordered &amp; Lined - Accent 5"/>
    <w:basedOn w:val="976"/>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Bordered &amp; Lined - Accent 6"/>
    <w:basedOn w:val="976"/>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Bordered"/>
    <w:basedOn w:val="976"/>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Bordered - Accent 1"/>
    <w:basedOn w:val="976"/>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Bordered - Accent 2"/>
    <w:basedOn w:val="976"/>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Bordered - Accent 3"/>
    <w:basedOn w:val="976"/>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Bordered - Accent 4"/>
    <w:basedOn w:val="976"/>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Bordered - Accent 5"/>
    <w:basedOn w:val="976"/>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Bordered - Accent 6"/>
    <w:basedOn w:val="976"/>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29">
    <w:name w:val="Heading 5"/>
    <w:basedOn w:val="970"/>
    <w:next w:val="970"/>
    <w:link w:val="93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30">
    <w:name w:val="Heading 6"/>
    <w:basedOn w:val="970"/>
    <w:next w:val="970"/>
    <w:link w:val="93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31">
    <w:name w:val="Heading 7"/>
    <w:basedOn w:val="970"/>
    <w:next w:val="970"/>
    <w:link w:val="93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32">
    <w:name w:val="Heading 8"/>
    <w:basedOn w:val="970"/>
    <w:next w:val="970"/>
    <w:link w:val="93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33">
    <w:name w:val="Heading 9"/>
    <w:basedOn w:val="970"/>
    <w:next w:val="970"/>
    <w:link w:val="93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34">
    <w:name w:val="Heading 5 Char"/>
    <w:basedOn w:val="975"/>
    <w:link w:val="929"/>
    <w:uiPriority w:val="9"/>
    <w:pPr>
      <w:pBdr/>
      <w:spacing/>
      <w:ind/>
    </w:pPr>
    <w:rPr>
      <w:rFonts w:ascii="Arial" w:hAnsi="Arial" w:eastAsia="Arial" w:cs="Arial"/>
      <w:color w:val="0f4761" w:themeColor="accent1" w:themeShade="BF"/>
    </w:rPr>
  </w:style>
  <w:style w:type="character" w:styleId="935">
    <w:name w:val="Heading 6 Char"/>
    <w:basedOn w:val="975"/>
    <w:link w:val="930"/>
    <w:uiPriority w:val="9"/>
    <w:pPr>
      <w:pBdr/>
      <w:spacing/>
      <w:ind/>
    </w:pPr>
    <w:rPr>
      <w:rFonts w:ascii="Arial" w:hAnsi="Arial" w:eastAsia="Arial" w:cs="Arial"/>
      <w:i/>
      <w:iCs/>
      <w:color w:val="595959" w:themeColor="text1" w:themeTint="A6"/>
    </w:rPr>
  </w:style>
  <w:style w:type="character" w:styleId="936">
    <w:name w:val="Heading 7 Char"/>
    <w:basedOn w:val="975"/>
    <w:link w:val="931"/>
    <w:uiPriority w:val="9"/>
    <w:pPr>
      <w:pBdr/>
      <w:spacing/>
      <w:ind/>
    </w:pPr>
    <w:rPr>
      <w:rFonts w:ascii="Arial" w:hAnsi="Arial" w:eastAsia="Arial" w:cs="Arial"/>
      <w:color w:val="595959" w:themeColor="text1" w:themeTint="A6"/>
    </w:rPr>
  </w:style>
  <w:style w:type="character" w:styleId="937">
    <w:name w:val="Heading 8 Char"/>
    <w:basedOn w:val="975"/>
    <w:link w:val="932"/>
    <w:uiPriority w:val="9"/>
    <w:pPr>
      <w:pBdr/>
      <w:spacing/>
      <w:ind/>
    </w:pPr>
    <w:rPr>
      <w:rFonts w:ascii="Arial" w:hAnsi="Arial" w:eastAsia="Arial" w:cs="Arial"/>
      <w:i/>
      <w:iCs/>
      <w:color w:val="272727" w:themeColor="text1" w:themeTint="D8"/>
    </w:rPr>
  </w:style>
  <w:style w:type="character" w:styleId="938">
    <w:name w:val="Heading 9 Char"/>
    <w:basedOn w:val="975"/>
    <w:link w:val="933"/>
    <w:uiPriority w:val="9"/>
    <w:pPr>
      <w:pBdr/>
      <w:spacing/>
      <w:ind/>
    </w:pPr>
    <w:rPr>
      <w:rFonts w:ascii="Arial" w:hAnsi="Arial" w:eastAsia="Arial" w:cs="Arial"/>
      <w:i/>
      <w:iCs/>
      <w:color w:val="272727" w:themeColor="text1" w:themeTint="D8"/>
    </w:rPr>
  </w:style>
  <w:style w:type="paragraph" w:styleId="939">
    <w:name w:val="Subtitle"/>
    <w:basedOn w:val="970"/>
    <w:next w:val="970"/>
    <w:link w:val="940"/>
    <w:uiPriority w:val="11"/>
    <w:qFormat/>
    <w:pPr>
      <w:numPr>
        <w:ilvl w:val="1"/>
      </w:numPr>
      <w:pBdr/>
      <w:spacing/>
      <w:ind/>
    </w:pPr>
    <w:rPr>
      <w:color w:val="595959" w:themeColor="text1" w:themeTint="A6"/>
      <w:spacing w:val="15"/>
      <w:sz w:val="28"/>
      <w:szCs w:val="28"/>
    </w:rPr>
  </w:style>
  <w:style w:type="character" w:styleId="940">
    <w:name w:val="Subtitle Char"/>
    <w:basedOn w:val="975"/>
    <w:link w:val="939"/>
    <w:uiPriority w:val="11"/>
    <w:pPr>
      <w:pBdr/>
      <w:spacing/>
      <w:ind/>
    </w:pPr>
    <w:rPr>
      <w:color w:val="595959" w:themeColor="text1" w:themeTint="A6"/>
      <w:spacing w:val="15"/>
      <w:sz w:val="28"/>
      <w:szCs w:val="28"/>
    </w:rPr>
  </w:style>
  <w:style w:type="paragraph" w:styleId="941">
    <w:name w:val="Quote"/>
    <w:basedOn w:val="970"/>
    <w:next w:val="970"/>
    <w:link w:val="942"/>
    <w:uiPriority w:val="29"/>
    <w:qFormat/>
    <w:pPr>
      <w:pBdr/>
      <w:spacing w:before="160"/>
      <w:ind/>
      <w:jc w:val="center"/>
    </w:pPr>
    <w:rPr>
      <w:i/>
      <w:iCs/>
      <w:color w:val="404040" w:themeColor="text1" w:themeTint="BF"/>
    </w:rPr>
  </w:style>
  <w:style w:type="character" w:styleId="942">
    <w:name w:val="Quote Char"/>
    <w:basedOn w:val="975"/>
    <w:link w:val="941"/>
    <w:uiPriority w:val="29"/>
    <w:pPr>
      <w:pBdr/>
      <w:spacing/>
      <w:ind/>
    </w:pPr>
    <w:rPr>
      <w:i/>
      <w:iCs/>
      <w:color w:val="404040" w:themeColor="text1" w:themeTint="BF"/>
    </w:rPr>
  </w:style>
  <w:style w:type="character" w:styleId="943">
    <w:name w:val="Intense Emphasis"/>
    <w:basedOn w:val="975"/>
    <w:uiPriority w:val="21"/>
    <w:qFormat/>
    <w:pPr>
      <w:pBdr/>
      <w:spacing/>
      <w:ind/>
    </w:pPr>
    <w:rPr>
      <w:i/>
      <w:iCs/>
      <w:color w:val="0f4761" w:themeColor="accent1" w:themeShade="BF"/>
    </w:rPr>
  </w:style>
  <w:style w:type="paragraph" w:styleId="944">
    <w:name w:val="Intense Quote"/>
    <w:basedOn w:val="970"/>
    <w:next w:val="970"/>
    <w:link w:val="945"/>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45">
    <w:name w:val="Intense Quote Char"/>
    <w:basedOn w:val="975"/>
    <w:link w:val="944"/>
    <w:uiPriority w:val="30"/>
    <w:pPr>
      <w:pBdr/>
      <w:spacing/>
      <w:ind/>
    </w:pPr>
    <w:rPr>
      <w:i/>
      <w:iCs/>
      <w:color w:val="0f4761" w:themeColor="accent1" w:themeShade="BF"/>
    </w:rPr>
  </w:style>
  <w:style w:type="character" w:styleId="946">
    <w:name w:val="Intense Reference"/>
    <w:basedOn w:val="975"/>
    <w:uiPriority w:val="32"/>
    <w:qFormat/>
    <w:pPr>
      <w:pBdr/>
      <w:spacing/>
      <w:ind/>
    </w:pPr>
    <w:rPr>
      <w:b/>
      <w:bCs/>
      <w:smallCaps/>
      <w:color w:val="0f4761" w:themeColor="accent1" w:themeShade="BF"/>
      <w:spacing w:val="5"/>
    </w:rPr>
  </w:style>
  <w:style w:type="paragraph" w:styleId="947">
    <w:name w:val="No Spacing"/>
    <w:basedOn w:val="970"/>
    <w:uiPriority w:val="1"/>
    <w:qFormat/>
    <w:pPr>
      <w:pBdr/>
      <w:spacing w:after="0" w:line="240" w:lineRule="auto"/>
      <w:ind/>
    </w:pPr>
  </w:style>
  <w:style w:type="character" w:styleId="948">
    <w:name w:val="Subtle Emphasis"/>
    <w:basedOn w:val="975"/>
    <w:uiPriority w:val="19"/>
    <w:qFormat/>
    <w:pPr>
      <w:pBdr/>
      <w:spacing/>
      <w:ind/>
    </w:pPr>
    <w:rPr>
      <w:i/>
      <w:iCs/>
      <w:color w:val="404040" w:themeColor="text1" w:themeTint="BF"/>
    </w:rPr>
  </w:style>
  <w:style w:type="character" w:styleId="949">
    <w:name w:val="Subtle Reference"/>
    <w:basedOn w:val="975"/>
    <w:uiPriority w:val="31"/>
    <w:qFormat/>
    <w:pPr>
      <w:pBdr/>
      <w:spacing/>
      <w:ind/>
    </w:pPr>
    <w:rPr>
      <w:smallCaps/>
      <w:color w:val="5a5a5a" w:themeColor="text1" w:themeTint="A5"/>
    </w:rPr>
  </w:style>
  <w:style w:type="character" w:styleId="950">
    <w:name w:val="Book Title"/>
    <w:basedOn w:val="975"/>
    <w:uiPriority w:val="33"/>
    <w:qFormat/>
    <w:pPr>
      <w:pBdr/>
      <w:spacing/>
      <w:ind/>
    </w:pPr>
    <w:rPr>
      <w:b/>
      <w:bCs/>
      <w:i/>
      <w:iCs/>
      <w:spacing w:val="5"/>
    </w:rPr>
  </w:style>
  <w:style w:type="paragraph" w:styleId="951">
    <w:name w:val="Caption"/>
    <w:basedOn w:val="970"/>
    <w:next w:val="970"/>
    <w:uiPriority w:val="35"/>
    <w:unhideWhenUsed/>
    <w:qFormat/>
    <w:pPr>
      <w:pBdr/>
      <w:spacing w:after="200" w:line="240" w:lineRule="auto"/>
      <w:ind/>
    </w:pPr>
    <w:rPr>
      <w:i/>
      <w:iCs/>
      <w:color w:val="0e2841" w:themeColor="text2"/>
      <w:sz w:val="18"/>
      <w:szCs w:val="18"/>
    </w:rPr>
  </w:style>
  <w:style w:type="paragraph" w:styleId="952">
    <w:name w:val="footnote text"/>
    <w:basedOn w:val="970"/>
    <w:link w:val="953"/>
    <w:uiPriority w:val="99"/>
    <w:semiHidden/>
    <w:unhideWhenUsed/>
    <w:pPr>
      <w:pBdr/>
      <w:spacing w:after="0" w:line="240" w:lineRule="auto"/>
      <w:ind/>
    </w:pPr>
    <w:rPr>
      <w:sz w:val="20"/>
      <w:szCs w:val="20"/>
    </w:rPr>
  </w:style>
  <w:style w:type="character" w:styleId="953">
    <w:name w:val="Footnote Text Char"/>
    <w:basedOn w:val="975"/>
    <w:link w:val="952"/>
    <w:uiPriority w:val="99"/>
    <w:semiHidden/>
    <w:pPr>
      <w:pBdr/>
      <w:spacing/>
      <w:ind/>
    </w:pPr>
    <w:rPr>
      <w:sz w:val="20"/>
      <w:szCs w:val="20"/>
    </w:rPr>
  </w:style>
  <w:style w:type="character" w:styleId="954">
    <w:name w:val="footnote reference"/>
    <w:basedOn w:val="975"/>
    <w:uiPriority w:val="99"/>
    <w:semiHidden/>
    <w:unhideWhenUsed/>
    <w:pPr>
      <w:pBdr/>
      <w:spacing/>
      <w:ind/>
    </w:pPr>
    <w:rPr>
      <w:vertAlign w:val="superscript"/>
    </w:rPr>
  </w:style>
  <w:style w:type="paragraph" w:styleId="955">
    <w:name w:val="endnote text"/>
    <w:basedOn w:val="970"/>
    <w:link w:val="956"/>
    <w:uiPriority w:val="99"/>
    <w:semiHidden/>
    <w:unhideWhenUsed/>
    <w:pPr>
      <w:pBdr/>
      <w:spacing w:after="0" w:line="240" w:lineRule="auto"/>
      <w:ind/>
    </w:pPr>
    <w:rPr>
      <w:sz w:val="20"/>
      <w:szCs w:val="20"/>
    </w:rPr>
  </w:style>
  <w:style w:type="character" w:styleId="956">
    <w:name w:val="Endnote Text Char"/>
    <w:basedOn w:val="975"/>
    <w:link w:val="955"/>
    <w:uiPriority w:val="99"/>
    <w:semiHidden/>
    <w:pPr>
      <w:pBdr/>
      <w:spacing/>
      <w:ind/>
    </w:pPr>
    <w:rPr>
      <w:sz w:val="20"/>
      <w:szCs w:val="20"/>
    </w:rPr>
  </w:style>
  <w:style w:type="character" w:styleId="957">
    <w:name w:val="endnote reference"/>
    <w:basedOn w:val="975"/>
    <w:uiPriority w:val="99"/>
    <w:semiHidden/>
    <w:unhideWhenUsed/>
    <w:pPr>
      <w:pBdr/>
      <w:spacing/>
      <w:ind/>
    </w:pPr>
    <w:rPr>
      <w:vertAlign w:val="superscript"/>
    </w:rPr>
  </w:style>
  <w:style w:type="paragraph" w:styleId="958">
    <w:name w:val="toc 1"/>
    <w:basedOn w:val="970"/>
    <w:next w:val="970"/>
    <w:uiPriority w:val="39"/>
    <w:unhideWhenUsed/>
    <w:pPr>
      <w:pBdr/>
      <w:spacing w:after="100"/>
      <w:ind/>
    </w:pPr>
  </w:style>
  <w:style w:type="paragraph" w:styleId="959">
    <w:name w:val="toc 2"/>
    <w:basedOn w:val="970"/>
    <w:next w:val="970"/>
    <w:uiPriority w:val="39"/>
    <w:unhideWhenUsed/>
    <w:pPr>
      <w:pBdr/>
      <w:spacing w:after="100"/>
      <w:ind w:left="220"/>
    </w:pPr>
  </w:style>
  <w:style w:type="paragraph" w:styleId="960">
    <w:name w:val="toc 3"/>
    <w:basedOn w:val="970"/>
    <w:next w:val="970"/>
    <w:uiPriority w:val="39"/>
    <w:unhideWhenUsed/>
    <w:pPr>
      <w:pBdr/>
      <w:spacing w:after="100"/>
      <w:ind w:left="440"/>
    </w:pPr>
  </w:style>
  <w:style w:type="paragraph" w:styleId="961">
    <w:name w:val="toc 4"/>
    <w:basedOn w:val="970"/>
    <w:next w:val="970"/>
    <w:uiPriority w:val="39"/>
    <w:unhideWhenUsed/>
    <w:pPr>
      <w:pBdr/>
      <w:spacing w:after="100"/>
      <w:ind w:left="660"/>
    </w:pPr>
  </w:style>
  <w:style w:type="paragraph" w:styleId="962">
    <w:name w:val="toc 5"/>
    <w:basedOn w:val="970"/>
    <w:next w:val="970"/>
    <w:uiPriority w:val="39"/>
    <w:unhideWhenUsed/>
    <w:pPr>
      <w:pBdr/>
      <w:spacing w:after="100"/>
      <w:ind w:left="880"/>
    </w:pPr>
  </w:style>
  <w:style w:type="paragraph" w:styleId="963">
    <w:name w:val="toc 6"/>
    <w:basedOn w:val="970"/>
    <w:next w:val="970"/>
    <w:uiPriority w:val="39"/>
    <w:unhideWhenUsed/>
    <w:pPr>
      <w:pBdr/>
      <w:spacing w:after="100"/>
      <w:ind w:left="1100"/>
    </w:pPr>
  </w:style>
  <w:style w:type="paragraph" w:styleId="964">
    <w:name w:val="toc 7"/>
    <w:basedOn w:val="970"/>
    <w:next w:val="970"/>
    <w:uiPriority w:val="39"/>
    <w:unhideWhenUsed/>
    <w:pPr>
      <w:pBdr/>
      <w:spacing w:after="100"/>
      <w:ind w:left="1320"/>
    </w:pPr>
  </w:style>
  <w:style w:type="paragraph" w:styleId="965">
    <w:name w:val="toc 8"/>
    <w:basedOn w:val="970"/>
    <w:next w:val="970"/>
    <w:uiPriority w:val="39"/>
    <w:unhideWhenUsed/>
    <w:pPr>
      <w:pBdr/>
      <w:spacing w:after="100"/>
      <w:ind w:left="1540"/>
    </w:pPr>
  </w:style>
  <w:style w:type="paragraph" w:styleId="966">
    <w:name w:val="toc 9"/>
    <w:basedOn w:val="970"/>
    <w:next w:val="970"/>
    <w:uiPriority w:val="39"/>
    <w:unhideWhenUsed/>
    <w:pPr>
      <w:pBdr/>
      <w:spacing w:after="100"/>
      <w:ind w:left="1760"/>
    </w:pPr>
  </w:style>
  <w:style w:type="character" w:styleId="967">
    <w:name w:val="Placeholder Text"/>
    <w:basedOn w:val="975"/>
    <w:uiPriority w:val="99"/>
    <w:semiHidden/>
    <w:pPr>
      <w:pBdr/>
      <w:spacing/>
      <w:ind/>
    </w:pPr>
    <w:rPr>
      <w:color w:val="666666"/>
    </w:rPr>
  </w:style>
  <w:style w:type="paragraph" w:styleId="968">
    <w:name w:val="TOC Heading"/>
    <w:uiPriority w:val="39"/>
    <w:unhideWhenUsed/>
    <w:pPr>
      <w:pBdr/>
      <w:spacing/>
      <w:ind/>
    </w:pPr>
  </w:style>
  <w:style w:type="paragraph" w:styleId="969">
    <w:name w:val="table of figures"/>
    <w:basedOn w:val="970"/>
    <w:next w:val="970"/>
    <w:uiPriority w:val="99"/>
    <w:unhideWhenUsed/>
    <w:pPr>
      <w:pBdr/>
      <w:spacing w:after="0" w:afterAutospacing="0"/>
      <w:ind/>
    </w:pPr>
  </w:style>
  <w:style w:type="paragraph" w:styleId="970" w:default="1">
    <w:name w:val="Normal"/>
    <w:qFormat/>
    <w:pPr>
      <w:pBdr/>
      <w:spacing w:after="0" w:line="240" w:lineRule="auto"/>
      <w:ind/>
    </w:pPr>
    <w:rPr>
      <w:rFonts w:ascii="Times New Roman" w:hAnsi="Times New Roman" w:eastAsia="Times New Roman" w:cs="Times New Roman"/>
      <w:sz w:val="24"/>
      <w:szCs w:val="24"/>
    </w:rPr>
  </w:style>
  <w:style w:type="paragraph" w:styleId="971">
    <w:name w:val="Heading 1"/>
    <w:basedOn w:val="970"/>
    <w:next w:val="970"/>
    <w:link w:val="978"/>
    <w:qFormat/>
    <w:pPr>
      <w:keepNext w:val="true"/>
      <w:pBdr/>
      <w:spacing w:after="120" w:before="120"/>
      <w:ind/>
      <w:jc w:val="center"/>
      <w:outlineLvl w:val="0"/>
    </w:pPr>
    <w:rPr>
      <w:b/>
      <w:bCs/>
      <w:sz w:val="27"/>
      <w:szCs w:val="27"/>
    </w:rPr>
  </w:style>
  <w:style w:type="paragraph" w:styleId="972">
    <w:name w:val="Heading 2"/>
    <w:basedOn w:val="970"/>
    <w:next w:val="970"/>
    <w:link w:val="979"/>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973">
    <w:name w:val="Heading 3"/>
    <w:basedOn w:val="970"/>
    <w:next w:val="970"/>
    <w:link w:val="980"/>
    <w:qFormat/>
    <w:pPr>
      <w:keepNext w:val="true"/>
      <w:pBdr/>
      <w:spacing w:before="60"/>
      <w:ind/>
      <w:outlineLvl w:val="2"/>
    </w:pPr>
    <w:rPr>
      <w:sz w:val="28"/>
      <w:szCs w:val="28"/>
    </w:rPr>
  </w:style>
  <w:style w:type="paragraph" w:styleId="974">
    <w:name w:val="Heading 4"/>
    <w:basedOn w:val="970"/>
    <w:next w:val="970"/>
    <w:link w:val="981"/>
    <w:qFormat/>
    <w:pPr>
      <w:keepNext w:val="true"/>
      <w:pBdr/>
      <w:spacing/>
      <w:ind/>
      <w:jc w:val="center"/>
      <w:outlineLvl w:val="3"/>
    </w:pPr>
    <w:rPr>
      <w:b/>
      <w:bCs/>
    </w:rPr>
  </w:style>
  <w:style w:type="character" w:styleId="975" w:default="1">
    <w:name w:val="Default Paragraph Font"/>
    <w:uiPriority w:val="1"/>
    <w:semiHidden/>
    <w:unhideWhenUsed/>
    <w:pPr>
      <w:pBdr/>
      <w:spacing/>
      <w:ind/>
    </w:pPr>
  </w:style>
  <w:style w:type="table" w:styleId="976"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77" w:default="1">
    <w:name w:val="No List"/>
    <w:uiPriority w:val="99"/>
    <w:semiHidden/>
    <w:unhideWhenUsed/>
    <w:pPr>
      <w:pBdr/>
      <w:spacing/>
      <w:ind/>
    </w:pPr>
  </w:style>
  <w:style w:type="character" w:styleId="978" w:customStyle="1">
    <w:name w:val="Heading 1 Char"/>
    <w:basedOn w:val="975"/>
    <w:link w:val="971"/>
    <w:pPr>
      <w:pBdr/>
      <w:spacing/>
      <w:ind/>
    </w:pPr>
    <w:rPr>
      <w:rFonts w:ascii="Times New Roman" w:hAnsi="Times New Roman" w:eastAsia="Times New Roman" w:cs="Times New Roman"/>
      <w:b/>
      <w:bCs/>
      <w:sz w:val="27"/>
      <w:szCs w:val="27"/>
    </w:rPr>
  </w:style>
  <w:style w:type="character" w:styleId="979" w:customStyle="1">
    <w:name w:val="Heading 2 Char"/>
    <w:basedOn w:val="975"/>
    <w:link w:val="972"/>
    <w:uiPriority w:val="9"/>
    <w:pPr>
      <w:pBdr/>
      <w:spacing/>
      <w:ind/>
    </w:pPr>
    <w:rPr>
      <w:rFonts w:asciiTheme="majorHAnsi" w:hAnsiTheme="majorHAnsi" w:eastAsiaTheme="majorEastAsia" w:cstheme="majorBidi"/>
      <w:color w:val="365f91" w:themeColor="accent1" w:themeShade="BF"/>
      <w:sz w:val="26"/>
      <w:szCs w:val="26"/>
    </w:rPr>
  </w:style>
  <w:style w:type="character" w:styleId="980" w:customStyle="1">
    <w:name w:val="Heading 3 Char"/>
    <w:basedOn w:val="975"/>
    <w:link w:val="973"/>
    <w:pPr>
      <w:pBdr/>
      <w:spacing/>
      <w:ind/>
    </w:pPr>
    <w:rPr>
      <w:rFonts w:ascii="Times New Roman" w:hAnsi="Times New Roman" w:eastAsia="Times New Roman" w:cs="Times New Roman"/>
      <w:sz w:val="28"/>
      <w:szCs w:val="28"/>
    </w:rPr>
  </w:style>
  <w:style w:type="character" w:styleId="981" w:customStyle="1">
    <w:name w:val="Heading 4 Char"/>
    <w:basedOn w:val="975"/>
    <w:link w:val="974"/>
    <w:pPr>
      <w:pBdr/>
      <w:spacing/>
      <w:ind/>
    </w:pPr>
    <w:rPr>
      <w:rFonts w:ascii="Times New Roman" w:hAnsi="Times New Roman" w:eastAsia="Times New Roman" w:cs="Times New Roman"/>
      <w:b/>
      <w:bCs/>
      <w:sz w:val="24"/>
      <w:szCs w:val="24"/>
    </w:rPr>
  </w:style>
  <w:style w:type="character" w:styleId="982">
    <w:name w:val="Hyperlink"/>
    <w:uiPriority w:val="99"/>
    <w:pPr>
      <w:pBdr/>
      <w:spacing/>
      <w:ind/>
    </w:pPr>
    <w:rPr>
      <w:color w:val="000000"/>
      <w:u w:val="single"/>
    </w:rPr>
  </w:style>
  <w:style w:type="character" w:styleId="983">
    <w:name w:val="Strong"/>
    <w:uiPriority w:val="22"/>
    <w:qFormat/>
    <w:pPr>
      <w:pBdr/>
      <w:spacing/>
      <w:ind/>
    </w:pPr>
    <w:rPr>
      <w:b/>
      <w:bCs/>
    </w:rPr>
  </w:style>
  <w:style w:type="paragraph" w:styleId="984">
    <w:name w:val="Balloon Text"/>
    <w:basedOn w:val="970"/>
    <w:link w:val="985"/>
    <w:uiPriority w:val="99"/>
    <w:semiHidden/>
    <w:unhideWhenUsed/>
    <w:pPr>
      <w:pBdr/>
      <w:spacing/>
      <w:ind/>
    </w:pPr>
    <w:rPr>
      <w:rFonts w:ascii="Tahoma" w:hAnsi="Tahoma" w:cs="Tahoma"/>
      <w:sz w:val="16"/>
      <w:szCs w:val="16"/>
    </w:rPr>
  </w:style>
  <w:style w:type="character" w:styleId="985" w:customStyle="1">
    <w:name w:val="Balloon Text Char"/>
    <w:basedOn w:val="975"/>
    <w:link w:val="984"/>
    <w:uiPriority w:val="99"/>
    <w:semiHidden/>
    <w:pPr>
      <w:pBdr/>
      <w:spacing/>
      <w:ind/>
    </w:pPr>
    <w:rPr>
      <w:rFonts w:ascii="Tahoma" w:hAnsi="Tahoma" w:eastAsia="Times New Roman" w:cs="Tahoma"/>
      <w:sz w:val="16"/>
      <w:szCs w:val="16"/>
    </w:rPr>
  </w:style>
  <w:style w:type="paragraph" w:styleId="986">
    <w:name w:val="Header"/>
    <w:basedOn w:val="970"/>
    <w:link w:val="987"/>
    <w:unhideWhenUsed/>
    <w:pPr>
      <w:pBdr/>
      <w:tabs>
        <w:tab w:val="center" w:leader="none" w:pos="4680"/>
        <w:tab w:val="right" w:leader="none" w:pos="9360"/>
      </w:tabs>
      <w:spacing/>
      <w:ind/>
    </w:pPr>
  </w:style>
  <w:style w:type="character" w:styleId="987" w:customStyle="1">
    <w:name w:val="Header Char"/>
    <w:basedOn w:val="975"/>
    <w:link w:val="986"/>
    <w:pPr>
      <w:pBdr/>
      <w:spacing/>
      <w:ind/>
    </w:pPr>
    <w:rPr>
      <w:rFonts w:ascii="Times New Roman" w:hAnsi="Times New Roman" w:eastAsia="Times New Roman" w:cs="Times New Roman"/>
      <w:sz w:val="24"/>
      <w:szCs w:val="24"/>
    </w:rPr>
  </w:style>
  <w:style w:type="paragraph" w:styleId="988">
    <w:name w:val="Footer"/>
    <w:basedOn w:val="970"/>
    <w:link w:val="989"/>
    <w:uiPriority w:val="99"/>
    <w:unhideWhenUsed/>
    <w:pPr>
      <w:pBdr/>
      <w:tabs>
        <w:tab w:val="center" w:leader="none" w:pos="4680"/>
        <w:tab w:val="right" w:leader="none" w:pos="9360"/>
      </w:tabs>
      <w:spacing/>
      <w:ind/>
    </w:pPr>
  </w:style>
  <w:style w:type="character" w:styleId="989" w:customStyle="1">
    <w:name w:val="Footer Char"/>
    <w:basedOn w:val="975"/>
    <w:link w:val="988"/>
    <w:uiPriority w:val="99"/>
    <w:pPr>
      <w:pBdr/>
      <w:spacing/>
      <w:ind/>
    </w:pPr>
    <w:rPr>
      <w:rFonts w:ascii="Times New Roman" w:hAnsi="Times New Roman" w:eastAsia="Times New Roman" w:cs="Times New Roman"/>
      <w:sz w:val="24"/>
      <w:szCs w:val="24"/>
    </w:rPr>
  </w:style>
  <w:style w:type="character" w:styleId="990" w:customStyle="1">
    <w:name w:val="normal-h1"/>
    <w:pPr>
      <w:pBdr/>
      <w:spacing/>
      <w:ind/>
    </w:pPr>
    <w:rPr>
      <w:rFonts w:hint="default" w:ascii=".VnTime" w:hAnsi=".VnTime"/>
      <w:color w:val="0000ff"/>
      <w:sz w:val="24"/>
      <w:szCs w:val="24"/>
    </w:rPr>
  </w:style>
  <w:style w:type="paragraph" w:styleId="991" w:customStyle="1">
    <w:name w:val="normal-p"/>
    <w:basedOn w:val="970"/>
    <w:pPr>
      <w:pBdr/>
      <w:spacing/>
      <w:ind/>
      <w:jc w:val="both"/>
    </w:pPr>
    <w:rPr>
      <w:sz w:val="20"/>
      <w:szCs w:val="20"/>
    </w:rPr>
  </w:style>
  <w:style w:type="paragraph" w:styleId="992">
    <w:name w:val="List Paragraph"/>
    <w:basedOn w:val="970"/>
    <w:link w:val="1079"/>
    <w:uiPriority w:val="34"/>
    <w:qFormat/>
    <w:pPr>
      <w:pBdr/>
      <w:spacing/>
      <w:ind w:left="720"/>
    </w:pPr>
  </w:style>
  <w:style w:type="paragraph" w:styleId="993">
    <w:name w:val="Normal (Web)"/>
    <w:basedOn w:val="970"/>
    <w:uiPriority w:val="99"/>
    <w:pPr>
      <w:pBdr/>
      <w:spacing w:after="100" w:afterAutospacing="1" w:before="100" w:beforeAutospacing="1"/>
      <w:ind/>
    </w:pPr>
  </w:style>
  <w:style w:type="paragraph" w:styleId="994">
    <w:name w:val="Body Text"/>
    <w:basedOn w:val="970"/>
    <w:link w:val="995"/>
    <w:pPr>
      <w:pBdr/>
      <w:spacing w:after="120"/>
      <w:ind/>
      <w:jc w:val="both"/>
    </w:pPr>
  </w:style>
  <w:style w:type="character" w:styleId="995" w:customStyle="1">
    <w:name w:val="Body Text Char"/>
    <w:basedOn w:val="975"/>
    <w:link w:val="994"/>
    <w:pPr>
      <w:pBdr/>
      <w:spacing/>
      <w:ind/>
    </w:pPr>
    <w:rPr>
      <w:rFonts w:ascii="Times New Roman" w:hAnsi="Times New Roman" w:eastAsia="Times New Roman" w:cs="Times New Roman"/>
      <w:sz w:val="24"/>
      <w:szCs w:val="24"/>
    </w:rPr>
  </w:style>
  <w:style w:type="table" w:styleId="996">
    <w:name w:val="Table Grid"/>
    <w:basedOn w:val="976"/>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97"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998">
    <w:name w:val="annotation reference"/>
    <w:basedOn w:val="975"/>
    <w:uiPriority w:val="99"/>
    <w:semiHidden/>
    <w:unhideWhenUsed/>
    <w:pPr>
      <w:pBdr/>
      <w:spacing/>
      <w:ind/>
    </w:pPr>
    <w:rPr>
      <w:sz w:val="16"/>
      <w:szCs w:val="16"/>
    </w:rPr>
  </w:style>
  <w:style w:type="paragraph" w:styleId="999">
    <w:name w:val="annotation text"/>
    <w:basedOn w:val="970"/>
    <w:link w:val="1000"/>
    <w:uiPriority w:val="99"/>
    <w:unhideWhenUsed/>
    <w:pPr>
      <w:pBdr/>
      <w:spacing/>
      <w:ind/>
    </w:pPr>
    <w:rPr>
      <w:sz w:val="20"/>
      <w:szCs w:val="20"/>
    </w:rPr>
  </w:style>
  <w:style w:type="character" w:styleId="1000" w:customStyle="1">
    <w:name w:val="Comment Text Char"/>
    <w:basedOn w:val="975"/>
    <w:link w:val="999"/>
    <w:uiPriority w:val="99"/>
    <w:pPr>
      <w:pBdr/>
      <w:spacing/>
      <w:ind/>
    </w:pPr>
    <w:rPr>
      <w:rFonts w:ascii="Times New Roman" w:hAnsi="Times New Roman" w:eastAsia="Times New Roman" w:cs="Times New Roman"/>
      <w:sz w:val="20"/>
      <w:szCs w:val="20"/>
    </w:rPr>
  </w:style>
  <w:style w:type="paragraph" w:styleId="1001">
    <w:name w:val="annotation subject"/>
    <w:basedOn w:val="999"/>
    <w:next w:val="999"/>
    <w:link w:val="1002"/>
    <w:uiPriority w:val="99"/>
    <w:semiHidden/>
    <w:unhideWhenUsed/>
    <w:pPr>
      <w:pBdr/>
      <w:spacing/>
      <w:ind/>
    </w:pPr>
    <w:rPr>
      <w:b/>
      <w:bCs/>
    </w:rPr>
  </w:style>
  <w:style w:type="character" w:styleId="1002" w:customStyle="1">
    <w:name w:val="Comment Subject Char"/>
    <w:basedOn w:val="1000"/>
    <w:link w:val="1001"/>
    <w:uiPriority w:val="99"/>
    <w:semiHidden/>
    <w:pPr>
      <w:pBdr/>
      <w:spacing/>
      <w:ind/>
    </w:pPr>
    <w:rPr>
      <w:rFonts w:ascii="Times New Roman" w:hAnsi="Times New Roman" w:eastAsia="Times New Roman" w:cs="Times New Roman"/>
      <w:b/>
      <w:bCs/>
      <w:sz w:val="20"/>
      <w:szCs w:val="20"/>
    </w:rPr>
  </w:style>
  <w:style w:type="paragraph" w:styleId="1003" w:customStyle="1">
    <w:name w:val="font5"/>
    <w:basedOn w:val="970"/>
    <w:pPr>
      <w:pBdr/>
      <w:spacing w:after="100" w:afterAutospacing="1" w:before="100" w:beforeAutospacing="1"/>
      <w:ind/>
    </w:pPr>
    <w:rPr>
      <w:rFonts w:ascii="Tahoma" w:hAnsi="Tahoma" w:cs="Tahoma"/>
      <w:color w:val="000000"/>
      <w:sz w:val="18"/>
      <w:szCs w:val="18"/>
    </w:rPr>
  </w:style>
  <w:style w:type="paragraph" w:styleId="1004" w:customStyle="1">
    <w:name w:val="font6"/>
    <w:basedOn w:val="970"/>
    <w:pPr>
      <w:pBdr/>
      <w:spacing w:after="100" w:afterAutospacing="1" w:before="100" w:beforeAutospacing="1"/>
      <w:ind/>
    </w:pPr>
    <w:rPr>
      <w:rFonts w:ascii="Tahoma" w:hAnsi="Tahoma" w:cs="Tahoma"/>
      <w:b/>
      <w:bCs/>
      <w:color w:val="000000"/>
      <w:sz w:val="18"/>
      <w:szCs w:val="18"/>
    </w:rPr>
  </w:style>
  <w:style w:type="paragraph" w:styleId="1005" w:customStyle="1">
    <w:name w:val="xl233"/>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06" w:customStyle="1">
    <w:name w:val="xl234"/>
    <w:basedOn w:val="970"/>
    <w:pPr>
      <w:pBdr/>
      <w:spacing w:after="100" w:afterAutospacing="1" w:before="100" w:beforeAutospacing="1"/>
      <w:ind/>
      <w:jc w:val="center"/>
    </w:pPr>
  </w:style>
  <w:style w:type="paragraph" w:styleId="1007" w:customStyle="1">
    <w:name w:val="xl235"/>
    <w:basedOn w:val="970"/>
    <w:pPr>
      <w:pBdr/>
      <w:spacing w:after="100" w:afterAutospacing="1" w:before="100" w:beforeAutospacing="1"/>
      <w:ind/>
      <w:jc w:val="center"/>
    </w:pPr>
    <w:rPr>
      <w:b/>
      <w:bCs/>
    </w:rPr>
  </w:style>
  <w:style w:type="paragraph" w:styleId="1008" w:customStyle="1">
    <w:name w:val="xl236"/>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09" w:customStyle="1">
    <w:name w:val="xl237"/>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10" w:customStyle="1">
    <w:name w:val="xl238"/>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11" w:customStyle="1">
    <w:name w:val="xl239"/>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12" w:customStyle="1">
    <w:name w:val="xl240"/>
    <w:basedOn w:val="970"/>
    <w:pPr>
      <w:pBdr/>
      <w:spacing w:after="100" w:afterAutospacing="1" w:before="100" w:beforeAutospacing="1"/>
      <w:ind/>
    </w:pPr>
  </w:style>
  <w:style w:type="paragraph" w:styleId="1013" w:customStyle="1">
    <w:name w:val="xl241"/>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14" w:customStyle="1">
    <w:name w:val="xl242"/>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15" w:customStyle="1">
    <w:name w:val="xl243"/>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16" w:customStyle="1">
    <w:name w:val="xl244"/>
    <w:basedOn w:val="970"/>
    <w:pPr>
      <w:pBdr/>
      <w:spacing w:after="100" w:afterAutospacing="1" w:before="100" w:beforeAutospacing="1"/>
      <w:ind/>
    </w:pPr>
    <w:rPr>
      <w:b/>
      <w:bCs/>
    </w:rPr>
  </w:style>
  <w:style w:type="paragraph" w:styleId="1017" w:customStyle="1">
    <w:name w:val="xl245"/>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18" w:customStyle="1">
    <w:name w:val="xl246"/>
    <w:basedOn w:val="97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19" w:customStyle="1">
    <w:name w:val="xl247"/>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20" w:customStyle="1">
    <w:name w:val="xl248"/>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21" w:customStyle="1">
    <w:name w:val="xl249"/>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22" w:customStyle="1">
    <w:name w:val="xl250"/>
    <w:basedOn w:val="97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23" w:customStyle="1">
    <w:name w:val="xl251"/>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24" w:customStyle="1">
    <w:name w:val="xl252"/>
    <w:basedOn w:val="97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25" w:customStyle="1">
    <w:name w:val="xl253"/>
    <w:basedOn w:val="97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26" w:customStyle="1">
    <w:name w:val="xl254"/>
    <w:basedOn w:val="970"/>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27" w:customStyle="1">
    <w:name w:val="xl255"/>
    <w:basedOn w:val="97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28" w:customStyle="1">
    <w:name w:val="xl256"/>
    <w:basedOn w:val="970"/>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29" w:customStyle="1">
    <w:name w:val="xl257"/>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30" w:customStyle="1">
    <w:name w:val="xl258"/>
    <w:basedOn w:val="970"/>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31" w:customStyle="1">
    <w:name w:val="xl259"/>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32" w:customStyle="1">
    <w:name w:val="xl260"/>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33" w:customStyle="1">
    <w:name w:val="xl261"/>
    <w:basedOn w:val="970"/>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34" w:customStyle="1">
    <w:name w:val="xl262"/>
    <w:basedOn w:val="970"/>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35" w:customStyle="1">
    <w:name w:val="xl263"/>
    <w:basedOn w:val="970"/>
    <w:pPr>
      <w:pBdr/>
      <w:shd w:val="clear" w:color="000000" w:fill="ffffff"/>
      <w:spacing w:after="100" w:afterAutospacing="1" w:before="100" w:beforeAutospacing="1"/>
      <w:ind/>
    </w:pPr>
  </w:style>
  <w:style w:type="paragraph" w:styleId="1036" w:customStyle="1">
    <w:name w:val="xl264"/>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37" w:customStyle="1">
    <w:name w:val="xl265"/>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8" w:customStyle="1">
    <w:name w:val="xl266"/>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39" w:customStyle="1">
    <w:name w:val="xl267"/>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0" w:customStyle="1">
    <w:name w:val="xl268"/>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1" w:customStyle="1">
    <w:name w:val="xl269"/>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2" w:customStyle="1">
    <w:name w:val="xl270"/>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3" w:customStyle="1">
    <w:name w:val="xl271"/>
    <w:basedOn w:val="970"/>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44" w:customStyle="1">
    <w:name w:val="xl272"/>
    <w:basedOn w:val="97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45" w:customStyle="1">
    <w:name w:val="xl273"/>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6" w:customStyle="1">
    <w:name w:val="xl274"/>
    <w:basedOn w:val="970"/>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7" w:customStyle="1">
    <w:name w:val="xl275"/>
    <w:basedOn w:val="970"/>
    <w:pPr>
      <w:pBdr/>
      <w:spacing w:after="100" w:afterAutospacing="1" w:before="100" w:beforeAutospacing="1"/>
      <w:ind/>
    </w:pPr>
  </w:style>
  <w:style w:type="paragraph" w:styleId="1048" w:customStyle="1">
    <w:name w:val="xl276"/>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49" w:customStyle="1">
    <w:name w:val="xl277"/>
    <w:basedOn w:val="970"/>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50" w:customStyle="1">
    <w:name w:val="xl278"/>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1" w:customStyle="1">
    <w:name w:val="xl279"/>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2" w:customStyle="1">
    <w:name w:val="xl280"/>
    <w:basedOn w:val="970"/>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3" w:customStyle="1">
    <w:name w:val="xl281"/>
    <w:basedOn w:val="970"/>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4" w:customStyle="1">
    <w:name w:val="xl282"/>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83"/>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6" w:customStyle="1">
    <w:name w:val="xl284"/>
    <w:basedOn w:val="970"/>
    <w:pPr>
      <w:pBdr>
        <w:left w:val="single" w:color="000000" w:sz="4" w:space="0"/>
        <w:bottom w:val="single" w:color="000000" w:sz="4" w:space="0"/>
        <w:right w:val="single" w:color="000000" w:sz="4" w:space="0"/>
      </w:pBdr>
      <w:spacing w:after="100" w:afterAutospacing="1" w:before="100" w:beforeAutospacing="1"/>
      <w:ind/>
    </w:pPr>
  </w:style>
  <w:style w:type="paragraph" w:styleId="1057" w:customStyle="1">
    <w:name w:val="xl285"/>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86"/>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87"/>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60" w:customStyle="1">
    <w:name w:val="xl288"/>
    <w:basedOn w:val="970"/>
    <w:pPr>
      <w:pBdr>
        <w:top w:val="single" w:color="000000" w:sz="4" w:space="0"/>
        <w:left w:val="single" w:color="000000" w:sz="4" w:space="0"/>
        <w:right w:val="single" w:color="000000" w:sz="4" w:space="0"/>
      </w:pBdr>
      <w:spacing w:after="100" w:afterAutospacing="1" w:before="100" w:beforeAutospacing="1"/>
      <w:ind/>
    </w:pPr>
  </w:style>
  <w:style w:type="paragraph" w:styleId="1061" w:customStyle="1">
    <w:name w:val="xl289"/>
    <w:basedOn w:val="970"/>
    <w:pPr>
      <w:pBdr>
        <w:left w:val="single" w:color="000000" w:sz="4" w:space="0"/>
        <w:right w:val="single" w:color="000000" w:sz="4" w:space="0"/>
      </w:pBdr>
      <w:spacing w:after="100" w:afterAutospacing="1" w:before="100" w:beforeAutospacing="1"/>
      <w:ind/>
    </w:pPr>
    <w:rPr>
      <w:b/>
      <w:bCs/>
    </w:rPr>
  </w:style>
  <w:style w:type="paragraph" w:styleId="1062" w:customStyle="1">
    <w:name w:val="xl290"/>
    <w:basedOn w:val="970"/>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91"/>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4" w:customStyle="1">
    <w:name w:val="xl292"/>
    <w:basedOn w:val="970"/>
    <w:pPr>
      <w:pBdr>
        <w:top w:val="single" w:color="000000" w:sz="4" w:space="0"/>
        <w:left w:val="single" w:color="000000" w:sz="4" w:space="0"/>
        <w:right w:val="single" w:color="000000" w:sz="4" w:space="0"/>
      </w:pBdr>
      <w:spacing w:after="100" w:afterAutospacing="1" w:before="100" w:beforeAutospacing="1"/>
      <w:ind/>
    </w:pPr>
  </w:style>
  <w:style w:type="paragraph" w:styleId="1065" w:customStyle="1">
    <w:name w:val="xl293"/>
    <w:basedOn w:val="970"/>
    <w:pPr>
      <w:pBdr>
        <w:left w:val="single" w:color="000000" w:sz="4" w:space="0"/>
        <w:bottom w:val="single" w:color="000000" w:sz="4" w:space="0"/>
        <w:right w:val="single" w:color="000000" w:sz="4" w:space="0"/>
      </w:pBdr>
      <w:spacing w:after="100" w:afterAutospacing="1" w:before="100" w:beforeAutospacing="1"/>
      <w:ind/>
    </w:pPr>
  </w:style>
  <w:style w:type="paragraph" w:styleId="1066" w:customStyle="1">
    <w:name w:val="xl294"/>
    <w:basedOn w:val="970"/>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7">
    <w:name w:val="Title"/>
    <w:basedOn w:val="970"/>
    <w:link w:val="1068"/>
    <w:qFormat/>
    <w:pPr>
      <w:pBdr/>
      <w:spacing/>
      <w:ind/>
      <w:jc w:val="center"/>
    </w:pPr>
    <w:rPr>
      <w:b/>
      <w:bCs/>
      <w:sz w:val="32"/>
      <w:szCs w:val="26"/>
    </w:rPr>
  </w:style>
  <w:style w:type="character" w:styleId="1068" w:customStyle="1">
    <w:name w:val="Title Char"/>
    <w:basedOn w:val="975"/>
    <w:link w:val="1067"/>
    <w:pPr>
      <w:pBdr/>
      <w:spacing/>
      <w:ind/>
    </w:pPr>
    <w:rPr>
      <w:rFonts w:ascii="Times New Roman" w:hAnsi="Times New Roman" w:eastAsia="Times New Roman" w:cs="Times New Roman"/>
      <w:b/>
      <w:bCs/>
      <w:sz w:val="32"/>
      <w:szCs w:val="26"/>
    </w:rPr>
  </w:style>
  <w:style w:type="character" w:styleId="1069" w:customStyle="1">
    <w:name w:val="Unresolved Mention1"/>
    <w:basedOn w:val="975"/>
    <w:uiPriority w:val="99"/>
    <w:semiHidden/>
    <w:unhideWhenUsed/>
    <w:pPr>
      <w:pBdr/>
      <w:spacing/>
      <w:ind/>
    </w:pPr>
    <w:rPr>
      <w:color w:val="605e5c"/>
      <w:shd w:val="clear" w:color="auto" w:fill="e1dfdd"/>
    </w:rPr>
  </w:style>
  <w:style w:type="character" w:styleId="1070" w:customStyle="1">
    <w:name w:val="Body text (3)_"/>
    <w:link w:val="1071"/>
    <w:pPr>
      <w:pBdr/>
      <w:spacing/>
      <w:ind/>
    </w:pPr>
    <w:rPr>
      <w:rFonts w:ascii="Times New Roman" w:hAnsi="Times New Roman" w:cs="Times New Roman"/>
      <w:i/>
      <w:iCs/>
      <w:spacing w:val="4"/>
      <w:shd w:val="clear" w:color="auto" w:fill="ffffff"/>
    </w:rPr>
  </w:style>
  <w:style w:type="paragraph" w:styleId="1071" w:customStyle="1">
    <w:name w:val="Body text (3)1"/>
    <w:basedOn w:val="970"/>
    <w:link w:val="1070"/>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072" w:customStyle="1">
    <w:name w:val="t-j"/>
    <w:basedOn w:val="970"/>
    <w:pPr>
      <w:pBdr/>
      <w:spacing w:after="100" w:afterAutospacing="1" w:before="100" w:beforeAutospacing="1"/>
      <w:ind/>
    </w:pPr>
  </w:style>
  <w:style w:type="character" w:styleId="1073" w:customStyle="1">
    <w:name w:val="Unresolved Mention2"/>
    <w:basedOn w:val="975"/>
    <w:uiPriority w:val="99"/>
    <w:semiHidden/>
    <w:unhideWhenUsed/>
    <w:pPr>
      <w:pBdr/>
      <w:spacing/>
      <w:ind/>
    </w:pPr>
    <w:rPr>
      <w:color w:val="605e5c"/>
      <w:shd w:val="clear" w:color="auto" w:fill="e1dfdd"/>
    </w:rPr>
  </w:style>
  <w:style w:type="character" w:styleId="1074">
    <w:name w:val="FollowedHyperlink"/>
    <w:basedOn w:val="975"/>
    <w:uiPriority w:val="99"/>
    <w:semiHidden/>
    <w:unhideWhenUsed/>
    <w:pPr>
      <w:pBdr/>
      <w:spacing/>
      <w:ind/>
    </w:pPr>
    <w:rPr>
      <w:color w:val="800080" w:themeColor="followedHyperlink"/>
      <w:u w:val="single"/>
    </w:rPr>
  </w:style>
  <w:style w:type="character" w:styleId="1075" w:customStyle="1">
    <w:name w:val="text"/>
    <w:basedOn w:val="975"/>
    <w:pPr>
      <w:pBdr/>
      <w:spacing/>
      <w:ind/>
    </w:pPr>
  </w:style>
  <w:style w:type="character" w:styleId="1076" w:customStyle="1">
    <w:name w:val="card-send-time__sendtime"/>
    <w:basedOn w:val="975"/>
    <w:pPr>
      <w:pBdr/>
      <w:spacing/>
      <w:ind/>
    </w:pPr>
  </w:style>
  <w:style w:type="character" w:styleId="1077" w:customStyle="1">
    <w:name w:val="Đề cập Chưa giải quyết1"/>
    <w:basedOn w:val="975"/>
    <w:uiPriority w:val="99"/>
    <w:semiHidden/>
    <w:unhideWhenUsed/>
    <w:pPr>
      <w:pBdr/>
      <w:spacing/>
      <w:ind/>
    </w:pPr>
    <w:rPr>
      <w:color w:val="605e5c"/>
      <w:shd w:val="clear" w:color="auto" w:fill="e1dfdd"/>
    </w:rPr>
  </w:style>
  <w:style w:type="paragraph" w:styleId="1078" w:customStyle="1">
    <w:name w:val="nqtitle"/>
    <w:basedOn w:val="970"/>
    <w:pPr>
      <w:pBdr/>
      <w:spacing w:after="100" w:afterAutospacing="1" w:before="100" w:beforeAutospacing="1"/>
      <w:ind/>
    </w:pPr>
    <w:rPr>
      <w:lang w:val="vi-VN" w:eastAsia="vi-VN"/>
    </w:rPr>
  </w:style>
  <w:style w:type="character" w:styleId="1079" w:customStyle="1">
    <w:name w:val="List Paragraph Char"/>
    <w:link w:val="992"/>
    <w:uiPriority w:val="34"/>
    <w:qFormat/>
    <w:pPr>
      <w:pBdr/>
      <w:spacing/>
      <w:ind/>
    </w:pPr>
    <w:rPr>
      <w:rFonts w:ascii="Times New Roman" w:hAnsi="Times New Roman" w:eastAsia="Times New Roman" w:cs="Times New Roman"/>
      <w:sz w:val="24"/>
      <w:szCs w:val="24"/>
    </w:rPr>
  </w:style>
  <w:style w:type="character" w:styleId="1080" w:customStyle="1">
    <w:name w:val="Đề cập Chưa giải quyết2"/>
    <w:basedOn w:val="975"/>
    <w:uiPriority w:val="99"/>
    <w:semiHidden/>
    <w:unhideWhenUsed/>
    <w:pPr>
      <w:pBdr/>
      <w:spacing/>
      <w:ind/>
    </w:pPr>
    <w:rPr>
      <w:color w:val="605e5c"/>
      <w:shd w:val="clear" w:color="auto" w:fill="e1dfdd"/>
    </w:rPr>
  </w:style>
  <w:style w:type="character" w:styleId="1081" w:customStyle="1">
    <w:name w:val="Unresolved Mention3"/>
    <w:basedOn w:val="975"/>
    <w:uiPriority w:val="99"/>
    <w:semiHidden/>
    <w:unhideWhenUsed/>
    <w:pPr>
      <w:pBdr/>
      <w:spacing/>
      <w:ind/>
    </w:pPr>
    <w:rPr>
      <w:color w:val="605e5c"/>
      <w:shd w:val="clear" w:color="auto" w:fill="e1dfdd"/>
    </w:rPr>
  </w:style>
  <w:style w:type="character" w:styleId="1082" w:customStyle="1">
    <w:name w:val="copy"/>
    <w:basedOn w:val="975"/>
    <w:pPr>
      <w:pBdr/>
      <w:spacing/>
      <w:ind/>
    </w:pPr>
  </w:style>
  <w:style w:type="paragraph" w:styleId="1083" w:customStyle="1">
    <w:name w:val="align-justify"/>
    <w:basedOn w:val="970"/>
    <w:pPr>
      <w:pBdr/>
      <w:spacing w:after="100" w:afterAutospacing="1" w:before="100" w:beforeAutospacing="1"/>
      <w:ind/>
    </w:pPr>
  </w:style>
  <w:style w:type="character" w:styleId="1084" w:customStyle="1">
    <w:name w:val="btn"/>
    <w:basedOn w:val="975"/>
    <w:pPr>
      <w:pBdr/>
      <w:spacing/>
      <w:ind/>
    </w:pPr>
  </w:style>
  <w:style w:type="character" w:styleId="1085" w:customStyle="1">
    <w:name w:val="hide_mobile"/>
    <w:basedOn w:val="975"/>
    <w:pPr>
      <w:pBdr/>
      <w:spacing/>
      <w:ind/>
    </w:pPr>
  </w:style>
  <w:style w:type="character" w:styleId="1086">
    <w:name w:val="Emphasis"/>
    <w:basedOn w:val="975"/>
    <w:uiPriority w:val="20"/>
    <w:qFormat/>
    <w:pPr>
      <w:pBdr/>
      <w:spacing/>
      <w:ind/>
    </w:pPr>
    <w:rPr>
      <w:i/>
      <w:iCs/>
    </w:rPr>
  </w:style>
  <w:style w:type="character" w:styleId="1087" w:customStyle="1">
    <w:name w:val="t1"/>
    <w:basedOn w:val="975"/>
    <w:pPr>
      <w:pBdr/>
      <w:spacing/>
      <w:ind/>
    </w:pPr>
  </w:style>
  <w:style w:type="character" w:styleId="1088" w:customStyle="1">
    <w:name w:val="Unresolved Mention4"/>
    <w:basedOn w:val="975"/>
    <w:uiPriority w:val="99"/>
    <w:semiHidden/>
    <w:unhideWhenUsed/>
    <w:pPr>
      <w:pBdr/>
      <w:spacing/>
      <w:ind/>
    </w:pPr>
    <w:rPr>
      <w:color w:val="605e5c"/>
      <w:shd w:val="clear" w:color="auto" w:fill="e1dfdd"/>
    </w:rPr>
  </w:style>
  <w:style w:type="character" w:styleId="1089">
    <w:name w:val="Unresolved Mention"/>
    <w:basedOn w:val="975"/>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 Id="rId10" Type="http://schemas.openxmlformats.org/officeDocument/2006/relationships/customXml" Target="../customXml/item1.xml" /><Relationship Id="rId11" Type="http://schemas.openxmlformats.org/officeDocument/2006/relationships/image" Target="media/image1.jpg"/><Relationship Id="rId12" Type="http://schemas.openxmlformats.org/officeDocument/2006/relationships/hyperlink" Target="mailto:ilotus.contact@gmail.com" TargetMode="External"/><Relationship Id="rId13" Type="http://schemas.openxmlformats.org/officeDocument/2006/relationships/hyperlink" Target="mailto:ilotus.contact@gmail.com" TargetMode="External"/><Relationship Id="rId14" Type="http://schemas.openxmlformats.org/officeDocument/2006/relationships/image" Target="media/image2.pn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gif"/><Relationship Id="rId23" Type="http://schemas.openxmlformats.org/officeDocument/2006/relationships/image" Target="media/image11.gif"/><Relationship Id="rId24" Type="http://schemas.openxmlformats.org/officeDocument/2006/relationships/image" Target="media/image12.jpg"/><Relationship Id="rId25" Type="http://schemas.openxmlformats.org/officeDocument/2006/relationships/image" Target="media/image13.gif"/><Relationship Id="rId26" Type="http://schemas.openxmlformats.org/officeDocument/2006/relationships/image" Target="media/image14.gif"/><Relationship Id="rId27" Type="http://schemas.openxmlformats.org/officeDocument/2006/relationships/image" Target="media/image15.gif"/><Relationship Id="rId28" Type="http://schemas.openxmlformats.org/officeDocument/2006/relationships/image" Target="media/image16.gif"/><Relationship Id="rId29" Type="http://schemas.openxmlformats.org/officeDocument/2006/relationships/image" Target="media/image17.gif"/><Relationship Id="rId30" Type="http://schemas.openxmlformats.org/officeDocument/2006/relationships/image" Target="media/image18.jpg"/><Relationship Id="rId31" Type="http://schemas.openxmlformats.org/officeDocument/2006/relationships/image" Target="media/image19.jpg"/><Relationship Id="rId32" Type="http://schemas.openxmlformats.org/officeDocument/2006/relationships/image" Target="media/image20.gif"/><Relationship Id="rId33" Type="http://schemas.openxmlformats.org/officeDocument/2006/relationships/image" Target="media/image21.png"/><Relationship Id="rId34" Type="http://schemas.openxmlformats.org/officeDocument/2006/relationships/comments" Target="comments.xml" /><Relationship Id="rId35" Type="http://schemas.microsoft.com/office/2011/relationships/commentsExtended" Target="commentsExtended.xml" /><Relationship Id="rId36" Type="http://schemas.microsoft.com/office/2018/08/relationships/commentsExtensible" Target="commentsExtensible.xml" /><Relationship Id="rId37" Type="http://schemas.microsoft.com/office/2016/09/relationships/commentsIds" Target="commentsIds.xml" /><Relationship Id="rId38" Type="http://schemas.microsoft.com/office/2011/relationships/people" Target="people.xml" /></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Minh Phúc</cp:lastModifiedBy>
  <cp:revision>284</cp:revision>
  <dcterms:created xsi:type="dcterms:W3CDTF">2025-09-15T09:58:00Z</dcterms:created>
  <dcterms:modified xsi:type="dcterms:W3CDTF">2026-05-09T08:32:51Z</dcterms:modified>
</cp:coreProperties>
</file>