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208960</wp:posOffset>
                </wp:positionH>
                <wp:positionV relativeFrom="paragraph">
                  <wp:posOffset>63832</wp:posOffset>
                </wp:positionV>
                <wp:extent cx="5467350" cy="3744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44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275/2026/0727/VFI-CT.53.A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15 có địa chỉ: Gi Lăng, Phường Trung Sơn Trầm, Thị xã Sơn Tây, TP Hà Nội (nay </w:t>
                            </w:r>
                            <w:r>
                              <w:rPr>
                                <w:color w:val="000000"/>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6.45pt;mso-position-horizontal:absolute;mso-position-vertical-relative:text;margin-top:5.03pt;mso-position-vertical:absolute;width:430.50pt;height:29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275/2026/0727/VFI-CT.53.A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32, tờ bản đồ số: 15 có địa chỉ: Gi Lăng, Phường Trung Sơn Trầm, Thị xã Sơn Tây, TP Hà Nội (nay </w:t>
                      </w:r>
                      <w:r>
                        <w:rPr>
                          <w:color w:val="000000"/>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8"/>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275/2026/0727/VFI-CT.53.A</w:t>
            </w:r>
            <w:r>
              <w:rPr>
                <w:color w:val="000000" w:themeColor="text1"/>
                <w:sz w:val="24"/>
                <w:szCs w:val="24"/>
              </w:rPr>
            </w:r>
            <w:r>
              <w:rPr>
                <w:color w:val="000000" w:themeColor="text1"/>
                <w:sz w:val="24"/>
                <w:szCs w:val="24"/>
              </w:rPr>
            </w:r>
          </w:p>
          <w:p>
            <w:pPr>
              <w:pStyle w:val="1037"/>
              <w:pBdr/>
              <w:spacing w:after="60"/>
              <w:ind w:right="-56"/>
              <w:jc w:val="center"/>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bl>
    <w:p>
      <w:pPr>
        <w:pStyle w:val="1037"/>
        <w:pBdr/>
        <w:spacing w:after="120" w:before="200" w:line="288" w:lineRule="auto"/>
        <w:ind/>
        <w:jc w:val="center"/>
        <w:rPr>
          <w:rStyle w:val="1036"/>
          <w:rFonts w:ascii="Times New Roman" w:hAnsi="Times New Roman"/>
          <w:b/>
          <w:bCs/>
          <w:color w:val="auto"/>
          <w:sz w:val="30"/>
          <w:szCs w:val="30"/>
          <w:lang w:val="vi-VN"/>
        </w:rPr>
      </w:pPr>
      <w:r>
        <w:rPr>
          <w:rStyle w:val="1036"/>
          <w:rFonts w:ascii="Times New Roman" w:hAnsi="Times New Roman"/>
          <w:b/>
          <w:bCs/>
          <w:color w:val="auto"/>
          <w:sz w:val="30"/>
          <w:szCs w:val="30"/>
          <w:lang w:val="vi-VN"/>
        </w:rPr>
        <w:t xml:space="preserve">CHỨNG THƯ THẨM ĐỊNH GIÁ</w:t>
      </w:r>
      <w:r>
        <w:rPr>
          <w:rStyle w:val="1036"/>
          <w:rFonts w:ascii="Times New Roman" w:hAnsi="Times New Roman"/>
          <w:b/>
          <w:bCs/>
          <w:color w:val="auto"/>
          <w:sz w:val="30"/>
          <w:szCs w:val="30"/>
          <w:lang w:val="vi-VN"/>
        </w:rPr>
      </w:r>
      <w:r>
        <w:rPr>
          <w:rStyle w:val="103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275/2026/0727/VFI-HĐTĐ.53.A</w:t>
      </w:r>
      <w:r>
        <w:rPr>
          <w:spacing w:val="-4"/>
          <w:lang w:val="vi-VN"/>
        </w:rPr>
        <w:t xml:space="preserve"> ký ngày </w:t>
      </w:r>
      <w:r>
        <w:rPr>
          <w:color w:val="000000" w:themeColor="text1"/>
          <w:spacing w:val="-4"/>
        </w:rPr>
        <w:t xml:space="preserve">4 tháng 5 năm 2026</w:t>
      </w:r>
      <w:r>
        <w:rPr>
          <w:spacing w:val="-4"/>
          <w:lang w:val="vi-VN"/>
        </w:rPr>
        <w:t xml:space="preserve"> </w:t>
      </w:r>
      <w:r>
        <w:rPr>
          <w:spacing w:val="-4"/>
          <w:lang w:val="vi-VN"/>
        </w:rPr>
        <w:t xml:space="preserve">giữa </w:t>
      </w:r>
      <w:r>
        <w:rPr>
          <w:color w:val="000000" w:themeColor="text1"/>
          <w:spacing w:val="-4"/>
        </w:rPr>
        <w:t xml:space="preserve">ÔNG NGUYỄN VĂN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275/2026/0727/VFI-BC.53.A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154"/>
        <w:gridCol w:w="425"/>
        <w:gridCol w:w="6946"/>
      </w:tblGrid>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6" w:type="dxa"/>
            <w:vAlign w:val="center"/>
            <w:textDirection w:val="lrTb"/>
            <w:noWrap w:val="false"/>
          </w:tcPr>
          <w:p>
            <w:pPr>
              <w:pBdr/>
              <w:spacing/>
              <w:ind/>
              <w:rPr>
                <w:color w:val="000000" w:themeColor="text1"/>
              </w:rPr>
            </w:pPr>
            <w:r>
              <w:rPr>
                <w:b/>
                <w:bCs/>
                <w:color w:val="000000" w:themeColor="text1"/>
              </w:rPr>
              <w:t xml:space="preserve">ÔNG NGUYỄN VĂN VIỆT</w:t>
            </w:r>
            <w:r>
              <w:rPr>
                <w:color w:val="000000" w:themeColor="text1"/>
              </w:rPr>
            </w:r>
            <w:r>
              <w:rPr>
                <w:color w:val="000000" w:themeColor="text1"/>
              </w:rP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lang w:val="pt-BR"/>
              </w:rPr>
            </w:r>
            <w:r>
              <w:rPr>
                <w:bCs/>
                <w:color w:val="000000" w:themeColor="text1"/>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6"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001095034463</w:t>
            </w:r>
            <w:r>
              <w:rPr>
                <w:color w:val="000000" w:themeColor="text1"/>
                <w:lang w:val="pt-BR"/>
              </w:rPr>
            </w:r>
            <w:r>
              <w:rPr>
                <w:color w:val="000000" w:themeColor="text1"/>
              </w:rP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6"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04/01/1995</w:t>
            </w:r>
            <w:r>
              <w:rPr>
                <w:color w:val="000000" w:themeColor="text1"/>
                <w:lang w:val="pt-BR"/>
              </w:rPr>
            </w:r>
            <w:r>
              <w:rPr>
                <w:color w:val="000000" w:themeColor="text1"/>
              </w:rPr>
            </w:r>
          </w:p>
        </w:tc>
      </w:tr>
      <w:tr>
        <w:trPr>
          <w:trHeight w:val="20"/>
        </w:trPr>
        <w:tc>
          <w:tcPr>
            <w:shd w:val="clear" w:color="auto" w:fill="auto"/>
            <w:tcBorders/>
            <w:tcW w:w="2154"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shd w:val="clear" w:color="auto" w:fill="auto"/>
            <w:tcBorders/>
            <w:tcW w:w="425"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6" w:type="dxa"/>
            <w:vAlign w:val="center"/>
            <w:textDirection w:val="lrTb"/>
            <w:noWrap w:val="false"/>
          </w:tcPr>
          <w:p>
            <w:pPr>
              <w:pBdr/>
              <w:tabs>
                <w:tab w:val="left" w:leader="none" w:pos="916"/>
              </w:tabs>
              <w:spacing w:after="40" w:before="40" w:line="276" w:lineRule="auto"/>
              <w:ind/>
              <w:jc w:val="both"/>
              <w:rPr>
                <w:color w:val="000000" w:themeColor="text1"/>
              </w:rPr>
            </w:pPr>
            <w:r>
              <w:rPr>
                <w:color w:val="000000" w:themeColor="text1"/>
                <w:lang w:val="vi-VN"/>
              </w:rPr>
              <w:t xml:space="preserve">Thôn 7, Phúc Hòa, Phúc Thọ, Hà Nội</w:t>
            </w:r>
            <w:r>
              <w:rPr>
                <w:color w:val="000000" w:themeColor="text1"/>
                <w:lang w:val="pt-BR"/>
              </w:rPr>
            </w:r>
            <w:r>
              <w:rPr>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32, tờ bản đồ số: 15 có địa chỉ: Gi Lăng, Phường Trung Sơn Trầm, Thị xã Sơn Tây, TP Hà Nội (nay </w:t>
      </w:r>
      <w:r>
        <w:rPr>
          <w:color w:val="000000" w:themeColor="text1"/>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312" w:lineRule="auto"/>
        <w:ind/>
        <w:jc w:val="both"/>
        <w:rPr>
          <w:highlight w:val="none"/>
          <w:lang w:val="vi-VN"/>
        </w:rPr>
      </w:pPr>
      <w:r>
        <w:rPr>
          <w:highlight w:val="none"/>
          <w:lang w:val="vi-VN" w:bidi="vi-VN"/>
        </w:rPr>
      </w:r>
      <w:r>
        <w:rPr>
          <w:highlight w:val="none"/>
          <w:lang w:val="vi-VN"/>
        </w:rPr>
      </w:r>
      <w:r>
        <w:rPr>
          <w:highlight w:val="none"/>
          <w:lang w:val="vi-VN"/>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753"/>
        <w:gridCol w:w="1134"/>
        <w:gridCol w:w="1522"/>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5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2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9" w:type="dxa"/>
            <w:vAlign w:val="center"/>
            <w:textDirection w:val="lrTb"/>
            <w:noWrap w:val="false"/>
          </w:tcPr>
          <w:p>
            <w:pPr>
              <w:pBdr/>
              <w:spacing w:after="40" w:before="40" w:line="360" w:lineRule="auto"/>
              <w:ind/>
              <w:jc w:val="both"/>
              <w:rPr>
                <w:b/>
                <w:bCs/>
              </w:rPr>
            </w:pPr>
            <w:r>
              <w:rPr>
                <w:b/>
                <w:bCs/>
                <w:color w:val="000000"/>
              </w:rPr>
              <w:t xml:space="preserve">Quyền sử dụng đất tại thửa đất số: 32, tờ bản đồ số: 15 có địa chỉ: Gi Lăng, Phường Trung Sơn Trầm, Thị xã Sơn Tây, TP Hà Nội (nay </w:t>
            </w:r>
            <w:r>
              <w:rPr>
                <w:b/>
                <w:bCs/>
                <w:color w:val="000000"/>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512"/>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753"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265</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25.976.538</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        6.883.782.582</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753" w:type="dxa"/>
            <w:vAlign w:val="center"/>
            <w:textDirection w:val="lrTb"/>
            <w:noWrap w:val="false"/>
          </w:tcPr>
          <w:p>
            <w:pPr>
              <w:pBdr/>
              <w:spacing w:after="40" w:before="40" w:line="288" w:lineRule="auto"/>
              <w:ind/>
              <w:rPr>
                <w:b w:val="0"/>
                <w:bCs w:val="0"/>
              </w:rPr>
            </w:pPr>
            <w:r>
              <w:rPr>
                <w:b w:val="0"/>
                <w:bCs w:val="0"/>
              </w:rPr>
            </w:r>
            <w:r>
              <w:rPr>
                <w:b w:val="0"/>
                <w:bCs w:val="0"/>
              </w:rPr>
              <w:t xml:space="preserve">Quyền sử dụng đ</w:t>
            </w:r>
            <w:r>
              <w:rPr>
                <w:b w:val="0"/>
                <w:bCs w:val="0"/>
              </w:rPr>
              <w:t xml:space="preserve">ất trồng cây lâu năm</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103</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11.054.538</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         1.138.617.418</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3</w:t>
            </w:r>
            <w:r>
              <w:rPr>
                <w:b w:val="0"/>
                <w:bCs w:val="0"/>
              </w:rPr>
            </w:r>
            <w:r>
              <w:rPr>
                <w:b w:val="0"/>
                <w:bCs w:val="0"/>
              </w:rPr>
            </w:r>
          </w:p>
        </w:tc>
        <w:tc>
          <w:tcPr>
            <w:shd w:val="clear" w:color="000000" w:fill="ffffff"/>
            <w:tcBorders/>
            <w:tcW w:w="3753" w:type="dxa"/>
            <w:vAlign w:val="center"/>
            <w:vMerge w:val="restart"/>
            <w:textDirection w:val="lrTb"/>
            <w:noWrap w:val="false"/>
          </w:tcPr>
          <w:p>
            <w:pPr>
              <w:pBdr/>
              <w:spacing w:after="40" w:before="40" w:line="288" w:lineRule="auto"/>
              <w:ind/>
              <w:rPr>
                <w:b w:val="0"/>
                <w:bCs w:val="0"/>
              </w:rPr>
            </w:pPr>
            <w:r>
              <w:rPr>
                <w:b w:val="0"/>
                <w:bCs w:val="0"/>
              </w:rPr>
              <w:t xml:space="preserve">Quyền sử dụng đất nằm trong quy hoạch HLGT</w:t>
            </w:r>
            <w:r>
              <w:rPr>
                <w:b w:val="0"/>
                <w:bCs w:val="0"/>
              </w:rPr>
            </w:r>
            <w:r>
              <w:rPr>
                <w:b w:val="0"/>
                <w:bCs w:val="0"/>
              </w:rPr>
            </w:r>
          </w:p>
        </w:tc>
        <w:tc>
          <w:tcPr>
            <w:tcBorders/>
            <w:tcW w:w="1134"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31,6</w:t>
            </w:r>
            <w:r>
              <w:rPr>
                <w:color w:val="000000" w:themeColor="text1"/>
              </w:rPr>
            </w:r>
            <w:r>
              <w:rPr>
                <w:color w:val="000000" w:themeColor="text1"/>
              </w:rPr>
            </w:r>
          </w:p>
        </w:tc>
        <w:tc>
          <w:tcPr>
            <w:shd w:val="clear" w:color="000000" w:fill="ffffff"/>
            <w:tcBorders/>
            <w:tcW w:w="1522"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5.751.200 </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240" w:lineRule="auto"/>
              <w:ind/>
              <w:rPr>
                <w:b/>
                <w:bCs/>
              </w:rPr>
            </w:pPr>
            <w:r>
              <w:rPr>
                <w:rFonts w:ascii="Times New Roman" w:hAnsi="Times New Roman" w:eastAsia="Times New Roman" w:cs="Times New Roman"/>
                <w:b/>
                <w:bCs/>
                <w:color w:val="000000"/>
                <w:sz w:val="24"/>
              </w:rPr>
              <w:t xml:space="preserve">         8.028.151.200 </w:t>
            </w:r>
            <w:r>
              <w:rPr>
                <w:b/>
                <w:bCs/>
              </w:rPr>
            </w:r>
            <w:r>
              <w:rPr>
                <w:b/>
                <w:bCs/>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         </w:t>
            </w:r>
            <w:r>
              <w:rPr>
                <w:rFonts w:ascii="Times New Roman" w:hAnsi="Times New Roman" w:eastAsia="Times New Roman" w:cs="Times New Roman"/>
                <w:b/>
                <w:bCs/>
                <w:color w:val="000000"/>
                <w:sz w:val="24"/>
              </w:rPr>
              <w:t xml:space="preserve">8.028.000.000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mươi tám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highlight w:val="none"/>
          <w:lang w:val="pt-BR"/>
        </w:rPr>
      </w:r>
      <w:r>
        <w:rPr>
          <w:rFonts w:eastAsia="Calibri"/>
          <w:b/>
          <w:bCs/>
          <w:spacing w:val="-4"/>
          <w:highlight w:val="none"/>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lang w:val="pt-BR"/>
        </w:rPr>
      </w:r>
      <w:r>
        <w:rPr>
          <w:rFonts w:eastAsia="Calibri"/>
          <w:b/>
          <w:bCs/>
          <w:spacing w:val="-4"/>
          <w:lang w:val="pt-BR"/>
        </w:rPr>
      </w:r>
      <w:r>
        <w:rPr>
          <w:rFonts w:eastAsia="Calibri"/>
          <w:b/>
          <w:bCs/>
          <w:spacing w:val="-4"/>
          <w:lang w:val="pt-BR"/>
        </w:rPr>
      </w:r>
    </w:p>
    <w:p>
      <w:pPr>
        <w:pBdr/>
        <w:spacing w:after="120" w:before="120" w:line="312" w:lineRule="auto"/>
        <w:ind w:firstLine="360"/>
        <w:rPr>
          <w:rFonts w:eastAsia="Calibri"/>
          <w:b/>
          <w:bCs/>
          <w:spacing w:val="-4"/>
          <w:lang w:val="pt-BR"/>
        </w:rPr>
      </w:pPr>
      <w:r>
        <w:rPr>
          <w:rFonts w:eastAsia="Calibri"/>
          <w:b/>
          <w:bCs/>
          <w:spacing w:val="-4"/>
          <w:highlight w:val="none"/>
          <w:lang w:val="pt-BR" w:bidi="pt-BR"/>
        </w:rPr>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7"/>
              <w:pBdr/>
              <w:spacing w:after="60"/>
              <w:ind/>
              <w:rPr>
                <w:color w:val="000000" w:themeColor="text1"/>
                <w:sz w:val="24"/>
                <w:szCs w:val="24"/>
              </w:rPr>
            </w:pPr>
            <w:r>
              <w:rPr>
                <w:rStyle w:val="1036"/>
                <w:rFonts w:ascii="Times New Roman" w:hAnsi="Times New Roman"/>
                <w:color w:val="000000" w:themeColor="text1"/>
                <w:lang w:val="pt-BR"/>
              </w:rPr>
              <w:t xml:space="preserve">Số: </w:t>
            </w:r>
            <w:r>
              <w:rPr>
                <w:rStyle w:val="1036"/>
                <w:rFonts w:ascii="Times New Roman" w:hAnsi="Times New Roman"/>
                <w:color w:val="000000" w:themeColor="text1"/>
                <w:lang w:val="pt-BR"/>
              </w:rPr>
              <w:t xml:space="preserve">275/2026/0727/VFI-</w:t>
            </w:r>
            <w:r>
              <w:rPr>
                <w:rStyle w:val="1036"/>
                <w:rFonts w:ascii="Times New Roman" w:hAnsi="Times New Roman"/>
                <w:color w:val="000000" w:themeColor="text1"/>
                <w:lang w:val="pt-BR"/>
              </w:rPr>
              <w:t xml:space="preserve">BC.53.A</w:t>
            </w:r>
            <w:r>
              <w:rPr>
                <w:color w:val="000000" w:themeColor="text1"/>
                <w:sz w:val="24"/>
                <w:szCs w:val="24"/>
              </w:rPr>
            </w:r>
            <w:r>
              <w:rPr>
                <w:color w:val="000000" w:themeColor="text1"/>
                <w:sz w:val="24"/>
                <w:szCs w:val="24"/>
              </w:rPr>
            </w:r>
          </w:p>
          <w:p>
            <w:pPr>
              <w:pStyle w:val="1037"/>
              <w:pBdr/>
              <w:spacing w:after="60"/>
              <w:ind w:right="-56"/>
              <w:jc w:val="center"/>
              <w:rPr>
                <w:color w:val="000000" w:themeColor="text1"/>
                <w:sz w:val="24"/>
                <w:szCs w:val="24"/>
                <w:lang w:val="vi-VN"/>
              </w:rPr>
            </w:pPr>
            <w:r>
              <w:rPr>
                <w:rStyle w:val="1036"/>
                <w:rFonts w:ascii="Times New Roman" w:hAnsi="Times New Roman"/>
                <w:i/>
                <w:color w:val="auto"/>
              </w:rPr>
              <w:t xml:space="preserve">TP. Hà Nội</w:t>
            </w:r>
            <w:r>
              <w:rPr>
                <w:rStyle w:val="1036"/>
                <w:rFonts w:ascii="Times New Roman" w:hAnsi="Times New Roman"/>
                <w:i/>
                <w:color w:val="auto"/>
                <w:lang w:val="vi-VN"/>
              </w:rPr>
              <w:t xml:space="preserve">, </w:t>
            </w:r>
            <w:r>
              <w:rPr>
                <w:rStyle w:val="1036"/>
                <w:rFonts w:ascii="Times New Roman" w:hAnsi="Times New Roman"/>
                <w:i/>
                <w:color w:val="000000" w:themeColor="text1"/>
                <w:lang w:val="vi-VN"/>
              </w:rPr>
              <w:t xml:space="preserve">ngày 14 tháng 5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37"/>
              <w:pBdr/>
              <w:spacing w:after="60"/>
              <w:ind/>
              <w:rPr>
                <w:rStyle w:val="1036"/>
                <w:rFonts w:ascii="Times New Roman" w:hAnsi="Times New Roman"/>
                <w:color w:val="000000" w:themeColor="text1"/>
                <w:lang w:val="pt-BR"/>
              </w:rPr>
            </w:pPr>
            <w:r>
              <w:rPr>
                <w:rStyle w:val="1036"/>
                <w:rFonts w:ascii="Times New Roman" w:hAnsi="Times New Roman"/>
                <w:color w:val="000000" w:themeColor="text1"/>
                <w:lang w:val="pt-BR"/>
              </w:rPr>
            </w:r>
            <w:r>
              <w:rPr>
                <w:rStyle w:val="1036"/>
                <w:rFonts w:ascii="Times New Roman" w:hAnsi="Times New Roman"/>
                <w:color w:val="000000" w:themeColor="text1"/>
                <w:lang w:val="pt-BR"/>
              </w:rPr>
            </w:r>
            <w:r>
              <w:rPr>
                <w:rStyle w:val="1036"/>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37"/>
              <w:pBdr/>
              <w:spacing w:after="60"/>
              <w:ind w:right="-56"/>
              <w:rPr>
                <w:rStyle w:val="1036"/>
                <w:rFonts w:ascii="Times New Roman" w:hAnsi="Times New Roman"/>
                <w:i/>
                <w:color w:val="auto"/>
              </w:rPr>
            </w:pPr>
            <w:r>
              <w:rPr>
                <w:rFonts w:ascii="Times New Roman" w:hAnsi="Times New Roman"/>
                <w:i/>
                <w:color w:val="auto"/>
              </w:rPr>
            </w:r>
            <w:r>
              <w:rPr>
                <w:rStyle w:val="1036"/>
                <w:rFonts w:ascii="Times New Roman" w:hAnsi="Times New Roman"/>
                <w:i/>
                <w:color w:val="auto"/>
              </w:rPr>
            </w:r>
            <w:r>
              <w:rPr>
                <w:rStyle w:val="1036"/>
                <w:rFonts w:ascii="Times New Roman" w:hAnsi="Times New Roman"/>
                <w:i/>
                <w:color w:val="auto"/>
              </w:rPr>
            </w:r>
          </w:p>
        </w:tc>
      </w:tr>
    </w:tbl>
    <w:p>
      <w:pPr>
        <w:pStyle w:val="1037"/>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275/2026/0727/VFI-CT.53.A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ÔNG NGUYỄN VĂN VIỆT</w:t>
            </w:r>
            <w:r>
              <w:rPr>
                <w:color w:val="000000" w:themeColor="text1"/>
              </w:rPr>
            </w:r>
            <w:r>
              <w:rPr>
                <w:color w:val="000000" w:themeColor="text1"/>
              </w:rPr>
            </w:r>
          </w:p>
        </w:tc>
      </w:tr>
      <w:tr>
        <w:trPr>
          <w:trHeight w:val="445"/>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001095034463</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04/01/1995</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916"/>
              </w:tabs>
              <w:spacing w:after="40" w:before="40" w:line="276" w:lineRule="auto"/>
              <w:ind/>
              <w:jc w:val="both"/>
              <w:rPr>
                <w:color w:val="000000" w:themeColor="text1"/>
              </w:rPr>
            </w:pPr>
            <w:r>
              <w:rPr>
                <w:color w:val="000000" w:themeColor="text1"/>
                <w:lang w:val="vi-VN"/>
              </w:rPr>
              <w:t xml:space="preserve">Thôn 7, Phúc Hòa, Phúc Thọ,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32, tờ bản đồ số: 15 có địa chỉ: Gi Lăng, Phường Trung Sơn Trầm, Thị xã Sơn Tây, TP Hà Nội (nay </w:t>
            </w:r>
            <w:r>
              <w:rPr>
                <w:bCs/>
                <w:color w:val="000000" w:themeColor="text1"/>
                <w:lang w:val="pt-BR"/>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bCs/>
                <w:color w:val="000000" w:themeColor="text1"/>
                <w:spacing w:val="2"/>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05/2026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Phường Tùng Thiện, Thành phố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1018"/>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21.103, 105.49408333333</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38"/>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Ngày 04/05/2026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8"/>
        <w:numPr>
          <w:ilvl w:val="0"/>
          <w:numId w:val="40"/>
        </w:numPr>
        <w:pBdr>
          <w:top w:val="none" w:color="000000" w:sz="4" w:space="0"/>
          <w:left w:val="none" w:color="000000" w:sz="4" w:space="0"/>
          <w:bottom w:val="none" w:color="000000" w:sz="4" w:space="0"/>
          <w:right w:val="none" w:color="000000" w:sz="4" w:space="0"/>
        </w:pBdr>
        <w:tabs>
          <w:tab w:val="left" w:leader="none" w:pos="8716"/>
        </w:tabs>
        <w:spacing w:before="120"/>
        <w:ind w:right="0" w:hanging="450" w:left="450"/>
        <w:jc w:val="both"/>
        <w:rPr>
          <w:rFonts w:ascii="Times New Roman" w:hAnsi="Times New Roman" w:cs="Times New Roman"/>
          <w:sz w:val="24"/>
          <w:szCs w:val="24"/>
        </w:rPr>
      </w:pPr>
      <w:r>
        <w:rPr>
          <w:rFonts w:ascii="Times New Roman" w:hAnsi="Times New Roman" w:eastAsia="Times New Roman" w:cs="Times New Roman"/>
          <w:sz w:val="24"/>
          <w:szCs w:val="24"/>
          <w:highlight w:val="none"/>
          <w:lang w:val="pt-BR" w:bidi="pt-BR"/>
        </w:rPr>
        <w:t xml:space="preserve">Nghị Quyết </w:t>
      </w:r>
      <w:r>
        <w:rPr>
          <w:rFonts w:ascii="Times New Roman" w:hAnsi="Times New Roman" w:eastAsia="Times New Roman" w:cs="Times New Roman"/>
          <w:color w:val="000000"/>
          <w:sz w:val="24"/>
          <w:szCs w:val="24"/>
        </w:rPr>
        <w:t xml:space="preserve">Số: 52/2025/NQ-HĐND</w:t>
      </w:r>
      <w:r>
        <w:rPr>
          <w:rFonts w:ascii="Times New Roman" w:hAnsi="Times New Roman" w:eastAsia="Times New Roman" w:cs="Times New Roman"/>
          <w:sz w:val="24"/>
          <w:szCs w:val="24"/>
          <w:highlight w:val="none"/>
          <w:lang w:val="pt-BR" w:bidi="pt-BR"/>
        </w:rPr>
        <w:t xml:space="preserve"> ngày 26/11/2026 </w:t>
      </w:r>
      <w:r>
        <w:rPr>
          <w:rFonts w:ascii="Times New Roman" w:hAnsi="Times New Roman" w:eastAsia="Times New Roman" w:cs="Times New Roman"/>
          <w:color w:val="000000"/>
          <w:sz w:val="24"/>
          <w:szCs w:val="24"/>
          <w:u w:val="none"/>
        </w:rPr>
        <w:t xml:space="preserve">quy định về bảng giá đất lần đầu để công bố và áp dụng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u w:val="none"/>
        </w:rPr>
        <w:t xml:space="preserve">từ ngày 01 tháng 01 năm 2026 trên địa bàn Thành Phố Hà Nội.</w:t>
      </w:r>
      <w:r>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r>
    </w:p>
    <w:p>
      <w:pPr>
        <w:pStyle w:val="103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275/2026/0727/VFI-HĐTĐ.53.A ngày 04/05/2026 giữa Ông Nguyễn Văn Việt với Công ty Cổ phần Thẩm định và Đầu tư Tài chính Hoa Sen.</w:t>
      </w:r>
      <w:r>
        <w:rPr>
          <w:b/>
          <w:lang w:val="pt-BR"/>
        </w:rPr>
      </w:r>
      <w:r>
        <w:rPr>
          <w:b/>
          <w:lang w:val="pt-BR"/>
        </w:rPr>
      </w:r>
    </w:p>
    <w:p>
      <w:pPr>
        <w:pStyle w:val="103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abs>
          <w:tab w:val="left" w:leader="none" w:pos="426"/>
        </w:tabs>
        <w:spacing w:after="120" w:before="120" w:line="276" w:lineRule="auto"/>
        <w:ind/>
        <w:rPr>
          <w:rFonts w:ascii="Times New Roman" w:hAnsi="Times New Roman" w:cs="Times New Roman"/>
          <w:i/>
          <w:iCs/>
          <w:color w:val="auto"/>
          <w:sz w:val="24"/>
          <w:szCs w:val="24"/>
          <w:highlight w:val="none"/>
        </w:rPr>
      </w:pPr>
      <w:r>
        <w:rPr>
          <w:highlight w:val="white"/>
          <w:lang w:val="pt-BR"/>
        </w:rPr>
        <w:tab/>
      </w:r>
      <w:r>
        <w:rPr>
          <w:rFonts w:ascii="Times New Roman" w:hAnsi="Times New Roman" w:eastAsia="Times New Roman" w:cs="Times New Roman"/>
          <w:color w:val="auto"/>
          <w:sz w:val="24"/>
          <w:szCs w:val="24"/>
          <w:highlight w:val="white"/>
        </w:rPr>
        <w:t xml:space="preserve">Theo Quy hoạch chung xây dựng Thủ đô Hà Nội đến năm 2030, với tầm nhì</w:t>
      </w:r>
      <w:r>
        <w:rPr>
          <w:rFonts w:ascii="Times New Roman" w:hAnsi="Times New Roman" w:eastAsia="Times New Roman" w:cs="Times New Roman"/>
          <w:color w:val="auto"/>
          <w:sz w:val="24"/>
          <w:szCs w:val="24"/>
        </w:rPr>
        <w:t xml:space="preserve">n đến năm 2050, Sơn Tây được xác định là một trong năm đô thị vệ tinh của Hà Nội. Đây là thị xã ngoại thành, giữ vai trò quan trọng trong lĩnh vực kinh tế, văn hóa và khoa học - kỹ thuật,</w:t>
      </w:r>
      <w:r>
        <w:rPr>
          <w:rFonts w:ascii="Times New Roman" w:hAnsi="Times New Roman" w:eastAsia="Times New Roman" w:cs="Times New Roman"/>
          <w:color w:val="auto"/>
          <w:sz w:val="24"/>
          <w:szCs w:val="24"/>
        </w:rPr>
        <w:t xml:space="preserve"> đồng thời hướng đến việc phát triển thành một đô thị văn hóa lịch sử và điểm đến du lịch nghỉ dưỡng​.</w:t>
      </w:r>
      <w:r>
        <w:rPr>
          <w:rFonts w:ascii="Times New Roman" w:hAnsi="Times New Roman" w:cs="Times New Roman"/>
          <w:i/>
          <w:iCs/>
          <w:color w:val="auto"/>
          <w:sz w:val="24"/>
          <w:szCs w:val="24"/>
          <w:highlight w:val="none"/>
        </w:rPr>
      </w:r>
      <w:r>
        <w:rPr>
          <w:rFonts w:ascii="Times New Roman" w:hAnsi="Times New Roman" w:cs="Times New Roman"/>
          <w:i/>
          <w:iCs/>
          <w:color w:val="auto"/>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Quy hoạch phát triển công nghiệp tại thị xã Sơn Tây được thiết lập nhằm xây dựng và mở rộng các khu, cụm công nghiệp để đáp ứng nhu cầu phát triển kinh tế bền vững. Mục tiêu chính của quy hoạch là thu hút đầu tư, phát triển các ngành công nghiệp chế biến, </w:t>
      </w:r>
      <w:r>
        <w:rPr>
          <w:rFonts w:ascii="Times New Roman" w:hAnsi="Times New Roman" w:eastAsia="Times New Roman" w:cs="Times New Roman"/>
          <w:color w:val="auto"/>
          <w:sz w:val="24"/>
          <w:szCs w:val="24"/>
        </w:rPr>
        <w:t xml:space="preserve">chế tạo và dịch vụ, từ đó tạo ra việc làm cho người dân địa phương và tăng trưởng kinh tế cho thị xã.</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Các dự án công nghiệp sẽ được triển khai với các biện pháp bảo vệ môi trường nghiêm ngặt, nhằm hạn chế ô nhiễm và tác động tiêu cực đến hệ sinh thái xung quanh. Thị xã cũng khuyến khích các nhà đầu tư trong và ngoài nước tham gia vào việc phát triển các ng</w:t>
      </w:r>
      <w:r>
        <w:rPr>
          <w:rFonts w:ascii="Times New Roman" w:hAnsi="Times New Roman" w:eastAsia="Times New Roman" w:cs="Times New Roman"/>
          <w:color w:val="auto"/>
          <w:sz w:val="24"/>
          <w:szCs w:val="24"/>
        </w:rPr>
        <w:t xml:space="preserve">ành công nghiệp sạch và công nghệ cao, phù hợp với xu hướng phát triển của khu vực và đất nước.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Hiện trạng đất đô thị tại Sơn Tây còn khá hạn chế, vì vậy trong những năm tới, thị xã dự kiến xây dựng thêm nhiều khu đô thị mới nhằm đáp ứng nhu cầu phát triển của đô thị vệ tinh này. Khu vực phát triển đô thị sẽ được chia thành ba vùng chính:</w:t>
      </w:r>
      <w:r>
        <w:rPr>
          <w:rFonts w:ascii="Times New Roman" w:hAnsi="Times New Roman" w:cs="Times New Roman"/>
          <w:color w:val="auto"/>
          <w:sz w:val="24"/>
          <w:szCs w:val="24"/>
        </w:rPr>
      </w:r>
      <w:r>
        <w:rPr>
          <w:rFonts w:ascii="Times New Roman" w:hAnsi="Times New Roman" w:cs="Times New Roman"/>
          <w:color w:val="auto"/>
          <w:sz w:val="24"/>
          <w:szCs w:val="24"/>
        </w:rPr>
      </w:r>
    </w:p>
    <w:p>
      <w:pPr>
        <w:pStyle w:val="1038"/>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Khu bảo tồn hạn chế phát triển: Nơi đây sẽ tập trung vào việc bảo vệ các giá trị văn hóa và lịch sử, giữ gìn các đặc trưng kiến trúc truyền thống.</w:t>
      </w:r>
      <w:r>
        <w:rPr>
          <w:rFonts w:ascii="Times New Roman" w:hAnsi="Times New Roman" w:cs="Times New Roman"/>
          <w:color w:val="auto"/>
          <w:sz w:val="24"/>
          <w:szCs w:val="24"/>
        </w:rPr>
      </w:r>
      <w:r>
        <w:rPr>
          <w:rFonts w:ascii="Times New Roman" w:hAnsi="Times New Roman" w:cs="Times New Roman"/>
          <w:color w:val="auto"/>
          <w:sz w:val="24"/>
          <w:szCs w:val="24"/>
        </w:rPr>
      </w:r>
    </w:p>
    <w:p>
      <w:pPr>
        <w:pStyle w:val="1038"/>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Khu đô thị mới: Được thiết kế để đáp ứng nhu cầu sống hiện đại của cư dân, với các tiện ích và hạ tầng đồng bộ.</w:t>
      </w:r>
      <w:r>
        <w:rPr>
          <w:rFonts w:ascii="Times New Roman" w:hAnsi="Times New Roman" w:cs="Times New Roman"/>
          <w:color w:val="auto"/>
          <w:sz w:val="24"/>
          <w:szCs w:val="24"/>
        </w:rPr>
      </w:r>
      <w:r>
        <w:rPr>
          <w:rFonts w:ascii="Times New Roman" w:hAnsi="Times New Roman" w:cs="Times New Roman"/>
          <w:color w:val="auto"/>
          <w:sz w:val="24"/>
          <w:szCs w:val="24"/>
        </w:rPr>
      </w:r>
    </w:p>
    <w:p>
      <w:pPr>
        <w:pStyle w:val="1038"/>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Khu tổ hợp y tế và trường đại học: Đây sẽ là nơi tập trung các cơ sở y tế và giáo dục, tạo điều kiện cho sự phát triển của nguồn nhân lực tại địa phương.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Trong khu trung tâm của đô thị cũ Sơn Tây, việc bảo tồn giá trị lịch sử sẽ là ưu tiên hàng đầu, với các công trình công cộng cao dưới 5 tầng và nhà ở riêng lẻ không quá 3 tầng. Khu vực làng cổ Đường Lâm cũng sẽ được quy hoạch theo hướng bảo tồn và tôn tạo,</w:t>
      </w:r>
      <w:r>
        <w:rPr>
          <w:rFonts w:ascii="Times New Roman" w:hAnsi="Times New Roman" w:eastAsia="Times New Roman" w:cs="Times New Roman"/>
          <w:color w:val="auto"/>
          <w:sz w:val="24"/>
          <w:szCs w:val="24"/>
        </w:rPr>
        <w:t xml:space="preserve"> phát huy giá trị di sản văn hóa của địa phương.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abs>
          <w:tab w:val="left" w:leader="none" w:pos="426"/>
        </w:tabs>
        <w:spacing w:after="120" w:before="120" w:line="276" w:lineRule="auto"/>
        <w:ind/>
        <w:rPr>
          <w:bCs/>
          <w:i/>
          <w:u w:val="single"/>
        </w:rPr>
      </w:pPr>
      <w:r>
        <w:rPr>
          <w:i/>
          <w:iCs/>
          <w:highlight w:val="none"/>
          <w:u w:val="single"/>
          <w:lang w:val="pt-BR" w:bidi="pt-BR"/>
        </w:rPr>
        <w:t xml:space="preserve">Nguồn:</w:t>
      </w:r>
      <w:r>
        <w:rPr>
          <w:i/>
          <w:iCs/>
          <w:highlight w:val="none"/>
          <w:u w:val="single"/>
          <w:lang w:val="pt-BR" w:bidi="pt-BR"/>
        </w:rPr>
        <w:t xml:space="preserve">https://onehousing.vn/blog/tong-quan-ban-do-quy-hoach-thi-xa-son-tay-moi-nhat-n17t</w:t>
      </w:r>
      <w:r>
        <w:rPr>
          <w:bCs/>
          <w:i/>
          <w:u w:val="single"/>
        </w:rPr>
      </w:r>
      <w:r>
        <w:rPr>
          <w:bCs/>
          <w:i/>
          <w:u w:val="single"/>
        </w:rPr>
      </w:r>
    </w:p>
    <w:p>
      <w:pPr>
        <w:pStyle w:val="103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48"/>
        <w:gridCol w:w="2281"/>
        <w:gridCol w:w="2024"/>
        <w:gridCol w:w="2491"/>
        <w:gridCol w:w="2859"/>
      </w:tblGrid>
      <w:tr>
        <w:trPr>
          <w:trHeight w:val="1692"/>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32, tờ bản đồ số: 15 có địa chỉ: Gi Lăng, Phường Trung Sơn Trầm, Thị xã Sơn Tây, TP Hà Nội (nay là phường Tùng Thiện, Thành phố Hà Nội) theo Giấy chứng nhận quyền sử dụng đất, quyền sở hữu nhà ở và tài sản khác gắn liền v</w:t>
            </w:r>
            <w:r>
              <w:rPr>
                <w:rFonts w:ascii="Times New Roman" w:hAnsi="Times New Roman" w:eastAsia="Times New Roman" w:cs="Times New Roman"/>
                <w:b/>
                <w:color w:val="000000"/>
                <w:sz w:val="24"/>
              </w:rPr>
              <w:t xml:space="preserve">ới đất  số: BA 596818, số vào sổ cấp GCN: CH 00435 do Uỷ ban Nhân dân Thị xã Sơn Tây  cấp ngày 12/07/2010 cho Ông Nguyễn Mạnh Cường </w:t>
            </w:r>
            <w:r/>
          </w:p>
        </w:tc>
      </w:tr>
      <w:tr>
        <w:trPr>
          <w:trHeight w:val="315"/>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32</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15</w:t>
            </w:r>
            <w:r/>
          </w:p>
        </w:tc>
      </w:tr>
      <w:tr>
        <w:trPr>
          <w:trHeight w:val="876"/>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 Lăng, Phường Trung Sơn Trầm, Thị xã Sơn Tây, TP Hà Nội (nay là phường Tùng Thiện, Thành phố Hà Nội)</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399,6 </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399,6m2</w:t>
            </w:r>
            <w:r/>
          </w:p>
        </w:tc>
      </w:tr>
      <w:tr>
        <w:trPr>
          <w:trHeight w:val="1248"/>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đô thị (265m2), Đất trồng cây lâu năm (134,6 m2)</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 (ODT); Đến ngày 15/10/2043(CLN)</w:t>
            </w:r>
            <w:r/>
          </w:p>
        </w:tc>
      </w:tr>
      <w:tr>
        <w:trPr>
          <w:trHeight w:val="102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công nhận quyền sử dụng đất như Nhà nước giao đất không thu tiền sử dụng đất 134,6m2 đất; Nhà nước công nhận quyền sử dụng đất như Nhà nước giao đất có thu tiền sử dụng đất 265m2 đất.</w:t>
            </w:r>
            <w:r/>
          </w:p>
        </w:tc>
      </w:tr>
      <w:tr>
        <w:trPr>
          <w:trHeight w:val="1236"/>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được thông tin quy hoạch thửa đất hiện có 31,6m2 thuộc quy hoạch đất giao thông theo tra cứu từ Viện quy hoạch. Quy hoạch dự án 1/500 tại phường Tùng Thiện, Thành phố Hà Nội </w:t>
            </w: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mc:AlternateContent>
                <mc:Choice Requires="wpg">
                  <w:drawing>
                    <wp:inline xmlns:wp="http://schemas.openxmlformats.org/drawingml/2006/wordprocessingDrawing" distT="0" distB="0" distL="0" distR="0">
                      <wp:extent cx="1897688" cy="24149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55147" name=""/>
                              <pic:cNvPicPr>
                                <a:picLocks noChangeAspect="1"/>
                              </pic:cNvPicPr>
                              <pic:nvPr/>
                            </pic:nvPicPr>
                            <pic:blipFill rotWithShape="1">
                              <a:blip r:embed="rId17"/>
                              <a:stretch/>
                            </pic:blipFill>
                            <pic:spPr bwMode="auto">
                              <a:xfrm flipH="0" flipV="0">
                                <a:off x="0" y="0"/>
                                <a:ext cx="1897688" cy="2414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49.42pt;height:190.1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 Lăng, Phường Trung Sơn Trầm, Thị xã Sơn Tây, TP Hà Nội (nay là phường Tùng Thiện, Thành phố Hà Nội)</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nhựa </w:t>
            </w:r>
            <w:r/>
          </w:p>
        </w:tc>
        <w:tc>
          <w:tcPr>
            <w:tcBorders>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15" w:type="dxa"/>
              <w:top w:w="15" w:type="dxa"/>
              <w:right w:w="15" w:type="dxa"/>
              <w:bottom w:w="0" w:type="dxa"/>
            </w:tcMar>
            <w:tcW w:w="2859"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1 mặt tiền </w:t>
            </w:r>
            <w:r/>
          </w:p>
        </w:tc>
      </w:tr>
      <w:tr>
        <w:trPr>
          <w:trHeight w:val="147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6,5</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6,5</w:t>
            </w:r>
            <w:r/>
          </w:p>
        </w:tc>
      </w:tr>
      <w:tr>
        <w:trPr>
          <w:trHeight w:val="97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trong ngõ 216 Gi Lăng, cách đường QL21 khoảng 300m</w:t>
            </w:r>
            <w:r/>
          </w:p>
        </w:tc>
      </w:tr>
      <w:tr>
        <w:trPr>
          <w:trHeight w:val="66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nhựa rộng khoảng 6,5m</w:t>
            </w:r>
            <w:r/>
          </w:p>
        </w:tc>
      </w:tr>
      <w:tr>
        <w:trPr>
          <w:trHeight w:val="864"/>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Hướng Đông Nam : Tiếp giáp đường nhựa rộng khoảng 6,5m</w:t>
              <w:br/>
              <w:t xml:space="preserve">- Các hướng khác: Tiếp giáp thửa đất khác</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21.103220204504588, 105.49401268465616</w:t>
            </w:r>
            <w:r>
              <w:rPr>
                <w:rFonts w:ascii="Times New Roman" w:hAnsi="Times New Roman" w:eastAsia="Times New Roman" w:cs="Times New Roman"/>
                <w:color w:val="000000"/>
                <w:sz w:val="24"/>
              </w:rPr>
            </w:r>
            <w:r/>
          </w:p>
        </w:tc>
      </w:tr>
      <w:tr>
        <w:trPr>
          <w:trHeight w:val="73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13953" cy="295917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05696" name=""/>
                              <pic:cNvPicPr>
                                <a:picLocks noChangeAspect="1"/>
                              </pic:cNvPicPr>
                              <pic:nvPr/>
                            </pic:nvPicPr>
                            <pic:blipFill rotWithShape="1">
                              <a:blip r:embed="rId18"/>
                              <a:stretch/>
                            </pic:blipFill>
                            <pic:spPr bwMode="auto">
                              <a:xfrm flipH="0" flipV="0">
                                <a:off x="0" y="0"/>
                                <a:ext cx="5613953" cy="29591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2.04pt;height:233.01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368,0 </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10,70</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36,90</w:t>
            </w:r>
            <w:r/>
          </w:p>
        </w:tc>
      </w:tr>
      <w:tr>
        <w:trPr>
          <w:trHeight w:val="1020"/>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10,10</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Đa giác</w:t>
            </w:r>
            <w:r/>
          </w:p>
        </w:tc>
      </w:tr>
      <w:tr>
        <w:trPr>
          <w:trHeight w:val="49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Nam</w:t>
            </w:r>
            <w:r/>
          </w:p>
        </w:tc>
      </w:tr>
      <w:tr>
        <w:trPr>
          <w:trHeight w:val="444"/>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15" w:type="dxa"/>
              <w:top w:w="15" w:type="dxa"/>
              <w:right w:w="15" w:type="dxa"/>
              <w:bottom w:w="0" w:type="dxa"/>
            </w:tcMar>
            <w:tcW w:w="73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15" w:type="dxa"/>
              <w:top w:w="15" w:type="dxa"/>
              <w:right w:w="15" w:type="dxa"/>
              <w:bottom w:w="0" w:type="dxa"/>
            </w:tcMar>
            <w:tcW w:w="22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15" w:type="dxa"/>
              <w:top w:w="15" w:type="dxa"/>
              <w:right w:w="15" w:type="dxa"/>
              <w:bottom w:w="0" w:type="dxa"/>
            </w:tcMar>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Thích hợp để ở</w:t>
            </w:r>
            <w:r/>
          </w:p>
        </w:tc>
        <w:tc>
          <w:tcPr>
            <w:tcBorders>
              <w:bottom w:val="single" w:color="000000" w:sz="5" w:space="0"/>
              <w:right w:val="single" w:color="000000" w:sz="5" w:space="0"/>
            </w:tcBorders>
            <w:tcMar>
              <w:left w:w="15" w:type="dxa"/>
              <w:top w:w="15" w:type="dxa"/>
              <w:right w:w="15" w:type="dxa"/>
              <w:bottom w:w="0" w:type="dxa"/>
            </w:tcMar>
            <w:tcW w:w="249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15" w:type="dxa"/>
              <w:top w:w="15" w:type="dxa"/>
              <w:right w:w="15" w:type="dxa"/>
              <w:bottom w:w="0" w:type="dxa"/>
            </w:tcMar>
            <w:tcW w:w="28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521"/>
        </w:trPr>
        <w:tc>
          <w:tcPr>
            <w:tcBorders>
              <w:left w:val="single" w:color="000000" w:sz="5" w:space="0"/>
              <w:bottom w:val="single" w:color="000000" w:sz="5" w:space="0"/>
              <w:right w:val="single" w:color="000000" w:sz="5" w:space="0"/>
            </w:tcBorders>
            <w:tcMar>
              <w:left w:w="15" w:type="dxa"/>
              <w:top w:w="15" w:type="dxa"/>
              <w:right w:w="15" w:type="dxa"/>
              <w:bottom w:w="0" w:type="dxa"/>
            </w:tcMar>
            <w:tcW w:w="6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5" w:space="0"/>
            </w:tcBorders>
            <w:tcMar>
              <w:left w:w="15" w:type="dxa"/>
              <w:top w:w="15" w:type="dxa"/>
              <w:right w:w="15" w:type="dxa"/>
              <w:bottom w:w="0" w:type="dxa"/>
            </w:tcMar>
            <w:tcW w:w="965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dưới sự hướng dẫn của khách hàng, tổ thẩm định thấy 01 nhà cấp 4 đã cũ, không còn sử dụng. Công trình hiện chưa được chứng nhận trên GCN.</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1038"/>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spacing w:val="-2"/>
          <w:highlight w:val="none"/>
          <w:lang w:val="pt-BR" w:bidi="pt-BR"/>
        </w:rPr>
        <w:t xml:space="preserve">Tại thời điểm thẩn định giá, tổ thẩm định giá đã thực hiện thu thập thông tin quy hoạch của thửa đất từ các nguồn thông tin trên các trang quy hoạch do hạn chế về nguồn thông tin quy hoạch của thửa đất của các cơ quan chức năng. Do vậy, tổ thẩm định giá giả</w:t>
      </w:r>
      <w:r>
        <w:rPr>
          <w:spacing w:val="-2"/>
          <w:highlight w:val="none"/>
          <w:lang w:val="pt-BR" w:bidi="pt-BR"/>
        </w:rPr>
        <w:t xml:space="preserve"> định nguồn thông tin kiểm tra quy hoạch của thửa đất thẩm định giá là chính xác là cơ sở cho việc sử dụng để xác định giá trị tài sản thẩm định giá;</w:t>
      </w:r>
      <w:r>
        <w:rPr>
          <w:spacing w:val="-2"/>
          <w:highlight w:val="none"/>
          <w:lang w:val="pt-BR" w:bidi="pt-BR"/>
        </w:rPr>
      </w:r>
      <w:r>
        <w:rPr>
          <w:spacing w:val="-2"/>
          <w:highlight w:val="none"/>
          <w:lang w:val="pt-BR"/>
        </w:rPr>
      </w:r>
    </w:p>
    <w:p>
      <w:pPr>
        <w:pStyle w:val="103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r>
        <w:rPr>
          <w:b/>
          <w:bCs/>
          <w:highlight w:val="none"/>
          <w:lang w:val="pt-BR"/>
        </w:rPr>
      </w:r>
      <w:r>
        <w:rPr>
          <w:b/>
          <w:bCs/>
          <w:highlight w:val="none"/>
          <w:lang w:val="pt-BR"/>
        </w:rPr>
      </w:r>
      <w:r>
        <w:rPr>
          <w:b/>
          <w:bCs/>
          <w:highlight w:val="none"/>
          <w:lang w:val="pt-BR"/>
        </w:rPr>
      </w:r>
      <w:r>
        <w:rPr>
          <w:spacing w:val="-2"/>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highlight w:val="none"/>
          <w:lang w:val="pt-BR"/>
        </w:rPr>
      </w:r>
      <w:r>
        <w:rPr>
          <w:b/>
          <w:bCs/>
          <w:highlight w:val="none"/>
          <w:lang w:val="pt-BR"/>
        </w:rPr>
      </w:r>
    </w:p>
    <w:p>
      <w:pPr>
        <w:pStyle w:val="103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8"/>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pPr>
        <w:pStyle w:val="1038"/>
        <w:pBdr/>
        <w:spacing w:after="120" w:before="120" w:line="276" w:lineRule="auto"/>
        <w:ind w:left="0"/>
        <w:jc w:val="both"/>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lang w:val="de-DE" w:bidi="de-DE"/>
        </w:rPr>
      </w:r>
      <w:r>
        <w:rPr>
          <w:rFonts w:ascii="Times New Roman" w:hAnsi="Times New Roman" w:eastAsia="Times New Roman" w:cs="Times New Roman"/>
          <w:color w:val="000000" w:themeColor="text1"/>
          <w:spacing w:val="3"/>
          <w:sz w:val="24"/>
          <w:szCs w:val="24"/>
          <w:highlight w:val="white"/>
        </w:rPr>
        <w:t xml:space="preserve">Tại trang sơ đồ thửa đất không thể hiện vị trí đất ở và vị trí đất trồng cây lâu năm, ngoài ra tổ thẩm định không được cung cấp bất kỳ hồ sơ khác liên quan đến thửa đất thẩm định giá, do đó tổ thẩm định giả định phần</w:t>
      </w:r>
      <w:r>
        <w:rPr>
          <w:rFonts w:ascii="Times New Roman" w:hAnsi="Times New Roman" w:eastAsia="Times New Roman" w:cs="Times New Roman"/>
          <w:color w:val="000000" w:themeColor="text1"/>
          <w:spacing w:val="3"/>
          <w:sz w:val="24"/>
          <w:szCs w:val="24"/>
          <w:highlight w:val="white"/>
        </w:rPr>
        <w:t xml:space="preserve"> diện tích 31,6m2 đất thuộc HLGT là đất trồng cây lâu năm.</w:t>
      </w:r>
      <w:r>
        <w:rPr>
          <w:rFonts w:ascii="Times New Roman" w:hAnsi="Times New Roman" w:eastAsia="Times New Roman" w:cs="Times New Roman"/>
          <w:color w:val="000000" w:themeColor="text1"/>
          <w:sz w:val="24"/>
          <w:szCs w:val="24"/>
          <w:highlight w:val="white"/>
          <w:lang w:val="de-DE" w:bidi="de-DE"/>
        </w:rPr>
        <w:t xml:space="preserve"> Vậy diện tích đất thuộc HLGT sẽ được tính theo đơn giá đất trồng cây lâu năm của Nhà nước.</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p>
      <w:pPr>
        <w:pStyle w:val="103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nằm ngoài quy hoạch giao thông</w:t>
      </w:r>
      <w:r>
        <w:rPr>
          <w:b/>
          <w:lang w:val="pt-BR"/>
        </w:rPr>
        <w:t xml:space="preserve">:</w:t>
      </w:r>
      <w:r>
        <w:rPr>
          <w:b/>
          <w:lang w:val="pt-BR"/>
        </w:rPr>
      </w:r>
      <w:r>
        <w:rPr>
          <w:b/>
          <w:lang w:val="pt-BR"/>
        </w:rPr>
      </w:r>
    </w:p>
    <w:p>
      <w:pPr>
        <w:pStyle w:val="103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73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01"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ĐẶC ĐIỂM BĐS</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top"/>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top"/>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Thông tin về tài sản</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248"/>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Địa chỉ</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Trung Sơn Trầm, Thị xã Sơn Tây,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Trung Sơn Trầm, Thị xã Sơn Tây,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Trung Sơn Trầm, Thị xã Sơn Tây,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Trung Sơn Trầm, Thị xã Sơn Tây, Thành phố Hà Nội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08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Nguồn tham khảo</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u w:val="single"/>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https://batdongsan.com.vn/ban-dat-duong-trung-son-tram-phuong-trung-son-tram/ban-nhanh-lo-dien-tich-105m2-tay-pr43741067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https://www.facebook.com/share/p/17TAZh51eN/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https://www.facebook.com/groups/599037763506990/permalink/25765756726408413/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90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Thông tin liên lạc</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0979685135 </w:t>
              <w:br/>
              <w:t xml:space="preserve">(Dung)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0963967794</w:t>
              <w:br/>
              <w:t xml:space="preserve">(Duy Linh)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0396825462</w:t>
              <w:br/>
              <w:t xml:space="preserve">(Uyên Nguyễn)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5/2026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Tính chất giao dịch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53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 265m2 Đất trồng cây lâu năm 103m2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trồng cây lâu năm (15m²), Đất ở tại đô thị (90m²)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trồng cây lâu năm (96.8m²), Đất ở tại đô thị (53m²)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 (70.1m²)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284"/>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 (ODT); Đến ngày 15/10/2043(CLN)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 (ODT); Đến ngày 15/10/2043(CLN)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thời hạn (đến 01/07/2064), 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50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nằm trong ngõ 216 Gi Lăng, cách đường QL21 khoảng 300m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Tùng Thiện,Thành phố Hà Nội. Cách phố Chùa Thông khoảng 500m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Tùng Thiện,Thành phố Hà Nội .Cách DT416 100m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Tùng Thiện,Thành phố Hà Nội.Cách QL21A khoảng 550m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992"/>
        </w:trPr>
        <w:tc>
          <w:tcPr>
            <w:tcBorders>
              <w:left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bê tông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996"/>
        </w:trPr>
        <w:tc>
          <w:tcPr>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Độ rộng đường (m)</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2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368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149,8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6,06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6,95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48"/>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32,9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17,33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21,55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10,78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080"/>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24"/>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3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Bất lợi thương mại </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Ngõ cụt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Không có bất lợi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58"/>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đất ở/ tổng diện tích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428"/>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cơ sở hạ tầng kỹ thuật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ind/>
              <w:jc w:val="center"/>
              <w:rPr>
                <w:color w:val="000000" w:themeColor="text1"/>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ind/>
              <w:jc w:val="center"/>
              <w:rPr>
                <w:color w:val="000000" w:themeColor="text1"/>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ind/>
              <w:jc w:val="center"/>
              <w:rPr>
                <w:color w:val="000000" w:themeColor="text1"/>
              </w:rPr>
            </w:pPr>
            <w:r>
              <w:rPr>
                <w:rFonts w:ascii="Times New Roman" w:hAnsi="Times New Roman" w:eastAsia="Times New Roman" w:cs="Times New Roman"/>
                <w:color w:val="000000" w:themeColor="text1"/>
                <w:sz w:val="22"/>
                <w:szCs w:val="22"/>
              </w:rPr>
              <w:t xml:space="preserve">Hạ tầng khu dân cư thông thường: Hệ thống cấp điện, cấp thoát nước đầy đủ</w:t>
            </w:r>
            <w:r>
              <w:rPr>
                <w:color w:val="000000" w:themeColor="text1"/>
              </w:rPr>
            </w:r>
            <w:r>
              <w:rPr>
                <w:color w:val="000000" w:themeColor="text1"/>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Tài sản trên đất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Đất trống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rao (đồng)</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2.600.000.000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4.200.000.000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2.850.000.000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thương lượng/bán (đồng)</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2.210.000.000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3.528.000.000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2.394.000.000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27"/>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 tiết tính toán</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righ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01"/>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tài sản trên đất (đồng)</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đất ở (đồng)</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2.210.000.000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3.528.000.000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2.394.000.000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QSDĐ (đồng/m²)</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21.047.619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23.551.402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34.151.213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NHẬN XÉT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Độ rộng đường (m)</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1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Chiều sâu </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84"/>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Bất lợi thương mại </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24"/>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đất ở/ tổng diện tích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64"/>
        </w:trPr>
        <w:tc>
          <w:tcPr>
            <w:tcBorders>
              <w:left w:val="single" w:color="000000" w:sz="5" w:space="0"/>
              <w:bottom w:val="single" w:color="000000" w:sz="5" w:space="0"/>
              <w:right w:val="single" w:color="000000" w:sz="5" w:space="0"/>
            </w:tcBorders>
            <w:tcMar>
              <w:left w:w="15" w:type="dxa"/>
              <w:top w:w="15" w:type="dxa"/>
              <w:right w:w="15" w:type="dxa"/>
              <w:bottom w:w="0" w:type="dxa"/>
            </w:tcMar>
            <w:tcW w:w="7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0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Điều kiện môi trường an ninh</w:t>
            </w:r>
            <w:r>
              <w:rPr>
                <w:color w:val="000000" w:themeColor="text1"/>
              </w:rPr>
            </w:r>
            <w:r>
              <w:rPr>
                <w:color w:val="000000" w:themeColor="text1"/>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15" w:type="dxa"/>
              <w:top w:w="15" w:type="dxa"/>
              <w:right w:w="15" w:type="dxa"/>
              <w:bottom w:w="0" w:type="dxa"/>
            </w:tcMar>
            <w:tcW w:w="1772"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2"/>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9"/>
        <w:gridCol w:w="1630"/>
        <w:gridCol w:w="1039"/>
        <w:gridCol w:w="1559"/>
        <w:gridCol w:w="1559"/>
        <w:gridCol w:w="1559"/>
        <w:gridCol w:w="1559"/>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2.210.000.000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3.528.000.000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2.394.000.000 </w:t>
            </w:r>
            <w:r>
              <w:rPr>
                <w:color w:val="000000" w:themeColor="text1"/>
              </w:rPr>
            </w:r>
            <w:r>
              <w:rPr>
                <w:color w:val="000000" w:themeColor="text1"/>
              </w:rPr>
            </w:r>
          </w:p>
        </w:tc>
      </w:tr>
      <w:tr>
        <w:trPr>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21.047.619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23.551.402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34.151.213 </w:t>
            </w:r>
            <w:r>
              <w:rPr>
                <w:color w:val="000000" w:themeColor="text1"/>
              </w:rPr>
            </w:r>
            <w:r>
              <w:rPr>
                <w:color w:val="000000" w:themeColor="text1"/>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21.047.619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23.551.402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34.151.213 </w:t>
            </w:r>
            <w:r>
              <w:rPr>
                <w:color w:val="000000" w:themeColor="text1"/>
              </w:rPr>
            </w:r>
            <w:r>
              <w:rPr>
                <w:color w:val="000000" w:themeColor="text1"/>
              </w:rPr>
            </w:r>
          </w:p>
        </w:tc>
      </w:tr>
      <w:tr>
        <w:trPr>
          <w:trHeight w:val="165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trong ngõ 216 Gi Lăng, cách đường QL21 khoảng 300m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Tùng Thiện,Thành phố Hà Nội. Cách phố Chùa Thông khoảng 500m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Tùng Thiện,Thành phố Hà Nội. Cách DT416 100m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Tùng Thiện,Thành phố Hà Nội.Cách QL21A khoảng 550m</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21.047.619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23.551.402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34.151.213 </w:t>
            </w:r>
            <w:r>
              <w:rPr>
                <w:color w:val="000000" w:themeColor="text1"/>
              </w:rPr>
            </w:r>
            <w:r>
              <w:rPr>
                <w:color w:val="000000" w:themeColor="text1"/>
              </w:rPr>
            </w:r>
          </w:p>
        </w:tc>
      </w:tr>
      <w:tr>
        <w:trPr>
          <w:trHeight w:val="142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1.473.333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1.648.598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2.390.585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22.520.952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36.541.797 </w:t>
            </w:r>
            <w:r>
              <w:rPr>
                <w:color w:val="000000" w:themeColor="text1"/>
              </w:rPr>
            </w:r>
            <w:r>
              <w:rPr>
                <w:color w:val="000000" w:themeColor="text1"/>
              </w:rPr>
            </w:r>
          </w:p>
        </w:tc>
      </w:tr>
      <w:tr>
        <w:trPr>
          <w:trHeight w:val="61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22.520.952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25.200.000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36.541.797 </w:t>
            </w:r>
            <w:r>
              <w:rPr>
                <w:color w:val="000000" w:themeColor="text1"/>
              </w:rPr>
            </w:r>
            <w:r>
              <w:rPr>
                <w:color w:val="000000" w:themeColor="text1"/>
              </w:rPr>
            </w:r>
          </w:p>
        </w:tc>
      </w:tr>
      <w:tr>
        <w:trPr>
          <w:trHeight w:val="588"/>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368,00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149,80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70,10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-25,00%</w:t>
            </w:r>
            <w:r>
              <w:rPr>
                <w:color w:val="000000" w:themeColor="text1"/>
              </w:rPr>
            </w:r>
            <w:r>
              <w:rPr>
                <w:color w:val="000000" w:themeColor="text1"/>
              </w:rPr>
            </w:r>
          </w:p>
        </w:tc>
      </w:tr>
      <w:tr>
        <w:trPr>
          <w:trHeight w:val="46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-4.209.524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-4.710.280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-8.537.803 </w:t>
            </w:r>
            <w:r>
              <w:rPr>
                <w:color w:val="000000" w:themeColor="text1"/>
              </w:rPr>
            </w:r>
            <w:r>
              <w:rPr>
                <w:color w:val="000000" w:themeColor="text1"/>
              </w:rPr>
            </w:r>
          </w:p>
        </w:tc>
      </w:tr>
      <w:tr>
        <w:trPr>
          <w:trHeight w:val="92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20.489.720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28.003.994 </w:t>
            </w:r>
            <w:r>
              <w:rPr>
                <w:color w:val="000000" w:themeColor="text1"/>
              </w:rPr>
            </w:r>
            <w:r>
              <w:rPr>
                <w:color w:val="000000" w:themeColor="text1"/>
              </w:rPr>
            </w:r>
          </w:p>
        </w:tc>
      </w:tr>
      <w:tr>
        <w:trPr>
          <w:trHeight w:val="48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10,7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6,1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7,0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6,5 </w:t>
            </w:r>
            <w:r>
              <w:rPr>
                <w:color w:val="000000" w:themeColor="text1"/>
              </w:rPr>
            </w:r>
            <w:r>
              <w:rPr>
                <w:color w:val="000000" w:themeColor="text1"/>
              </w:rPr>
            </w:r>
          </w:p>
        </w:tc>
      </w:tr>
      <w:tr>
        <w:trPr>
          <w:trHeight w:val="48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6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1.052.381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1.177.570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1.707.561 </w:t>
            </w:r>
            <w:r>
              <w:rPr>
                <w:color w:val="000000" w:themeColor="text1"/>
              </w:rPr>
            </w:r>
            <w:r>
              <w:rPr>
                <w:color w:val="000000" w:themeColor="text1"/>
              </w:rPr>
            </w:r>
          </w:p>
        </w:tc>
      </w:tr>
      <w:tr>
        <w:trPr>
          <w:trHeight w:val="64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19.363.810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21.667.290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29.711.555 </w:t>
            </w:r>
            <w:r>
              <w:rPr>
                <w:color w:val="000000" w:themeColor="text1"/>
              </w:rPr>
            </w:r>
            <w:r>
              <w:rPr>
                <w:color w:val="000000" w:themeColor="text1"/>
              </w:rPr>
            </w:r>
          </w:p>
        </w:tc>
      </w:tr>
      <w:tr>
        <w:trPr>
          <w:trHeight w:val="141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17,33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21,55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10,78</w:t>
            </w:r>
            <w:r>
              <w:rPr>
                <w:color w:val="000000" w:themeColor="text1"/>
              </w:rPr>
            </w:r>
            <w:r>
              <w:rPr>
                <w:color w:val="000000" w:themeColor="text1"/>
              </w:rPr>
            </w:r>
          </w:p>
        </w:tc>
      </w:tr>
      <w:tr>
        <w:trPr>
          <w:trHeight w:val="4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4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-1.052.381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-1.177.570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-3.415.121 </w:t>
            </w:r>
            <w:r>
              <w:rPr>
                <w:color w:val="000000" w:themeColor="text1"/>
              </w:rPr>
            </w:r>
            <w:r>
              <w:rPr>
                <w:color w:val="000000" w:themeColor="text1"/>
              </w:rPr>
            </w:r>
          </w:p>
        </w:tc>
      </w:tr>
      <w:tr>
        <w:trPr>
          <w:trHeight w:val="4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20.489.720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26.296.434 </w:t>
            </w:r>
            <w:r>
              <w:rPr>
                <w:color w:val="000000" w:themeColor="text1"/>
              </w:rPr>
            </w:r>
            <w:r>
              <w:rPr>
                <w:color w:val="000000" w:themeColor="text1"/>
              </w:rPr>
            </w:r>
          </w:p>
        </w:tc>
      </w:tr>
      <w:tr>
        <w:trPr>
          <w:trHeight w:val="96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44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20.489.720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26.296.434 </w:t>
            </w:r>
            <w:r>
              <w:rPr>
                <w:color w:val="000000" w:themeColor="text1"/>
              </w:rPr>
            </w:r>
            <w:r>
              <w:rPr>
                <w:color w:val="000000" w:themeColor="text1"/>
              </w:rPr>
            </w:r>
          </w:p>
        </w:tc>
      </w:tr>
      <w:tr>
        <w:trPr>
          <w:trHeight w:val="8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-1.177.570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-1.707.561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19.312.150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24.588.873 </w:t>
            </w:r>
            <w:r>
              <w:rPr>
                <w:color w:val="000000" w:themeColor="text1"/>
              </w:rPr>
            </w:r>
            <w:r>
              <w:rPr>
                <w:color w:val="000000" w:themeColor="text1"/>
              </w:rPr>
            </w:r>
          </w:p>
        </w:tc>
      </w:tr>
      <w:tr>
        <w:trPr>
          <w:trHeight w:val="72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Bất lợi thương mại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Ngõ cụt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w:t>
            </w:r>
            <w:r>
              <w:rPr>
                <w:color w:val="000000" w:themeColor="text1"/>
              </w:rPr>
            </w:r>
            <w:r>
              <w:rPr>
                <w:color w:val="000000" w:themeColor="text1"/>
              </w:rPr>
            </w:r>
          </w:p>
        </w:tc>
      </w:tr>
      <w:tr>
        <w:trPr>
          <w:trHeight w:val="56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68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706.542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74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20.018.692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24.588.873 </w:t>
            </w:r>
            <w:r>
              <w:rPr>
                <w:color w:val="000000" w:themeColor="text1"/>
              </w:rPr>
            </w:r>
            <w:r>
              <w:rPr>
                <w:color w:val="000000" w:themeColor="text1"/>
              </w:rPr>
            </w:r>
          </w:p>
        </w:tc>
      </w:tr>
      <w:tr>
        <w:trPr>
          <w:trHeight w:val="924"/>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Tỷ lệ đất ở/ tổng diện tích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r>
      <w:tr>
        <w:trPr>
          <w:trHeight w:val="4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93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1.177.570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-1.707.561 </w:t>
            </w:r>
            <w:r>
              <w:rPr>
                <w:color w:val="000000" w:themeColor="text1"/>
              </w:rPr>
            </w:r>
            <w:r>
              <w:rPr>
                <w:color w:val="000000" w:themeColor="text1"/>
              </w:rPr>
            </w:r>
          </w:p>
        </w:tc>
      </w:tr>
      <w:tr>
        <w:trPr>
          <w:trHeight w:val="7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21.196.262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22.881.312 </w:t>
            </w:r>
            <w:r>
              <w:rPr>
                <w:color w:val="000000" w:themeColor="text1"/>
              </w:rPr>
            </w:r>
            <w:r>
              <w:rPr>
                <w:color w:val="000000" w:themeColor="text1"/>
              </w:rPr>
            </w:r>
          </w:p>
        </w:tc>
      </w:tr>
      <w:tr>
        <w:trPr>
          <w:trHeight w:val="93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môi trường an ninh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Tốt</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0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21.196.262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22.881.312 </w:t>
            </w:r>
            <w:r>
              <w:rPr>
                <w:color w:val="000000" w:themeColor="text1"/>
              </w:rPr>
            </w:r>
            <w:r>
              <w:rPr>
                <w:color w:val="000000" w:themeColor="text1"/>
              </w:rPr>
            </w:r>
          </w:p>
        </w:tc>
      </w:tr>
      <w:tr>
        <w:trPr>
          <w:trHeight w:val="43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18.311.429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21.196.262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22.881.312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2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20.796.334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2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20.800.000 </w:t>
            </w:r>
            <w:r>
              <w:rPr>
                <w:color w:val="000000" w:themeColor="text1"/>
              </w:rPr>
            </w:r>
            <w:r>
              <w:rPr>
                <w:color w:val="000000" w:themeColor="text1"/>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w:t>
            </w:r>
            <w:r>
              <w:rPr>
                <w:color w:val="000000" w:themeColor="text1"/>
              </w:rPr>
            </w:r>
            <w:r>
              <w:rPr>
                <w:color w:val="000000" w:themeColor="text1"/>
              </w:rPr>
            </w:r>
          </w:p>
        </w:tc>
      </w:tr>
      <w:tr>
        <w:trPr>
          <w:trHeight w:val="39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90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7.787.619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11.775.701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19.466.191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3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03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(2.736.190)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(2.355.140)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(11.269.900)</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-11,9</w:t>
      </w:r>
      <w:r>
        <w:t xml:space="preserve">% đến</w:t>
      </w:r>
      <w:r>
        <w:t xml:space="preserve"> </w:t>
      </w:r>
      <w:r>
        <w:t xml:space="preserve"> </w:t>
      </w:r>
      <w:r>
        <w:t xml:space="preserve">10%,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18.311.429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6.103.810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21.196.262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7.065.421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22.881.312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7.627.104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20.796.334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20.800.000 </w:t>
            </w:r>
            <w:r>
              <w:rPr>
                <w:color w:val="000000" w:themeColor="text1"/>
              </w:rPr>
            </w:r>
            <w:r>
              <w:rPr>
                <w:color w:val="000000" w:themeColor="text1"/>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21.800.000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Xác định đơn giá đất ở và đất trồng cây lâu năm:</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Style w:val="1038"/>
        <w:numPr>
          <w:ilvl w:val="0"/>
          <w:numId w:val="41"/>
        </w:numPr>
        <w:pBdr>
          <w:top w:val="none" w:color="000000" w:sz="4" w:space="0"/>
          <w:left w:val="none" w:color="000000" w:sz="4" w:space="0"/>
          <w:bottom w:val="none" w:color="000000" w:sz="4" w:space="0"/>
          <w:right w:val="none" w:color="000000" w:sz="4" w:space="0"/>
        </w:pBdr>
        <w:tabs>
          <w:tab w:val="left" w:leader="none" w:pos="8716"/>
        </w:tabs>
        <w:spacing w:before="120"/>
        <w:ind w:right="0" w:hanging="450" w:left="450"/>
        <w:jc w:val="both"/>
        <w:rPr>
          <w:rFonts w:ascii="Times New Roman" w:hAnsi="Times New Roman" w:cs="Times New Roman"/>
          <w:sz w:val="24"/>
          <w:szCs w:val="24"/>
        </w:rPr>
      </w:pPr>
      <w:r>
        <w:rPr>
          <w:rFonts w:ascii="Times New Roman" w:hAnsi="Times New Roman" w:eastAsia="Times New Roman" w:cs="Times New Roman"/>
          <w:color w:val="000000"/>
          <w:sz w:val="24"/>
        </w:rPr>
        <w:t xml:space="preserve">Vận dụng </w:t>
      </w:r>
      <w:r>
        <w:rPr>
          <w:rFonts w:ascii="Times New Roman" w:hAnsi="Times New Roman" w:eastAsia="Times New Roman" w:cs="Times New Roman"/>
          <w:sz w:val="24"/>
          <w:szCs w:val="24"/>
          <w:highlight w:val="none"/>
          <w:lang w:val="pt-BR" w:bidi="pt-BR"/>
        </w:rPr>
        <w:t xml:space="preserve">Nghị Quyết </w:t>
      </w:r>
      <w:r>
        <w:rPr>
          <w:rFonts w:ascii="Times New Roman" w:hAnsi="Times New Roman" w:eastAsia="Times New Roman" w:cs="Times New Roman"/>
          <w:color w:val="000000"/>
          <w:sz w:val="24"/>
          <w:szCs w:val="24"/>
        </w:rPr>
        <w:t xml:space="preserve">Số: 52/2025/NQ-HĐND</w:t>
      </w:r>
      <w:r>
        <w:rPr>
          <w:rFonts w:ascii="Times New Roman" w:hAnsi="Times New Roman" w:eastAsia="Times New Roman" w:cs="Times New Roman"/>
          <w:sz w:val="24"/>
          <w:szCs w:val="24"/>
          <w:highlight w:val="none"/>
          <w:lang w:val="pt-BR" w:bidi="pt-BR"/>
        </w:rPr>
        <w:t xml:space="preserve"> ngày 26/11/2026 </w:t>
      </w:r>
      <w:r>
        <w:rPr>
          <w:rFonts w:ascii="Times New Roman" w:hAnsi="Times New Roman" w:eastAsia="Times New Roman" w:cs="Times New Roman"/>
          <w:color w:val="000000"/>
          <w:sz w:val="24"/>
          <w:szCs w:val="24"/>
          <w:u w:val="none"/>
        </w:rPr>
        <w:t xml:space="preserve">quy định về bảng giá đất lần đầu để công bố và áp dụng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u w:val="none"/>
        </w:rPr>
        <w:t xml:space="preserve">từ ngày 01 tháng 01 năm 2026 trên địa bàn Thành Phố Hà Nội.</w:t>
      </w:r>
      <w:r>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sz w:val="24"/>
        </w:rPr>
        <w:t xml:space="preserve">+ Đơn </w:t>
      </w:r>
      <w:r>
        <w:rPr>
          <w:rFonts w:ascii="Times New Roman" w:hAnsi="Times New Roman" w:eastAsia="Times New Roman" w:cs="Times New Roman"/>
          <w:color w:val="000000"/>
          <w:sz w:val="24"/>
          <w:szCs w:val="24"/>
        </w:rPr>
        <w:t xml:space="preserve">giá đấ</w:t>
      </w:r>
      <w:r>
        <w:rPr>
          <w:rFonts w:ascii="Times New Roman" w:hAnsi="Times New Roman" w:eastAsia="Times New Roman" w:cs="Times New Roman"/>
          <w:color w:val="000000" w:themeColor="text1"/>
          <w:sz w:val="24"/>
          <w:szCs w:val="24"/>
        </w:rPr>
        <w:t xml:space="preserve">t ở tại đ</w:t>
      </w:r>
      <w:r>
        <w:rPr>
          <w:rFonts w:ascii="Times New Roman" w:hAnsi="Times New Roman" w:eastAsia="Times New Roman" w:cs="Times New Roman"/>
          <w:color w:val="000000" w:themeColor="text1"/>
          <w:sz w:val="24"/>
          <w:szCs w:val="24"/>
        </w:rPr>
        <w:t xml:space="preserve">ường Quốc lộ 21: Đoạn từ Cầu Quan đến ngã tư Tùng Thiện</w:t>
      </w:r>
      <w:r>
        <w:rPr>
          <w:rFonts w:ascii="Times New Roman" w:hAnsi="Times New Roman" w:eastAsia="Times New Roman" w:cs="Times New Roman"/>
          <w:color w:val="000000" w:themeColor="text1"/>
          <w:sz w:val="24"/>
          <w:szCs w:val="24"/>
        </w:rPr>
        <w:t xml:space="preserve"> VT2 có đơn giá  là: </w:t>
      </w:r>
      <w:r>
        <w:rPr>
          <w:rFonts w:ascii="Times New Roman" w:hAnsi="Times New Roman" w:eastAsia="Times New Roman" w:cs="Times New Roman"/>
          <w:b/>
          <w:color w:val="000000" w:themeColor="text1"/>
          <w:sz w:val="24"/>
          <w:szCs w:val="24"/>
        </w:rPr>
        <w:t xml:space="preserve">15.104.000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 Đơn giá đất trồng cây lâu năm tại các xã, phường còn lại thuộc thị xã Sơn Tây là : </w:t>
      </w:r>
      <w:r>
        <w:rPr>
          <w:rFonts w:ascii="Times New Roman" w:hAnsi="Times New Roman" w:eastAsia="Times New Roman" w:cs="Times New Roman"/>
          <w:b/>
          <w:bCs/>
          <w:color w:val="000000" w:themeColor="text1"/>
          <w:sz w:val="24"/>
        </w:rPr>
        <w:t xml:space="preserve">182</w:t>
      </w:r>
      <w:r>
        <w:rPr>
          <w:rFonts w:ascii="Times New Roman" w:hAnsi="Times New Roman" w:eastAsia="Times New Roman" w:cs="Times New Roman"/>
          <w:b/>
          <w:bCs/>
          <w:color w:val="000000" w:themeColor="text1"/>
          <w:sz w:val="24"/>
        </w:rPr>
        <w:t xml:space="preserve">.000</w:t>
      </w:r>
      <w:r>
        <w:rPr>
          <w:rFonts w:ascii="Times New Roman" w:hAnsi="Times New Roman" w:eastAsia="Times New Roman" w:cs="Times New Roman"/>
          <w:b/>
          <w:color w:val="000000" w:themeColor="text1"/>
          <w:sz w:val="24"/>
        </w:rPr>
        <w:t xml:space="preserve"> đồng/m².</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lâu năm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265*X + 103*Y = 21.800.000 * 368</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tab/>
        <w:t xml:space="preserve">265*X + 103*Y = 8.022.400.000</w:t>
      </w:r>
      <w:r>
        <w:rPr>
          <w:rFonts w:ascii="Times New Roman" w:hAnsi="Times New Roman" w:eastAsia="Times New Roman" w:cs="Times New Roman"/>
          <w:color w:val="000000"/>
          <w:sz w:val="20"/>
          <w:vertAlign w:val="superscript"/>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ab/>
        <w:t xml:space="preserve">X – Y = 4.002.560.000 - 18.746.000</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3.983.814.000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25.976.538 đ</w:t>
      </w:r>
      <w:r>
        <w:rPr>
          <w:rFonts w:ascii="Times New Roman" w:hAnsi="Times New Roman" w:eastAsia="Times New Roman" w:cs="Times New Roman"/>
          <w:b/>
          <w:color w:val="000000"/>
          <w:sz w:val="24"/>
        </w:rPr>
        <w:t xml:space="preserve">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11.054.5</w:t>
      </w:r>
      <w:r>
        <w:rPr>
          <w:rFonts w:ascii="Times New Roman" w:hAnsi="Times New Roman" w:eastAsia="Times New Roman" w:cs="Times New Roman"/>
          <w:b/>
          <w:color w:val="000000"/>
          <w:sz w:val="24"/>
        </w:rPr>
        <w:t xml:space="preserve">38đồng/m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p>
      <w:pPr>
        <w:pStyle w:val="1038"/>
        <w:pBdr/>
        <w:spacing w:after="120" w:before="120" w:line="276" w:lineRule="auto"/>
        <w:ind w:left="0"/>
        <w:jc w:val="both"/>
        <w:rPr>
          <w:b/>
          <w:bCs/>
          <w:highlight w:val="none"/>
          <w:lang w:val="pt-BR"/>
        </w:rPr>
      </w:pPr>
      <w:r>
        <w:rPr>
          <w:b/>
          <w:highlight w:val="none"/>
          <w:lang w:val="pt-BR"/>
        </w:rPr>
      </w:r>
      <w:r>
        <w:rPr>
          <w:b/>
          <w:bCs/>
          <w:highlight w:val="none"/>
          <w:lang w:val="pt-BR"/>
        </w:rPr>
      </w:r>
      <w:r>
        <w:rPr>
          <w:b/>
          <w:bCs/>
          <w:highlight w:val="none"/>
          <w:lang w:val="pt-BR"/>
        </w:rPr>
      </w:r>
    </w:p>
    <w:p>
      <w:pPr>
        <w:pStyle w:val="1038"/>
        <w:pBdr/>
        <w:spacing w:after="120" w:before="120" w:line="276" w:lineRule="auto"/>
        <w:ind w:left="0"/>
        <w:jc w:val="both"/>
        <w:rPr>
          <w:b/>
          <w:bCs/>
          <w:highlight w:val="none"/>
          <w:lang w:val="pt-BR"/>
        </w:rPr>
      </w:pPr>
      <w:r>
        <w:rPr>
          <w:b/>
          <w:highlight w:val="none"/>
          <w:lang w:val="pt-BR"/>
        </w:rPr>
      </w:r>
      <w:r>
        <w:rPr>
          <w:b/>
          <w:bCs/>
          <w:highlight w:val="none"/>
          <w:lang w:val="pt-BR"/>
        </w:rPr>
      </w:r>
      <w:r>
        <w:rPr>
          <w:b/>
          <w:bCs/>
          <w:highlight w:val="none"/>
          <w:lang w:val="pt-BR"/>
        </w:rPr>
      </w:r>
    </w:p>
    <w:p>
      <w:pPr>
        <w:pStyle w:val="1038"/>
        <w:pBdr/>
        <w:spacing w:after="120" w:before="120" w:line="276" w:lineRule="auto"/>
        <w:ind w:left="0"/>
        <w:jc w:val="both"/>
        <w:rPr>
          <w:b/>
          <w:bCs/>
          <w:highlight w:val="none"/>
          <w:lang w:val="pt-BR"/>
        </w:rPr>
      </w:pPr>
      <w:r>
        <w:rPr>
          <w:b/>
          <w:lang w:val="pt-BR"/>
        </w:rPr>
        <w:t xml:space="preserve">3. Xác định đơn giá đất cây lâu năm nằm trong quy hoạch HLGT</w:t>
      </w:r>
      <w:r>
        <w:rPr>
          <w:b/>
          <w:bCs/>
          <w:highlight w:val="none"/>
          <w:lang w:val="pt-BR"/>
        </w:rPr>
      </w:r>
      <w:r>
        <w:rPr>
          <w:b/>
          <w:bCs/>
          <w:highlight w:val="none"/>
          <w:lang w:val="pt-BR"/>
        </w:rPr>
      </w:r>
    </w:p>
    <w:p>
      <w:pPr>
        <w:pStyle w:val="1038"/>
        <w:numPr>
          <w:ilvl w:val="0"/>
          <w:numId w:val="43"/>
        </w:numPr>
        <w:pBdr>
          <w:top w:val="none" w:color="000000" w:sz="4" w:space="0"/>
          <w:left w:val="none" w:color="000000" w:sz="4" w:space="0"/>
          <w:bottom w:val="none" w:color="000000" w:sz="4" w:space="0"/>
          <w:right w:val="none" w:color="000000" w:sz="4" w:space="0"/>
        </w:pBdr>
        <w:tabs>
          <w:tab w:val="left" w:leader="none" w:pos="8716"/>
        </w:tabs>
        <w:spacing w:before="120"/>
        <w:ind w:right="0" w:hanging="450" w:left="450"/>
        <w:jc w:val="both"/>
        <w:rPr>
          <w:rFonts w:ascii="Times New Roman" w:hAnsi="Times New Roman" w:cs="Times New Roman"/>
          <w:sz w:val="24"/>
          <w:szCs w:val="24"/>
        </w:rPr>
      </w:pPr>
      <w:r>
        <w:rPr>
          <w:rFonts w:ascii="Times New Roman" w:hAnsi="Times New Roman" w:eastAsia="Times New Roman" w:cs="Times New Roman"/>
          <w:color w:val="000000"/>
          <w:sz w:val="24"/>
        </w:rPr>
        <w:t xml:space="preserve">Vận dụng </w:t>
      </w:r>
      <w:r>
        <w:rPr>
          <w:rFonts w:ascii="Times New Roman" w:hAnsi="Times New Roman" w:eastAsia="Times New Roman" w:cs="Times New Roman"/>
          <w:sz w:val="24"/>
          <w:szCs w:val="24"/>
          <w:highlight w:val="none"/>
          <w:lang w:val="pt-BR" w:bidi="pt-BR"/>
        </w:rPr>
        <w:t xml:space="preserve">Nghị Quyết </w:t>
      </w:r>
      <w:r>
        <w:rPr>
          <w:rFonts w:ascii="Times New Roman" w:hAnsi="Times New Roman" w:eastAsia="Times New Roman" w:cs="Times New Roman"/>
          <w:color w:val="000000"/>
          <w:sz w:val="24"/>
          <w:szCs w:val="24"/>
        </w:rPr>
        <w:t xml:space="preserve">Số: 52/2025/NQ-HĐND</w:t>
      </w:r>
      <w:r>
        <w:rPr>
          <w:rFonts w:ascii="Times New Roman" w:hAnsi="Times New Roman" w:eastAsia="Times New Roman" w:cs="Times New Roman"/>
          <w:sz w:val="24"/>
          <w:szCs w:val="24"/>
          <w:highlight w:val="none"/>
          <w:lang w:val="pt-BR" w:bidi="pt-BR"/>
        </w:rPr>
        <w:t xml:space="preserve"> ngày 26/11/2026 </w:t>
      </w:r>
      <w:r>
        <w:rPr>
          <w:rFonts w:ascii="Times New Roman" w:hAnsi="Times New Roman" w:eastAsia="Times New Roman" w:cs="Times New Roman"/>
          <w:color w:val="000000"/>
          <w:sz w:val="24"/>
          <w:szCs w:val="24"/>
          <w:u w:val="none"/>
        </w:rPr>
        <w:t xml:space="preserve">quy định về bảng giá đất lần đầu để công bố và áp dụng</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u w:val="none"/>
        </w:rPr>
        <w:t xml:space="preserve">từ ngày 01 tháng 01 năm 2026 trên địa bàn Thành Phố Hà Nội.</w:t>
      </w:r>
      <w:r>
        <w:rPr>
          <w:rFonts w:ascii="Times New Roman" w:hAnsi="Times New Roman" w:cs="Times New Roman"/>
          <w:sz w:val="24"/>
          <w:szCs w:val="24"/>
        </w:rPr>
        <w:tab/>
      </w:r>
      <w:r>
        <w:rPr>
          <w:rFonts w:ascii="Times New Roman" w:hAnsi="Times New Roman" w:cs="Times New Roman"/>
          <w:sz w:val="24"/>
          <w:szCs w:val="24"/>
        </w:rPr>
      </w:r>
      <w:r>
        <w:rPr>
          <w:rFonts w:ascii="Times New Roman" w:hAnsi="Times New Roman" w:cs="Times New Roman"/>
          <w:sz w:val="24"/>
          <w:szCs w:val="24"/>
        </w:rPr>
      </w:r>
    </w:p>
    <w:p>
      <w:pPr>
        <w:pStyle w:val="1038"/>
        <w:pBdr/>
        <w:spacing w:after="120" w:before="120" w:line="276" w:lineRule="auto"/>
        <w:ind w:left="0"/>
        <w:jc w:val="both"/>
        <w:rPr>
          <w:b/>
          <w:bCs/>
          <w:highlight w:val="none"/>
          <w:lang w:val="pt-BR" w:bidi="pt-BR"/>
        </w:rPr>
      </w:pPr>
      <w:r>
        <w:rPr>
          <w:b/>
          <w:highlight w:val="none"/>
          <w:lang w:val="pt-BR" w:bidi="pt-BR"/>
        </w:rPr>
      </w:r>
      <w:r>
        <w:rPr>
          <w:rFonts w:ascii="Times New Roman" w:hAnsi="Times New Roman" w:eastAsia="Times New Roman" w:cs="Times New Roman"/>
          <w:color w:val="000000" w:themeColor="text1"/>
          <w:sz w:val="24"/>
        </w:rPr>
        <w:t xml:space="preserve">Đơn giá đất trồng cây lâu năm tại các xã, phường còn lại thuộc thị xã Sơn Tây là : </w:t>
      </w:r>
      <w:r>
        <w:rPr>
          <w:rFonts w:ascii="Times New Roman" w:hAnsi="Times New Roman" w:eastAsia="Times New Roman" w:cs="Times New Roman"/>
          <w:b/>
          <w:bCs/>
          <w:color w:val="000000" w:themeColor="text1"/>
          <w:sz w:val="24"/>
        </w:rPr>
        <w:t xml:space="preserve">182</w:t>
      </w:r>
      <w:r>
        <w:rPr>
          <w:rFonts w:ascii="Times New Roman" w:hAnsi="Times New Roman" w:eastAsia="Times New Roman" w:cs="Times New Roman"/>
          <w:b/>
          <w:bCs/>
          <w:color w:val="000000" w:themeColor="text1"/>
          <w:sz w:val="24"/>
        </w:rPr>
        <w:t xml:space="preserve">.000</w:t>
      </w:r>
      <w:r>
        <w:rPr>
          <w:rFonts w:ascii="Times New Roman" w:hAnsi="Times New Roman" w:eastAsia="Times New Roman" w:cs="Times New Roman"/>
          <w:b/>
          <w:color w:val="000000" w:themeColor="text1"/>
          <w:sz w:val="24"/>
        </w:rPr>
        <w:t xml:space="preserve"> đồng/m².</w:t>
      </w:r>
      <w:r>
        <w:rPr>
          <w:b/>
          <w:bCs/>
          <w:highlight w:val="none"/>
          <w:lang w:val="pt-BR" w:bidi="pt-BR"/>
        </w:rPr>
      </w:r>
      <w:r>
        <w:rPr>
          <w:b/>
          <w:bCs/>
          <w:highlight w:val="none"/>
          <w:lang w:val="pt-BR" w:bidi="pt-BR"/>
        </w:rPr>
      </w:r>
    </w:p>
    <w:p>
      <w:pPr>
        <w:pStyle w:val="1038"/>
        <w:pBdr/>
        <w:spacing w:after="120" w:before="120" w:line="276" w:lineRule="auto"/>
        <w:ind w:left="0"/>
        <w:jc w:val="both"/>
        <w:rPr>
          <w:b/>
          <w:bCs/>
          <w:lang w:val="pt-BR"/>
        </w:rPr>
      </w:pPr>
      <w:r>
        <w:rPr>
          <w:b/>
          <w:highlight w:val="none"/>
          <w:lang w:val="pt-BR" w:bidi="pt-BR"/>
        </w:rPr>
        <w:t xml:space="preserve">Vậy giá trị đất nằm trong quy hoạch HLGT là: 31,6 x 182.000 = 5.751.200 đồng/m2</w:t>
      </w:r>
      <w:r>
        <w:rPr>
          <w:b/>
          <w:bCs/>
          <w:lang w:val="pt-BR"/>
        </w:rPr>
      </w:r>
      <w:r>
        <w:rPr>
          <w:b/>
          <w:bCs/>
          <w:lang w:val="pt-BR"/>
        </w:rPr>
      </w:r>
    </w:p>
    <w:p>
      <w:pPr>
        <w:pStyle w:val="103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3753"/>
        <w:gridCol w:w="1134"/>
        <w:gridCol w:w="1522"/>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5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2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9" w:type="dxa"/>
            <w:vAlign w:val="center"/>
            <w:textDirection w:val="lrTb"/>
            <w:noWrap w:val="false"/>
          </w:tcPr>
          <w:p>
            <w:pPr>
              <w:pBdr/>
              <w:spacing w:after="40" w:before="40" w:line="360" w:lineRule="auto"/>
              <w:ind/>
              <w:jc w:val="both"/>
              <w:rPr>
                <w:b/>
                <w:bCs/>
              </w:rPr>
            </w:pPr>
            <w:r>
              <w:rPr>
                <w:b/>
                <w:bCs/>
                <w:color w:val="000000"/>
              </w:rPr>
              <w:t xml:space="preserve">Quyền sử dụng đất tại thửa đất số: 32, tờ bản đồ số: 15 có địa chỉ: Gi Lăng, Phường Trung Sơn Trầm, Thị xã Sơn Tây, TP Hà Nội (nay </w:t>
            </w:r>
            <w:r>
              <w:rPr>
                <w:b/>
                <w:bCs/>
                <w:color w:val="000000"/>
              </w:rPr>
              <w:t xml:space="preserve">là phường Tùng Thiện, Thành phố Hà Nội) theo Giấy chứng nhận quyền sử dụng đất, quyền sở hữu nhà ở và tài sản khác gắn liền với đất  số: BA 596818, số vào sổ cấp GCN: CH 00435 do Uỷ ban Nhân dân Thị xã Sơn Tây  cấp ngày 12/07/2010 cho Ông Nguyễn Mạnh Cường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512"/>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753"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265</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25.976.538</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        6.883.782.582</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753" w:type="dxa"/>
            <w:vAlign w:val="center"/>
            <w:textDirection w:val="lrTb"/>
            <w:noWrap w:val="false"/>
          </w:tcPr>
          <w:p>
            <w:pPr>
              <w:pBdr/>
              <w:spacing w:after="40" w:before="40" w:line="288" w:lineRule="auto"/>
              <w:ind/>
              <w:rPr>
                <w:b w:val="0"/>
                <w:bCs w:val="0"/>
              </w:rPr>
            </w:pPr>
            <w:r>
              <w:rPr>
                <w:b w:val="0"/>
                <w:bCs w:val="0"/>
              </w:rPr>
            </w:r>
            <w:r>
              <w:rPr>
                <w:b w:val="0"/>
                <w:bCs w:val="0"/>
              </w:rPr>
              <w:t xml:space="preserve">Quyền sử dụng đ</w:t>
            </w:r>
            <w:r>
              <w:rPr>
                <w:b w:val="0"/>
                <w:bCs w:val="0"/>
              </w:rPr>
              <w:t xml:space="preserve">ất trồng cây lâu năm</w:t>
            </w:r>
            <w:r>
              <w:rPr>
                <w:b w:val="0"/>
                <w:bCs w:val="0"/>
              </w:rPr>
            </w:r>
            <w:r>
              <w:rPr>
                <w:b w:val="0"/>
                <w:bCs w:val="0"/>
              </w:rP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103</w:t>
            </w:r>
            <w:r>
              <w:rPr>
                <w:color w:val="000000"/>
              </w:rPr>
            </w:r>
            <w:r>
              <w:rPr>
                <w:color w:val="000000"/>
              </w:rPr>
            </w:r>
          </w:p>
        </w:tc>
        <w:tc>
          <w:tcPr>
            <w:shd w:val="clear" w:color="000000" w:fill="ffffff"/>
            <w:tcBorders/>
            <w:tcW w:w="1522" w:type="dxa"/>
            <w:vAlign w:val="center"/>
            <w:textDirection w:val="lrTb"/>
            <w:noWrap w:val="false"/>
          </w:tcPr>
          <w:p>
            <w:pPr>
              <w:pBdr/>
              <w:spacing w:after="40" w:before="40" w:line="288" w:lineRule="auto"/>
              <w:ind/>
              <w:jc w:val="center"/>
              <w:rPr/>
            </w:pPr>
            <w:r>
              <w:rPr>
                <w:color w:val="000000" w:themeColor="text1"/>
              </w:rPr>
              <w:t xml:space="preserve">11.054.538</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         1.138.617.418</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val="0"/>
                <w:bCs w:val="0"/>
              </w:rPr>
            </w:pPr>
            <w:r>
              <w:rPr>
                <w:b w:val="0"/>
                <w:bCs w:val="0"/>
              </w:rPr>
              <w:t xml:space="preserve">3</w:t>
            </w:r>
            <w:r>
              <w:rPr>
                <w:b w:val="0"/>
                <w:bCs w:val="0"/>
              </w:rPr>
            </w:r>
            <w:r>
              <w:rPr>
                <w:b w:val="0"/>
                <w:bCs w:val="0"/>
              </w:rPr>
            </w:r>
          </w:p>
        </w:tc>
        <w:tc>
          <w:tcPr>
            <w:shd w:val="clear" w:color="000000" w:fill="ffffff"/>
            <w:tcBorders/>
            <w:tcW w:w="3753" w:type="dxa"/>
            <w:vAlign w:val="center"/>
            <w:vMerge w:val="restart"/>
            <w:textDirection w:val="lrTb"/>
            <w:noWrap w:val="false"/>
          </w:tcPr>
          <w:p>
            <w:pPr>
              <w:pBdr/>
              <w:spacing w:after="40" w:before="40" w:line="288" w:lineRule="auto"/>
              <w:ind/>
              <w:rPr>
                <w:b w:val="0"/>
                <w:bCs w:val="0"/>
              </w:rPr>
            </w:pPr>
            <w:r>
              <w:rPr>
                <w:b w:val="0"/>
                <w:bCs w:val="0"/>
              </w:rPr>
              <w:t xml:space="preserve">Quyền sử dụng đất nằm trong quy hoạch HLGT</w:t>
            </w:r>
            <w:r>
              <w:rPr>
                <w:b w:val="0"/>
                <w:bCs w:val="0"/>
              </w:rPr>
            </w:r>
            <w:r>
              <w:rPr>
                <w:b w:val="0"/>
                <w:bCs w:val="0"/>
              </w:rPr>
            </w:r>
          </w:p>
        </w:tc>
        <w:tc>
          <w:tcPr>
            <w:tcBorders/>
            <w:tcW w:w="1134"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31,6</w:t>
            </w:r>
            <w:r>
              <w:rPr>
                <w:color w:val="000000" w:themeColor="text1"/>
              </w:rPr>
            </w:r>
            <w:r>
              <w:rPr>
                <w:color w:val="000000" w:themeColor="text1"/>
              </w:rPr>
            </w:r>
          </w:p>
        </w:tc>
        <w:tc>
          <w:tcPr>
            <w:shd w:val="clear" w:color="000000" w:fill="ffffff"/>
            <w:tcBorders/>
            <w:tcW w:w="1522"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5.751.200 </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0" w:before="0" w:line="240" w:lineRule="auto"/>
              <w:ind/>
              <w:rPr>
                <w:b/>
                <w:bCs/>
              </w:rPr>
            </w:pPr>
            <w:r>
              <w:rPr>
                <w:rFonts w:ascii="Times New Roman" w:hAnsi="Times New Roman" w:eastAsia="Times New Roman" w:cs="Times New Roman"/>
                <w:b/>
                <w:bCs/>
                <w:color w:val="000000"/>
                <w:sz w:val="24"/>
              </w:rPr>
              <w:t xml:space="preserve">         8.028.151.200 </w:t>
            </w:r>
            <w:r>
              <w:rPr>
                <w:b/>
                <w:bCs/>
              </w:rPr>
            </w:r>
            <w:r>
              <w:rPr>
                <w:b/>
                <w:bCs/>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         </w:t>
            </w:r>
            <w:r>
              <w:rPr>
                <w:rFonts w:ascii="Times New Roman" w:hAnsi="Times New Roman" w:eastAsia="Times New Roman" w:cs="Times New Roman"/>
                <w:b/>
                <w:bCs/>
                <w:color w:val="000000"/>
                <w:sz w:val="24"/>
              </w:rPr>
              <w:t xml:space="preserve">8.028.000.000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mươi tám triệu đồng chẵn</w:t>
            </w:r>
            <w:r>
              <w:rPr>
                <w:b/>
                <w:bCs/>
                <w:i/>
                <w:iCs/>
                <w:color w:val="000000"/>
              </w:rPr>
              <w:t xml:space="preserve">./.)</w:t>
            </w:r>
            <w:r>
              <w:rPr>
                <w:b/>
                <w:bCs/>
                <w:i/>
                <w:iCs/>
                <w:color w:val="000000"/>
              </w:rPr>
            </w:r>
            <w:r>
              <w:rPr>
                <w:b/>
                <w:bCs/>
                <w:i/>
                <w:iCs/>
                <w:color w:val="000000"/>
              </w:rPr>
            </w:r>
          </w:p>
        </w:tc>
      </w:tr>
    </w:tbl>
    <w:p>
      <w:pPr>
        <w:pStyle w:val="103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8"/>
        <w:numPr>
          <w:ilvl w:val="0"/>
          <w:numId w:val="5"/>
        </w:numPr>
        <w:pBdr/>
        <w:spacing w:after="120" w:before="120" w:line="288" w:lineRule="auto"/>
        <w:ind/>
        <w:jc w:val="both"/>
        <w:rPr>
          <w:lang w:val="vi-VN"/>
        </w:rPr>
      </w:pPr>
      <w:r>
        <w:rPr>
          <w:lang w:val="vi-VN"/>
        </w:rPr>
      </w:r>
      <w:r>
        <w:rPr>
          <w:rFonts w:ascii="Times New Roman" w:hAnsi="Times New Roman" w:eastAsia="Times New Roman" w:cs="Times New Roman"/>
          <w:color w:val="000000"/>
          <w:sz w:val="24"/>
        </w:rPr>
        <w:t xml:space="preserve">Tại thời điểm khảo sát, dưới sự hướng dẫn của khách hàng, tổ thẩm định thấy 01 nhà cấp 4 đã cũ, không còn sử dụng. Công trình hiện chưa được chứng nhận trên GCN</w:t>
      </w:r>
      <w:r>
        <w:rPr>
          <w:rFonts w:ascii="Times New Roman" w:hAnsi="Times New Roman" w:eastAsia="Times New Roman" w:cs="Times New Roman"/>
          <w:color w:val="000000"/>
          <w:sz w:val="24"/>
          <w:highlight w:val="white"/>
        </w:rPr>
        <w:t xml:space="preserve">. Tổ thẩm định cũng không nhận được bất kỳ hồ sơ pháp lý nào</w:t>
      </w:r>
      <w:r>
        <w:rPr>
          <w:rFonts w:ascii="Times New Roman" w:hAnsi="Times New Roman" w:eastAsia="Times New Roman" w:cs="Times New Roman"/>
          <w:color w:val="000000"/>
          <w:sz w:val="24"/>
          <w:highlight w:val="white"/>
        </w:rPr>
        <w:t xml:space="preserve"> liên quan tới công trình xây dựng này. Do vậy, theo đề nghị của Ngân hàng, Tổ thẩm định không xác định giá trị công trình hiện có trên đất, nhưng vẫn coi đó là phần không thể tách rời của tài sản thẩm định. Đề nghị đơn vị sử dụng kết quả lưu ý.</w:t>
      </w:r>
      <w:r>
        <w:rPr>
          <w:lang w:val="vi-VN"/>
        </w:rPr>
      </w:r>
      <w:r>
        <w:rPr>
          <w:lang w:val="vi-VN"/>
        </w:rPr>
      </w:r>
    </w:p>
    <w:p>
      <w:pPr>
        <w:pStyle w:val="103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8"/>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275/2026/0727/VFI-CT.53.A</w:t>
      </w:r>
      <w:r>
        <w:rPr>
          <w:color w:val="ff0000"/>
          <w:lang w:val="vi-VN"/>
        </w:rPr>
        <w:t xml:space="preserve"> </w:t>
      </w:r>
      <w:r>
        <w:rPr>
          <w:color w:val="000000" w:themeColor="text1"/>
        </w:rPr>
        <w:t xml:space="preserve">ngày 14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8"/>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275/2026/0727/VFI-BC.53.A</w:t>
      </w:r>
      <w:r>
        <w:rPr>
          <w:i/>
          <w:lang w:val="pt-BR"/>
        </w:rPr>
        <w:t xml:space="preserve"> ngày </w:t>
      </w:r>
      <w:r>
        <w:rPr>
          <w:i/>
          <w:lang w:val="pt-BR"/>
        </w:rPr>
        <w:t xml:space="preserve">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30446" cy="28052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52902" name=""/>
                              <pic:cNvPicPr>
                                <a:picLocks noChangeAspect="1"/>
                              </pic:cNvPicPr>
                              <pic:nvPr/>
                            </pic:nvPicPr>
                            <pic:blipFill rotWithShape="1">
                              <a:blip r:embed="rId19"/>
                              <a:stretch/>
                            </pic:blipFill>
                            <pic:spPr bwMode="auto">
                              <a:xfrm flipH="0" flipV="0">
                                <a:off x="0" y="0"/>
                                <a:ext cx="1730446" cy="2805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6.26pt;height:220.8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3460" cy="23125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75611" name=""/>
                              <pic:cNvPicPr>
                                <a:picLocks noChangeAspect="1"/>
                              </pic:cNvPicPr>
                              <pic:nvPr/>
                            </pic:nvPicPr>
                            <pic:blipFill rotWithShape="1">
                              <a:blip r:embed="rId20"/>
                              <a:stretch/>
                            </pic:blipFill>
                            <pic:spPr bwMode="auto">
                              <a:xfrm flipH="0" flipV="0">
                                <a:off x="0" y="0"/>
                                <a:ext cx="3083460" cy="2312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2.79pt;height:182.0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rHeight w:val="680"/>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2135" cy="21991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55464" name=""/>
                              <pic:cNvPicPr>
                                <a:picLocks noChangeAspect="1"/>
                              </pic:cNvPicPr>
                              <pic:nvPr/>
                            </pic:nvPicPr>
                            <pic:blipFill rotWithShape="1">
                              <a:blip r:embed="rId21"/>
                              <a:stretch/>
                            </pic:blipFill>
                            <pic:spPr bwMode="auto">
                              <a:xfrm flipH="0" flipV="0">
                                <a:off x="0" y="0"/>
                                <a:ext cx="2932134" cy="21991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88pt;height:173.1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8691" cy="22565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77651" name=""/>
                              <pic:cNvPicPr>
                                <a:picLocks noChangeAspect="1"/>
                              </pic:cNvPicPr>
                              <pic:nvPr/>
                            </pic:nvPicPr>
                            <pic:blipFill rotWithShape="1">
                              <a:blip r:embed="rId22"/>
                              <a:stretch/>
                            </pic:blipFill>
                            <pic:spPr bwMode="auto">
                              <a:xfrm flipH="0" flipV="0">
                                <a:off x="0" y="0"/>
                                <a:ext cx="3008691" cy="22565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90pt;height:177.6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8985" cy="210673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98468" name=""/>
                              <pic:cNvPicPr>
                                <a:picLocks noChangeAspect="1"/>
                              </pic:cNvPicPr>
                              <pic:nvPr/>
                            </pic:nvPicPr>
                            <pic:blipFill rotWithShape="1">
                              <a:blip r:embed="rId23"/>
                              <a:stretch/>
                            </pic:blipFill>
                            <pic:spPr bwMode="auto">
                              <a:xfrm flipH="0" flipV="0">
                                <a:off x="0" y="0"/>
                                <a:ext cx="2808984" cy="2106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18pt;height:165.8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1238" cy="20784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9783" name=""/>
                              <pic:cNvPicPr>
                                <a:picLocks noChangeAspect="1"/>
                              </pic:cNvPicPr>
                              <pic:nvPr/>
                            </pic:nvPicPr>
                            <pic:blipFill rotWithShape="1">
                              <a:blip r:embed="rId24"/>
                              <a:stretch/>
                            </pic:blipFill>
                            <pic:spPr bwMode="auto">
                              <a:xfrm flipH="0" flipV="0">
                                <a:off x="0" y="0"/>
                                <a:ext cx="2771237" cy="20784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8.21pt;height:163.6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275/2026/0727/VFI-BC.53.A</w:t>
      </w:r>
      <w:r>
        <w:rPr>
          <w:i/>
          <w:lang w:val="pt-BR"/>
        </w:rPr>
        <w:t xml:space="preserve"> </w:t>
      </w:r>
      <w:r>
        <w:rPr>
          <w:i/>
          <w:lang w:val="pt-BR"/>
        </w:rPr>
        <w:t xml:space="preserve"> ngày 14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https://batdongsan.com.vn/ban-dat-duong-trung-son-tram-phuong-trung-son-tram/ban-nhanh-lo-dien-tich-105m2-tay-pr43741067</w:t>
            </w:r>
            <w:r>
              <w:rPr>
                <w:color w:val="000000" w:themeColor="text1"/>
                <w:sz w:val="22"/>
                <w:szCs w:val="22"/>
              </w:rPr>
              <w:br/>
              <w:t xml:space="preserve">0979685135</w:t>
            </w:r>
            <w:r>
              <w:rPr>
                <w:sz w:val="22"/>
                <w:szCs w:val="22"/>
              </w:rPr>
              <w:t xml:space="preserve"> </w:t>
            </w:r>
            <w:r>
              <w:rPr>
                <w:sz w:val="22"/>
                <w:szCs w:val="22"/>
              </w:rPr>
              <w:br/>
              <w:t xml:space="preserve">(Dung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(15m²), 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Thiện,Thành phố Hà Nội. Cách phố Chùa Thông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75594" cy="189678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875593" cy="1896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5.16pt;height:149.3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5922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592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3.0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586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458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4.7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1739"/>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https://www.facebook.com/share/p/17TAZh51eN/</w:t>
            </w:r>
            <w:r>
              <w:rPr>
                <w:color w:val="000000" w:themeColor="text1"/>
                <w:sz w:val="22"/>
                <w:szCs w:val="22"/>
              </w:rPr>
              <w:br/>
              <w:t xml:space="preserve">0963967794</w:t>
            </w:r>
            <w:r>
              <w:rPr>
                <w:sz w:val="22"/>
                <w:szCs w:val="22"/>
              </w:rPr>
              <w:t xml:space="preserve"> </w:t>
            </w:r>
            <w:r>
              <w:rPr>
                <w:sz w:val="22"/>
                <w:szCs w:val="22"/>
              </w:rPr>
              <w:br/>
              <w:t xml:space="preserve">(Duy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(96,8m²), Đất ở tại đô thị (53m²)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(đến 01/07/2064, 38 năm), 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Thiện,Thành phố Hà Nội .Cách DT416 100m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88165" cy="28026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4188164" cy="28026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9.78pt;height:220.6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0.6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https://www.facebook.com/groups/599037763506990/permalink/25765756726408413/</w:t>
            </w:r>
            <w:r>
              <w:rPr>
                <w:color w:val="000000" w:themeColor="text1"/>
                <w:sz w:val="22"/>
                <w:szCs w:val="22"/>
              </w:rPr>
              <w:br/>
            </w:r>
            <w:r>
              <w:rPr>
                <w:sz w:val="22"/>
                <w:szCs w:val="22"/>
              </w:rPr>
              <w:t xml:space="preserve">SĐT: </w:t>
            </w:r>
            <w:r>
              <w:rPr>
                <w:color w:val="000000" w:themeColor="text1"/>
                <w:sz w:val="22"/>
                <w:szCs w:val="22"/>
              </w:rPr>
              <w:t xml:space="preserve">0396825462</w:t>
            </w:r>
            <w:r>
              <w:rPr>
                <w:sz w:val="22"/>
                <w:szCs w:val="22"/>
              </w:rPr>
              <w:t xml:space="preserve"> </w:t>
            </w:r>
            <w:r>
              <w:rPr>
                <w:sz w:val="22"/>
                <w:szCs w:val="22"/>
              </w:rPr>
              <w:br/>
              <w:t xml:space="preserve">(Uyên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Thiện,Thành phố Hà Nội.Cách QL21A khoảng 550m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7855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878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5.4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0357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503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3.3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Pr>
                <w:highlight w:val="none"/>
              </w:rPr>
            </w:r>
            <w:r>
              <w:rPr>
                <w:highlight w:val="none"/>
              </w:rPr>
            </w:r>
            <w:r/>
          </w:p>
          <w:p>
            <w:pPr>
              <w:pBdr/>
              <w:spacing/>
              <w:ind/>
              <w:rPr>
                <w:highlight w:val="none"/>
              </w:rPr>
            </w:pPr>
            <w:r>
              <w:rPr>
                <w:highlight w:val="none"/>
              </w:rPr>
            </w:r>
            <w:r>
              <w:rPr>
                <w:highlight w:val="none"/>
              </w:rPr>
            </w:r>
            <w:r>
              <w:rPr>
                <w:highlight w:val="none"/>
              </w:rPr>
            </w:r>
          </w:p>
          <w:p>
            <w:pPr>
              <w:pBdr/>
              <w:spacing/>
              <w:ind/>
              <w:rPr>
                <w:highlight w:val="none"/>
              </w:rPr>
            </w:pPr>
            <w:r>
              <w:rPr>
                <w:highlight w:val="none"/>
              </w:rPr>
            </w:r>
            <w:r>
              <w:rPr>
                <w:highlight w:val="none"/>
              </w:rPr>
            </w:r>
            <w:r>
              <w:rPr>
                <w:highlight w:val="none"/>
              </w:rPr>
            </w:r>
          </w:p>
          <w:p>
            <w:pPr>
              <w:pBdr/>
              <w:spacing/>
              <w:ind/>
              <w:rPr>
                <w:highlight w:val="none"/>
              </w:rPr>
            </w:pPr>
            <w:r>
              <w:rPr>
                <w:highlight w:val="none"/>
              </w:rPr>
            </w:r>
            <w:r>
              <w:rPr>
                <w:highlight w:val="none"/>
              </w:rPr>
            </w:r>
            <w:r>
              <w:rPr>
                <w:highlight w:val="none"/>
              </w:rPr>
            </w:r>
          </w:p>
          <w:p>
            <w:pPr>
              <w:pBdr/>
              <w:spacing/>
              <w:ind/>
              <w:rPr>
                <w:highlight w:val="none"/>
              </w:rPr>
            </w:pPr>
            <w:r>
              <w:t xml:space="preserve">                   Trần Thị Thanh Tâm</w:t>
            </w:r>
            <w:r>
              <w:rPr>
                <w:highlight w:val="none"/>
              </w:rPr>
            </w:r>
            <w:r>
              <w:rPr>
                <w:highlight w:val="none"/>
              </w:rP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8197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814732" cy="908631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23866" name=""/>
                        <pic:cNvPicPr>
                          <a:picLocks noChangeAspect="1"/>
                        </pic:cNvPicPr>
                        <pic:nvPr/>
                      </pic:nvPicPr>
                      <pic:blipFill rotWithShape="1">
                        <a:blip r:embed="rId36"/>
                        <a:stretch/>
                      </pic:blipFill>
                      <pic:spPr bwMode="auto">
                        <a:xfrm flipH="0" flipV="0">
                          <a:off x="0" y="0"/>
                          <a:ext cx="6814731" cy="90863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36.59pt;height:715.46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70038"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322439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E24241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E24241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E24241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349B0A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0DA85F4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 w:numId="44">
    <w:abstractNumId w:val="4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0">
    <w:name w:val="Table Grid Light"/>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1"/>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2"/>
    <w:basedOn w:val="102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3"/>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4"/>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5"/>
    <w:basedOn w:val="10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w:basedOn w:val="10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w:basedOn w:val="10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1"/>
    <w:basedOn w:val="10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5"/>
    <w:basedOn w:val="10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6"/>
    <w:basedOn w:val="10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w:basedOn w:val="10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1"/>
    <w:basedOn w:val="10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2"/>
    <w:basedOn w:val="10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3"/>
    <w:basedOn w:val="10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4"/>
    <w:basedOn w:val="10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5"/>
    <w:basedOn w:val="10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6"/>
    <w:basedOn w:val="10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1"/>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2"/>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3"/>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4"/>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5"/>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6"/>
    <w:basedOn w:val="10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2">
    <w:name w:val="Grid Table 6 Colorful - Accent 1"/>
    <w:basedOn w:val="10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3">
    <w:name w:val="Grid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4">
    <w:name w:val="Grid Table 6 Colorful - Accent 3"/>
    <w:basedOn w:val="10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5">
    <w:name w:val="Grid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6">
    <w:name w:val="Grid Table 6 Colorful - Accent 5"/>
    <w:basedOn w:val="10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6 Colorful - Accent 6"/>
    <w:basedOn w:val="10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7 Colorful"/>
    <w:basedOn w:val="10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1"/>
    <w:basedOn w:val="10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2"/>
    <w:basedOn w:val="10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3"/>
    <w:basedOn w:val="10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4"/>
    <w:basedOn w:val="10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5"/>
    <w:basedOn w:val="10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6"/>
    <w:basedOn w:val="10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1"/>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2"/>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3"/>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4"/>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5"/>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6"/>
    <w:basedOn w:val="10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w:basedOn w:val="10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1"/>
    <w:basedOn w:val="10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2"/>
    <w:basedOn w:val="10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3"/>
    <w:basedOn w:val="10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4"/>
    <w:basedOn w:val="10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5"/>
    <w:basedOn w:val="10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6"/>
    <w:basedOn w:val="10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1"/>
    <w:basedOn w:val="10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2"/>
    <w:basedOn w:val="10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3"/>
    <w:basedOn w:val="10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4"/>
    <w:basedOn w:val="10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5"/>
    <w:basedOn w:val="10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6"/>
    <w:basedOn w:val="10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w:basedOn w:val="10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1"/>
    <w:basedOn w:val="10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2"/>
    <w:basedOn w:val="10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3"/>
    <w:basedOn w:val="10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4"/>
    <w:basedOn w:val="10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5"/>
    <w:basedOn w:val="10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6"/>
    <w:basedOn w:val="10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5 Dark"/>
    <w:basedOn w:val="10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1"/>
    <w:basedOn w:val="10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2"/>
    <w:basedOn w:val="10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3"/>
    <w:basedOn w:val="10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4"/>
    <w:basedOn w:val="10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5"/>
    <w:basedOn w:val="10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6"/>
    <w:basedOn w:val="10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6 Colorful"/>
    <w:basedOn w:val="10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1"/>
    <w:basedOn w:val="10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2"/>
    <w:basedOn w:val="10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3"/>
    <w:basedOn w:val="10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4"/>
    <w:basedOn w:val="10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5"/>
    <w:basedOn w:val="10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6"/>
    <w:basedOn w:val="10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7 Colorful"/>
    <w:basedOn w:val="10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8">
    <w:name w:val="List Table 7 Colorful - Accent 1"/>
    <w:basedOn w:val="10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9">
    <w:name w:val="List Table 7 Colorful - Accent 2"/>
    <w:basedOn w:val="10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0">
    <w:name w:val="List Table 7 Colorful - Accent 3"/>
    <w:basedOn w:val="10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1">
    <w:name w:val="List Table 7 Colorful - Accent 4"/>
    <w:basedOn w:val="10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2">
    <w:name w:val="List Table 7 Colorful - Accent 5"/>
    <w:basedOn w:val="10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3">
    <w:name w:val="List Table 7 Colorful - Accent 6"/>
    <w:basedOn w:val="10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4">
    <w:name w:val="Lined - Accent"/>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1"/>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2"/>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3"/>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4"/>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5"/>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6"/>
    <w:basedOn w:val="10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w:basedOn w:val="10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1"/>
    <w:basedOn w:val="10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2"/>
    <w:basedOn w:val="10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3"/>
    <w:basedOn w:val="10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4"/>
    <w:basedOn w:val="10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5"/>
    <w:basedOn w:val="10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6"/>
    <w:basedOn w:val="10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w:basedOn w:val="10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1"/>
    <w:basedOn w:val="10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2"/>
    <w:basedOn w:val="10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3"/>
    <w:basedOn w:val="10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4"/>
    <w:basedOn w:val="10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5"/>
    <w:basedOn w:val="10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6"/>
    <w:basedOn w:val="10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5">
    <w:name w:val="Heading 5"/>
    <w:basedOn w:val="1016"/>
    <w:next w:val="1016"/>
    <w:link w:val="98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6">
    <w:name w:val="Heading 6"/>
    <w:basedOn w:val="1016"/>
    <w:next w:val="1016"/>
    <w:link w:val="98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7">
    <w:name w:val="Heading 7"/>
    <w:basedOn w:val="1016"/>
    <w:next w:val="1016"/>
    <w:link w:val="98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8">
    <w:name w:val="Heading 8"/>
    <w:basedOn w:val="1016"/>
    <w:next w:val="1016"/>
    <w:link w:val="98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9">
    <w:name w:val="Heading 9"/>
    <w:basedOn w:val="1016"/>
    <w:next w:val="1016"/>
    <w:link w:val="98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0">
    <w:name w:val="Heading 5 Char"/>
    <w:basedOn w:val="1021"/>
    <w:link w:val="975"/>
    <w:uiPriority w:val="9"/>
    <w:pPr>
      <w:pBdr/>
      <w:spacing/>
      <w:ind/>
    </w:pPr>
    <w:rPr>
      <w:rFonts w:ascii="Arial" w:hAnsi="Arial" w:eastAsia="Arial" w:cs="Arial"/>
      <w:color w:val="0f4761" w:themeColor="accent1" w:themeShade="BF"/>
    </w:rPr>
  </w:style>
  <w:style w:type="character" w:styleId="981">
    <w:name w:val="Heading 6 Char"/>
    <w:basedOn w:val="1021"/>
    <w:link w:val="976"/>
    <w:uiPriority w:val="9"/>
    <w:pPr>
      <w:pBdr/>
      <w:spacing/>
      <w:ind/>
    </w:pPr>
    <w:rPr>
      <w:rFonts w:ascii="Arial" w:hAnsi="Arial" w:eastAsia="Arial" w:cs="Arial"/>
      <w:i/>
      <w:iCs/>
      <w:color w:val="595959" w:themeColor="text1" w:themeTint="A6"/>
    </w:rPr>
  </w:style>
  <w:style w:type="character" w:styleId="982">
    <w:name w:val="Heading 7 Char"/>
    <w:basedOn w:val="1021"/>
    <w:link w:val="977"/>
    <w:uiPriority w:val="9"/>
    <w:pPr>
      <w:pBdr/>
      <w:spacing/>
      <w:ind/>
    </w:pPr>
    <w:rPr>
      <w:rFonts w:ascii="Arial" w:hAnsi="Arial" w:eastAsia="Arial" w:cs="Arial"/>
      <w:color w:val="595959" w:themeColor="text1" w:themeTint="A6"/>
    </w:rPr>
  </w:style>
  <w:style w:type="character" w:styleId="983">
    <w:name w:val="Heading 8 Char"/>
    <w:basedOn w:val="1021"/>
    <w:link w:val="978"/>
    <w:uiPriority w:val="9"/>
    <w:pPr>
      <w:pBdr/>
      <w:spacing/>
      <w:ind/>
    </w:pPr>
    <w:rPr>
      <w:rFonts w:ascii="Arial" w:hAnsi="Arial" w:eastAsia="Arial" w:cs="Arial"/>
      <w:i/>
      <w:iCs/>
      <w:color w:val="272727" w:themeColor="text1" w:themeTint="D8"/>
    </w:rPr>
  </w:style>
  <w:style w:type="character" w:styleId="984">
    <w:name w:val="Heading 9 Char"/>
    <w:basedOn w:val="1021"/>
    <w:link w:val="979"/>
    <w:uiPriority w:val="9"/>
    <w:pPr>
      <w:pBdr/>
      <w:spacing/>
      <w:ind/>
    </w:pPr>
    <w:rPr>
      <w:rFonts w:ascii="Arial" w:hAnsi="Arial" w:eastAsia="Arial" w:cs="Arial"/>
      <w:i/>
      <w:iCs/>
      <w:color w:val="272727" w:themeColor="text1" w:themeTint="D8"/>
    </w:rPr>
  </w:style>
  <w:style w:type="paragraph" w:styleId="985">
    <w:name w:val="Subtitle"/>
    <w:basedOn w:val="1016"/>
    <w:next w:val="1016"/>
    <w:link w:val="986"/>
    <w:uiPriority w:val="11"/>
    <w:qFormat/>
    <w:pPr>
      <w:numPr>
        <w:ilvl w:val="1"/>
      </w:numPr>
      <w:pBdr/>
      <w:spacing/>
      <w:ind/>
    </w:pPr>
    <w:rPr>
      <w:color w:val="595959" w:themeColor="text1" w:themeTint="A6"/>
      <w:spacing w:val="15"/>
      <w:sz w:val="28"/>
      <w:szCs w:val="28"/>
    </w:rPr>
  </w:style>
  <w:style w:type="character" w:styleId="986">
    <w:name w:val="Subtitle Char"/>
    <w:basedOn w:val="1021"/>
    <w:link w:val="985"/>
    <w:uiPriority w:val="11"/>
    <w:pPr>
      <w:pBdr/>
      <w:spacing/>
      <w:ind/>
    </w:pPr>
    <w:rPr>
      <w:color w:val="595959" w:themeColor="text1" w:themeTint="A6"/>
      <w:spacing w:val="15"/>
      <w:sz w:val="28"/>
      <w:szCs w:val="28"/>
    </w:rPr>
  </w:style>
  <w:style w:type="paragraph" w:styleId="987">
    <w:name w:val="Quote"/>
    <w:basedOn w:val="1016"/>
    <w:next w:val="1016"/>
    <w:link w:val="988"/>
    <w:uiPriority w:val="29"/>
    <w:qFormat/>
    <w:pPr>
      <w:pBdr/>
      <w:spacing w:before="160"/>
      <w:ind/>
      <w:jc w:val="center"/>
    </w:pPr>
    <w:rPr>
      <w:i/>
      <w:iCs/>
      <w:color w:val="404040" w:themeColor="text1" w:themeTint="BF"/>
    </w:rPr>
  </w:style>
  <w:style w:type="character" w:styleId="988">
    <w:name w:val="Quote Char"/>
    <w:basedOn w:val="1021"/>
    <w:link w:val="987"/>
    <w:uiPriority w:val="29"/>
    <w:pPr>
      <w:pBdr/>
      <w:spacing/>
      <w:ind/>
    </w:pPr>
    <w:rPr>
      <w:i/>
      <w:iCs/>
      <w:color w:val="404040" w:themeColor="text1" w:themeTint="BF"/>
    </w:rPr>
  </w:style>
  <w:style w:type="character" w:styleId="989">
    <w:name w:val="Intense Emphasis"/>
    <w:basedOn w:val="1021"/>
    <w:uiPriority w:val="21"/>
    <w:qFormat/>
    <w:pPr>
      <w:pBdr/>
      <w:spacing/>
      <w:ind/>
    </w:pPr>
    <w:rPr>
      <w:i/>
      <w:iCs/>
      <w:color w:val="0f4761" w:themeColor="accent1" w:themeShade="BF"/>
    </w:rPr>
  </w:style>
  <w:style w:type="paragraph" w:styleId="990">
    <w:name w:val="Intense Quote"/>
    <w:basedOn w:val="1016"/>
    <w:next w:val="1016"/>
    <w:link w:val="99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1">
    <w:name w:val="Intense Quote Char"/>
    <w:basedOn w:val="1021"/>
    <w:link w:val="990"/>
    <w:uiPriority w:val="30"/>
    <w:pPr>
      <w:pBdr/>
      <w:spacing/>
      <w:ind/>
    </w:pPr>
    <w:rPr>
      <w:i/>
      <w:iCs/>
      <w:color w:val="0f4761" w:themeColor="accent1" w:themeShade="BF"/>
    </w:rPr>
  </w:style>
  <w:style w:type="character" w:styleId="992">
    <w:name w:val="Intense Reference"/>
    <w:basedOn w:val="1021"/>
    <w:uiPriority w:val="32"/>
    <w:qFormat/>
    <w:pPr>
      <w:pBdr/>
      <w:spacing/>
      <w:ind/>
    </w:pPr>
    <w:rPr>
      <w:b/>
      <w:bCs/>
      <w:smallCaps/>
      <w:color w:val="0f4761" w:themeColor="accent1" w:themeShade="BF"/>
      <w:spacing w:val="5"/>
    </w:rPr>
  </w:style>
  <w:style w:type="paragraph" w:styleId="993">
    <w:name w:val="No Spacing"/>
    <w:basedOn w:val="1016"/>
    <w:uiPriority w:val="1"/>
    <w:qFormat/>
    <w:pPr>
      <w:pBdr/>
      <w:spacing w:after="0" w:line="240" w:lineRule="auto"/>
      <w:ind/>
    </w:pPr>
  </w:style>
  <w:style w:type="character" w:styleId="994">
    <w:name w:val="Subtle Emphasis"/>
    <w:basedOn w:val="1021"/>
    <w:uiPriority w:val="19"/>
    <w:qFormat/>
    <w:pPr>
      <w:pBdr/>
      <w:spacing/>
      <w:ind/>
    </w:pPr>
    <w:rPr>
      <w:i/>
      <w:iCs/>
      <w:color w:val="404040" w:themeColor="text1" w:themeTint="BF"/>
    </w:rPr>
  </w:style>
  <w:style w:type="character" w:styleId="995">
    <w:name w:val="Subtle Reference"/>
    <w:basedOn w:val="1021"/>
    <w:uiPriority w:val="31"/>
    <w:qFormat/>
    <w:pPr>
      <w:pBdr/>
      <w:spacing/>
      <w:ind/>
    </w:pPr>
    <w:rPr>
      <w:smallCaps/>
      <w:color w:val="5a5a5a" w:themeColor="text1" w:themeTint="A5"/>
    </w:rPr>
  </w:style>
  <w:style w:type="character" w:styleId="996">
    <w:name w:val="Book Title"/>
    <w:basedOn w:val="1021"/>
    <w:uiPriority w:val="33"/>
    <w:qFormat/>
    <w:pPr>
      <w:pBdr/>
      <w:spacing/>
      <w:ind/>
    </w:pPr>
    <w:rPr>
      <w:b/>
      <w:bCs/>
      <w:i/>
      <w:iCs/>
      <w:spacing w:val="5"/>
    </w:rPr>
  </w:style>
  <w:style w:type="paragraph" w:styleId="997">
    <w:name w:val="Caption"/>
    <w:basedOn w:val="1016"/>
    <w:next w:val="1016"/>
    <w:uiPriority w:val="35"/>
    <w:unhideWhenUsed/>
    <w:qFormat/>
    <w:pPr>
      <w:pBdr/>
      <w:spacing w:after="200" w:line="240" w:lineRule="auto"/>
      <w:ind/>
    </w:pPr>
    <w:rPr>
      <w:i/>
      <w:iCs/>
      <w:color w:val="0e2841" w:themeColor="text2"/>
      <w:sz w:val="18"/>
      <w:szCs w:val="18"/>
    </w:rPr>
  </w:style>
  <w:style w:type="paragraph" w:styleId="998">
    <w:name w:val="footnote text"/>
    <w:basedOn w:val="1016"/>
    <w:link w:val="999"/>
    <w:uiPriority w:val="99"/>
    <w:semiHidden/>
    <w:unhideWhenUsed/>
    <w:pPr>
      <w:pBdr/>
      <w:spacing w:after="0" w:line="240" w:lineRule="auto"/>
      <w:ind/>
    </w:pPr>
    <w:rPr>
      <w:sz w:val="20"/>
      <w:szCs w:val="20"/>
    </w:rPr>
  </w:style>
  <w:style w:type="character" w:styleId="999">
    <w:name w:val="Footnote Text Char"/>
    <w:basedOn w:val="1021"/>
    <w:link w:val="998"/>
    <w:uiPriority w:val="99"/>
    <w:semiHidden/>
    <w:pPr>
      <w:pBdr/>
      <w:spacing/>
      <w:ind/>
    </w:pPr>
    <w:rPr>
      <w:sz w:val="20"/>
      <w:szCs w:val="20"/>
    </w:rPr>
  </w:style>
  <w:style w:type="character" w:styleId="1000">
    <w:name w:val="footnote reference"/>
    <w:basedOn w:val="1021"/>
    <w:uiPriority w:val="99"/>
    <w:semiHidden/>
    <w:unhideWhenUsed/>
    <w:pPr>
      <w:pBdr/>
      <w:spacing/>
      <w:ind/>
    </w:pPr>
    <w:rPr>
      <w:vertAlign w:val="superscript"/>
    </w:rPr>
  </w:style>
  <w:style w:type="paragraph" w:styleId="1001">
    <w:name w:val="endnote text"/>
    <w:basedOn w:val="1016"/>
    <w:link w:val="1002"/>
    <w:uiPriority w:val="99"/>
    <w:semiHidden/>
    <w:unhideWhenUsed/>
    <w:pPr>
      <w:pBdr/>
      <w:spacing w:after="0" w:line="240" w:lineRule="auto"/>
      <w:ind/>
    </w:pPr>
    <w:rPr>
      <w:sz w:val="20"/>
      <w:szCs w:val="20"/>
    </w:rPr>
  </w:style>
  <w:style w:type="character" w:styleId="1002">
    <w:name w:val="Endnote Text Char"/>
    <w:basedOn w:val="1021"/>
    <w:link w:val="1001"/>
    <w:uiPriority w:val="99"/>
    <w:semiHidden/>
    <w:pPr>
      <w:pBdr/>
      <w:spacing/>
      <w:ind/>
    </w:pPr>
    <w:rPr>
      <w:sz w:val="20"/>
      <w:szCs w:val="20"/>
    </w:rPr>
  </w:style>
  <w:style w:type="character" w:styleId="1003">
    <w:name w:val="endnote reference"/>
    <w:basedOn w:val="1021"/>
    <w:uiPriority w:val="99"/>
    <w:semiHidden/>
    <w:unhideWhenUsed/>
    <w:pPr>
      <w:pBdr/>
      <w:spacing/>
      <w:ind/>
    </w:pPr>
    <w:rPr>
      <w:vertAlign w:val="superscript"/>
    </w:rPr>
  </w:style>
  <w:style w:type="paragraph" w:styleId="1004">
    <w:name w:val="toc 1"/>
    <w:basedOn w:val="1016"/>
    <w:next w:val="1016"/>
    <w:uiPriority w:val="39"/>
    <w:unhideWhenUsed/>
    <w:pPr>
      <w:pBdr/>
      <w:spacing w:after="100"/>
      <w:ind/>
    </w:pPr>
  </w:style>
  <w:style w:type="paragraph" w:styleId="1005">
    <w:name w:val="toc 2"/>
    <w:basedOn w:val="1016"/>
    <w:next w:val="1016"/>
    <w:uiPriority w:val="39"/>
    <w:unhideWhenUsed/>
    <w:pPr>
      <w:pBdr/>
      <w:spacing w:after="100"/>
      <w:ind w:left="220"/>
    </w:pPr>
  </w:style>
  <w:style w:type="paragraph" w:styleId="1006">
    <w:name w:val="toc 3"/>
    <w:basedOn w:val="1016"/>
    <w:next w:val="1016"/>
    <w:uiPriority w:val="39"/>
    <w:unhideWhenUsed/>
    <w:pPr>
      <w:pBdr/>
      <w:spacing w:after="100"/>
      <w:ind w:left="440"/>
    </w:pPr>
  </w:style>
  <w:style w:type="paragraph" w:styleId="1007">
    <w:name w:val="toc 4"/>
    <w:basedOn w:val="1016"/>
    <w:next w:val="1016"/>
    <w:uiPriority w:val="39"/>
    <w:unhideWhenUsed/>
    <w:pPr>
      <w:pBdr/>
      <w:spacing w:after="100"/>
      <w:ind w:left="660"/>
    </w:pPr>
  </w:style>
  <w:style w:type="paragraph" w:styleId="1008">
    <w:name w:val="toc 5"/>
    <w:basedOn w:val="1016"/>
    <w:next w:val="1016"/>
    <w:uiPriority w:val="39"/>
    <w:unhideWhenUsed/>
    <w:pPr>
      <w:pBdr/>
      <w:spacing w:after="100"/>
      <w:ind w:left="880"/>
    </w:pPr>
  </w:style>
  <w:style w:type="paragraph" w:styleId="1009">
    <w:name w:val="toc 6"/>
    <w:basedOn w:val="1016"/>
    <w:next w:val="1016"/>
    <w:uiPriority w:val="39"/>
    <w:unhideWhenUsed/>
    <w:pPr>
      <w:pBdr/>
      <w:spacing w:after="100"/>
      <w:ind w:left="1100"/>
    </w:pPr>
  </w:style>
  <w:style w:type="paragraph" w:styleId="1010">
    <w:name w:val="toc 7"/>
    <w:basedOn w:val="1016"/>
    <w:next w:val="1016"/>
    <w:uiPriority w:val="39"/>
    <w:unhideWhenUsed/>
    <w:pPr>
      <w:pBdr/>
      <w:spacing w:after="100"/>
      <w:ind w:left="1320"/>
    </w:pPr>
  </w:style>
  <w:style w:type="paragraph" w:styleId="1011">
    <w:name w:val="toc 8"/>
    <w:basedOn w:val="1016"/>
    <w:next w:val="1016"/>
    <w:uiPriority w:val="39"/>
    <w:unhideWhenUsed/>
    <w:pPr>
      <w:pBdr/>
      <w:spacing w:after="100"/>
      <w:ind w:left="1540"/>
    </w:pPr>
  </w:style>
  <w:style w:type="paragraph" w:styleId="1012">
    <w:name w:val="toc 9"/>
    <w:basedOn w:val="1016"/>
    <w:next w:val="1016"/>
    <w:uiPriority w:val="39"/>
    <w:unhideWhenUsed/>
    <w:pPr>
      <w:pBdr/>
      <w:spacing w:after="100"/>
      <w:ind w:left="1760"/>
    </w:pPr>
  </w:style>
  <w:style w:type="character" w:styleId="1013">
    <w:name w:val="Placeholder Text"/>
    <w:basedOn w:val="1021"/>
    <w:uiPriority w:val="99"/>
    <w:semiHidden/>
    <w:pPr>
      <w:pBdr/>
      <w:spacing/>
      <w:ind/>
    </w:pPr>
    <w:rPr>
      <w:color w:val="666666"/>
    </w:rPr>
  </w:style>
  <w:style w:type="paragraph" w:styleId="1014">
    <w:name w:val="TOC Heading"/>
    <w:uiPriority w:val="39"/>
    <w:unhideWhenUsed/>
    <w:pPr>
      <w:pBdr/>
      <w:spacing/>
      <w:ind/>
    </w:pPr>
  </w:style>
  <w:style w:type="paragraph" w:styleId="1015">
    <w:name w:val="table of figures"/>
    <w:basedOn w:val="1016"/>
    <w:next w:val="1016"/>
    <w:uiPriority w:val="99"/>
    <w:unhideWhenUsed/>
    <w:pPr>
      <w:pBdr/>
      <w:spacing w:after="0" w:afterAutospacing="0"/>
      <w:ind/>
    </w:pPr>
  </w:style>
  <w:style w:type="paragraph" w:styleId="1016" w:default="1">
    <w:name w:val="Normal"/>
    <w:qFormat/>
    <w:pPr>
      <w:pBdr/>
      <w:spacing w:after="0" w:line="240" w:lineRule="auto"/>
      <w:ind/>
    </w:pPr>
    <w:rPr>
      <w:rFonts w:ascii="Times New Roman" w:hAnsi="Times New Roman" w:eastAsia="Times New Roman" w:cs="Times New Roman"/>
      <w:sz w:val="24"/>
      <w:szCs w:val="24"/>
    </w:rPr>
  </w:style>
  <w:style w:type="paragraph" w:styleId="1017">
    <w:name w:val="Heading 1"/>
    <w:basedOn w:val="1016"/>
    <w:next w:val="1016"/>
    <w:link w:val="1024"/>
    <w:qFormat/>
    <w:pPr>
      <w:keepNext w:val="true"/>
      <w:pBdr/>
      <w:spacing w:after="120" w:before="120"/>
      <w:ind/>
      <w:jc w:val="center"/>
      <w:outlineLvl w:val="0"/>
    </w:pPr>
    <w:rPr>
      <w:b/>
      <w:bCs/>
      <w:sz w:val="27"/>
      <w:szCs w:val="27"/>
    </w:rPr>
  </w:style>
  <w:style w:type="paragraph" w:styleId="1018">
    <w:name w:val="Heading 2"/>
    <w:basedOn w:val="1016"/>
    <w:next w:val="1016"/>
    <w:link w:val="102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9">
    <w:name w:val="Heading 3"/>
    <w:basedOn w:val="1016"/>
    <w:next w:val="1016"/>
    <w:link w:val="1026"/>
    <w:qFormat/>
    <w:pPr>
      <w:keepNext w:val="true"/>
      <w:pBdr/>
      <w:spacing w:before="60"/>
      <w:ind/>
      <w:outlineLvl w:val="2"/>
    </w:pPr>
    <w:rPr>
      <w:sz w:val="28"/>
      <w:szCs w:val="28"/>
    </w:rPr>
  </w:style>
  <w:style w:type="paragraph" w:styleId="1020">
    <w:name w:val="Heading 4"/>
    <w:basedOn w:val="1016"/>
    <w:next w:val="1016"/>
    <w:link w:val="1027"/>
    <w:qFormat/>
    <w:pPr>
      <w:keepNext w:val="true"/>
      <w:pBdr/>
      <w:spacing/>
      <w:ind/>
      <w:jc w:val="center"/>
      <w:outlineLvl w:val="3"/>
    </w:pPr>
    <w:rPr>
      <w:b/>
      <w:bCs/>
    </w:rPr>
  </w:style>
  <w:style w:type="character" w:styleId="1021" w:default="1">
    <w:name w:val="Default Paragraph Font"/>
    <w:uiPriority w:val="1"/>
    <w:semiHidden/>
    <w:unhideWhenUsed/>
    <w:pPr>
      <w:pBdr/>
      <w:spacing/>
      <w:ind/>
    </w:pPr>
  </w:style>
  <w:style w:type="table" w:styleId="102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3" w:default="1">
    <w:name w:val="No List"/>
    <w:uiPriority w:val="99"/>
    <w:semiHidden/>
    <w:unhideWhenUsed/>
    <w:pPr>
      <w:pBdr/>
      <w:spacing/>
      <w:ind/>
    </w:pPr>
  </w:style>
  <w:style w:type="character" w:styleId="1024" w:customStyle="1">
    <w:name w:val="Heading 1 Char"/>
    <w:basedOn w:val="1021"/>
    <w:link w:val="1017"/>
    <w:pPr>
      <w:pBdr/>
      <w:spacing/>
      <w:ind/>
    </w:pPr>
    <w:rPr>
      <w:rFonts w:ascii="Times New Roman" w:hAnsi="Times New Roman" w:eastAsia="Times New Roman" w:cs="Times New Roman"/>
      <w:b/>
      <w:bCs/>
      <w:sz w:val="27"/>
      <w:szCs w:val="27"/>
    </w:rPr>
  </w:style>
  <w:style w:type="character" w:styleId="1025" w:customStyle="1">
    <w:name w:val="Heading 2 Char"/>
    <w:basedOn w:val="1021"/>
    <w:link w:val="1018"/>
    <w:uiPriority w:val="9"/>
    <w:pPr>
      <w:pBdr/>
      <w:spacing/>
      <w:ind/>
    </w:pPr>
    <w:rPr>
      <w:rFonts w:asciiTheme="majorHAnsi" w:hAnsiTheme="majorHAnsi" w:eastAsiaTheme="majorEastAsia" w:cstheme="majorBidi"/>
      <w:color w:val="365f91" w:themeColor="accent1" w:themeShade="BF"/>
      <w:sz w:val="26"/>
      <w:szCs w:val="26"/>
    </w:rPr>
  </w:style>
  <w:style w:type="character" w:styleId="1026" w:customStyle="1">
    <w:name w:val="Heading 3 Char"/>
    <w:basedOn w:val="1021"/>
    <w:link w:val="1019"/>
    <w:pPr>
      <w:pBdr/>
      <w:spacing/>
      <w:ind/>
    </w:pPr>
    <w:rPr>
      <w:rFonts w:ascii="Times New Roman" w:hAnsi="Times New Roman" w:eastAsia="Times New Roman" w:cs="Times New Roman"/>
      <w:sz w:val="28"/>
      <w:szCs w:val="28"/>
    </w:rPr>
  </w:style>
  <w:style w:type="character" w:styleId="1027" w:customStyle="1">
    <w:name w:val="Heading 4 Char"/>
    <w:basedOn w:val="1021"/>
    <w:link w:val="1020"/>
    <w:pPr>
      <w:pBdr/>
      <w:spacing/>
      <w:ind/>
    </w:pPr>
    <w:rPr>
      <w:rFonts w:ascii="Times New Roman" w:hAnsi="Times New Roman" w:eastAsia="Times New Roman" w:cs="Times New Roman"/>
      <w:b/>
      <w:bCs/>
      <w:sz w:val="24"/>
      <w:szCs w:val="24"/>
    </w:rPr>
  </w:style>
  <w:style w:type="character" w:styleId="1028">
    <w:name w:val="Hyperlink"/>
    <w:uiPriority w:val="99"/>
    <w:pPr>
      <w:pBdr/>
      <w:spacing/>
      <w:ind/>
    </w:pPr>
    <w:rPr>
      <w:color w:val="000000"/>
      <w:u w:val="single"/>
    </w:rPr>
  </w:style>
  <w:style w:type="character" w:styleId="1029">
    <w:name w:val="Strong"/>
    <w:uiPriority w:val="22"/>
    <w:qFormat/>
    <w:pPr>
      <w:pBdr/>
      <w:spacing/>
      <w:ind/>
    </w:pPr>
    <w:rPr>
      <w:b/>
      <w:bCs/>
    </w:rPr>
  </w:style>
  <w:style w:type="paragraph" w:styleId="1030">
    <w:name w:val="Balloon Text"/>
    <w:basedOn w:val="1016"/>
    <w:link w:val="1031"/>
    <w:uiPriority w:val="99"/>
    <w:semiHidden/>
    <w:unhideWhenUsed/>
    <w:pPr>
      <w:pBdr/>
      <w:spacing/>
      <w:ind/>
    </w:pPr>
    <w:rPr>
      <w:rFonts w:ascii="Tahoma" w:hAnsi="Tahoma" w:cs="Tahoma"/>
      <w:sz w:val="16"/>
      <w:szCs w:val="16"/>
    </w:rPr>
  </w:style>
  <w:style w:type="character" w:styleId="1031" w:customStyle="1">
    <w:name w:val="Balloon Text Char"/>
    <w:basedOn w:val="1021"/>
    <w:link w:val="1030"/>
    <w:uiPriority w:val="99"/>
    <w:semiHidden/>
    <w:pPr>
      <w:pBdr/>
      <w:spacing/>
      <w:ind/>
    </w:pPr>
    <w:rPr>
      <w:rFonts w:ascii="Tahoma" w:hAnsi="Tahoma" w:eastAsia="Times New Roman" w:cs="Tahoma"/>
      <w:sz w:val="16"/>
      <w:szCs w:val="16"/>
    </w:rPr>
  </w:style>
  <w:style w:type="paragraph" w:styleId="1032">
    <w:name w:val="Header"/>
    <w:basedOn w:val="1016"/>
    <w:link w:val="1033"/>
    <w:unhideWhenUsed/>
    <w:pPr>
      <w:pBdr/>
      <w:tabs>
        <w:tab w:val="center" w:leader="none" w:pos="4680"/>
        <w:tab w:val="right" w:leader="none" w:pos="9360"/>
      </w:tabs>
      <w:spacing/>
      <w:ind/>
    </w:pPr>
  </w:style>
  <w:style w:type="character" w:styleId="1033" w:customStyle="1">
    <w:name w:val="Header Char"/>
    <w:basedOn w:val="1021"/>
    <w:link w:val="1032"/>
    <w:pPr>
      <w:pBdr/>
      <w:spacing/>
      <w:ind/>
    </w:pPr>
    <w:rPr>
      <w:rFonts w:ascii="Times New Roman" w:hAnsi="Times New Roman" w:eastAsia="Times New Roman" w:cs="Times New Roman"/>
      <w:sz w:val="24"/>
      <w:szCs w:val="24"/>
    </w:rPr>
  </w:style>
  <w:style w:type="paragraph" w:styleId="1034">
    <w:name w:val="Footer"/>
    <w:basedOn w:val="1016"/>
    <w:link w:val="1035"/>
    <w:uiPriority w:val="99"/>
    <w:unhideWhenUsed/>
    <w:pPr>
      <w:pBdr/>
      <w:tabs>
        <w:tab w:val="center" w:leader="none" w:pos="4680"/>
        <w:tab w:val="right" w:leader="none" w:pos="9360"/>
      </w:tabs>
      <w:spacing/>
      <w:ind/>
    </w:pPr>
  </w:style>
  <w:style w:type="character" w:styleId="1035" w:customStyle="1">
    <w:name w:val="Footer Char"/>
    <w:basedOn w:val="1021"/>
    <w:link w:val="1034"/>
    <w:uiPriority w:val="99"/>
    <w:pPr>
      <w:pBdr/>
      <w:spacing/>
      <w:ind/>
    </w:pPr>
    <w:rPr>
      <w:rFonts w:ascii="Times New Roman" w:hAnsi="Times New Roman" w:eastAsia="Times New Roman" w:cs="Times New Roman"/>
      <w:sz w:val="24"/>
      <w:szCs w:val="24"/>
    </w:rPr>
  </w:style>
  <w:style w:type="character" w:styleId="1036" w:customStyle="1">
    <w:name w:val="normal-h1"/>
    <w:pPr>
      <w:pBdr/>
      <w:spacing/>
      <w:ind/>
    </w:pPr>
    <w:rPr>
      <w:rFonts w:hint="default" w:ascii=".VnTime" w:hAnsi=".VnTime"/>
      <w:color w:val="0000ff"/>
      <w:sz w:val="24"/>
      <w:szCs w:val="24"/>
    </w:rPr>
  </w:style>
  <w:style w:type="paragraph" w:styleId="1037" w:customStyle="1">
    <w:name w:val="normal-p"/>
    <w:basedOn w:val="1016"/>
    <w:pPr>
      <w:pBdr/>
      <w:spacing/>
      <w:ind/>
      <w:jc w:val="both"/>
    </w:pPr>
    <w:rPr>
      <w:sz w:val="20"/>
      <w:szCs w:val="20"/>
    </w:rPr>
  </w:style>
  <w:style w:type="paragraph" w:styleId="1038">
    <w:name w:val="List Paragraph"/>
    <w:basedOn w:val="1016"/>
    <w:link w:val="1125"/>
    <w:uiPriority w:val="34"/>
    <w:qFormat/>
    <w:pPr>
      <w:pBdr/>
      <w:spacing/>
      <w:ind w:left="720"/>
    </w:pPr>
  </w:style>
  <w:style w:type="paragraph" w:styleId="1039">
    <w:name w:val="Normal (Web)"/>
    <w:basedOn w:val="1016"/>
    <w:uiPriority w:val="99"/>
    <w:pPr>
      <w:pBdr/>
      <w:spacing w:after="100" w:afterAutospacing="1" w:before="100" w:beforeAutospacing="1"/>
      <w:ind/>
    </w:pPr>
  </w:style>
  <w:style w:type="paragraph" w:styleId="1040">
    <w:name w:val="Body Text"/>
    <w:basedOn w:val="1016"/>
    <w:link w:val="1041"/>
    <w:pPr>
      <w:pBdr/>
      <w:spacing w:after="120"/>
      <w:ind/>
      <w:jc w:val="both"/>
    </w:pPr>
  </w:style>
  <w:style w:type="character" w:styleId="1041" w:customStyle="1">
    <w:name w:val="Body Text Char"/>
    <w:basedOn w:val="1021"/>
    <w:link w:val="1040"/>
    <w:pPr>
      <w:pBdr/>
      <w:spacing/>
      <w:ind/>
    </w:pPr>
    <w:rPr>
      <w:rFonts w:ascii="Times New Roman" w:hAnsi="Times New Roman" w:eastAsia="Times New Roman" w:cs="Times New Roman"/>
      <w:sz w:val="24"/>
      <w:szCs w:val="24"/>
    </w:rPr>
  </w:style>
  <w:style w:type="table" w:styleId="1042">
    <w:name w:val="Table Grid"/>
    <w:basedOn w:val="102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4">
    <w:name w:val="annotation reference"/>
    <w:basedOn w:val="1021"/>
    <w:uiPriority w:val="99"/>
    <w:semiHidden/>
    <w:unhideWhenUsed/>
    <w:pPr>
      <w:pBdr/>
      <w:spacing/>
      <w:ind/>
    </w:pPr>
    <w:rPr>
      <w:sz w:val="16"/>
      <w:szCs w:val="16"/>
    </w:rPr>
  </w:style>
  <w:style w:type="paragraph" w:styleId="1045">
    <w:name w:val="annotation text"/>
    <w:basedOn w:val="1016"/>
    <w:link w:val="1046"/>
    <w:uiPriority w:val="99"/>
    <w:unhideWhenUsed/>
    <w:pPr>
      <w:pBdr/>
      <w:spacing/>
      <w:ind/>
    </w:pPr>
    <w:rPr>
      <w:sz w:val="20"/>
      <w:szCs w:val="20"/>
    </w:rPr>
  </w:style>
  <w:style w:type="character" w:styleId="1046" w:customStyle="1">
    <w:name w:val="Comment Text Char"/>
    <w:basedOn w:val="1021"/>
    <w:link w:val="1045"/>
    <w:uiPriority w:val="99"/>
    <w:pPr>
      <w:pBdr/>
      <w:spacing/>
      <w:ind/>
    </w:pPr>
    <w:rPr>
      <w:rFonts w:ascii="Times New Roman" w:hAnsi="Times New Roman" w:eastAsia="Times New Roman" w:cs="Times New Roman"/>
      <w:sz w:val="20"/>
      <w:szCs w:val="20"/>
    </w:rPr>
  </w:style>
  <w:style w:type="paragraph" w:styleId="1047">
    <w:name w:val="annotation subject"/>
    <w:basedOn w:val="1045"/>
    <w:next w:val="1045"/>
    <w:link w:val="1048"/>
    <w:uiPriority w:val="99"/>
    <w:semiHidden/>
    <w:unhideWhenUsed/>
    <w:pPr>
      <w:pBdr/>
      <w:spacing/>
      <w:ind/>
    </w:pPr>
    <w:rPr>
      <w:b/>
      <w:bCs/>
    </w:rPr>
  </w:style>
  <w:style w:type="character" w:styleId="1048" w:customStyle="1">
    <w:name w:val="Comment Subject Char"/>
    <w:basedOn w:val="1046"/>
    <w:link w:val="1047"/>
    <w:uiPriority w:val="99"/>
    <w:semiHidden/>
    <w:pPr>
      <w:pBdr/>
      <w:spacing/>
      <w:ind/>
    </w:pPr>
    <w:rPr>
      <w:rFonts w:ascii="Times New Roman" w:hAnsi="Times New Roman" w:eastAsia="Times New Roman" w:cs="Times New Roman"/>
      <w:b/>
      <w:bCs/>
      <w:sz w:val="20"/>
      <w:szCs w:val="20"/>
    </w:rPr>
  </w:style>
  <w:style w:type="paragraph" w:styleId="1049" w:customStyle="1">
    <w:name w:val="font5"/>
    <w:basedOn w:val="1016"/>
    <w:pPr>
      <w:pBdr/>
      <w:spacing w:after="100" w:afterAutospacing="1" w:before="100" w:beforeAutospacing="1"/>
      <w:ind/>
    </w:pPr>
    <w:rPr>
      <w:rFonts w:ascii="Tahoma" w:hAnsi="Tahoma" w:cs="Tahoma"/>
      <w:color w:val="000000"/>
      <w:sz w:val="18"/>
      <w:szCs w:val="18"/>
    </w:rPr>
  </w:style>
  <w:style w:type="paragraph" w:styleId="1050" w:customStyle="1">
    <w:name w:val="font6"/>
    <w:basedOn w:val="1016"/>
    <w:pPr>
      <w:pBdr/>
      <w:spacing w:after="100" w:afterAutospacing="1" w:before="100" w:beforeAutospacing="1"/>
      <w:ind/>
    </w:pPr>
    <w:rPr>
      <w:rFonts w:ascii="Tahoma" w:hAnsi="Tahoma" w:cs="Tahoma"/>
      <w:b/>
      <w:bCs/>
      <w:color w:val="000000"/>
      <w:sz w:val="18"/>
      <w:szCs w:val="18"/>
    </w:rPr>
  </w:style>
  <w:style w:type="paragraph" w:styleId="1051" w:customStyle="1">
    <w:name w:val="xl23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2" w:customStyle="1">
    <w:name w:val="xl234"/>
    <w:basedOn w:val="1016"/>
    <w:pPr>
      <w:pBdr/>
      <w:spacing w:after="100" w:afterAutospacing="1" w:before="100" w:beforeAutospacing="1"/>
      <w:ind/>
      <w:jc w:val="center"/>
    </w:pPr>
  </w:style>
  <w:style w:type="paragraph" w:styleId="1053" w:customStyle="1">
    <w:name w:val="xl235"/>
    <w:basedOn w:val="1016"/>
    <w:pPr>
      <w:pBdr/>
      <w:spacing w:after="100" w:afterAutospacing="1" w:before="100" w:beforeAutospacing="1"/>
      <w:ind/>
      <w:jc w:val="center"/>
    </w:pPr>
    <w:rPr>
      <w:b/>
      <w:bCs/>
    </w:rPr>
  </w:style>
  <w:style w:type="paragraph" w:styleId="1054" w:customStyle="1">
    <w:name w:val="xl236"/>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3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38"/>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3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8" w:customStyle="1">
    <w:name w:val="xl240"/>
    <w:basedOn w:val="1016"/>
    <w:pPr>
      <w:pBdr/>
      <w:spacing w:after="100" w:afterAutospacing="1" w:before="100" w:beforeAutospacing="1"/>
      <w:ind/>
    </w:pPr>
  </w:style>
  <w:style w:type="paragraph" w:styleId="1059" w:customStyle="1">
    <w:name w:val="xl241"/>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0" w:customStyle="1">
    <w:name w:val="xl242"/>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3"/>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44"/>
    <w:basedOn w:val="1016"/>
    <w:pPr>
      <w:pBdr/>
      <w:spacing w:after="100" w:afterAutospacing="1" w:before="100" w:beforeAutospacing="1"/>
      <w:ind/>
    </w:pPr>
    <w:rPr>
      <w:b/>
      <w:bCs/>
    </w:rPr>
  </w:style>
  <w:style w:type="paragraph" w:styleId="1063" w:customStyle="1">
    <w:name w:val="xl245"/>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47"/>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4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7" w:customStyle="1">
    <w:name w:val="xl24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8" w:customStyle="1">
    <w:name w:val="xl25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5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3"/>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4"/>
    <w:basedOn w:val="101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5"/>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6"/>
    <w:basedOn w:val="101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8"/>
    <w:basedOn w:val="101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0"/>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1"/>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2"/>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3"/>
    <w:basedOn w:val="1016"/>
    <w:pPr>
      <w:pBdr/>
      <w:shd w:val="clear" w:color="000000" w:fill="ffffff"/>
      <w:spacing w:after="100" w:afterAutospacing="1" w:before="100" w:beforeAutospacing="1"/>
      <w:ind/>
    </w:pPr>
  </w:style>
  <w:style w:type="paragraph" w:styleId="1082" w:customStyle="1">
    <w:name w:val="xl264"/>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5"/>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6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5" w:customStyle="1">
    <w:name w:val="xl267"/>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68"/>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9"/>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7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1"/>
    <w:basedOn w:val="101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0" w:customStyle="1">
    <w:name w:val="xl27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73"/>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2" w:customStyle="1">
    <w:name w:val="xl274"/>
    <w:basedOn w:val="101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75"/>
    <w:basedOn w:val="1016"/>
    <w:pPr>
      <w:pBdr/>
      <w:spacing w:after="100" w:afterAutospacing="1" w:before="100" w:beforeAutospacing="1"/>
      <w:ind/>
    </w:pPr>
  </w:style>
  <w:style w:type="paragraph" w:styleId="1094" w:customStyle="1">
    <w:name w:val="xl27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77"/>
    <w:basedOn w:val="101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78"/>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79"/>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0"/>
    <w:basedOn w:val="101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9" w:customStyle="1">
    <w:name w:val="xl281"/>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0" w:customStyle="1">
    <w:name w:val="xl282"/>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3"/>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4"/>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5"/>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6"/>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7"/>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8"/>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89"/>
    <w:basedOn w:val="1016"/>
    <w:pPr>
      <w:pBdr>
        <w:left w:val="single" w:color="000000" w:sz="4" w:space="0"/>
        <w:right w:val="single" w:color="000000" w:sz="4" w:space="0"/>
      </w:pBdr>
      <w:spacing w:after="100" w:afterAutospacing="1" w:before="100" w:beforeAutospacing="1"/>
      <w:ind/>
    </w:pPr>
    <w:rPr>
      <w:b/>
      <w:bCs/>
    </w:rPr>
  </w:style>
  <w:style w:type="paragraph" w:styleId="1108" w:customStyle="1">
    <w:name w:val="xl290"/>
    <w:basedOn w:val="101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91"/>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92"/>
    <w:basedOn w:val="1016"/>
    <w:pPr>
      <w:pBdr>
        <w:top w:val="single" w:color="000000" w:sz="4" w:space="0"/>
        <w:left w:val="single" w:color="000000" w:sz="4" w:space="0"/>
        <w:right w:val="single" w:color="000000" w:sz="4" w:space="0"/>
      </w:pBdr>
      <w:spacing w:after="100" w:afterAutospacing="1" w:before="100" w:beforeAutospacing="1"/>
      <w:ind/>
    </w:pPr>
  </w:style>
  <w:style w:type="paragraph" w:styleId="1111" w:customStyle="1">
    <w:name w:val="xl293"/>
    <w:basedOn w:val="1016"/>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94"/>
    <w:basedOn w:val="101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name w:val="Title"/>
    <w:basedOn w:val="1016"/>
    <w:link w:val="1114"/>
    <w:qFormat/>
    <w:pPr>
      <w:pBdr/>
      <w:spacing/>
      <w:ind/>
      <w:jc w:val="center"/>
    </w:pPr>
    <w:rPr>
      <w:b/>
      <w:bCs/>
      <w:sz w:val="32"/>
      <w:szCs w:val="26"/>
    </w:rPr>
  </w:style>
  <w:style w:type="character" w:styleId="1114" w:customStyle="1">
    <w:name w:val="Title Char"/>
    <w:basedOn w:val="1021"/>
    <w:link w:val="1113"/>
    <w:pPr>
      <w:pBdr/>
      <w:spacing/>
      <w:ind/>
    </w:pPr>
    <w:rPr>
      <w:rFonts w:ascii="Times New Roman" w:hAnsi="Times New Roman" w:eastAsia="Times New Roman" w:cs="Times New Roman"/>
      <w:b/>
      <w:bCs/>
      <w:sz w:val="32"/>
      <w:szCs w:val="26"/>
    </w:rPr>
  </w:style>
  <w:style w:type="character" w:styleId="1115" w:customStyle="1">
    <w:name w:val="Unresolved Mention1"/>
    <w:basedOn w:val="1021"/>
    <w:uiPriority w:val="99"/>
    <w:semiHidden/>
    <w:unhideWhenUsed/>
    <w:pPr>
      <w:pBdr/>
      <w:spacing/>
      <w:ind/>
    </w:pPr>
    <w:rPr>
      <w:color w:val="605e5c"/>
      <w:shd w:val="clear" w:color="auto" w:fill="e1dfdd"/>
    </w:rPr>
  </w:style>
  <w:style w:type="character" w:styleId="1116" w:customStyle="1">
    <w:name w:val="Body text (3)_"/>
    <w:link w:val="1117"/>
    <w:pPr>
      <w:pBdr/>
      <w:spacing/>
      <w:ind/>
    </w:pPr>
    <w:rPr>
      <w:rFonts w:ascii="Times New Roman" w:hAnsi="Times New Roman" w:cs="Times New Roman"/>
      <w:i/>
      <w:iCs/>
      <w:spacing w:val="4"/>
      <w:shd w:val="clear" w:color="auto" w:fill="ffffff"/>
    </w:rPr>
  </w:style>
  <w:style w:type="paragraph" w:styleId="1117" w:customStyle="1">
    <w:name w:val="Body text (3)1"/>
    <w:basedOn w:val="1016"/>
    <w:link w:val="111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8" w:customStyle="1">
    <w:name w:val="t-j"/>
    <w:basedOn w:val="1016"/>
    <w:pPr>
      <w:pBdr/>
      <w:spacing w:after="100" w:afterAutospacing="1" w:before="100" w:beforeAutospacing="1"/>
      <w:ind/>
    </w:pPr>
  </w:style>
  <w:style w:type="character" w:styleId="1119" w:customStyle="1">
    <w:name w:val="Unresolved Mention2"/>
    <w:basedOn w:val="1021"/>
    <w:uiPriority w:val="99"/>
    <w:semiHidden/>
    <w:unhideWhenUsed/>
    <w:pPr>
      <w:pBdr/>
      <w:spacing/>
      <w:ind/>
    </w:pPr>
    <w:rPr>
      <w:color w:val="605e5c"/>
      <w:shd w:val="clear" w:color="auto" w:fill="e1dfdd"/>
    </w:rPr>
  </w:style>
  <w:style w:type="character" w:styleId="1120">
    <w:name w:val="FollowedHyperlink"/>
    <w:basedOn w:val="1021"/>
    <w:uiPriority w:val="99"/>
    <w:semiHidden/>
    <w:unhideWhenUsed/>
    <w:pPr>
      <w:pBdr/>
      <w:spacing/>
      <w:ind/>
    </w:pPr>
    <w:rPr>
      <w:color w:val="800080" w:themeColor="followedHyperlink"/>
      <w:u w:val="single"/>
    </w:rPr>
  </w:style>
  <w:style w:type="character" w:styleId="1121" w:customStyle="1">
    <w:name w:val="text"/>
    <w:basedOn w:val="1021"/>
    <w:pPr>
      <w:pBdr/>
      <w:spacing/>
      <w:ind/>
    </w:pPr>
  </w:style>
  <w:style w:type="character" w:styleId="1122" w:customStyle="1">
    <w:name w:val="card-send-time__sendtime"/>
    <w:basedOn w:val="1021"/>
    <w:pPr>
      <w:pBdr/>
      <w:spacing/>
      <w:ind/>
    </w:pPr>
  </w:style>
  <w:style w:type="character" w:styleId="1123" w:customStyle="1">
    <w:name w:val="Đề cập Chưa giải quyết1"/>
    <w:basedOn w:val="1021"/>
    <w:uiPriority w:val="99"/>
    <w:semiHidden/>
    <w:unhideWhenUsed/>
    <w:pPr>
      <w:pBdr/>
      <w:spacing/>
      <w:ind/>
    </w:pPr>
    <w:rPr>
      <w:color w:val="605e5c"/>
      <w:shd w:val="clear" w:color="auto" w:fill="e1dfdd"/>
    </w:rPr>
  </w:style>
  <w:style w:type="paragraph" w:styleId="1124" w:customStyle="1">
    <w:name w:val="nqtitle"/>
    <w:basedOn w:val="1016"/>
    <w:pPr>
      <w:pBdr/>
      <w:spacing w:after="100" w:afterAutospacing="1" w:before="100" w:beforeAutospacing="1"/>
      <w:ind/>
    </w:pPr>
    <w:rPr>
      <w:lang w:val="vi-VN" w:eastAsia="vi-VN"/>
    </w:rPr>
  </w:style>
  <w:style w:type="character" w:styleId="1125" w:customStyle="1">
    <w:name w:val="List Paragraph Char"/>
    <w:link w:val="1038"/>
    <w:uiPriority w:val="34"/>
    <w:qFormat/>
    <w:pPr>
      <w:pBdr/>
      <w:spacing/>
      <w:ind/>
    </w:pPr>
    <w:rPr>
      <w:rFonts w:ascii="Times New Roman" w:hAnsi="Times New Roman" w:eastAsia="Times New Roman" w:cs="Times New Roman"/>
      <w:sz w:val="24"/>
      <w:szCs w:val="24"/>
    </w:rPr>
  </w:style>
  <w:style w:type="character" w:styleId="1126" w:customStyle="1">
    <w:name w:val="Đề cập Chưa giải quyết2"/>
    <w:basedOn w:val="1021"/>
    <w:uiPriority w:val="99"/>
    <w:semiHidden/>
    <w:unhideWhenUsed/>
    <w:pPr>
      <w:pBdr/>
      <w:spacing/>
      <w:ind/>
    </w:pPr>
    <w:rPr>
      <w:color w:val="605e5c"/>
      <w:shd w:val="clear" w:color="auto" w:fill="e1dfdd"/>
    </w:rPr>
  </w:style>
  <w:style w:type="character" w:styleId="1127" w:customStyle="1">
    <w:name w:val="Unresolved Mention3"/>
    <w:basedOn w:val="1021"/>
    <w:uiPriority w:val="99"/>
    <w:semiHidden/>
    <w:unhideWhenUsed/>
    <w:pPr>
      <w:pBdr/>
      <w:spacing/>
      <w:ind/>
    </w:pPr>
    <w:rPr>
      <w:color w:val="605e5c"/>
      <w:shd w:val="clear" w:color="auto" w:fill="e1dfdd"/>
    </w:rPr>
  </w:style>
  <w:style w:type="character" w:styleId="1128" w:customStyle="1">
    <w:name w:val="copy"/>
    <w:basedOn w:val="1021"/>
    <w:pPr>
      <w:pBdr/>
      <w:spacing/>
      <w:ind/>
    </w:pPr>
  </w:style>
  <w:style w:type="paragraph" w:styleId="1129" w:customStyle="1">
    <w:name w:val="align-justify"/>
    <w:basedOn w:val="1016"/>
    <w:pPr>
      <w:pBdr/>
      <w:spacing w:after="100" w:afterAutospacing="1" w:before="100" w:beforeAutospacing="1"/>
      <w:ind/>
    </w:pPr>
  </w:style>
  <w:style w:type="character" w:styleId="1130" w:customStyle="1">
    <w:name w:val="btn"/>
    <w:basedOn w:val="1021"/>
    <w:pPr>
      <w:pBdr/>
      <w:spacing/>
      <w:ind/>
    </w:pPr>
  </w:style>
  <w:style w:type="character" w:styleId="1131" w:customStyle="1">
    <w:name w:val="hide_mobile"/>
    <w:basedOn w:val="1021"/>
    <w:pPr>
      <w:pBdr/>
      <w:spacing/>
      <w:ind/>
    </w:pPr>
  </w:style>
  <w:style w:type="character" w:styleId="1132">
    <w:name w:val="Emphasis"/>
    <w:basedOn w:val="1021"/>
    <w:uiPriority w:val="20"/>
    <w:qFormat/>
    <w:pPr>
      <w:pBdr/>
      <w:spacing/>
      <w:ind/>
    </w:pPr>
    <w:rPr>
      <w:i/>
      <w:iCs/>
    </w:rPr>
  </w:style>
  <w:style w:type="character" w:styleId="1133" w:customStyle="1">
    <w:name w:val="t1"/>
    <w:basedOn w:val="1021"/>
    <w:pPr>
      <w:pBdr/>
      <w:spacing/>
      <w:ind/>
    </w:pPr>
  </w:style>
  <w:style w:type="character" w:styleId="1134" w:customStyle="1">
    <w:name w:val="Unresolved Mention4"/>
    <w:basedOn w:val="1021"/>
    <w:uiPriority w:val="99"/>
    <w:semiHidden/>
    <w:unhideWhenUsed/>
    <w:pPr>
      <w:pBdr/>
      <w:spacing/>
      <w:ind/>
    </w:pPr>
    <w:rPr>
      <w:color w:val="605e5c"/>
      <w:shd w:val="clear" w:color="auto" w:fill="e1dfdd"/>
    </w:rPr>
  </w:style>
  <w:style w:type="character" w:styleId="1135">
    <w:name w:val="Unresolved Mention"/>
    <w:basedOn w:val="102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286</cp:revision>
  <dcterms:created xsi:type="dcterms:W3CDTF">2025-09-15T09:58:00Z</dcterms:created>
  <dcterms:modified xsi:type="dcterms:W3CDTF">2026-05-15T11:57:49Z</dcterms:modified>
</cp:coreProperties>
</file>