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7752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77527"/>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275/2026/0693/VFI-CT.53.A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XÂY DỰNG VÀ PHÁT TRIỂN NAM THĂNG LONG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578, tờ bản đồ số 13 có địa chỉ: Xã Hà Hồi, huyện </w:t>
                            </w:r>
                            <w:r>
                              <w:rPr>
                                <w:color w:val="000000"/>
                              </w:rPr>
                              <w:t xml:space="preserve">Thường Tín</w:t>
                            </w:r>
                            <w:r>
                              <w:rPr>
                                <w:color w:val="000000"/>
                              </w:rPr>
                              <w:t xml:space="preserve">, Thành phố Hà Nội (nay là xã Hồng Vân, Thàn</w:t>
                            </w:r>
                            <w:r>
                              <w:rPr>
                                <w:color w:val="000000"/>
                              </w:rPr>
                              <w:t xml:space="preserve">h phố Hà Nội) theo Giấy chứng nhận quyền sử dụng đất, quyền sở hữu nhà ở và tài sản khác gắn liền với đất  số: DO 779561, số vào sổ cấp GCN: CN 00995 do </w:t>
                            </w:r>
                            <w:r>
                              <w:rPr>
                                <w:color w:val="000000"/>
                              </w:rPr>
                              <w:t xml:space="preserve">Chi nhánh Văn phòng Đăng ký đất đai Hà Nội</w:t>
                            </w:r>
                            <w:r>
                              <w:rPr>
                                <w:color w:val="000000"/>
                              </w:rPr>
                              <w:t xml:space="preserve">- Huyện Thường Tín cấp ngày 23/12/2024; Chủ sử dụng đất là Ông Nguyễn Hùng Việt</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1.7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275/2026/0693/VFI-CT.53.A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XÂY DỰNG VÀ PHÁT TRIỂN NAM THĂNG LONG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578, tờ bản đồ số 13 có địa chỉ: Xã Hà Hồi, huyện </w:t>
                      </w:r>
                      <w:r>
                        <w:rPr>
                          <w:color w:val="000000"/>
                        </w:rPr>
                        <w:t xml:space="preserve">Thường Tín</w:t>
                      </w:r>
                      <w:r>
                        <w:rPr>
                          <w:color w:val="000000"/>
                        </w:rPr>
                        <w:t xml:space="preserve">, Thành phố Hà Nội (nay là xã Hồng Vân, Thàn</w:t>
                      </w:r>
                      <w:r>
                        <w:rPr>
                          <w:color w:val="000000"/>
                        </w:rPr>
                        <w:t xml:space="preserve">h phố Hà Nội) theo Giấy chứng nhận quyền sử dụng đất, quyền sở hữu nhà ở và tài sản khác gắn liền với đất  số: DO 779561, số vào sổ cấp GCN: CN 00995 do </w:t>
                      </w:r>
                      <w:r>
                        <w:rPr>
                          <w:color w:val="000000"/>
                        </w:rPr>
                        <w:t xml:space="preserve">Chi nhánh Văn phòng Đăng ký đất đai Hà Nội</w:t>
                      </w:r>
                      <w:r>
                        <w:rPr>
                          <w:color w:val="000000"/>
                        </w:rPr>
                        <w:t xml:space="preserve">- Huyện Thường Tín cấp ngày 23/12/2024; Chủ sử dụng đất là Ông Nguyễn Hùng Việt</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r>
            <w:r>
              <w:rPr>
                <w:b/>
                <w:bCs/>
              </w:rPr>
              <w:t xml:space="preserve">19</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20-32</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620"/>
        <w:gridCol w:w="968"/>
        <w:gridCol w:w="8220"/>
      </w:tblGrid>
      <w:tr>
        <w:trPr>
          <w:trHeight w:val="1304"/>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252"/>
        </w:trPr>
        <w:tc>
          <w:tcPr>
            <w:gridSpan w:val="2"/>
            <w:shd w:val="clear" w:color="auto" w:fill="auto"/>
            <w:tcBorders/>
            <w:tcMar>
              <w:left w:w="108" w:type="dxa"/>
              <w:top w:w="0" w:type="dxa"/>
              <w:right w:w="108" w:type="dxa"/>
              <w:bottom w:w="0" w:type="dxa"/>
            </w:tcMar>
            <w:tcW w:w="9188"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275/2026/0693/VFI-CT.53.A                                      </w:t>
            </w: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07 tháng 5 năm 2026</w:t>
            </w:r>
            <w:r>
              <w:rPr>
                <w:color w:val="000000" w:themeColor="text1"/>
                <w:sz w:val="24"/>
                <w:szCs w:val="24"/>
              </w:rPr>
            </w:r>
            <w:r>
              <w:rPr>
                <w:color w:val="000000" w:themeColor="text1"/>
                <w:sz w:val="24"/>
                <w:szCs w:val="24"/>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XÂY DỰNG VÀ PHÁT TRIỂN NAM THĂNG LONG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275/2026/0693/VFI-HĐTĐ.53.A</w:t>
      </w:r>
      <w:r>
        <w:rPr>
          <w:spacing w:val="-4"/>
          <w:lang w:val="vi-VN"/>
        </w:rPr>
        <w:t xml:space="preserve"> ký ngày 05 tháng 5 năm 2026</w:t>
      </w:r>
      <w:r>
        <w:rPr>
          <w:spacing w:val="-4"/>
          <w:lang w:val="vi-VN"/>
        </w:rPr>
        <w:t xml:space="preserve"> </w:t>
      </w:r>
      <w:r>
        <w:rPr>
          <w:spacing w:val="-4"/>
          <w:lang w:val="vi-VN"/>
        </w:rPr>
        <w:t xml:space="preserve">giữa </w:t>
      </w:r>
      <w:r>
        <w:rPr>
          <w:color w:val="000000" w:themeColor="text1"/>
          <w:spacing w:val="-4"/>
        </w:rPr>
        <w:t xml:space="preserve">Công ty Cổ phần Xây dựng và Phát triển Nam Thăng Long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275/2026/0693/VFI-BC.53.A</w:t>
      </w:r>
      <w:r>
        <w:rPr>
          <w:spacing w:val="-2"/>
          <w:lang w:val="pt-BR"/>
        </w:rPr>
        <w:t xml:space="preserve"> </w:t>
      </w:r>
      <w:r>
        <w:rPr>
          <w:spacing w:val="-2"/>
          <w:lang w:val="pt-BR"/>
        </w:rPr>
        <w:t xml:space="preserve">ngày 07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jc w:val="both"/>
              <w:rPr>
                <w:b/>
                <w:bCs/>
              </w:rPr>
            </w:pPr>
            <w:r>
              <w:rPr>
                <w:b/>
                <w:bCs/>
              </w:rPr>
            </w:r>
            <w:r>
              <w:rPr>
                <w:b/>
                <w:bCs/>
              </w:rPr>
              <w:t xml:space="preserve">CÔNG TY CỔ PHẦN XÂY DỰNG VÀ PHÁT TRIỂN NAM THĂNG LONG  </w:t>
            </w:r>
            <w:r>
              <w:rPr>
                <w:b/>
                <w:bCs/>
              </w:rPr>
            </w:r>
            <w:r>
              <w:rPr>
                <w:b/>
                <w:bCs/>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0104421524  </w:t>
            </w:r>
            <w:r>
              <w:rPr>
                <w:color w:val="ff0000"/>
                <w:lang w:val="pt-BR"/>
              </w:rPr>
            </w:r>
            <w:r>
              <w:rPr>
                <w:color w:val="ff0000"/>
                <w:lang w:val="pt-BR"/>
              </w:rPr>
            </w:r>
          </w:p>
        </w:tc>
      </w:tr>
      <w:tr>
        <w:trPr>
          <w:trHeight w:val="20"/>
        </w:trPr>
        <w:tc>
          <w:tcPr>
            <w:shd w:val="clear" w:color="ffffff" w:fill="ffffff"/>
            <w:tcBorders/>
            <w:tcW w:w="1109" w:type="pct"/>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3643" w:type="pct"/>
            <w:vAlign w:val="center"/>
            <w:vMerge w:val="restart"/>
            <w:textDirection w:val="lrTb"/>
            <w:noWrap w:val="false"/>
          </w:tcPr>
          <w:p>
            <w:pPr>
              <w:pBdr/>
              <w:spacing w:after="40" w:before="40" w:line="276" w:lineRule="auto"/>
              <w:ind/>
              <w:jc w:val="both"/>
              <w:rPr>
                <w:b/>
                <w:bCs/>
                <w:color w:val="000000" w:themeColor="text1"/>
              </w:rPr>
            </w:pPr>
            <w:r>
              <w:rPr>
                <w:color w:val="000000" w:themeColor="text1"/>
                <w:lang w:val="vi-VN"/>
              </w:rPr>
            </w:r>
            <w:r>
              <w:rPr>
                <w:b/>
                <w:bCs/>
              </w:rPr>
              <w:t xml:space="preserve">Ông Vũ Bá Hải </w:t>
            </w:r>
            <w:r>
              <w:rPr>
                <w:b/>
                <w:bCs/>
                <w:color w:val="000000" w:themeColor="text1"/>
              </w:rPr>
            </w:r>
            <w:r>
              <w:rPr>
                <w:b/>
                <w:bCs/>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
                <w:bCs/>
                <w:color w:val="ff0000"/>
              </w:rPr>
            </w:pPr>
            <w:r>
              <w:rPr>
                <w:color w:val="000000" w:themeColor="text1"/>
                <w:lang w:val="vi-VN"/>
              </w:rPr>
            </w:r>
            <w:r>
              <w:rPr>
                <w:b/>
                <w:bCs/>
              </w:rPr>
              <w:t xml:space="preserve">Giám đốc </w:t>
            </w:r>
            <w:r>
              <w:rPr>
                <w:b/>
                <w:bCs/>
                <w:color w:val="ff0000"/>
              </w:rPr>
            </w:r>
            <w:r>
              <w:rPr>
                <w:b/>
                <w:bCs/>
                <w:color w:val="ff0000"/>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Số 10 đường Nguyễn Vĩnh Tích, Nguyễn Du, Thị trấn Thường Tín, huyện Thường Tín, Thành phố Hà Nội </w:t>
            </w:r>
            <w:r>
              <w:rPr>
                <w:color w:val="000000" w:themeColor="text1"/>
                <w:lang w:val="vi-VN"/>
              </w:rPr>
              <w:t xml:space="preserve">(Nay là xã Thường Tín,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Quyền sử dụng đất tại thửa đất số: 578, tờ bản đồ số 13 có địa chỉ: Xã Hà Hồi, huyện </w:t>
      </w:r>
      <w:r>
        <w:rPr>
          <w:color w:val="000000"/>
        </w:rPr>
        <w:t xml:space="preserve">Thường Tín</w:t>
      </w:r>
      <w:r>
        <w:rPr>
          <w:color w:val="000000"/>
        </w:rPr>
        <w:t xml:space="preserve">, Thành phố Hà Nội (nay là xã Hồng Vân, Thàn</w:t>
      </w:r>
      <w:r>
        <w:rPr>
          <w:color w:val="000000"/>
        </w:rPr>
        <w:t xml:space="preserve">h phố Hà Nội) theo Giấy chứng nhận quyền sử dụng đất, quyền sở hữu nhà ở và tài sản khác gắn liền với đất  số: DO 779561, số vào sổ cấp GCN: CN 00995 do </w:t>
      </w:r>
      <w:r>
        <w:rPr>
          <w:color w:val="000000"/>
        </w:rPr>
        <w:t xml:space="preserve">Chi nhánh Văn phòng Đăng ký đất đai Hà Nội</w:t>
      </w:r>
      <w:r>
        <w:rPr>
          <w:color w:val="000000"/>
        </w:rPr>
        <w:t xml:space="preserve">- Huyện Thường Tín cấp ngày 23/12/2024; Chủ sử dụng đất là Ông Nguyễn Hùng Việt</w:t>
      </w:r>
      <w:r>
        <w:rPr>
          <w:bCs/>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3044"/>
        <w:gridCol w:w="1417"/>
        <w:gridCol w:w="1947"/>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04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1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947"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r>
            <w:r>
              <w:rPr>
                <w:b/>
                <w:bCs/>
                <w:color w:val="000000"/>
              </w:rPr>
              <w:t xml:space="preserve">Quyền sử dụng đất tại thửa đất số: 578, tờ bản đồ số 13 có địa chỉ: Xã Hà Hồi, huyện </w:t>
            </w:r>
            <w:r>
              <w:rPr>
                <w:b/>
                <w:bCs/>
                <w:color w:val="000000"/>
              </w:rPr>
              <w:t xml:space="preserve">Thường Tín</w:t>
            </w:r>
            <w:r>
              <w:rPr>
                <w:b/>
                <w:bCs/>
                <w:color w:val="000000"/>
              </w:rPr>
              <w:t xml:space="preserve">, Thành phố Hà Nội (nay là xã Hồng Vân, Thàn</w:t>
            </w:r>
            <w:r>
              <w:rPr>
                <w:b/>
                <w:bCs/>
                <w:color w:val="000000"/>
              </w:rPr>
              <w:t xml:space="preserve">h phố Hà Nội) theo Giấy chứng nhận quyền sử dụng đất, quyền sở hữu nhà ở và tài sản khác gắn liền với đất  số: DO 779561, số vào sổ cấp GCN: CN 00995 do </w:t>
            </w:r>
            <w:r>
              <w:rPr>
                <w:b/>
                <w:bCs/>
                <w:color w:val="000000"/>
              </w:rPr>
              <w:t xml:space="preserve">Chi nhánh Văn phòng Đăng ký đất đai Hà Nội</w:t>
            </w:r>
            <w:r>
              <w:rPr>
                <w:b/>
                <w:bCs/>
                <w:color w:val="000000"/>
              </w:rPr>
              <w:t xml:space="preserve">- Huyện Thường Tín cấp ngày 23/12/2024; Chủ sử dụng đất là Ông Nguyễn Hùng Việt</w:t>
            </w:r>
            <w:r>
              <w:rPr>
                <w:b/>
                <w:bCs/>
                <w:i/>
                <w:i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3044"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232,0</w:t>
            </w:r>
            <w:r>
              <w:rPr>
                <w:color w:val="000000"/>
              </w:rPr>
            </w:r>
            <w:r>
              <w:rPr>
                <w:color w:val="000000"/>
              </w:rPr>
            </w:r>
          </w:p>
        </w:tc>
        <w:tc>
          <w:tcPr>
            <w:shd w:val="clear" w:color="000000" w:fill="ffffff"/>
            <w:tcBorders/>
            <w:tcW w:w="1947" w:type="dxa"/>
            <w:vAlign w:val="center"/>
            <w:textDirection w:val="lrTb"/>
            <w:noWrap w:val="false"/>
          </w:tcPr>
          <w:p>
            <w:pPr>
              <w:pBdr/>
              <w:spacing w:after="40" w:before="40" w:line="288" w:lineRule="auto"/>
              <w:ind/>
              <w:jc w:val="center"/>
              <w:rPr/>
            </w:pPr>
            <w:r>
              <w:rPr>
                <w:color w:val="000000" w:themeColor="text1"/>
              </w:rPr>
              <w:t xml:space="preserve">45.000.000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10.440.000.000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10.440.000.000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tỷ, bốn trăm bốn mươi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114" w:type="dxa"/>
        <w:tblW w:w="5208" w:type="pct"/>
        <w:tblBorders/>
        <w:tblLayout w:type="fixed"/>
        <w:tblLook w:val="01E0" w:firstRow="1" w:lastRow="1" w:firstColumn="1" w:lastColumn="1" w:noHBand="0" w:noVBand="0"/>
      </w:tblPr>
      <w:tblGrid>
        <w:gridCol w:w="4677"/>
        <w:gridCol w:w="5244"/>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244"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244"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244"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612"/>
        <w:gridCol w:w="1117"/>
        <w:gridCol w:w="8362"/>
      </w:tblGrid>
      <w:tr>
        <w:trPr>
          <w:trHeight w:val="1376"/>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502"/>
        </w:trPr>
        <w:tc>
          <w:tcPr>
            <w:gridSpan w:val="2"/>
            <w:shd w:val="clear" w:color="auto" w:fill="auto"/>
            <w:tcBorders/>
            <w:tcMar>
              <w:left w:w="108" w:type="dxa"/>
              <w:top w:w="0" w:type="dxa"/>
              <w:right w:w="108" w:type="dxa"/>
              <w:bottom w:w="0" w:type="dxa"/>
            </w:tcMar>
            <w:tcW w:w="9480"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275/2026/0693/VFI-CT.53.A                                </w:t>
            </w: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07 tháng 5 năm 2026</w:t>
            </w:r>
            <w:r>
              <w:rPr>
                <w:color w:val="000000" w:themeColor="text1"/>
                <w:sz w:val="24"/>
                <w:szCs w:val="24"/>
              </w:rPr>
            </w:r>
            <w:r>
              <w:rPr>
                <w:color w:val="000000" w:themeColor="text1"/>
                <w:sz w:val="24"/>
                <w:szCs w:val="24"/>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275/2026/0693/VFI-CT.53.A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07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b/>
                <w:bCs/>
              </w:rPr>
            </w:pPr>
            <w:r>
              <w:rPr>
                <w:b/>
                <w:bCs/>
              </w:rPr>
            </w:r>
            <w:r>
              <w:rPr>
                <w:b/>
                <w:bCs/>
              </w:rPr>
              <w:t xml:space="preserve">CÔNG TY CỔ PHẦN XÂY DỰNG VÀ PHÁT TRIỂN NAM THĂNG LONG  </w:t>
            </w:r>
            <w:r>
              <w:rPr>
                <w:b/>
                <w:bCs/>
              </w:rPr>
            </w:r>
            <w:r>
              <w:rPr>
                <w:b/>
                <w:bCs/>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0104421524  </w:t>
            </w:r>
            <w:r>
              <w:rPr>
                <w:color w:val="ff0000"/>
                <w:lang w:val="pt-BR"/>
              </w:rPr>
            </w:r>
            <w:r>
              <w:rPr>
                <w:color w:val="ff0000"/>
                <w:lang w:val="pt-BR"/>
              </w:rPr>
            </w:r>
          </w:p>
        </w:tc>
      </w:tr>
      <w:tr>
        <w:trPr>
          <w:trHeight w:val="20"/>
        </w:trPr>
        <w:tc>
          <w:tcPr>
            <w:tcBorders/>
            <w:tcW w:w="2518"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6945" w:type="dxa"/>
            <w:vAlign w:val="center"/>
            <w:vMerge w:val="restart"/>
            <w:textDirection w:val="lrTb"/>
            <w:noWrap w:val="false"/>
          </w:tcPr>
          <w:p>
            <w:pPr>
              <w:pBdr/>
              <w:spacing w:after="40" w:before="40" w:line="276" w:lineRule="auto"/>
              <w:ind/>
              <w:jc w:val="both"/>
              <w:rPr>
                <w:b/>
                <w:bCs/>
                <w:color w:val="000000" w:themeColor="text1"/>
              </w:rPr>
            </w:pPr>
            <w:r>
              <w:rPr>
                <w:color w:val="000000" w:themeColor="text1"/>
                <w:lang w:val="vi-VN"/>
              </w:rPr>
            </w:r>
            <w:r>
              <w:rPr>
                <w:b/>
                <w:bCs/>
              </w:rPr>
              <w:t xml:space="preserve">Ông Vũ Bá Hải </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b/>
                <w:bCs/>
                <w:color w:val="ff0000"/>
              </w:rPr>
            </w:pPr>
            <w:r>
              <w:rPr>
                <w:color w:val="000000" w:themeColor="text1"/>
                <w:lang w:val="vi-VN"/>
              </w:rPr>
            </w:r>
            <w:r>
              <w:rPr>
                <w:b/>
                <w:bCs/>
              </w:rPr>
              <w:t xml:space="preserve">Giám đốc </w:t>
            </w:r>
            <w:r>
              <w:rPr>
                <w:b/>
                <w:bCs/>
                <w:color w:val="ff0000"/>
              </w:rPr>
            </w:r>
            <w:r>
              <w:rPr>
                <w:b/>
                <w:bCs/>
                <w:color w:val="ff0000"/>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Số 10 đường Nguyễn Vĩnh Tích, Nguyễn Du, Thị trấn Thường Tín, huyện Thường Tín, Thành phố Hà Nội </w:t>
            </w:r>
            <w:r>
              <w:rPr>
                <w:color w:val="000000" w:themeColor="text1"/>
                <w:lang w:val="vi-VN"/>
              </w:rPr>
              <w:t xml:space="preserve">(Nay là xã Thường Tín,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tại thửa đất số: 578, tờ bản đồ số 13 có địa chỉ: Xã Hà Hồi, huyện </w:t>
            </w:r>
            <w:r>
              <w:rPr>
                <w:color w:val="000000"/>
              </w:rPr>
              <w:t xml:space="preserve">Thường Tín</w:t>
            </w:r>
            <w:r>
              <w:rPr>
                <w:color w:val="000000"/>
              </w:rPr>
              <w:t xml:space="preserve">, Thành phố Hà Nội (nay là xã Hồng Vân, Thàn</w:t>
            </w:r>
            <w:r>
              <w:rPr>
                <w:color w:val="000000"/>
              </w:rPr>
              <w:t xml:space="preserve">h phố Hà Nội) theo Giấy chứng nhận quyền sử dụng đất, quyền sở hữu nhà ở và tài sản khác gắn liền với đất  số: DO 779561, số vào sổ cấp GCN: CN 00995 do </w:t>
            </w:r>
            <w:r>
              <w:rPr>
                <w:color w:val="000000"/>
              </w:rPr>
              <w:t xml:space="preserve">Chi nhánh Văn phòng Đăng ký đất đai Hà Nội</w:t>
            </w:r>
            <w:r>
              <w:rPr>
                <w:color w:val="000000"/>
              </w:rPr>
              <w:t xml:space="preserve">- Huyện Thường Tín cấp ngày 23/12/2024; Chủ sử dụng đất là Ông Nguyễn Hùng Việt</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color w:val="000000" w:themeColor="text1"/>
                <w:lang w:val="pt-BR"/>
              </w:rPr>
              <w:t xml:space="preserve">Xã Hồng Vân</w:t>
            </w:r>
            <w:r>
              <w:rPr>
                <w:color w:val="000000" w:themeColor="text1"/>
                <w:lang w:val="pt-BR"/>
              </w:rPr>
              <w:t xml:space="preserve">,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20.864277777778, 105.87044444444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nhà ở và tài sản khác gắn liền với đất  số: DO 779561, số vào sổ cấp GCN: CN 00995 do </w:t>
      </w:r>
      <w:r>
        <w:rPr>
          <w:color w:val="000000"/>
        </w:rPr>
        <w:t xml:space="preserve">Chi nhánh Văn phòng Đăng ký đất đai Hà Nội</w:t>
      </w:r>
      <w:r>
        <w:rPr>
          <w:color w:val="000000"/>
        </w:rPr>
        <w:t xml:space="preserve">- Huyện Thường Tín cấp ngày 23/12/2024; Chủ sử dụng đất là Ông Nguyễn Hùng Việt</w:t>
      </w:r>
      <w:r>
        <w:rPr>
          <w:bCs/>
          <w:i/>
          <w:iCs/>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275/2026/0693/VFI-HĐTĐ.53.A ngày 05 tháng 5 năm 2026 giữa Công ty Cổ phần Xây dựng và Phát triển Nam Thăng Long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lang w:val="pt-BR"/>
        </w:rPr>
        <w:tab/>
      </w:r>
      <w:r>
        <w:rPr>
          <w:rFonts w:ascii="Times New Roman" w:hAnsi="Times New Roman" w:eastAsia="Times New Roman" w:cs="Times New Roman"/>
          <w:color w:val="000000" w:themeColor="text1"/>
          <w:sz w:val="24"/>
          <w:szCs w:val="24"/>
        </w:rPr>
        <w:t xml:space="preserve">Theo phương án sắp xếp, huyện Thường Tín sẽ còn 4 đơn vị hành chính cấp xã, thay vì 27 đơn vị như trước. Cụ thể, các xã mới bao gồm: </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pPr>
        <w:pStyle w:val="1035"/>
        <w:numPr>
          <w:ilvl w:val="0"/>
          <w:numId w:val="43"/>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Xã Thường Tín </w:t>
      </w:r>
      <w:r>
        <w:rPr>
          <w:rFonts w:ascii="Times New Roman" w:hAnsi="Times New Roman" w:eastAsia="Times New Roman" w:cs="Times New Roman"/>
          <w:color w:val="000000" w:themeColor="text1"/>
          <w:sz w:val="24"/>
          <w:szCs w:val="24"/>
        </w:rPr>
        <w:t xml:space="preserve">có diện tích 28,30km2, dân số ước tính khoảng 61.600 người. Địa giới hành chính được sát nhập từ toàn bộ diện tích và dân số của các xã Nhị Khê, Văn Phú, Văn Bình, Hiền Giang, Hòa Bình, Tiền Phong, thị trấn Thường Tín và phần lớn xã Khánh Hà.</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pPr>
        <w:pStyle w:val="1035"/>
        <w:numPr>
          <w:ilvl w:val="0"/>
          <w:numId w:val="43"/>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Xã Thượng Phúc</w:t>
      </w:r>
      <w:r>
        <w:rPr>
          <w:rFonts w:ascii="Times New Roman" w:hAnsi="Times New Roman" w:eastAsia="Times New Roman" w:cs="Times New Roman"/>
          <w:color w:val="000000" w:themeColor="text1"/>
          <w:sz w:val="24"/>
          <w:szCs w:val="24"/>
        </w:rPr>
        <w:t xml:space="preserve"> có diện tích 28,95km2, dân số 63.015 người. Phạm vi địa giới bao gồm các xã Tân Minh, Quất Động, Nghiêm Xuyên, Nguyễn Trãi và Dũng Tiến.</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pPr>
        <w:pStyle w:val="1035"/>
        <w:numPr>
          <w:ilvl w:val="0"/>
          <w:numId w:val="43"/>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Xã Chương Dương</w:t>
      </w:r>
      <w:r>
        <w:rPr>
          <w:rFonts w:ascii="Times New Roman" w:hAnsi="Times New Roman" w:eastAsia="Times New Roman" w:cs="Times New Roman"/>
          <w:color w:val="000000" w:themeColor="text1"/>
          <w:sz w:val="24"/>
          <w:szCs w:val="24"/>
        </w:rPr>
        <w:t xml:space="preserve"> có diện tích tự nhiên khoảng 27,70km2, dân số khoảng 60.294 người. Đơn vị này bao gồm các xã Tự Nhiên, Lê Lợi, Chương Dương, Thắng Lợi và một phần diện tích của các xã Vạn Nhất, Tô Hiệu.</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pPr>
        <w:pStyle w:val="1035"/>
        <w:numPr>
          <w:ilvl w:val="0"/>
          <w:numId w:val="43"/>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Xã Hồng Vân</w:t>
      </w:r>
      <w:r>
        <w:rPr>
          <w:rFonts w:ascii="Times New Roman" w:hAnsi="Times New Roman" w:eastAsia="Times New Roman" w:cs="Times New Roman"/>
          <w:color w:val="000000" w:themeColor="text1"/>
          <w:sz w:val="24"/>
          <w:szCs w:val="24"/>
        </w:rPr>
        <w:t xml:space="preserve"> có diện tích 24,35km2, dân số ước đạt 53.002 người. Địa giới hành chính bao gồm các xã Hà Hồi, Liên Phương, Hồng Vân, Vân Tảo, phần lớn xã Duyên Thái, Ninh Sở và một phần xã Đông Mỹ (huyện Thanh Trì).</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Thị trường bất động sản Thường Tín đang bước vào giai đoạn “thức giấc”. Các chuyên gia đánh giá, từ nay đến năm 2030 khi Thường Tín hoàn thiện tiêu chí lên quận, biên độ tăng giá sẽ còn rộng mở. Lịch sử đã chứng minh điều này qua những lần tăng giá mạnh tạ</w:t>
      </w:r>
      <w:r>
        <w:rPr>
          <w:rFonts w:ascii="Times New Roman" w:hAnsi="Times New Roman" w:eastAsia="Times New Roman" w:cs="Times New Roman"/>
          <w:color w:val="000000" w:themeColor="text1"/>
          <w:sz w:val="24"/>
          <w:szCs w:val="24"/>
        </w:rPr>
        <w:t xml:space="preserve">i Đông Anh, Gia Lâm hay Hoài Đức trước đó.</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Tuy nhiên, nhà đầu tư cũng cần tỉnh táo trước những rủi ro như mua đất trong vùng chưa rõ quy hoạch, hạ tầng chưa triển khai thực tế hoặc các khu đất chưa có pháp lý rõ ràng. Một số khu vực có thể bị "thổi giá" trước khi hạ tầng được triển khai đầy đủ, dẫn</w:t>
      </w:r>
      <w:r>
        <w:rPr>
          <w:rFonts w:ascii="Times New Roman" w:hAnsi="Times New Roman" w:eastAsia="Times New Roman" w:cs="Times New Roman"/>
          <w:color w:val="000000" w:themeColor="text1"/>
          <w:sz w:val="24"/>
          <w:szCs w:val="24"/>
        </w:rPr>
        <w:t xml:space="preserve"> đến nguy cơ chôn vốn nếu nhà đầu tư giao dịch tại đây. </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Việc quy hoạch huyện Thường Tín sau sắp xếp lại đơn vị hành chính sẽ tạo ra “cú hích” mạnh mẽ đến kinh tế - xã hội của địa phương. Thị trường bất động sản khu vực này vì thế đang bứt tốc và hứa hẹn sẽ trở thành “vùng đất vàng” trong tương lai. Đây sẽ là th</w:t>
      </w:r>
      <w:r>
        <w:rPr>
          <w:rFonts w:ascii="Times New Roman" w:hAnsi="Times New Roman" w:eastAsia="Times New Roman" w:cs="Times New Roman"/>
          <w:color w:val="000000" w:themeColor="text1"/>
          <w:sz w:val="24"/>
          <w:szCs w:val="24"/>
        </w:rPr>
        <w:t xml:space="preserve">ời điểm quan trọng để các nhà đầu tư nắm bắt cơ hội và đón đầu làn sóng tăng trưởng dài hạn tại khu vực đầy tiềm năng.</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pPr>
        <w:pBdr/>
        <w:tabs>
          <w:tab w:val="left" w:leader="none" w:pos="426"/>
        </w:tabs>
        <w:spacing w:after="120" w:before="120" w:line="276" w:lineRule="auto"/>
        <w:ind/>
        <w:jc w:val="left"/>
        <w:rPr>
          <w:rFonts w:ascii="Times New Roman" w:hAnsi="Times New Roman" w:cs="Times New Roman"/>
          <w:bCs/>
          <w:i/>
          <w:color w:val="000000" w:themeColor="text1"/>
          <w:sz w:val="24"/>
          <w:szCs w:val="24"/>
          <w:u w:val="single"/>
        </w:rPr>
      </w:pPr>
      <w:r>
        <w:rPr>
          <w:rFonts w:ascii="Times New Roman" w:hAnsi="Times New Roman" w:eastAsia="Times New Roman" w:cs="Times New Roman"/>
          <w:color w:val="000000" w:themeColor="text1"/>
          <w:sz w:val="24"/>
          <w:szCs w:val="24"/>
          <w:u w:val="single"/>
          <w:lang w:val="pt-BR"/>
        </w:rPr>
        <w:t xml:space="preserve">(Nguồn:</w:t>
      </w:r>
      <w:r>
        <w:rPr>
          <w:rFonts w:ascii="Times New Roman" w:hAnsi="Times New Roman" w:eastAsia="Times New Roman" w:cs="Times New Roman"/>
          <w:color w:val="000000" w:themeColor="text1"/>
          <w:sz w:val="24"/>
          <w:szCs w:val="24"/>
          <w:u w:val="single"/>
          <w:lang w:val="pt-BR"/>
        </w:rPr>
        <w:t xml:space="preserve">https://onehousing.vn/blog/quy-hoach-huyen-thuong-tin-ha-noi-sau-khi-sap-xep-lai-don-vi-hanh-chinh-n17t</w:t>
      </w:r>
      <w:r>
        <w:rPr>
          <w:rFonts w:ascii="Times New Roman" w:hAnsi="Times New Roman" w:eastAsia="Times New Roman" w:cs="Times New Roman"/>
          <w:color w:val="000000" w:themeColor="text1"/>
          <w:sz w:val="24"/>
          <w:szCs w:val="24"/>
          <w:u w:val="single"/>
          <w:lang w:val="pt-BR"/>
        </w:rPr>
        <w:t xml:space="preserve">)</w:t>
      </w:r>
      <w:r>
        <w:rPr>
          <w:rFonts w:ascii="Times New Roman" w:hAnsi="Times New Roman" w:eastAsia="Times New Roman" w:cs="Times New Roman"/>
          <w:color w:val="000000" w:themeColor="text1"/>
          <w:sz w:val="24"/>
          <w:szCs w:val="24"/>
          <w:u w:val="single"/>
        </w:rPr>
      </w:r>
      <w:r>
        <w:rPr>
          <w:rFonts w:ascii="Times New Roman" w:hAnsi="Times New Roman" w:cs="Times New Roman"/>
          <w:bCs/>
          <w:i/>
          <w:color w:val="000000" w:themeColor="text1"/>
          <w:sz w:val="24"/>
          <w:szCs w:val="24"/>
          <w:u w:val="single"/>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268"/>
        <w:gridCol w:w="2268"/>
        <w:gridCol w:w="2126"/>
        <w:gridCol w:w="2127"/>
      </w:tblGrid>
      <w:tr>
        <w:trPr>
          <w:trHeight w:val="121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578, tờ bản đồ số 13 có địa chỉ: Xã Hà Hồi, huyện Thường Tin, Thành phố Hà Nội (nay là xã Hồng Vân, Thành phố Hà Nội) theo Giấy chứng nhận quyền sử dụng đất, quyền sở hữu nhà ở và tài sản khác gắn liền với đất  số: DO 779</w:t>
            </w:r>
            <w:r>
              <w:rPr>
                <w:rFonts w:ascii="Times New Roman" w:hAnsi="Times New Roman" w:eastAsia="Times New Roman" w:cs="Times New Roman"/>
                <w:b/>
                <w:color w:val="000000"/>
                <w:sz w:val="24"/>
              </w:rPr>
              <w:t xml:space="preserve">561, số vào sổ cấp GCN: CN 00995 do Chi nhánh Văn phòng Đăng ký đất đai Hà Nội cấp ngày 23/12/2024; Chủ sử dụng đất là Ông Nguyễn Hùng Việt </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578</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w:t>
            </w:r>
            <w:r/>
          </w:p>
        </w:tc>
      </w:tr>
      <w:tr>
        <w:trPr>
          <w:trHeight w:val="219"/>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Xã Hà Hồi, huyện Thường Tin, Thành phố Hà Nội (Nay là xã Hồng Vân, Thành phố Hà Nội)</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232,0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 </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58"/>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bottom w:val="single" w:color="000000" w:sz="8" w:space="0"/>
              <w:right w:val="single" w:color="000000" w:sz="8" w:space="0"/>
            </w:tcBorders>
            <w:tcMar>
              <w:left w:w="108" w:type="dxa"/>
              <w:top w:w="0" w:type="dxa"/>
              <w:right w:w="108" w:type="dxa"/>
              <w:bottom w:w="0" w:type="dxa"/>
            </w:tcMar>
            <w:tcW w:w="22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Nguồn gốc sử dụng</w:t>
            </w:r>
            <w: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3"/>
            <w:tcBorders>
              <w:bottom w:val="single" w:color="000000" w:sz="8" w:space="0"/>
              <w:right w:val="single" w:color="000000" w:sz="8" w:space="0"/>
            </w:tcBorders>
            <w:tcMar>
              <w:left w:w="108" w:type="dxa"/>
              <w:top w:w="0" w:type="dxa"/>
              <w:right w:w="108" w:type="dxa"/>
              <w:bottom w:w="0" w:type="dxa"/>
            </w:tcMar>
            <w:tcW w:w="652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Nhận thừa kế và được tặng cho đất được Công nhận QSDĐ như giao đất có thu tiền sử dụng đất.</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813"/>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szCs w:val="24"/>
              </w:rPr>
              <w:t xml:space="preserve"> Số tờ, số thửa được xác định theo bản đồ dự án tổng thể</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 Giấy chứng nhận này được cấp đổi từ giấy chứng nhận số I 612465 do UBND huyện Thường ín cấp </w:t>
            </w:r>
            <w:r>
              <w:rPr>
                <w:rFonts w:ascii="Times New Roman" w:hAnsi="Times New Roman" w:eastAsia="Times New Roman" w:cs="Times New Roman"/>
                <w:color w:val="000000"/>
                <w:sz w:val="24"/>
                <w:szCs w:val="24"/>
              </w:rPr>
              <w:t xml:space="preserve">ngày 23/12/2024</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 Bản đồ cũ: Thửa đất số: 206. Tờ bản đồ số: 3</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3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w:t>
            </w:r>
            <w:r/>
          </w:p>
        </w:tc>
        <w:tc>
          <w:tcPr>
            <w:tcBorders>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r>
      <w:tr>
        <w:trPr>
          <w:trHeight w:val="1248"/>
        </w:trPr>
        <w:tc>
          <w:tcPr>
            <w:tcBorders>
              <w:left w:val="single" w:color="000000" w:sz="8" w:space="0"/>
              <w:bottom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2,5</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2,83</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tiếp giáp đường nội khu, cách đường Phạm Hồng Thái khoảng 10m</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Bắc : Tiếp giáp đường bê tông </w:t>
            </w:r>
            <w:r>
              <w:rPr>
                <w:rFonts w:ascii="Times New Roman" w:hAnsi="Times New Roman" w:eastAsia="Times New Roman" w:cs="Times New Roman"/>
                <w:color w:val="000000"/>
                <w:sz w:val="24"/>
              </w:rPr>
              <w:t xml:space="preserve">khoảng 2,5m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Các hướng khác: Tiếp giáp các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color w:val="000000"/>
                <w:sz w:val="24"/>
              </w:rPr>
              <w:t xml:space="preserve">20.864578539766374, 105.87038002265388</w:t>
            </w:r>
            <w:r>
              <w:rPr>
                <w:rFonts w:ascii="Times New Roman" w:hAnsi="Times New Roman" w:eastAsia="Times New Roman" w:cs="Times New Roman"/>
                <w:color w:val="000000"/>
                <w:sz w:val="24"/>
              </w:rPr>
            </w:r>
            <w:r/>
          </w:p>
        </w:tc>
      </w:tr>
      <w:tr>
        <w:trPr>
          <w:trHeight w:val="3401"/>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mc:AlternateContent>
                <mc:Choice Requires="wpg">
                  <w:drawing>
                    <wp:inline xmlns:wp="http://schemas.openxmlformats.org/drawingml/2006/wordprocessingDrawing" distT="0" distB="0" distL="0" distR="0">
                      <wp:extent cx="5437010" cy="273834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756994" name=""/>
                              <pic:cNvPicPr>
                                <a:picLocks noChangeAspect="1"/>
                              </pic:cNvPicPr>
                              <pic:nvPr/>
                            </pic:nvPicPr>
                            <pic:blipFill rotWithShape="1">
                              <a:blip r:embed="rId17"/>
                              <a:stretch/>
                            </pic:blipFill>
                            <pic:spPr bwMode="auto">
                              <a:xfrm flipH="0" flipV="0">
                                <a:off x="0" y="0"/>
                                <a:ext cx="5437009" cy="27383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11pt;height:215.62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232,0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2,83</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17,75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Đa giác </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Bắc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color w:val="000000"/>
                <w:sz w:val="24"/>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Tại thời điểm khảo sát dưới sự hướng dẫn của khách hàng, CTXD gắn liền với đất là Nhà 03 tầng, diện tích xây dựng khoảng 150m2/sàn. Được xây dựng và hoàn thiện vào năm 2003, cải tạo lại năm 2023.</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b/>
                <w:color w:val="000000"/>
                <w:sz w:val="24"/>
              </w:rPr>
            </w:pPr>
            <w:r>
              <w:rPr>
                <w:rFonts w:ascii="Times New Roman" w:hAnsi="Times New Roman" w:eastAsia="Times New Roman" w:cs="Times New Roman"/>
                <w:color w:val="000000"/>
                <w:sz w:val="24"/>
              </w:rPr>
              <w:t xml:space="preserve">+ Công trình chưa được chứng nhận trên GCN</w:t>
            </w: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42"/>
        </w:numPr>
        <w:pBdr>
          <w:top w:val="none" w:color="000000" w:sz="4" w:space="0"/>
          <w:left w:val="none" w:color="000000" w:sz="4" w:space="0"/>
          <w:bottom w:val="none" w:color="000000" w:sz="4" w:space="0"/>
          <w:right w:val="none" w:color="000000" w:sz="4" w:space="0"/>
        </w:pBdr>
        <w:shd w:val="clear" w:color="ffffff" w:fill="ffffff"/>
        <w:tabs>
          <w:tab w:val="left" w:leader="none" w:pos="993"/>
        </w:tabs>
        <w:spacing w:after="120" w:before="120" w:line="276" w:lineRule="auto"/>
        <w:ind/>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Tại thời điểm khảo sát dưới sự hướng dẫn của khách hàng, CTXD gắn liền với đất là Nhà 03 tầng, diện tích xây dựng khoảng 150m2/ sàn. Được xây dựng và hoàn thiện vào năm 2003, cải tạo lại năm 2023. Công trình chưa được chứng nhận trên GCN </w:t>
      </w:r>
      <w:r>
        <w:rPr>
          <w:rFonts w:ascii="Times New Roman" w:hAnsi="Times New Roman" w:eastAsia="Times New Roman" w:cs="Times New Roman"/>
          <w:color w:val="000000"/>
          <w:sz w:val="24"/>
        </w:rPr>
        <w:t xml:space="preserve">. Do vậy, theo đề nghị của Ngân </w:t>
      </w:r>
      <w:r>
        <w:rPr>
          <w:rFonts w:ascii="Times New Roman" w:hAnsi="Times New Roman" w:eastAsia="Times New Roman" w:cs="Times New Roman"/>
          <w:color w:val="000000"/>
          <w:sz w:val="24"/>
        </w:rPr>
        <w:t xml:space="preserve">hàng/Khách hàng, tổ thẩm định không xác định giá trị công trình hiện có trên đất, nhưng vẫn coi đó là phần không thể tách rời của tải sản thẩm định. Đề nghị đơn vị sử dụng kết quả lưu ý.</w:t>
      </w:r>
      <w:r>
        <w:rPr>
          <w:spacing w:val="-2"/>
          <w:lang w:val="pt-BR" w:bidi="pt-BR"/>
        </w:rPr>
      </w:r>
      <w:commentRangeStart w:id="0"/>
      <w:r>
        <w:rPr>
          <w:spacing w:val="-2"/>
          <w:lang w:val="pt-BR" w:bidi="pt-BR"/>
        </w:rPr>
      </w:r>
      <w:commentRangeStart w:id="1"/>
      <w:r>
        <w:rPr>
          <w:spacing w:val="-2"/>
          <w:lang w:val="pt-BR" w:bidi="pt-BR"/>
        </w:rPr>
      </w:r>
      <w:commentRangeEnd w:id="1"/>
      <w:r>
        <w:commentReference w:id="1"/>
      </w:r>
      <w:r>
        <w:rPr>
          <w:spacing w:val="-2"/>
          <w:lang w:val="pt-BR"/>
        </w:rPr>
      </w:r>
      <w:commentRangeEnd w:id="0"/>
      <w:r>
        <w:commentReference w:id="0"/>
      </w:r>
      <w:r>
        <w:rPr>
          <w:spacing w:val="-2"/>
          <w:lang w:val="pt-BR"/>
          <w14:ligatures w14:val="none"/>
        </w:rPr>
      </w: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4"/>
        <w:gridCol w:w="1701"/>
        <w:gridCol w:w="1843"/>
        <w:gridCol w:w="1843"/>
        <w:gridCol w:w="1843"/>
        <w:gridCol w:w="1843"/>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5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1701"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044"/>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Hồng Vân, Thành phố Hà Nội</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Hồng Vân, Thành phố Hà Nội</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Hồng Vân, Thành phố Hà Nội</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Hồng Vân, Thành phố Hà Nội</w:t>
            </w:r>
            <w:r/>
          </w:p>
        </w:tc>
      </w:tr>
      <w:tr>
        <w:trPr>
          <w:trHeight w:val="1140"/>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https://www.facebook.com/share/p/1831KFX8mh/</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1044"/>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SDT: 0336538916</w:t>
              <w:br/>
              <w:t xml:space="preserve"> (Sale Nguyễn Duy Huy)</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DT: 0353887883</w:t>
              <w:br/>
              <w:t xml:space="preserve"> (Sale Ket Vu)</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SDT: 0978467268</w:t>
              <w:br/>
              <w:t xml:space="preserve"> (Sale Phạm Nam)</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11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 </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 </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 </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 </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15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nội xóm, cách đường Phạm Hồng Thái khoảng 10m</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nội xóm, cách đường DT427 khoảng 180m</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nội xóm, cách đường QL1 khoảng 100m</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nội xóm, cách đường QL1 khoảng 550m</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 rộng khoảng 2,5m</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 rộng khoảng 2m</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rộng khoảng 7,5m</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 rộng khoảng 3m</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232</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140,02</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58,5</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2,83</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4,7</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5,3</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Nở hậu</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r>
      <w:tr>
        <w:trPr>
          <w:trHeight w:val="588"/>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cụt, đường đâm vào tài sản </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Không có bất lợi </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cụt </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Không có bất lợi </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3.700.000.000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13.440.000.000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5.200.000.000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3.145.000.000</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11.424.000.000</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4.420.000.000</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3.145.000.000</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11.424.000.000</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4.420.000.000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78.625.000</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81.588.345</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75.555.556</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480"/>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4"/>
        <w:gridCol w:w="1894"/>
        <w:gridCol w:w="937"/>
        <w:gridCol w:w="2211"/>
        <w:gridCol w:w="2222"/>
        <w:gridCol w:w="2224"/>
        <w:gridCol w:w="2222"/>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3.145.000.000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11.424.000.000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4.420.000.000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78.625.000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81.588.345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75.555.556</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78.625.000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81.588.345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75.555.556 </w:t>
            </w:r>
            <w:r>
              <w:rPr>
                <w:color w:val="000000" w:themeColor="text1"/>
              </w:rPr>
            </w:r>
            <w:r>
              <w:rPr>
                <w:color w:val="000000" w:themeColor="text1"/>
              </w:rPr>
            </w:r>
          </w:p>
        </w:tc>
      </w:tr>
      <w:tr>
        <w:trPr>
          <w:trHeight w:val="187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nội xóm, cách đường Phạm Hồng Thái khoảng 10m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nội xóm, cách đường DT427 khoảng 180m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nội xóm, cách đường QL1 khoảng 100m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nội xóm, cách đường QL1 khoảng 550m</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-4.079.417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78.625.000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77.508.927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75.555.556 </w:t>
            </w:r>
            <w:r>
              <w:rPr>
                <w:color w:val="000000" w:themeColor="text1"/>
              </w:rPr>
            </w:r>
            <w:r>
              <w:rPr>
                <w:color w:val="000000" w:themeColor="text1"/>
              </w:rPr>
            </w:r>
          </w:p>
        </w:tc>
      </w:tr>
      <w:tr>
        <w:trPr>
          <w:trHeight w:val="8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rộng khoảng 2,5m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rộng khoảng 2m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rộng khoảng 7,5m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rộng khoảng 3m</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-20.397.086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-3.777.778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78.625.000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57.111.841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71.777.778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232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140,02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58,5</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-17.297.500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-4.079.417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-15.111.111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61.327.500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53.032.424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56.666.667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2,83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4,8</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-6.290.000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-6.527.068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-6.044.444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55.037.500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46.505.356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50.622.222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55.037.500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46.505.356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50.622.225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Nở hậu</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-2.358.750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-4.079.417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-2.266.667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52.678.750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42.425.939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48.355.559 </w:t>
            </w:r>
            <w:r>
              <w:rPr>
                <w:color w:val="000000" w:themeColor="text1"/>
              </w:rPr>
            </w:r>
            <w:r>
              <w:rPr>
                <w:color w:val="000000" w:themeColor="text1"/>
              </w:rPr>
            </w:r>
          </w:p>
        </w:tc>
      </w:tr>
      <w:tr>
        <w:trPr>
          <w:trHeight w:val="73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foanh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w:t>
            </w:r>
            <w:r>
              <w:rPr>
                <w:color w:val="000000" w:themeColor="text1"/>
              </w:rPr>
            </w:r>
            <w:r>
              <w:rPr>
                <w:color w:val="000000" w:themeColor="text1"/>
              </w:rPr>
            </w:r>
          </w:p>
        </w:tc>
      </w:tr>
      <w:tr>
        <w:trPr>
          <w:trHeight w:val="49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54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58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52.678.750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42.425.939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48.355.559 </w:t>
            </w:r>
            <w:r>
              <w:rPr>
                <w:color w:val="000000" w:themeColor="text1"/>
              </w:rPr>
            </w:r>
            <w:r>
              <w:rPr>
                <w:color w:val="000000" w:themeColor="text1"/>
              </w:rPr>
            </w:r>
          </w:p>
        </w:tc>
      </w:tr>
      <w:tr>
        <w:trPr>
          <w:trHeight w:val="51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Yếu tố khác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cụt, đường đâm vào tài sản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bất lợi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cụt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bất lợi </w:t>
            </w:r>
            <w:r>
              <w:rPr>
                <w:color w:val="000000" w:themeColor="text1"/>
              </w:rPr>
            </w:r>
            <w:r>
              <w:rPr>
                <w:color w:val="000000" w:themeColor="text1"/>
              </w:rPr>
            </w:r>
          </w:p>
        </w:tc>
      </w:tr>
      <w:tr>
        <w:trPr>
          <w:trHeight w:val="24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-3.931.250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-3.777.778 </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48.747.500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42.425.939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44.577.781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48.747.500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42.425.939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44.577.781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48.747.500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42.425.939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44.577.781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gridSpan w:val="4"/>
            <w:shd w:val="clear" w:color="ffffff" w:fill="ffffff"/>
            <w:tcBorders>
              <w:bottom w:val="single" w:color="000000" w:sz="5" w:space="0"/>
              <w:right w:val="single" w:color="000000" w:sz="5" w:space="0"/>
            </w:tcBorders>
            <w:tcMar>
              <w:left w:w="0" w:type="dxa"/>
              <w:top w:w="0" w:type="dxa"/>
              <w:right w:w="0" w:type="dxa"/>
              <w:bottom w:w="0" w:type="dxa"/>
            </w:tcMar>
            <w:tcW w:w="67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45.250.407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29.877.500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39.162.405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30.977.781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- 22%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- 25%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- 20%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29.877.500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39.162.405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30.977.775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rPr>
          <w:highlight w:val="white"/>
        </w:rPr>
        <w:t xml:space="preserve"> </w:t>
      </w:r>
      <w:r>
        <w:rPr>
          <w:highlight w:val="white"/>
        </w:rPr>
        <w:t xml:space="preserve">-6,2% đến</w:t>
      </w:r>
      <w:r>
        <w:rPr>
          <w:highlight w:val="white"/>
        </w:rPr>
        <w:t xml:space="preserve"> </w:t>
      </w:r>
      <w:r>
        <w:rPr>
          <w:highlight w:val="white"/>
        </w:rPr>
        <w:t xml:space="preserve"> </w:t>
      </w:r>
      <w:r>
        <w:rPr>
          <w:highlight w:val="white"/>
        </w:rPr>
        <w:t xml:space="preserve">7,7%</w:t>
      </w:r>
      <w:r>
        <w:rPr>
          <w:highlight w:val="white"/>
        </w:rPr>
        <w:t xml:space="preserve">, </w:t>
      </w:r>
      <w:r>
        <w:t xml:space="preserve">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48.747.500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16.249.167</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42.425.939</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14.141.980</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44.577.781</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14.859.260</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45.250.407</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45.000.000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45.000.000</w:t>
      </w:r>
      <w:r>
        <w:rPr>
          <w:b/>
          <w:bCs/>
          <w:color w:val="000000" w:themeColor="text1"/>
        </w:rPr>
        <w:t xml:space="preserve"> </w:t>
      </w:r>
      <w:r>
        <w:rPr>
          <w:b/>
          <w:bCs/>
        </w:rPr>
        <w:t xml:space="preserve">đồng/m².</w:t>
      </w:r>
      <w:r>
        <w:rPr>
          <w:b/>
          <w:bCs/>
        </w:rPr>
      </w:r>
      <w:r>
        <w:rPr>
          <w:b/>
          <w:bCs/>
        </w:rPr>
      </w:r>
    </w:p>
    <w:p>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596"/>
        <w:gridCol w:w="1843"/>
        <w:gridCol w:w="216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59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16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578, tờ bản đồ số 13 có địa chỉ: Xã Hà Hồi, huyện Thường Tin, Thành phố Hà Nội (nay là xã Hồng Vân, Thàn</w:t>
            </w:r>
            <w:r>
              <w:rPr>
                <w:b/>
                <w:bCs/>
                <w:color w:val="000000"/>
              </w:rPr>
              <w:t xml:space="preserve">h phố Hà Nội) theo Giấy chứng nhận quyền sử dụng đất, quyền sở hữu nhà ở và tài sản khác gắn liền với đất  số: DO 779561, số vào sổ cấp GCN: CN 00995 do Chi nhánh Văn phòng Đăng ký đất đai Hà Nội cấp ngày 23/12/2024; Chủ sử dụng đất là Ông Nguyễn Hùng Việt</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2596"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232,0</w:t>
            </w:r>
            <w:r>
              <w:rPr>
                <w:color w:val="000000"/>
              </w:rPr>
            </w:r>
            <w:r>
              <w:rPr>
                <w:color w:val="000000"/>
              </w:rPr>
            </w:r>
          </w:p>
        </w:tc>
        <w:tc>
          <w:tcPr>
            <w:shd w:val="clear" w:color="000000" w:fill="ffffff"/>
            <w:tcBorders/>
            <w:tcW w:w="2166" w:type="dxa"/>
            <w:vAlign w:val="center"/>
            <w:textDirection w:val="lrTb"/>
            <w:noWrap w:val="false"/>
          </w:tcPr>
          <w:p>
            <w:pPr>
              <w:pBdr/>
              <w:spacing w:after="40" w:before="40" w:line="288" w:lineRule="auto"/>
              <w:ind/>
              <w:jc w:val="center"/>
              <w:rPr/>
            </w:pPr>
            <w:r>
              <w:rPr>
                <w:color w:val="000000" w:themeColor="text1"/>
              </w:rPr>
              <w:t xml:space="preserve">45.000.000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10.440.000.000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t xml:space="preserve">10.440.000.000</w:t>
            </w:r>
            <w:r>
              <w:rPr>
                <w:b/>
                <w:bCs/>
                <w:color w:val="000000"/>
              </w:rPr>
            </w:r>
            <w:r>
              <w:rPr>
                <w:b/>
                <w:bCs/>
                <w:color w:val="000000"/>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color w:val="000000"/>
              </w:rPr>
              <w:t xml:space="preserve">10.440.000.000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tỷ, bốn trăm bốn mươi triệu đồng chẵn</w:t>
            </w:r>
            <w:r>
              <w:rPr>
                <w:b/>
                <w:bCs/>
                <w:i/>
                <w:iCs/>
                <w:color w:val="000000"/>
              </w:rPr>
              <w:t xml:space="preserve">./.)</w:t>
            </w:r>
            <w:r>
              <w:rPr>
                <w:b/>
                <w:bCs/>
                <w:i/>
                <w:iCs/>
                <w:color w:val="000000"/>
              </w:rPr>
            </w:r>
            <w:r>
              <w:rPr>
                <w:b/>
                <w:bCs/>
                <w:i/>
                <w:iCs/>
                <w:color w:val="000000"/>
              </w:rP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1"/>
        </w:numPr>
        <w:pBdr>
          <w:top w:val="none" w:color="000000" w:sz="4" w:space="0"/>
          <w:left w:val="none" w:color="000000" w:sz="4" w:space="0"/>
          <w:bottom w:val="none" w:color="000000" w:sz="4" w:space="0"/>
          <w:right w:val="none" w:color="000000" w:sz="4" w:space="0"/>
        </w:pBdr>
        <w:shd w:val="clear" w:color="ffffff" w:fill="ffffff"/>
        <w:tabs>
          <w:tab w:val="left" w:leader="none" w:pos="993"/>
        </w:tabs>
        <w:spacing w:after="120" w:before="120" w:line="276" w:lineRule="auto"/>
        <w:ind/>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Tại thời điểm khảo sát dưới sự hướng dẫn của khách hàng, CTXD gắn liền với đất là Nhà 03 tầng, diện tích xây dựng khoảng 150m2/ sàn. Được xây dựng và hoàn thiện vào năm 2003, cải tạo lại năm 2023. Công trình chưa được chứng nhận trên GCN </w:t>
      </w:r>
      <w:r>
        <w:rPr>
          <w:rFonts w:ascii="Times New Roman" w:hAnsi="Times New Roman" w:eastAsia="Times New Roman" w:cs="Times New Roman"/>
          <w:color w:val="000000"/>
          <w:sz w:val="24"/>
        </w:rPr>
        <w:t xml:space="preserve">. Do vậy, theo đề nghị của Ngân </w:t>
      </w:r>
      <w:r>
        <w:rPr>
          <w:rFonts w:ascii="Times New Roman" w:hAnsi="Times New Roman" w:eastAsia="Times New Roman" w:cs="Times New Roman"/>
          <w:color w:val="000000"/>
          <w:sz w:val="24"/>
        </w:rPr>
        <w:t xml:space="preserve">hàng/Khách hàng, tổ thẩm định không xác định giá trị công trình hiện có trên đất, nhưng vẫn coi đó là phần không thể tách rời của tải sản thẩm định. Đề nghị đơn vị sử dụng kết quả lưu ý.</w:t>
      </w:r>
      <w:r>
        <w:rPr>
          <w:rFonts w:ascii="Times New Roman" w:hAnsi="Times New Roman" w:eastAsia="Times New Roman" w:cs="Times New Roman"/>
          <w:sz w:val="24"/>
        </w:rPr>
      </w: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5"/>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lang w:val="pt-BR"/>
        </w:rPr>
      </w:r>
      <w:r>
        <w:rPr>
          <w:highlight w:val="none"/>
          <w:lang w:val="pt-BR"/>
        </w:rPr>
      </w:r>
    </w:p>
    <w:p>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5"/>
        <w:pBdr/>
        <w:tabs>
          <w:tab w:val="left" w:leader="none" w:pos="993"/>
        </w:tabs>
        <w:spacing w:after="120" w:before="120" w:line="288" w:lineRule="auto"/>
        <w:ind w:left="0"/>
        <w:jc w:val="both"/>
        <w:rPr>
          <w:lang w:val="pt-BR"/>
        </w:rPr>
      </w:pPr>
      <w:r>
        <w:rPr>
          <w:highlight w:val="none"/>
          <w:lang w:val="pt-BR" w:bidi="pt-BR"/>
        </w:rPr>
      </w:r>
      <w:r>
        <w:rPr>
          <w:highlight w:val="none"/>
          <w:lang w:val="pt-BR"/>
        </w:rPr>
      </w:r>
      <w:r>
        <w:rPr>
          <w:lang w:val="pt-BR"/>
        </w:rPr>
      </w:r>
    </w:p>
    <w:p>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275/2026/0693/VFI-CT.53.A</w:t>
      </w:r>
      <w:r>
        <w:rPr>
          <w:color w:val="ff0000"/>
          <w:lang w:val="vi-VN"/>
        </w:rPr>
        <w:t xml:space="preserve"> </w:t>
      </w:r>
      <w:r>
        <w:rPr>
          <w:color w:val="000000" w:themeColor="text1"/>
        </w:rPr>
        <w:t xml:space="preserve">ngày 07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r>
      <w:r>
        <w:rPr>
          <w:lang w:val="vi-VN"/>
        </w:rPr>
      </w:r>
    </w:p>
    <w:tbl>
      <w:tblPr>
        <w:tblInd w:w="-255"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275/2026/0693/VFI-BC.53.A</w:t>
      </w:r>
      <w:r>
        <w:rPr>
          <w:i/>
          <w:lang w:val="pt-BR"/>
        </w:rPr>
        <w:t xml:space="preserve">  ngày 07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tabs>
                <w:tab w:val="left" w:leader="none" w:pos="3238"/>
              </w:tabs>
              <w:spacing w:after="120"/>
              <w:ind/>
              <w:jc w:val="center"/>
              <w:rPr>
                <w:b/>
                <w:bCs/>
                <w:i/>
              </w:rPr>
            </w:pPr>
            <w:r>
              <w:rPr>
                <w:b/>
                <w:bCs/>
              </w:rPr>
            </w:r>
            <w:commentRangeStart w:id="2"/>
            <w:r>
              <w:rPr>
                <w:b/>
                <w:bCs/>
              </w:rPr>
              <w:t xml:space="preserve">                  Hướng</w:t>
            </w:r>
            <w:r>
              <w:rPr>
                <w:b/>
                <w:bCs/>
                <w:i/>
                <w:lang w:val="pt-BR"/>
              </w:rPr>
              <w:tab/>
            </w:r>
            <w:r>
              <w:rPr>
                <w:b/>
                <w:bCs/>
                <w:i/>
                <w:lang w:val="pt-BR"/>
              </w:rPr>
            </w:r>
            <w:commentRangeEnd w:id="2"/>
            <w:r>
              <w:commentReference w:id="2"/>
            </w:r>
            <w:r>
              <w:rPr>
                <w:b/>
                <w:bCs/>
                <w:i/>
              </w:rPr>
            </w:r>
            <w:r>
              <w:rPr>
                <w:b/>
                <w:bCs/>
                <w:i/>
              </w:rPr>
            </w:r>
          </w:p>
        </w:tc>
        <w:tc>
          <w:tcPr>
            <w:tcBorders/>
            <w:tcW w:w="4757" w:type="dxa"/>
            <w:vAlign w:val="center"/>
            <w:textDirection w:val="lrTb"/>
            <w:noWrap w:val="false"/>
          </w:tcPr>
          <w:p>
            <w:pPr>
              <w:pBdr/>
              <w:spacing w:after="120"/>
              <w:ind/>
              <w:jc w:val="center"/>
              <w:rPr>
                <w:b/>
                <w:bCs/>
                <w:i/>
                <w:highlight w:val="none"/>
                <w:lang w:val="pt-BR"/>
              </w:rPr>
            </w:pPr>
            <w:r>
              <w:rPr>
                <w:b/>
                <w:bCs/>
                <w:i/>
                <w:lang w:val="pt-BR"/>
              </w:rPr>
              <w:t xml:space="preserve">Tổng quan tài</w:t>
            </w:r>
            <w:r>
              <w:rPr>
                <w:b/>
                <w:bCs/>
                <w:i/>
                <w:lang w:val="pt-BR"/>
              </w:rPr>
              <w:t xml:space="preserve"> sản</w:t>
            </w:r>
            <w:r>
              <w:rPr>
                <w:b/>
                <w:bCs/>
                <w:i/>
                <w:highlight w:val="none"/>
                <w:lang w:val="pt-BR"/>
              </w:rPr>
            </w:r>
            <w:r>
              <w:rPr>
                <w:b/>
                <w:bCs/>
                <w:i/>
                <w:highlight w:val="none"/>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73274" cy="204691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500632" name=""/>
                              <pic:cNvPicPr>
                                <a:picLocks noChangeAspect="1"/>
                              </pic:cNvPicPr>
                              <pic:nvPr/>
                            </pic:nvPicPr>
                            <pic:blipFill rotWithShape="1">
                              <a:blip r:embed="rId18"/>
                              <a:stretch/>
                            </pic:blipFill>
                            <pic:spPr bwMode="auto">
                              <a:xfrm rot="0" flipH="0" flipV="0">
                                <a:off x="0" y="0"/>
                                <a:ext cx="1373274" cy="20469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8.13pt;height:161.17pt;mso-wrap-distance-left:0.00pt;mso-wrap-distance-top:0.00pt;mso-wrap-distance-right:0.00pt;mso-wrap-distance-bottom:0.00pt;rotation:0;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64787" cy="229859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639509" name=""/>
                              <pic:cNvPicPr>
                                <a:picLocks noChangeAspect="1"/>
                              </pic:cNvPicPr>
                              <pic:nvPr/>
                            </pic:nvPicPr>
                            <pic:blipFill rotWithShape="1">
                              <a:blip r:embed="rId19"/>
                              <a:stretch/>
                            </pic:blipFill>
                            <pic:spPr bwMode="auto">
                              <a:xfrm rot="0" flipH="0" flipV="0">
                                <a:off x="0" y="0"/>
                                <a:ext cx="3064786" cy="22985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41.32pt;height:180.99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33670" cy="242525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697746" name=""/>
                              <pic:cNvPicPr>
                                <a:picLocks noChangeAspect="1"/>
                              </pic:cNvPicPr>
                              <pic:nvPr/>
                            </pic:nvPicPr>
                            <pic:blipFill rotWithShape="1">
                              <a:blip r:embed="rId20"/>
                              <a:stretch/>
                            </pic:blipFill>
                            <pic:spPr bwMode="auto">
                              <a:xfrm flipH="0" flipV="0">
                                <a:off x="0" y="0"/>
                                <a:ext cx="3233668" cy="24252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4.62pt;height:190.9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55668" cy="236675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293736" name=""/>
                              <pic:cNvPicPr>
                                <a:picLocks noChangeAspect="1"/>
                              </pic:cNvPicPr>
                              <pic:nvPr/>
                            </pic:nvPicPr>
                            <pic:blipFill rotWithShape="1">
                              <a:blip r:embed="rId21"/>
                              <a:stretch/>
                            </pic:blipFill>
                            <pic:spPr bwMode="auto">
                              <a:xfrm flipH="0" flipV="0">
                                <a:off x="0" y="0"/>
                                <a:ext cx="3155667" cy="23667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48.48pt;height:186.3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327355" cy="249551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874844" name=""/>
                              <pic:cNvPicPr>
                                <a:picLocks noChangeAspect="1"/>
                              </pic:cNvPicPr>
                              <pic:nvPr/>
                            </pic:nvPicPr>
                            <pic:blipFill rotWithShape="1">
                              <a:blip r:embed="rId22"/>
                              <a:stretch/>
                            </pic:blipFill>
                            <pic:spPr bwMode="auto">
                              <a:xfrm flipH="0" flipV="0">
                                <a:off x="0" y="0"/>
                                <a:ext cx="3327354" cy="24955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62.00pt;height:196.5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247212" cy="243540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072071" name=""/>
                              <pic:cNvPicPr>
                                <a:picLocks noChangeAspect="1"/>
                              </pic:cNvPicPr>
                              <pic:nvPr/>
                            </pic:nvPicPr>
                            <pic:blipFill rotWithShape="1">
                              <a:blip r:embed="rId23"/>
                              <a:stretch/>
                            </pic:blipFill>
                            <pic:spPr bwMode="auto">
                              <a:xfrm flipH="0" flipV="0">
                                <a:off x="0" y="0"/>
                                <a:ext cx="3247211" cy="24354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55.69pt;height:191.7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i/>
        </w:rPr>
        <w:t xml:space="preserve">275/2026/0693/VFI-BC.53.A</w:t>
      </w:r>
      <w:r>
        <w:rPr>
          <w:i/>
          <w:lang w:val="pt-BR"/>
        </w:rPr>
        <w:t xml:space="preserve"> ngày 07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https://www.facebook.com/share/p/1831KFX8mh/</w:t>
            </w:r>
            <w:r>
              <w:rPr>
                <w:color w:val="000000" w:themeColor="text1"/>
                <w:sz w:val="22"/>
                <w:szCs w:val="22"/>
              </w:rPr>
              <w:br/>
              <w:t xml:space="preserve">0336538916</w:t>
            </w:r>
            <w:r>
              <w:rPr>
                <w:sz w:val="22"/>
                <w:szCs w:val="22"/>
              </w:rPr>
              <w:t xml:space="preserve"> </w:t>
            </w:r>
            <w:r>
              <w:rPr>
                <w:sz w:val="22"/>
                <w:szCs w:val="22"/>
              </w:rPr>
              <w:br/>
              <w:t xml:space="preserve">(Nguyễn Duy Hưng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3.145.000.000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w:t>
            </w:r>
            <w:r>
              <w:rPr>
                <w:rFonts w:ascii="Times New Roman" w:hAnsi="Times New Roman" w:eastAsia="Times New Roman" w:cs="Times New Roman"/>
                <w:color w:val="000000"/>
                <w:sz w:val="22"/>
              </w:rPr>
              <w:t xml:space="preserve">Tài sản nằm tiếp giáp đường nội xóm, cách đường DT427B khoảng 180m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07474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407474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20.85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93257"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1932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2.7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Trần Thị Thanh Tâm</w:t>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0353887883</w:t>
            </w:r>
            <w:r>
              <w:rPr>
                <w:sz w:val="22"/>
                <w:szCs w:val="22"/>
              </w:rPr>
              <w:t xml:space="preserve"> </w:t>
            </w:r>
            <w:r>
              <w:rPr>
                <w:sz w:val="22"/>
                <w:szCs w:val="22"/>
              </w:rPr>
              <w:br/>
              <w:t xml:space="preserve">(Ket Vu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13.440.000.000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11.424.000.000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(140,02m²)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nằm tiếp giáp đường nội xóm, cách đường QL1 khoảng 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140,02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21349"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12134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24.5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36681"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43668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49.34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694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669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5.51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Trần Thị Thanh Tâm</w:t>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0978467268</w:t>
            </w:r>
            <w:r>
              <w:rPr>
                <w:sz w:val="22"/>
                <w:szCs w:val="22"/>
              </w:rPr>
              <w:t xml:space="preserve"> </w:t>
            </w:r>
            <w:r>
              <w:rPr>
                <w:sz w:val="22"/>
                <w:szCs w:val="22"/>
              </w:rPr>
              <w:br/>
              <w:t xml:space="preserve">(Phạm Nam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commentRangeStart w:id="3"/>
            <w:r/>
            <w:commentRangeEnd w:id="3"/>
            <w:r>
              <w:commentReference w:id="3"/>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(58.5m²)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nằm tiếp giáp đường nội xóm, cách đường QL1 khoảng 550m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4067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354067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78.79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pPr>
            <w:r/>
            <w:r/>
          </w:p>
          <w:p>
            <w:pPr>
              <w:pBdr/>
              <w:spacing/>
              <w:ind/>
              <w:jc w:val="left"/>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highlight w:val="none"/>
              </w:rPr>
            </w:pPr>
            <w:r>
              <w:rPr>
                <w:b/>
                <w:bCs/>
              </w:rPr>
              <w:t xml:space="preserve">Trần Thị Thanh Tâm</w:t>
            </w:r>
            <w:r>
              <w:rPr>
                <w:b/>
                <w:bCs/>
                <w:highlight w:val="none"/>
              </w:rPr>
            </w:r>
            <w:r>
              <w:rPr>
                <w:b/>
                <w:bCs/>
                <w:highlight w:val="none"/>
              </w:rPr>
            </w:r>
          </w:p>
        </w:tc>
      </w:tr>
    </w:tbl>
    <w:p>
      <w:pPr>
        <w:pBdr/>
        <w:spacing w:after="200" w:line="276" w:lineRule="auto"/>
        <w:ind/>
        <w:rPr>
          <w:lang w:val="pt-BR"/>
        </w:rPr>
      </w:pPr>
      <w:r>
        <w:rPr>
          <w:iCs/>
          <w:lang w:val="pt-BR"/>
        </w:rPr>
      </w:r>
      <w:r>
        <w:rPr>
          <w:lang w:val="pt-BR"/>
        </w:rPr>
      </w:r>
      <w:r>
        <w:rPr>
          <w:lang w:val="pt-BR"/>
        </w:rPr>
      </w:r>
    </w:p>
    <w:p>
      <w:pPr>
        <w:pBdr/>
        <w:shd w:val="nil" w:color="auto"/>
        <w:spacing/>
        <w:ind/>
        <w:rPr>
          <w:b/>
          <w:bCs/>
          <w:highlight w:val="none"/>
          <w:lang w:val="pt-BR"/>
        </w:rPr>
      </w:pPr>
      <w:r>
        <w:rPr>
          <w:b/>
          <w:bCs/>
          <w:iCs/>
          <w:highlight w:val="none"/>
          <w:lang w:val="pt-BR"/>
        </w:rPr>
        <w:br w:type="page" w:clear="all"/>
      </w:r>
      <w:r>
        <w:rPr>
          <w:b/>
          <w:bCs/>
          <w:highlight w:val="none"/>
          <w:lang w:val="pt-BR"/>
        </w:rPr>
      </w:r>
      <w:r>
        <w:rPr>
          <w:b/>
          <w:bCs/>
          <w:highlight w:val="none"/>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8243428" cy="557346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581336" name=""/>
                        <pic:cNvPicPr>
                          <a:picLocks noChangeAspect="1"/>
                        </pic:cNvPicPr>
                        <pic:nvPr/>
                      </pic:nvPicPr>
                      <pic:blipFill rotWithShape="1">
                        <a:blip r:embed="rId33"/>
                        <a:stretch/>
                      </pic:blipFill>
                      <pic:spPr bwMode="auto">
                        <a:xfrm rot="16199969" flipH="0" flipV="0">
                          <a:off x="0" y="0"/>
                          <a:ext cx="8243427" cy="55734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649.09pt;height:438.86pt;mso-wrap-distance-left:0.00pt;mso-wrap-distance-top:0.00pt;mso-wrap-distance-right:0.00pt;mso-wrap-distance-bottom:0.00pt;rotation:269;z-index:1;" stroked="false">
                <v:imagedata r:id="rId33"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8676735" cy="6160556"/>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693564" name=""/>
                        <pic:cNvPicPr>
                          <a:picLocks noChangeAspect="1"/>
                        </pic:cNvPicPr>
                        <pic:nvPr/>
                      </pic:nvPicPr>
                      <pic:blipFill rotWithShape="1">
                        <a:blip r:embed="rId34"/>
                        <a:stretch/>
                      </pic:blipFill>
                      <pic:spPr bwMode="auto">
                        <a:xfrm rot="16199969" flipH="0" flipV="0">
                          <a:off x="0" y="0"/>
                          <a:ext cx="8676734" cy="61605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683.21pt;height:485.08pt;mso-wrap-distance-left:0.00pt;mso-wrap-distance-top:0.00pt;mso-wrap-distance-right:0.00pt;mso-wrap-distance-bottom:0.00pt;rotation:269;z-index:1;" stroked="false">
                <v:imagedata r:id="rId34"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8952960" cy="605015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18207" name=""/>
                        <pic:cNvPicPr>
                          <a:picLocks noChangeAspect="1"/>
                        </pic:cNvPicPr>
                        <pic:nvPr/>
                      </pic:nvPicPr>
                      <pic:blipFill rotWithShape="1">
                        <a:blip r:embed="rId35"/>
                        <a:stretch/>
                      </pic:blipFill>
                      <pic:spPr bwMode="auto">
                        <a:xfrm rot="16199969" flipH="0" flipV="0">
                          <a:off x="0" y="0"/>
                          <a:ext cx="8952959" cy="60501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704.96pt;height:476.39pt;mso-wrap-distance-left:0.00pt;mso-wrap-distance-top:0.00pt;mso-wrap-distance-right:0.00pt;mso-wrap-distance-bottom:0.00pt;rotation:269;z-index:1;" stroked="false">
                <v:imagedata r:id="rId35"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8524335" cy="5858933"/>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618307" name=""/>
                        <pic:cNvPicPr>
                          <a:picLocks noChangeAspect="1"/>
                        </pic:cNvPicPr>
                        <pic:nvPr/>
                      </pic:nvPicPr>
                      <pic:blipFill rotWithShape="1">
                        <a:blip r:embed="rId36"/>
                        <a:stretch/>
                      </pic:blipFill>
                      <pic:spPr bwMode="auto">
                        <a:xfrm rot="16199969" flipH="0" flipV="0">
                          <a:off x="0" y="0"/>
                          <a:ext cx="8524334" cy="58589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671.21pt;height:461.33pt;mso-wrap-distance-left:0.00pt;mso-wrap-distance-top:0.00pt;mso-wrap-distance-right:0.00pt;mso-wrap-distance-bottom:0.00pt;rotation:269;z-index:1;" stroked="false">
                <v:imagedata r:id="rId36"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rPr>
      </w:pPr>
      <w:r>
        <w:rPr>
          <w:b/>
          <w:bCs/>
          <w:highlight w:val="none"/>
        </w:rPr>
      </w:r>
      <w:r>
        <w:rPr>
          <w:b/>
          <w:bCs/>
          <w:highlight w:val="none"/>
        </w:rPr>
        <w:t xml:space="preserve">BIÊN BẢN KHẢO SÁT</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443491"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35.00pt;mso-wrap-distance-left:0.00pt;mso-wrap-distance-top:0.00pt;mso-wrap-distance-right:0.00pt;mso-wrap-distance-bottom:0.00pt;z-index:1;" stroked="false">
                <v:imagedata r:id="rId37" o:title=""/>
                <o:lock v:ext="edit" rotation="t"/>
              </v:shape>
            </w:pict>
          </mc:Fallback>
        </mc:AlternateContent>
      </w:r>
      <w:r>
        <w:rPr>
          <w:b/>
          <w:bCs/>
          <w:highlight w:val="none"/>
        </w:rPr>
      </w:r>
      <w:r/>
      <w:r>
        <w:rPr>
          <w:b/>
          <w:bCs/>
          <w:highlight w:val="none"/>
        </w:rPr>
      </w:r>
      <w:r>
        <w:rPr>
          <w:b/>
          <w:bCs/>
          <w:highlight w:val="none"/>
        </w:rPr>
      </w:r>
    </w:p>
    <w:p>
      <w:pPr>
        <w:pBdr/>
        <w:spacing w:after="200" w:line="276" w:lineRule="auto"/>
        <w:ind/>
        <w:jc w:val="center"/>
        <w:rPr>
          <w:b/>
          <w:bCs/>
        </w:rPr>
      </w:pPr>
      <w:r>
        <w:rPr>
          <w:b/>
          <w:bCs/>
          <w:highlight w:val="none"/>
        </w:rPr>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Nguyễn Thị Thùy Dương" w:date="2026-05-08T12:20:40Z" w:initials="NTTD">
    <w:p w14:paraId="00000001" w14:textId="00000001">
      <w:pPr>
        <w:spacing w:line="240" w:after="0" w:lineRule="auto" w:before="0"/>
        <w:ind w:firstLine="0" w:left="0" w:right="0"/>
        <w:jc w:val="left"/>
      </w:pPr>
      <w:r>
        <w:rPr>
          <w:rFonts w:eastAsia="Arial" w:ascii="Arial" w:hAnsi="Arial" w:cs="Arial"/>
          <w:sz w:val="22"/>
        </w:rPr>
        <w:t xml:space="preserve">Tháng 5/2026</w:t>
      </w:r>
    </w:p>
  </w:comment>
  <w:comment w:id="2" w:author="Nguyễn Thị Thùy Dương" w:date="2026-05-08T12:19:25Z" w:initials="NTTD">
    <w:p w14:paraId="00000002" w14:textId="00000002">
      <w:pPr>
        <w:spacing w:line="240" w:after="0" w:lineRule="auto" w:before="0"/>
        <w:ind w:firstLine="0" w:left="0" w:right="0"/>
        <w:jc w:val="left"/>
      </w:pPr>
      <w:r>
        <w:rPr>
          <w:rFonts w:eastAsia="Arial" w:ascii="Arial" w:hAnsi="Arial" w:cs="Arial"/>
          <w:sz w:val="22"/>
        </w:rPr>
        <w:t xml:space="preserve">Ở trên mô tả hướng TB</w:t>
      </w:r>
    </w:p>
  </w:comment>
  <w:comment w:id="1" w:author="Nguyễn Thị Thùy Dương" w:date="2026-05-08T12:14:41Z" w:initials="NTTD">
    <w:p w14:paraId="00000003" w14:textId="00000003">
      <w:pPr>
        <w:spacing w:line="240" w:after="0" w:lineRule="auto" w:before="0"/>
        <w:ind w:firstLine="0" w:left="0" w:right="0"/>
        <w:jc w:val="left"/>
      </w:pPr>
      <w:r>
        <w:rPr>
          <w:rFonts w:eastAsia="Arial" w:ascii="Arial" w:hAnsi="Arial" w:cs="Arial"/>
          <w:sz w:val="22"/>
        </w:rPr>
        <w:t xml:space="preserve">Bổ sung giả thiết đặc biệt k tính gtri CTXD vào tổng giá trị</w:t>
      </w:r>
    </w:p>
  </w:comment>
  <w:comment w:id="0" w:author="Nguyễn Thị Thùy Dương" w:date="2026-05-08T12:15:13Z" w:initials="NTTD">
    <w:p w14:paraId="00000004" w14:textId="00000004">
      <w:pPr>
        <w:spacing w:line="240" w:after="0" w:lineRule="auto" w:before="0"/>
        <w:ind w:firstLine="0" w:left="0" w:right="0"/>
        <w:jc w:val="left"/>
      </w:pPr>
      <w:r>
        <w:rPr>
          <w:rFonts w:eastAsia="Arial" w:ascii="Arial" w:hAnsi="Arial" w:cs="Arial"/>
          <w:sz w:val="22"/>
        </w:rPr>
        <w:t xml:space="preserve">Bổ sung giả thiêt k tính CTXD vào tổng giá trị</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Ex w15:paraId="0000000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D6317FC" w16cex:dateUtc="2026-05-08T05:20:40Z"/>
  <w16cex:commentExtensible w16cex:durableId="165DDE13" w16cex:dateUtc="2026-05-08T05:19:25Z"/>
  <w16cex:commentExtensible w16cex:durableId="2098621D" w16cex:dateUtc="2026-05-08T05:14:41Z"/>
  <w16cex:commentExtensible w16cex:durableId="5634CE76" w16cex:dateUtc="2026-05-08T05:15:13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2D6317FC"/>
  <w16cid:commentId w16cid:paraId="00000002" w16cid:durableId="165DDE13"/>
  <w16cid:commentId w16cid:paraId="00000003" w16cid:durableId="2098621D"/>
  <w16cid:commentId w16cid:paraId="00000004" w16cid:durableId="5634CE7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067B873"/>
    <w:lvl w:ilvl="0">
      <w:isLgl w:val="false"/>
      <w:lvlJc w:val="left"/>
      <w:lvlText w:val="&quot;-&quot;"/>
      <w:numFmt w:val="bullet"/>
      <w:pPr>
        <w:pBdr/>
        <w:spacing/>
        <w:ind w:hanging="360" w:left="360"/>
      </w:pPr>
      <w:rPr>
        <w:rFonts w:hint="default" w:ascii="Symbol" w:hAnsi="Symbol" w:eastAsia="Symbol" w:cs="Symbol"/>
      </w:rPr>
      <w:start w:val="1"/>
      <w:suff w:val="tab"/>
    </w:lvl>
    <w:lvl w:ilvl="1">
      <w:isLgl w:val="false"/>
      <w:lvlJc w:val="left"/>
      <w:lvlText w:val="&quot;o&quot;"/>
      <w:numFmt w:val="bullet"/>
      <w:pPr>
        <w:pBdr/>
        <w:spacing/>
        <w:ind w:hanging="360" w:left="1080"/>
      </w:pPr>
      <w:rPr>
        <w:rFonts w:hint="default" w:ascii="Courier New" w:hAnsi="Courier New" w:eastAsia="Courier New" w:cs="Courier New"/>
      </w:rPr>
      <w:start w:val="1"/>
      <w:suff w:val="tab"/>
    </w:lvl>
    <w:lvl w:ilvl="2">
      <w:isLgl w:val="false"/>
      <w:lvlJc w:val="left"/>
      <w:lvlText w:val="&quot;&quot;"/>
      <w:numFmt w:val="bullet"/>
      <w:pPr>
        <w:pBdr/>
        <w:spacing/>
        <w:ind w:hanging="360" w:left="1800"/>
      </w:pPr>
      <w:rPr>
        <w:rFonts w:hint="default" w:ascii="Wingdings" w:hAnsi="Wingdings" w:eastAsia="Wingdings" w:cs="Wingdings"/>
      </w:rPr>
      <w:start w:val="1"/>
      <w:suff w:val="tab"/>
    </w:lvl>
    <w:lvl w:ilvl="3">
      <w:isLgl w:val="false"/>
      <w:lvlJc w:val="left"/>
      <w:lvlText w:val="&quot;&quot;"/>
      <w:numFmt w:val="bullet"/>
      <w:pPr>
        <w:pBdr/>
        <w:spacing/>
        <w:ind w:hanging="360" w:left="2520"/>
      </w:pPr>
      <w:rPr>
        <w:rFonts w:hint="default" w:ascii="Symbol" w:hAnsi="Symbol" w:eastAsia="Symbol" w:cs="Symbol"/>
      </w:rPr>
      <w:start w:val="1"/>
      <w:suff w:val="tab"/>
    </w:lvl>
    <w:lvl w:ilvl="4">
      <w:isLgl w:val="false"/>
      <w:lvlJc w:val="left"/>
      <w:lvlText w:val="&quot;o&quot;"/>
      <w:numFmt w:val="bullet"/>
      <w:pPr>
        <w:pBdr/>
        <w:spacing/>
        <w:ind w:hanging="360" w:left="3240"/>
      </w:pPr>
      <w:rPr>
        <w:rFonts w:hint="default" w:ascii="Courier New" w:hAnsi="Courier New" w:eastAsia="Courier New" w:cs="Courier New"/>
      </w:rPr>
      <w:start w:val="1"/>
      <w:suff w:val="tab"/>
    </w:lvl>
    <w:lvl w:ilvl="5">
      <w:isLgl w:val="false"/>
      <w:lvlJc w:val="left"/>
      <w:lvlText w:val="&quot;&quot;"/>
      <w:numFmt w:val="bullet"/>
      <w:pPr>
        <w:pBdr/>
        <w:spacing/>
        <w:ind w:hanging="360" w:left="3960"/>
      </w:pPr>
      <w:rPr>
        <w:rFonts w:hint="default" w:ascii="Wingdings" w:hAnsi="Wingdings" w:eastAsia="Wingdings" w:cs="Wingdings"/>
      </w:rPr>
      <w:start w:val="1"/>
      <w:suff w:val="tab"/>
    </w:lvl>
    <w:lvl w:ilvl="6">
      <w:isLgl w:val="false"/>
      <w:lvlJc w:val="left"/>
      <w:lvlText w:val="&quot;&quot;"/>
      <w:numFmt w:val="bullet"/>
      <w:pPr>
        <w:pBdr/>
        <w:spacing/>
        <w:ind w:hanging="360" w:left="4680"/>
      </w:pPr>
      <w:rPr>
        <w:rFonts w:hint="default" w:ascii="Symbol" w:hAnsi="Symbol" w:eastAsia="Symbol" w:cs="Symbol"/>
      </w:rPr>
      <w:start w:val="1"/>
      <w:suff w:val="tab"/>
    </w:lvl>
    <w:lvl w:ilvl="7">
      <w:isLgl w:val="false"/>
      <w:lvlJc w:val="left"/>
      <w:lvlText w:val="&quot;o&quot;"/>
      <w:numFmt w:val="bullet"/>
      <w:pPr>
        <w:pBdr/>
        <w:spacing/>
        <w:ind w:hanging="360" w:left="5400"/>
      </w:pPr>
      <w:rPr>
        <w:rFonts w:hint="default" w:ascii="Courier New" w:hAnsi="Courier New" w:eastAsia="Courier New" w:cs="Courier New"/>
      </w:rPr>
      <w:start w:val="1"/>
      <w:suff w:val="tab"/>
    </w:lvl>
    <w:lvl w:ilvl="8">
      <w:isLgl w:val="false"/>
      <w:lvlJc w:val="left"/>
      <w:lvlText w:val="&quot;&quot;"/>
      <w:numFmt w:val="bullet"/>
      <w:pPr>
        <w:pBdr/>
        <w:spacing/>
        <w:ind w:hanging="360" w:left="6120"/>
      </w:pPr>
      <w:rPr>
        <w:rFonts w:hint="default" w:ascii="Wingdings" w:hAnsi="Wingdings" w:eastAsia="Wingdings" w:cs="Wingdings"/>
      </w:rPr>
      <w:start w:val="1"/>
      <w:suff w:val="tab"/>
    </w:lvl>
  </w:abstractNum>
  <w:abstractNum w:abstractNumId="38">
    <w:nsid w:val="2B5246F9"/>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0763C4B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0763C4B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6E1B21AB"/>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comments" Target="comments.xml" /><Relationship Id="rId39" Type="http://schemas.microsoft.com/office/2011/relationships/commentsExtended" Target="commentsExtended.xml" /><Relationship Id="rId40" Type="http://schemas.microsoft.com/office/2018/08/relationships/commentsExtensible" Target="commentsExtensible.xml" /><Relationship Id="rId41" Type="http://schemas.microsoft.com/office/2016/09/relationships/commentsIds" Target="commentsIds.xml" /><Relationship Id="rId42"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286</cp:revision>
  <dcterms:created xsi:type="dcterms:W3CDTF">2025-09-15T09:58:00Z</dcterms:created>
  <dcterms:modified xsi:type="dcterms:W3CDTF">2026-05-13T08:29:00Z</dcterms:modified>
</cp:coreProperties>
</file>