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275/2026/0659/VFI-CT.24.A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Trịnh Đức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654, tờ bản đồ số 4 có địa chỉ: xã Dị Nậu, huyện Thạch Thất, thành phố Hà Nội</w:t>
                            </w:r>
                            <w:r>
                              <w:rPr>
                                <w:i/>
                                <w:iCs/>
                                <w:color w:val="000000"/>
                              </w:rPr>
                              <w:t xml:space="preserve"> (Nay là </w:t>
                            </w:r>
                            <w:r>
                              <w:rPr>
                                <w:i/>
                                <w:iCs/>
                                <w:color w:val="000000"/>
                              </w:rPr>
                              <w:t xml:space="preserve">Xã Tây Phương, thành phố Hà Nội)</w:t>
                            </w:r>
                            <w:r>
                              <w:rPr>
                                <w:color w:val="000000"/>
                              </w:rPr>
                              <w:t xml:space="preserve"> theo Giấy chứng nhận quyền sử dụng đất quyền sở hữu nhà ở và tài sản khác gắn liền với đất số DD 681193, số vào sổ cấp GCN CS-TTH 23177 do Sở Tài nguyên và Môi trường thành phố Hà Nội cấp ngày 20/10/2021 cho ông Đỗ Thành Long.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275/2026/0659/VFI-CT.24.A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Trịnh Đức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654, tờ bản đồ số 4 có địa chỉ: xã Dị Nậu, huyện Thạch Thất, thành phố Hà Nội</w:t>
                      </w:r>
                      <w:r>
                        <w:rPr>
                          <w:i/>
                          <w:iCs/>
                          <w:color w:val="000000"/>
                        </w:rPr>
                        <w:t xml:space="preserve"> (Nay là </w:t>
                      </w:r>
                      <w:r>
                        <w:rPr>
                          <w:i/>
                          <w:iCs/>
                          <w:color w:val="000000"/>
                        </w:rPr>
                        <w:t xml:space="preserve">Xã Tây Phương, thành phố Hà Nội)</w:t>
                      </w:r>
                      <w:r>
                        <w:rPr>
                          <w:color w:val="000000"/>
                        </w:rPr>
                        <w:t xml:space="preserve"> theo Giấy chứng nhận quyền sử dụng đất quyền sở hữu nhà ở và tài sản khác gắn liền với đất số DD 681193, số vào sổ cấp GCN CS-TTH 23177 do Sở Tài nguyên và Môi trường thành phố Hà Nội cấp ngày 20/10/2021 cho ông Đỗ Thành Long.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23-28</w:t>
            </w:r>
            <w:r>
              <w:rPr>
                <w:b/>
                <w:bCs/>
                <w:highlight w:val="white"/>
              </w:rPr>
            </w:r>
            <w:r>
              <w:rPr>
                <w:b/>
                <w:bCs/>
                <w:highlight w:val="white"/>
              </w:rPr>
            </w:r>
          </w:p>
        </w:tc>
      </w:tr>
    </w:tbl>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4"/>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9808" w:type="dxa"/>
        <w:tblBorders/>
        <w:tblLayout w:type="fixed"/>
        <w:tblLook w:val="04A0" w:firstRow="1" w:lastRow="0" w:firstColumn="1" w:lastColumn="0" w:noHBand="0" w:noVBand="1"/>
      </w:tblPr>
      <w:tblGrid>
        <w:gridCol w:w="29"/>
        <w:gridCol w:w="1559"/>
        <w:gridCol w:w="3402"/>
        <w:gridCol w:w="4819"/>
      </w:tblGrid>
      <w:tr>
        <w:trPr>
          <w:trHeight w:val="1152"/>
        </w:trPr>
        <w:tc>
          <w:tcPr>
            <w:gridSpan w:val="2"/>
            <w:tcBorders/>
            <w:tcW w:w="158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2"/>
            <w:tcBorders/>
            <w:tcW w:w="8220"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1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Before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 </w:t>
            </w:r>
            <w:r>
              <w:rPr>
                <w:rStyle w:val="1023"/>
                <w:rFonts w:ascii="Times New Roman" w:hAnsi="Times New Roman"/>
                <w:color w:val="000000" w:themeColor="text1"/>
                <w:highlight w:val="white"/>
                <w:lang w:val="pt-BR"/>
              </w:rPr>
              <w:t xml:space="preserve">275/2026/0659/VFI-CT.24.A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4819" w:type="dxa"/>
            <w:textDirection w:val="lrTb"/>
            <w:noWrap w:val="false"/>
          </w:tcPr>
          <w:p>
            <w:pPr>
              <w:pStyle w:val="1024"/>
              <w:pBdr/>
              <w:spacing w:after="60"/>
              <w:ind w:right="-56"/>
              <w:jc w:val="right"/>
              <w:rPr>
                <w:color w:val="000000" w:themeColor="text1"/>
                <w:sz w:val="24"/>
                <w:szCs w:val="24"/>
                <w:highlight w:val="white"/>
              </w:rPr>
            </w:pPr>
            <w:r>
              <w:rPr>
                <w:rStyle w:val="1023"/>
                <w:rFonts w:ascii="Times New Roman" w:hAnsi="Times New Roman"/>
                <w:i/>
                <w:color w:val="auto"/>
                <w:highlight w:val="white"/>
              </w:rPr>
              <w:t xml:space="preserve">TP. Hà 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29 tháng 4 năm 2026</w:t>
            </w:r>
            <w:r>
              <w:rPr>
                <w:color w:val="000000" w:themeColor="text1"/>
                <w:sz w:val="24"/>
                <w:szCs w:val="24"/>
                <w:highlight w:val="white"/>
                <w:lang w:val="vi-VN"/>
              </w:rPr>
            </w:r>
            <w:r>
              <w:rPr>
                <w:color w:val="000000" w:themeColor="text1"/>
                <w:sz w:val="24"/>
                <w:szCs w:val="24"/>
                <w:highlight w:val="white"/>
                <w:lang w:val="vi-VN"/>
              </w:rPr>
            </w:r>
          </w:p>
        </w:tc>
      </w:tr>
    </w:tbl>
    <w:p>
      <w:pPr>
        <w:pStyle w:val="1024"/>
        <w:pBdr/>
        <w:spacing w:after="120" w:before="200" w:line="288" w:lineRule="auto"/>
        <w:ind/>
        <w:jc w:val="center"/>
        <w:rPr>
          <w:rStyle w:val="1023"/>
          <w:rFonts w:ascii="Times New Roman" w:hAnsi="Times New Roman"/>
          <w:b/>
          <w:bCs/>
          <w:color w:val="auto"/>
          <w:sz w:val="30"/>
          <w:szCs w:val="30"/>
          <w:highlight w:val="white"/>
        </w:rPr>
      </w:pPr>
      <w:r>
        <w:rPr>
          <w:rStyle w:val="1023"/>
          <w:rFonts w:ascii="Times New Roman" w:hAnsi="Times New Roman"/>
          <w:b/>
          <w:bCs/>
          <w:color w:val="auto"/>
          <w:sz w:val="30"/>
          <w:szCs w:val="30"/>
          <w:highlight w:val="white"/>
          <w:lang w:val="vi-VN"/>
        </w:rPr>
        <w:t xml:space="preserve">CHỨNG THƯ THẨM ĐỊNH GIÁ</w:t>
      </w:r>
      <w:r>
        <w:rPr>
          <w:rStyle w:val="1023"/>
          <w:rFonts w:ascii="Times New Roman" w:hAnsi="Times New Roman"/>
          <w:b/>
          <w:bCs/>
          <w:color w:val="auto"/>
          <w:sz w:val="30"/>
          <w:szCs w:val="30"/>
          <w:highlight w:val="white"/>
          <w:lang w:val="vi-VN"/>
        </w:rPr>
      </w:r>
      <w:r>
        <w:rPr>
          <w:rStyle w:val="1023"/>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Trịnh Đức Anh</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275/2026/0659/VFI-HĐTĐ.24.A</w:t>
      </w:r>
      <w:r>
        <w:rPr>
          <w:spacing w:val="-4"/>
          <w:highlight w:val="white"/>
          <w:lang w:val="vi-VN"/>
        </w:rPr>
        <w:t xml:space="preserve"> ký ngày </w:t>
      </w:r>
      <w:r>
        <w:rPr>
          <w:color w:val="000000" w:themeColor="text1"/>
          <w:spacing w:val="-4"/>
          <w:highlight w:val="white"/>
        </w:rPr>
        <w:t xml:space="preserve">29 tháng 4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Trịnh Đức Anh</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275/2026/0659/VFI-BC.24.A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29 tháng 4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ind/>
              <w:rPr>
                <w:highlight w:val="white"/>
              </w:rPr>
            </w:pPr>
            <w:r>
              <w:rPr>
                <w:b/>
                <w:bCs/>
                <w:highlight w:val="white"/>
              </w:rPr>
            </w:r>
            <w:r>
              <w:rPr>
                <w:b/>
                <w:bCs/>
                <w:highlight w:val="white"/>
              </w:rPr>
              <w:t xml:space="preserve">Ông Trịnh Đức Anh</w:t>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r>
            <w:r>
              <w:rPr>
                <w:color w:val="000000" w:themeColor="text1"/>
                <w:highlight w:val="white"/>
                <w:lang w:val="vi-VN"/>
              </w:rPr>
              <w:t xml:space="preserve">024095002414</w:t>
            </w:r>
            <w:r>
              <w:rPr>
                <w:color w:val="ff0000"/>
                <w:highlight w:val="white"/>
                <w:lang w:val="pt-BR"/>
              </w:rPr>
            </w:r>
            <w:r>
              <w:rPr>
                <w:color w:val="ff0000"/>
                <w:highlight w:val="white"/>
                <w:lang w:val="pt-BR"/>
              </w:rPr>
            </w:r>
          </w:p>
        </w:tc>
      </w:tr>
      <w:tr>
        <w:trPr>
          <w:trHeight w:val="111"/>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r>
            <w:r>
              <w:rPr>
                <w:rFonts w:ascii="Times New Roman" w:hAnsi="Times New Roman" w:eastAsia="Times New Roman" w:cs="Times New Roman"/>
                <w:color w:val="000000"/>
                <w:sz w:val="24"/>
                <w:highlight w:val="white"/>
              </w:rPr>
              <w:t xml:space="preserve">B3 Hoàng Cầu, Ô Chợ Dừa, Đống Đa, Hà Nội</w:t>
            </w:r>
            <w:r>
              <w:rPr>
                <w:color w:val="000000" w:themeColor="text1"/>
                <w:highlight w:val="white"/>
                <w:lang w:val="vi-VN"/>
              </w:rPr>
              <w:t xml:space="preserve"> (Nay là phường Ô Chợ Dừa, thành phố Hà Nội)</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bCs/>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rPr>
            </w:r>
            <w:r>
              <w:rPr>
                <w:b/>
                <w:bCs/>
                <w:highlight w:val="white"/>
              </w:rPr>
            </w:r>
          </w:p>
          <w:p>
            <w:pPr>
              <w:pBdr/>
              <w:spacing w:after="40" w:before="40" w:line="276" w:lineRule="auto"/>
              <w:ind/>
              <w:rPr>
                <w:b/>
                <w:bCs/>
                <w:highlight w:val="white"/>
              </w:rPr>
            </w:pP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654, tờ bản đồ số 4 có địa chỉ: xã Dị Nậu, huyện Thạch Thất, thành phố Hà Nội (</w:t>
      </w:r>
      <w:r>
        <w:rPr>
          <w:i/>
          <w:iCs/>
          <w:color w:val="000000" w:themeColor="text1"/>
          <w:highlight w:val="white"/>
        </w:rPr>
        <w:t xml:space="preserve">Nay là </w:t>
      </w:r>
      <w:r>
        <w:rPr>
          <w:i/>
          <w:iCs/>
          <w:color w:val="000000" w:themeColor="text1"/>
          <w:highlight w:val="white"/>
        </w:rPr>
        <w:t xml:space="preserve">Xã Tây Phương, thành phố Hà Nội) </w:t>
      </w:r>
      <w:r>
        <w:rPr>
          <w:color w:val="000000" w:themeColor="text1"/>
          <w:highlight w:val="white"/>
        </w:rPr>
        <w:t xml:space="preserve">theo Giấy chứng nhận quyền sử dụng đất quyền sở hữu nhà ở và tài sản khác gắn liền với đất số DD 681193, số vào sổ cấp GCN CS-TTH 23177 do Sở Tài nguyên và Môi trường thành phố Hà Nội cấp ngày 20/10/2021 cho ông Đỗ Thành Long.</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04/2026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 w:val="0"/>
          <w:bCs w:val="0"/>
          <w:highlight w:val="white"/>
          <w:lang w:val="vi-VN"/>
        </w:rPr>
        <w:t xml:space="preserve">Làm căn cứ theo hợp đồng ba bên xác định giá trị tài sản phục vụ công tác vay vốn, thế chấp ngân hàng theo quy định hiện hành của pháp luật</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312" w:lineRule="auto"/>
        <w:ind/>
        <w:jc w:val="both"/>
        <w:rPr>
          <w:bCs/>
          <w:i/>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Cs/>
          <w:i/>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i/>
          <w:iCs/>
          <w:highlight w:val="white"/>
          <w:lang w:val="pt-BR" w:bidi="pt-BR"/>
        </w:rPr>
      </w:r>
      <w:r>
        <w:rPr>
          <w:bCs/>
          <w:i/>
          <w:highlight w:val="white"/>
          <w:lang w:val="pt-BR"/>
        </w:rPr>
        <w:t xml:space="preserve">Chi tiết như Báo cáo kèm theo</w:t>
      </w:r>
      <w:r>
        <w:rPr>
          <w:b/>
          <w:bCs/>
          <w:highlight w:val="white"/>
          <w:lang w:val="pt-BR"/>
        </w:rPr>
      </w:r>
      <w:r>
        <w:rPr>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04/2026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highlight w:val="white"/>
              </w:rPr>
            </w:pPr>
            <w:r>
              <w:rPr>
                <w:b/>
                <w:bCs/>
                <w:color w:val="000000"/>
                <w:highlight w:val="white"/>
              </w:rPr>
              <w:t xml:space="preserve">Quyền sử dụng đất tại thửa đất số 654, tờ bản đồ số 4 có địa chỉ: xã Dị Nậu, huyện Thạch Thất, thành phố Hà Nội </w:t>
            </w:r>
            <w:r>
              <w:rPr>
                <w:b/>
                <w:bCs/>
                <w:i/>
                <w:iCs/>
                <w:color w:val="000000"/>
                <w:highlight w:val="white"/>
              </w:rPr>
              <w:t xml:space="preserve">(Nay là </w:t>
            </w:r>
            <w:r>
              <w:rPr>
                <w:b/>
                <w:bCs/>
                <w:i/>
                <w:iCs/>
                <w:color w:val="000000"/>
                <w:highlight w:val="white"/>
              </w:rPr>
              <w:t xml:space="preserve">Xã Tây Phương, thành phố Hà Nội) </w:t>
            </w:r>
            <w:r>
              <w:rPr>
                <w:b/>
                <w:bCs/>
                <w:color w:val="000000"/>
                <w:highlight w:val="white"/>
              </w:rPr>
              <w:t xml:space="preserve">theo Giấy chứng nhận quyền sử dụng đất quyền sở hữu nhà ở và tài sản khác gắn liền với đất số DD 681193, số vào sổ cấp GCN CS-TTH 23177 do Sở Tài nguyên và Môi trường thành phố Hà Nội cấp ngày 20/10/2021 cho ông Đỗ Thành Long.</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r>
              <w:rPr>
                <w:b w:val="0"/>
                <w:bCs w:val="0"/>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80</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52.000.000</w:t>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4.160.000.000</w:t>
            </w:r>
            <w:r>
              <w:rPr>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36" w:type="pct"/>
            <w:vAlign w:val="center"/>
            <w:textDirection w:val="lrTb"/>
            <w:noWrap/>
          </w:tcPr>
          <w:p>
            <w:pPr>
              <w:pBdr/>
              <w:spacing w:after="40" w:before="40" w:line="288" w:lineRule="auto"/>
              <w:ind/>
              <w:jc w:val="center"/>
              <w:rPr>
                <w:b/>
                <w:bCs/>
                <w:color w:val="000000"/>
                <w:highlight w:val="white"/>
              </w:rPr>
            </w:pPr>
            <w:r>
              <w:rPr>
                <w:b/>
                <w:bCs/>
                <w:highlight w:val="white"/>
              </w:rPr>
              <w:t xml:space="preserve">4.160.000.000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một trăm sáu mươi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9950" w:type="dxa"/>
        <w:tblBorders/>
        <w:tblLayout w:type="fixed"/>
        <w:tblLook w:val="04A0" w:firstRow="1" w:lastRow="0" w:firstColumn="1" w:lastColumn="0" w:noHBand="0" w:noVBand="1"/>
      </w:tblPr>
      <w:tblGrid>
        <w:gridCol w:w="29"/>
        <w:gridCol w:w="827"/>
        <w:gridCol w:w="874"/>
        <w:gridCol w:w="2126"/>
        <w:gridCol w:w="6094"/>
      </w:tblGrid>
      <w:tr>
        <w:trPr>
          <w:trHeight w:val="1843"/>
        </w:trPr>
        <w:tc>
          <w:tcPr>
            <w:gridSpan w:val="3"/>
            <w:tcBorders/>
            <w:tcW w:w="1729"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2"/>
            <w:tcBorders/>
            <w:tcW w:w="8220"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1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Before w:val="1"/>
          <w:trHeight w:val="84"/>
        </w:trPr>
        <w:tc>
          <w:tcPr>
            <w:gridSpan w:val="3"/>
            <w:shd w:val="clear" w:color="auto" w:fill="auto"/>
            <w:tcBorders/>
            <w:tcMar>
              <w:left w:w="108" w:type="dxa"/>
              <w:top w:w="0" w:type="dxa"/>
              <w:right w:w="108" w:type="dxa"/>
              <w:bottom w:w="0" w:type="dxa"/>
            </w:tcMar>
            <w:tcW w:w="3827"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 </w:t>
            </w:r>
            <w:r>
              <w:rPr>
                <w:rStyle w:val="1023"/>
                <w:rFonts w:ascii="Times New Roman" w:hAnsi="Times New Roman"/>
                <w:color w:val="000000" w:themeColor="text1"/>
                <w:highlight w:val="white"/>
                <w:lang w:val="pt-BR"/>
              </w:rPr>
              <w:t xml:space="preserve">275/2026/0659/VFI-</w:t>
            </w:r>
            <w:r>
              <w:rPr>
                <w:rStyle w:val="1023"/>
                <w:rFonts w:ascii="Times New Roman" w:hAnsi="Times New Roman"/>
                <w:color w:val="000000" w:themeColor="text1"/>
                <w:highlight w:val="white"/>
                <w:lang w:val="pt-BR"/>
              </w:rPr>
            </w:r>
            <w:commentRangeStart w:id="0"/>
            <w:r>
              <w:rPr>
                <w:rStyle w:val="1023"/>
                <w:rFonts w:ascii="Times New Roman" w:hAnsi="Times New Roman"/>
                <w:color w:val="000000" w:themeColor="text1"/>
                <w:highlight w:val="white"/>
                <w:lang w:val="pt-BR"/>
              </w:rPr>
              <w:t xml:space="preserve">BC</w:t>
            </w:r>
            <w:r>
              <w:rPr>
                <w:rStyle w:val="1023"/>
                <w:rFonts w:ascii="Times New Roman" w:hAnsi="Times New Roman"/>
                <w:color w:val="000000" w:themeColor="text1"/>
                <w:highlight w:val="white"/>
                <w:lang w:val="pt-BR"/>
              </w:rPr>
              <w:t xml:space="preserve">.</w:t>
            </w:r>
            <w:commentRangeEnd w:id="0"/>
            <w:r>
              <w:commentReference w:id="0"/>
            </w:r>
            <w:r>
              <w:rPr>
                <w:rStyle w:val="1023"/>
                <w:rFonts w:ascii="Times New Roman" w:hAnsi="Times New Roman"/>
                <w:color w:val="000000" w:themeColor="text1"/>
                <w:highlight w:val="white"/>
                <w:lang w:val="pt-BR"/>
              </w:rPr>
              <w:t xml:space="preserve">24.A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6094" w:type="dxa"/>
            <w:textDirection w:val="lrTb"/>
            <w:noWrap w:val="false"/>
          </w:tcPr>
          <w:p>
            <w:pPr>
              <w:pStyle w:val="1024"/>
              <w:pBdr/>
              <w:spacing w:after="60"/>
              <w:ind w:right="-56"/>
              <w:jc w:val="right"/>
              <w:rPr>
                <w:color w:val="000000" w:themeColor="text1"/>
                <w:sz w:val="24"/>
                <w:szCs w:val="24"/>
                <w:highlight w:val="white"/>
              </w:rPr>
            </w:pPr>
            <w:r>
              <w:rPr>
                <w:rStyle w:val="1023"/>
                <w:rFonts w:ascii="Times New Roman" w:hAnsi="Times New Roman"/>
                <w:i/>
                <w:color w:val="auto"/>
                <w:highlight w:val="white"/>
              </w:rPr>
              <w:t xml:space="preserve">TP. Hà 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29 tháng 4 năm 2026</w:t>
            </w:r>
            <w:r>
              <w:rPr>
                <w:color w:val="000000" w:themeColor="text1"/>
                <w:sz w:val="24"/>
                <w:szCs w:val="24"/>
                <w:highlight w:val="white"/>
                <w:lang w:val="vi-VN"/>
              </w:rPr>
            </w:r>
            <w:r>
              <w:rPr>
                <w:color w:val="000000" w:themeColor="text1"/>
                <w:sz w:val="24"/>
                <w:szCs w:val="24"/>
                <w:highlight w:val="white"/>
                <w:lang w:val="vi-VN"/>
              </w:rPr>
            </w:r>
          </w:p>
        </w:tc>
      </w:tr>
    </w:tbl>
    <w:p>
      <w:pPr>
        <w:pStyle w:val="1024"/>
        <w:pBdr/>
        <w:tabs>
          <w:tab w:val="left" w:leader="none" w:pos="5103"/>
        </w:tabs>
        <w:spacing w:before="200" w:line="340" w:lineRule="atLeast"/>
        <w:ind/>
        <w:jc w:val="center"/>
        <w:rPr>
          <w:bCs/>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04"/>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275/2026/0659/VFI-CT.24.A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29 tháng 4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04"/>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bCs/>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r>
            <w:r>
              <w:rPr>
                <w:b/>
                <w:bCs/>
                <w:highlight w:val="white"/>
                <w:lang w:val="vi-VN"/>
              </w:rPr>
            </w:r>
            <w:r>
              <w:rPr>
                <w:b/>
                <w:bCs/>
                <w:highlight w:val="white"/>
                <w:lang w:val="vi-VN"/>
              </w:rPr>
            </w:r>
          </w:p>
          <w:p>
            <w:pPr>
              <w:pBdr/>
              <w:spacing w:after="60" w:before="60" w:line="276" w:lineRule="auto"/>
              <w:ind/>
              <w:rPr>
                <w:b/>
                <w:bCs/>
                <w:highlight w:val="white"/>
              </w:rPr>
            </w:pP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25"/>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ind/>
              <w:rPr>
                <w:highlight w:val="white"/>
              </w:rPr>
            </w:pPr>
            <w:r>
              <w:rPr>
                <w:b/>
                <w:bCs/>
                <w:highlight w:val="white"/>
              </w:rPr>
            </w:r>
            <w:r>
              <w:rPr>
                <w:b/>
                <w:bCs/>
                <w:highlight w:val="white"/>
              </w:rPr>
              <w:t xml:space="preserve">Ông Trịnh Đức Anh</w:t>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r>
            <w:r>
              <w:rPr>
                <w:color w:val="000000" w:themeColor="text1"/>
                <w:highlight w:val="white"/>
                <w:lang w:val="vi-VN"/>
              </w:rPr>
              <w:t xml:space="preserve">024095002414</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r>
            <w:r>
              <w:rPr>
                <w:rFonts w:ascii="Times New Roman" w:hAnsi="Times New Roman" w:eastAsia="Times New Roman" w:cs="Times New Roman"/>
                <w:color w:val="000000"/>
                <w:sz w:val="24"/>
                <w:highlight w:val="white"/>
              </w:rPr>
              <w:t xml:space="preserve">B3 Hoàng Cầu, Ô Chợ Dừa, Đống Đa, Hà Nội</w:t>
            </w:r>
            <w:r>
              <w:rPr>
                <w:color w:val="000000" w:themeColor="text1"/>
                <w:highlight w:val="white"/>
                <w:lang w:val="vi-VN"/>
              </w:rPr>
              <w:t xml:space="preserve"> (Nay là phường Ô Chợ Dừa, thành phố Hà Nội)</w:t>
            </w:r>
            <w:r>
              <w:rPr>
                <w:color w:val="ff0000"/>
                <w:highlight w:val="white"/>
                <w:lang w:val="pt-BR"/>
              </w:rPr>
            </w:r>
            <w:r>
              <w:rPr>
                <w:color w:val="ff0000"/>
                <w:highlight w:val="white"/>
                <w:lang w:val="pt-BR"/>
              </w:rPr>
            </w:r>
          </w:p>
        </w:tc>
      </w:tr>
      <w:tr>
        <w:trPr>
          <w:trHeight w:val="378"/>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Số hợp đồng</w:t>
            </w:r>
            <w:r>
              <w:rPr>
                <w:bCs/>
                <w:highlight w:val="white"/>
                <w:lang w:val="pt-BR"/>
              </w:rPr>
            </w:r>
            <w:r>
              <w:rPr>
                <w:bCs/>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rPr>
                <w:b/>
                <w:bCs/>
                <w:highlight w:val="white"/>
              </w:rPr>
            </w:pPr>
            <w:r>
              <w:rPr>
                <w:color w:val="000000" w:themeColor="text1"/>
                <w:highlight w:val="white"/>
                <w:lang w:val="vi-VN"/>
              </w:rPr>
            </w:r>
            <w:r>
              <w:rPr>
                <w:rStyle w:val="1023"/>
                <w:rFonts w:ascii="Times New Roman" w:hAnsi="Times New Roman"/>
                <w:color w:val="000000" w:themeColor="text1"/>
                <w:highlight w:val="white"/>
                <w:lang w:val="pt-BR"/>
              </w:rPr>
              <w:t xml:space="preserve">275/2026/0659/VFI-CT.24.A</w:t>
            </w:r>
            <w:r>
              <w:rPr>
                <w:b/>
                <w:bCs/>
                <w:highlight w:val="white"/>
              </w:rPr>
            </w:r>
            <w:r>
              <w:rPr>
                <w:b/>
                <w:bCs/>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654, tờ bản đồ số 4 có địa chỉ: xã Dị Nậu, huyện Thạch Thất, thành phố Hà Nội (Nay là </w:t>
            </w:r>
            <w:r>
              <w:rPr>
                <w:bCs/>
                <w:color w:val="000000" w:themeColor="text1"/>
                <w:highlight w:val="white"/>
                <w:lang w:val="pt-BR"/>
              </w:rPr>
              <w:t xml:space="preserve">Xã </w:t>
            </w:r>
            <w:r>
              <w:rPr>
                <w:bCs/>
                <w:color w:val="000000" w:themeColor="text1"/>
                <w:highlight w:val="white"/>
                <w:lang w:val="pt-BR"/>
              </w:rPr>
              <w:t xml:space="preserve">Tây Phương, thành phố Hà Nội)  theo Giấy chứng nhận quyền sử dụng đất quyền sở hữu nhà ở và tài sản khác gắn liền với đất số DD 681193, số vào sổ cấp GCN CS-TTH 23177 do Sở Tài nguyên và Môi trường thành phố Hà Nội cấp ngày 20/10/2021 cho ông Đỗ Thành Long.</w:t>
            </w:r>
            <w:r>
              <w:rPr>
                <w:bCs/>
                <w:spacing w:val="2"/>
                <w:highlight w:val="white"/>
              </w:rPr>
              <w:t xml:space="preserve">.</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rPr>
            </w:r>
            <w:r>
              <w:rPr>
                <w:b w:val="0"/>
                <w:bCs w:val="0"/>
                <w:highlight w:val="white"/>
                <w:lang w:val="vi-VN"/>
              </w:rPr>
              <w:t xml:space="preserve">Làm căn cứ theo hợp đồng ba bên xác định giá trị tài sản phục vụ công tác vay vốn, thế chấp ngân hàng theo quy định hiện hành của pháp luật</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04/2026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r>
            <w:r>
              <w:rPr>
                <w:color w:val="000000" w:themeColor="text1"/>
                <w:highlight w:val="white"/>
                <w:lang w:val="pt-BR"/>
              </w:rPr>
              <w:t xml:space="preserve">xã Tây Phương, </w:t>
            </w:r>
            <w:r>
              <w:rPr>
                <w:color w:val="000000" w:themeColor="text1"/>
                <w:highlight w:val="white"/>
                <w:lang w:val="pt-BR"/>
              </w:rPr>
              <w:t xml:space="preserve">thành phố Hà Nội</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t xml:space="preserve">21.056012736592262, 105.62286171350998</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04/2026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25"/>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25"/>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25"/>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25"/>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2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2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25"/>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pStyle w:val="1025"/>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lang w:val="pt-BR"/>
        </w:rPr>
      </w:r>
    </w:p>
    <w:p>
      <w:pPr>
        <w:pStyle w:val="1025"/>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25"/>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25"/>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25"/>
        <w:numPr>
          <w:ilvl w:val="0"/>
          <w:numId w:val="2"/>
        </w:numPr>
        <w:pBdr/>
        <w:tabs>
          <w:tab w:val="left" w:leader="none" w:pos="993"/>
        </w:tabs>
        <w:spacing w:after="120" w:before="120" w:line="276" w:lineRule="auto"/>
        <w:ind/>
        <w:jc w:val="both"/>
        <w:rPr>
          <w:bCs/>
          <w:i/>
          <w:iCs/>
          <w:highlight w:val="white"/>
        </w:rPr>
      </w:pPr>
      <w:r>
        <w:rPr>
          <w:bCs/>
          <w:color w:val="000000" w:themeColor="text1"/>
          <w:highlight w:val="white"/>
          <w:lang w:val="pt-BR"/>
        </w:rPr>
        <w:t xml:space="preserve">Giấy chứng nhận quyền sử dụng đất quyền sở hữu nhà ở và tài sản khác gắn liền với đất số DD 681193</w:t>
      </w:r>
      <w:r>
        <w:rPr>
          <w:bCs/>
          <w:color w:val="000000" w:themeColor="text1"/>
          <w:highlight w:val="white"/>
          <w:lang w:val="pt-BR"/>
        </w:rPr>
        <w:t xml:space="preserve">,</w:t>
      </w:r>
      <w:r>
        <w:rPr>
          <w:bCs/>
          <w:color w:val="000000" w:themeColor="text1"/>
          <w:highlight w:val="white"/>
          <w:lang w:val="pt-BR"/>
        </w:rPr>
        <w:t xml:space="preserve"> số vào sổ cấp GCN CS-TTH 23177 tại thửa đất số 654, tờ bản đồ số 4 có địa chỉ: xã Dị Nậu, huyện Thạch Thất, thành phố Hà Nội (Nay là Xã Tây Phương, thành phố Hà Nội) do Sở Tài nguyên và Môi trường thành phố Hà Nội cấp ngày 20/10/2021 cho ông Đỗ Thành Long</w:t>
      </w:r>
      <w:r>
        <w:rPr>
          <w:highlight w:val="white"/>
          <w:lang w:val="pt-BR"/>
        </w:rPr>
        <w:t xml:space="preserve">.</w:t>
      </w:r>
      <w:r>
        <w:rPr>
          <w:i/>
          <w:iCs/>
          <w:highlight w:val="white"/>
          <w:lang w:val="pt-BR"/>
        </w:rPr>
      </w:r>
      <w:r>
        <w:rPr>
          <w:i/>
          <w:iCs/>
          <w:highlight w:val="white"/>
          <w:lang w:val="pt-BR"/>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25"/>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HSTD-20260421-0001/HĐTĐ-VFI ngày 29/04/2026 giữa Ông </w:t>
      </w:r>
      <w:r>
        <w:rPr>
          <w:color w:val="000000" w:themeColor="text1"/>
          <w:highlight w:val="white"/>
          <w:lang w:val="pt-BR"/>
        </w:rPr>
        <w:t xml:space="preserve">Trịnh</w:t>
      </w:r>
      <w:r>
        <w:rPr>
          <w:color w:val="000000" w:themeColor="text1"/>
          <w:highlight w:val="white"/>
          <w:lang w:val="pt-BR"/>
        </w:rPr>
        <w:t xml:space="preserve"> </w:t>
      </w:r>
      <w:r>
        <w:rPr>
          <w:color w:val="000000" w:themeColor="text1"/>
          <w:highlight w:val="white"/>
          <w:lang w:val="pt-BR"/>
        </w:rPr>
        <w:t xml:space="preserve">Đức Anh với Công ty Cổ phần Thẩm định và Đầu tư Tài chính Hoa Sen.</w:t>
      </w:r>
      <w:r>
        <w:rPr>
          <w:b/>
          <w:highlight w:val="white"/>
          <w:lang w:val="pt-BR"/>
        </w:rPr>
      </w:r>
      <w:r>
        <w:rPr>
          <w:b/>
          <w:highlight w:val="white"/>
          <w:lang w:val="pt-BR"/>
        </w:rPr>
      </w:r>
    </w:p>
    <w:p>
      <w:pPr>
        <w:pStyle w:val="1025"/>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highlight w:val="white"/>
          <w:lang w:val="pt-BR"/>
        </w:rPr>
        <w:tab/>
      </w:r>
      <w:r>
        <w:rPr>
          <w:rFonts w:ascii="Times New Roman" w:hAnsi="Times New Roman" w:eastAsia="Times New Roman" w:cs="Times New Roman"/>
          <w:b/>
          <w:i/>
          <w:color w:val="000000"/>
          <w:sz w:val="24"/>
          <w:highlight w:val="white"/>
        </w:rPr>
        <w:t xml:space="preserve">Bức tranh thị trường bất động sản Hà Nội năm 2026: Hạ tầng dẫn dắt, thị trường bước vào chu kỳ tăng trưởng mới</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highlight w:val="white"/>
        </w:rPr>
        <w:t xml:space="preserve"> ở thực, chất lượng dự án và năng lực doanh nghiệp làm trụ cột phát triển bền vững.</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highlight w:val="white"/>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i/>
          <w:color w:val="000000"/>
          <w:sz w:val="24"/>
          <w:highlight w:val="white"/>
        </w:rPr>
        <w:tab/>
        <w:t xml:space="preserve">Hạ tầng – "xương sống" mở không gian phát triển mới</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highlight w:val="white"/>
        </w:rPr>
        <w:t xml:space="preserve">ng sản.</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highlight w:val="white"/>
        </w:rPr>
        <w:t xml:space="preserve"> có điều kiện kết nối thuận lợi hơn, qua đó gia tăng sức hấp dẫn với các dự án đô thị, khu nhà ở và dịch vụ.</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highlight w:val="white"/>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highlight w:val="white"/>
        </w:rPr>
        <w:t xml:space="preserve">g trưởng bất động sản dài hạn.</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highlight w:val="white"/>
        </w:rPr>
        <w:t xml:space="preserve">nổi lên như một cực phát triển mới. Ở phía Đông, hệ thống cầu vượt sông Hồng, cùng quy hoạch chỉnh trang đô thị ven sông, tiếp tục mở ra dư địa cho các dự án nhà ở và đô thị sinh thái.</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i/>
          <w:color w:val="000000"/>
          <w:sz w:val="24"/>
          <w:highlight w:val="white"/>
        </w:rPr>
        <w:tab/>
        <w:t xml:space="preserve">Thị trường chuyển từ "tăng nóng" sang tăng trưởng chọn lọc</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highlight w:val="white"/>
        </w:rPr>
        <w:t xml:space="preserve"> quy hoạch rõ ràng, hạ tầng đồng bộ và nhu cầu ở thực ổn định.</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highlight w:val="white"/>
        </w:rPr>
        <w:t xml:space="preserve">và được triển khai bài bản sẽ trở thành động lực chính của thị trường trong năm 2026.</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highlight w:val="white"/>
        </w:rPr>
        <w:t xml:space="preserve">ác phân khúc an toàn hơn, hạn chế rủi ro và có tiềm năng tăng trưởng dài hạn.</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i/>
          <w:color w:val="000000"/>
          <w:sz w:val="24"/>
          <w:highlight w:val="white"/>
        </w:rPr>
        <w:tab/>
        <w:t xml:space="preserve">Nguồn cung lớn, thị trường phân hóa rõ nét</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highlight w:val="white"/>
        </w:rPr>
        <w:t xml:space="preserve">o cơ hội cho người mua, vừa đặt ra thách thức cho doanh nghiệp phát triển dự án.</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highlight w:val="white"/>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highlight w:val="white"/>
        </w:rPr>
        <w:t xml:space="preserve">ó, phân khúc nhà ở vừa túi tiền và nhà ở xã hội được kỳ vọng sẽ dần cải thiện nguồn cung khi các chính sách mới được triển khai đồng bộ.</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i/>
          <w:color w:val="000000"/>
          <w:sz w:val="24"/>
          <w:highlight w:val="white"/>
        </w:rPr>
        <w:tab/>
        <w:t xml:space="preserve">Chính sách và pháp lý – điểm tựa cho chu kỳ mới</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highlight w:val="white"/>
        </w:rPr>
        <w:t xml:space="preserve">nguồn cung đáng kể cho thị trường.</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highlight w:val="white"/>
        </w:rPr>
        <w:t xml:space="preserve">dự án kéo dài, đồng thời tạo niềm tin cho nhà đầu tư và người mua nhà.</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highlight w:val="white"/>
        </w:rPr>
        <w:t xml:space="preserve">vùng hỗ trợ giao dịch, khác xa giai đoạn "cú sốc kép" năm 2022.</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highlight w:val="white"/>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i/>
          <w:color w:val="000000"/>
          <w:sz w:val="24"/>
          <w:highlight w:val="white"/>
        </w:rPr>
        <w:tab/>
        <w:t xml:space="preserve">Triển vọng 2026: tăng trưởng bền vững trên nền tảng mới</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highlight w:val="white"/>
        </w:rPr>
        <w:t xml:space="preserve">ơ hội bứt phá. Ngược lại, các doanh nghiệp yếu về pháp lý, phụ thuộc nhiều vào đòn bẩy tài chính hoặc chạy theo đầu cơ ngắn hạn có thể tiếp tục bị đào thải.</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highlight w:val="white"/>
        </w:rPr>
        <w:t xml:space="preserve">hông còn chỗ cho những cơn sốt ảo, mà hướng tới tăng trưởng ổn định, gắn với chất lượng đô thị và chất lượng sống.</w:t>
      </w:r>
      <w:r>
        <w:rPr>
          <w:highlight w:val="whit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highlight w:val="white"/>
        </w:rPr>
      </w:pPr>
      <w:r>
        <w:rPr>
          <w:rFonts w:ascii="Times New Roman" w:hAnsi="Times New Roman" w:eastAsia="Times New Roman" w:cs="Times New Roman"/>
          <w:color w:val="000000"/>
          <w:sz w:val="24"/>
          <w:highlight w:val="white"/>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highlight w:val="white"/>
        </w:rPr>
      </w:pPr>
      <w:r>
        <w:rPr>
          <w:rFonts w:ascii="Times New Roman" w:hAnsi="Times New Roman" w:eastAsia="Times New Roman" w:cs="Times New Roman"/>
          <w:i/>
          <w:color w:val="000000"/>
          <w:sz w:val="24"/>
          <w:highlight w:val="white"/>
        </w:rPr>
        <w:t xml:space="preserve">(Nguồn tham khảo: https://thanglong.chinhphu.vn/buc-tranh-thi-truong-bat-dong-san-ha-noi-nam-2026-ha-tang-dan-dat-thi-truong-buoc-vao-chu-ky-tang-truong-moi-103260101181315972.htm)</w:t>
      </w:r>
      <w:r>
        <w:rPr>
          <w:highlight w:val="white"/>
        </w:rPr>
      </w:r>
    </w:p>
    <w:p>
      <w:pPr>
        <w:pStyle w:val="1025"/>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jc w:val="both"/>
              <w:rPr>
                <w:b/>
                <w:bCs/>
                <w:color w:val="000000"/>
                <w:highlight w:val="white"/>
              </w:rPr>
            </w:pPr>
            <w:r>
              <w:rPr>
                <w:b/>
                <w:bCs/>
                <w:color w:val="000000"/>
                <w:highlight w:val="white"/>
              </w:rPr>
              <w:t xml:space="preserve">Quyền sử dụng đất tại thửa đất số 654, tờ bản đồ số 4 có địa chỉ: xã Dị Nậu, huyện Thạch Thất, thành phố Hà Nội</w:t>
            </w:r>
            <w:r>
              <w:rPr>
                <w:b/>
                <w:bCs/>
                <w:i/>
                <w:iCs/>
                <w:color w:val="000000"/>
                <w:highlight w:val="white"/>
              </w:rPr>
              <w:t xml:space="preserve"> (Nay là </w:t>
            </w:r>
            <w:r>
              <w:rPr>
                <w:b/>
                <w:bCs/>
                <w:i/>
                <w:iCs/>
                <w:color w:val="000000"/>
                <w:highlight w:val="white"/>
              </w:rPr>
              <w:t xml:space="preserve">Xã Tây Phương, thành phố Hà Nội) </w:t>
            </w:r>
            <w:r>
              <w:rPr>
                <w:b/>
                <w:bCs/>
                <w:color w:val="000000"/>
                <w:highlight w:val="white"/>
              </w:rPr>
              <w:t xml:space="preserve">theo Giấy chứng nhận quyền sử dụng đất quyền sở hữu nhà ở và tài sản khác gắn liền với đất số DD 681193, số vào sổ cấp GCN CS-TTH 23177 do Sở Tài nguyên và Môi trường thành phố Hà Nội cấp ngày 20/10/2021 cho ông Đỗ Thành Long.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 dung Thửa đất theo Hồ sơ pháp 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654</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4</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xã Dị Nậu huyện Thạch Thất thành phố Hà Nội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80</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 80 m2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nông thôn</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Được tặng cho đất được Công nhận QSDĐ như giao đất có thu tiền sử dụng đất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highlight w:val="white"/>
              </w:rPr>
            </w:pPr>
            <w:r>
              <w:rPr>
                <w:rFonts w:ascii="Times New Roman" w:hAnsi="Times New Roman" w:eastAsia="Times New Roman" w:cs="Times New Roman"/>
                <w:color w:val="000000"/>
                <w:sz w:val="24"/>
                <w:highlight w:val="white"/>
              </w:rPr>
              <w:t xml:space="preserve">Thông tin quy hoạch:</w:t>
            </w:r>
            <w:r>
              <w:rPr>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highlight w:val="white"/>
              </w:rPr>
            </w:pPr>
            <w:r>
              <w:rPr>
                <w:rFonts w:ascii="Times New Roman" w:hAnsi="Times New Roman" w:eastAsia="Times New Roman" w:cs="Times New Roman"/>
                <w:color w:val="000000"/>
                <w:sz w:val="24"/>
                <w:highlight w:val="white"/>
              </w:rPr>
              <w:t xml:space="preserve">Tại thời điểm thẩm định giá, Tổ thẩm định không thu thập được các thông tin quy hoạch liên quan đến thửa đất thẩm định giá.</w:t>
            </w:r>
            <w:r>
              <w:rPr>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Ngõ bê tông</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2 mặt ngõ</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2</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Cách đư</w:t>
            </w:r>
            <w:r>
              <w:rPr>
                <w:color w:val="000000" w:themeColor="text1"/>
                <w:highlight w:val="white"/>
              </w:rPr>
              <w:t xml:space="preserve">ờng trục chính Dị Nậu khoả</w:t>
            </w:r>
            <w:r>
              <w:rPr>
                <w:color w:val="000000" w:themeColor="text1"/>
                <w:highlight w:val="white"/>
              </w:rPr>
              <w:t xml:space="preserve">ng 500m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highlight w:val="white"/>
              </w:rPr>
            </w:pPr>
            <w:r>
              <w:rPr>
                <w:highlight w:val="white"/>
              </w:rPr>
            </w:r>
            <w:bookmarkStart w:id="3" w:name="OLE_LINK1"/>
            <w:r>
              <w:rPr>
                <w:color w:val="000000" w:themeColor="text1"/>
                <w:highlight w:val="white"/>
              </w:rPr>
            </w:r>
            <w:bookmarkEnd w:id="3"/>
            <w:r>
              <w:rPr>
                <w:highlight w:val="white"/>
              </w:rPr>
              <w:t xml:space="preserve">Hướng Tây Nam và Đông Nam giáp ngõ bê tông</w:t>
            </w:r>
            <w:r>
              <w:rPr>
                <w:highlight w:val="white"/>
              </w:rPr>
            </w:r>
            <w:r>
              <w:rPr>
                <w:highlight w:val="white"/>
              </w:rPr>
            </w:r>
          </w:p>
          <w:p>
            <w:pPr>
              <w:pBdr/>
              <w:spacing/>
              <w:ind/>
              <w:rPr>
                <w:color w:val="000000" w:themeColor="text1"/>
                <w:highlight w:val="white"/>
              </w:rPr>
            </w:pPr>
            <w:r>
              <w:rPr>
                <w:highlight w:val="white"/>
              </w:rPr>
              <w:t xml:space="preserve">Các hướng còn lại giáp BĐS khác liền kề</w:t>
            </w:r>
            <w:r>
              <w:rPr>
                <w:color w:val="000000" w:themeColor="text1"/>
                <w:highlight w:val="white"/>
              </w:rPr>
            </w:r>
            <w:r>
              <w:rPr>
                <w:color w:val="000000" w:themeColor="text1"/>
                <w:highlight w:val="white"/>
              </w:rPr>
            </w:r>
          </w:p>
        </w:tc>
      </w:tr>
      <w:tr>
        <w:trPr>
          <w:trHeight w:val="20"/>
        </w:trPr>
        <w:tc>
          <w:tcPr>
            <w:tcBorders/>
            <w:tcW w:w="734" w:type="dxa"/>
            <w:vAlign w:val="center"/>
            <w:vMerge w:val="restart"/>
            <w:textDirection w:val="lrTb"/>
            <w:noWrap w:val="false"/>
          </w:tcPr>
          <w:p>
            <w:pPr>
              <w:pBdr/>
              <w:spacing/>
              <w:ind/>
              <w:jc w:val="center"/>
              <w:rPr>
                <w:color w:val="000000"/>
                <w:highlight w:val="white"/>
              </w:rPr>
            </w:pPr>
            <w:r>
              <w:rPr>
                <w:color w:val="000000"/>
                <w:highlight w:val="white"/>
              </w:rPr>
            </w:r>
            <w:r>
              <w:rPr>
                <w:color w:val="000000"/>
                <w:highlight w:val="white"/>
              </w:rPr>
            </w:r>
            <w:r>
              <w:rPr>
                <w:color w:val="000000"/>
                <w:highlight w:val="white"/>
              </w:rPr>
            </w:r>
          </w:p>
        </w:tc>
        <w:tc>
          <w:tcPr>
            <w:tcBorders/>
            <w:tcW w:w="2522" w:type="dxa"/>
            <w:vAlign w:val="center"/>
            <w:vMerge w:val="restart"/>
            <w:textDirection w:val="lrTb"/>
            <w:noWrap w:val="false"/>
          </w:tcPr>
          <w:p>
            <w:pPr>
              <w:pBdr/>
              <w:spacing/>
              <w:ind/>
              <w:rPr>
                <w:color w:val="000000"/>
                <w:highlight w:val="white"/>
              </w:rPr>
            </w:pPr>
            <w:r>
              <w:rPr>
                <w:color w:val="000000"/>
                <w:highlight w:val="white"/>
              </w:rPr>
              <w:t xml:space="preserve">Vị trí</w:t>
            </w:r>
            <w:r>
              <w:rPr>
                <w:color w:val="000000"/>
                <w:highlight w:val="white"/>
              </w:rPr>
            </w:r>
            <w:r>
              <w:rPr>
                <w:color w:val="000000"/>
                <w:highlight w:val="white"/>
              </w:rPr>
            </w:r>
          </w:p>
        </w:tc>
        <w:tc>
          <w:tcPr>
            <w:gridSpan w:val="3"/>
            <w:tcBorders/>
            <w:tcW w:w="6259" w:type="dxa"/>
            <w:vAlign w:val="center"/>
            <w:vMerge w:val="restart"/>
            <w:textDirection w:val="lrTb"/>
            <w:noWrap w:val="false"/>
          </w:tcPr>
          <w:p>
            <w:pPr>
              <w:pBdr/>
              <w:spacing/>
              <w:ind/>
              <w:jc w:val="both"/>
              <w:rPr>
                <w:highlight w:val="white"/>
              </w:rPr>
            </w:pPr>
            <w:r>
              <w:rPr>
                <w:highlight w:val="white"/>
              </w:rPr>
              <w:t xml:space="preserve">Tài sản nằm ở vị trí đất ở dân cư nông thôn xã Tây Phương có đơn giá theo Nghị quyết số 52/2025/NQ-HĐNG ngày 26/11/2025 của Hội đồng Nhân dân thành phố Hà Nội là 2.904.000 đồng/m2</w:t>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r>
            <w:r>
              <w:rPr>
                <w:color w:val="000000"/>
                <w:highlight w:val="white"/>
              </w:rPr>
              <w:t xml:space="preserve">Vị trí trên bản đồ vệ tinh</w:t>
            </w:r>
            <w:r>
              <w:rPr>
                <w:color w:val="000000"/>
                <w:highlight w:val="white"/>
              </w:rPr>
              <w:t xml:space="preserve">: </w:t>
            </w:r>
            <w:r>
              <w:rPr>
                <w:color w:val="000000"/>
                <w:highlight w:val="white"/>
              </w:rPr>
              <w:t xml:space="preserve">21.056012736592262, 105.62286171350998</w:t>
            </w:r>
            <w:r>
              <w:rPr>
                <w:color w:val="000000"/>
                <w:highlight w:val="white"/>
              </w:rPr>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r>
            <w:r>
              <w:rPr>
                <w:color w:val="000000"/>
                <w:highlight w:val="white"/>
              </w:rPr>
              <mc:AlternateContent>
                <mc:Choice Requires="wpg">
                  <w:drawing>
                    <wp:inline xmlns:wp="http://schemas.openxmlformats.org/drawingml/2006/wordprocessingDrawing" distT="0" distB="0" distL="0" distR="0">
                      <wp:extent cx="5437845" cy="2707735"/>
                      <wp:effectExtent l="0" t="0" r="0" b="0"/>
                      <wp:docPr id="5" name=""/>
                      <wp:cNvGraphicFramePr/>
                      <a:graphic xmlns:a="http://schemas.openxmlformats.org/drawingml/2006/main">
                        <a:graphicData uri="http://schemas.openxmlformats.org/drawingml/2006/picture">
                          <pic:pic xmlns:pic="http://schemas.openxmlformats.org/drawingml/2006/picture">
                            <pic:nvPicPr>
                              <pic:cNvPr id="1005712238" name="" descr=""/>
                              <pic:cNvPicPr/>
                              <pic:nvPr/>
                            </pic:nvPicPr>
                            <pic:blipFill rotWithShape="1">
                              <a:blip r:embed="rId17"/>
                              <a:stretch/>
                            </pic:blipFill>
                            <pic:spPr bwMode="auto">
                              <a:xfrm flipH="0" flipV="0">
                                <a:off x="0" y="0"/>
                                <a:ext cx="5437845" cy="2707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13.21pt;mso-wrap-distance-left:0.00pt;mso-wrap-distance-top:0.00pt;mso-wrap-distance-right:0.00pt;mso-wrap-distance-bottom:0.00pt;z-index:1;" stroked="false">
                      <v:imagedata r:id="rId17"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80</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0</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9,91</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r>
            <w:r>
              <w:rPr>
                <w:highlight w:val="white"/>
              </w:rPr>
            </w:r>
          </w:p>
        </w:tc>
        <w:tc>
          <w:tcPr>
            <w:tcBorders/>
            <w:tcW w:w="2007" w:type="dxa"/>
            <w:vAlign w:val="center"/>
            <w:textDirection w:val="lrTb"/>
            <w:noWrap w:val="false"/>
          </w:tcPr>
          <w:p>
            <w:pPr>
              <w:pBdr/>
              <w:spacing/>
              <w:ind/>
              <w:rPr>
                <w:highlight w:val="white"/>
              </w:rPr>
            </w:pP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Tây Nam và Đông Nam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Khá</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Không có lợi thế kinh doanh</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383"/>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spacing/>
              <w:ind/>
              <w:jc w:val="both"/>
              <w:rPr>
                <w:color w:val="000000"/>
                <w:highlight w:val="white"/>
              </w:rPr>
            </w:pPr>
            <w:r>
              <w:rPr>
                <w:color w:val="000000"/>
                <w:highlight w:val="white"/>
              </w:rPr>
              <w:t xml:space="preserve">Công trình xây dựng trên đất là nhà 01 tầng đã hoàn thiện và đang sử dụng bình thường. Công trình xây dựng chưa được chứng nhận trên GCN số </w:t>
            </w:r>
            <w:r>
              <w:rPr>
                <w:color w:val="000000"/>
                <w:highlight w:val="white"/>
              </w:rPr>
              <w:t xml:space="preserve">DD 681193. Do đó, theo đề nghị của Ngân hàng/khách hàng tổ thẩm định không xác định giá trị. Đề nghị các bên sử dụng kết quả lưu ý!</w:t>
            </w:r>
            <w:r>
              <w:rPr>
                <w:color w:val="000000"/>
                <w:highlight w:val="white"/>
              </w:rPr>
            </w:r>
            <w:r>
              <w:rPr>
                <w:color w:val="000000"/>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ind/>
        <w:rPr>
          <w:b/>
          <w:bCs/>
          <w:highlight w:val="white"/>
          <w:shd w:val="clear" w:color="auto" w:fill="ffffff"/>
        </w:rPr>
      </w:pPr>
      <w:r>
        <w:rPr>
          <w:b/>
          <w:bCs/>
          <w:highlight w:val="white"/>
          <w:shd w:val="clear" w:color="auto" w:fill="ffffff"/>
        </w:rPr>
        <w:t xml:space="preserve">Bảng ghi chú thay đổi giữa khảo sát thực trạng và pháp lý tài sản</w:t>
      </w:r>
      <w:r>
        <w:rPr>
          <w:b/>
          <w:bCs/>
          <w:highlight w:val="white"/>
          <w:shd w:val="clear" w:color="auto" w:fill="ffffff"/>
        </w:rPr>
        <w:t xml:space="preserve">:</w:t>
      </w:r>
      <w:r>
        <w:rPr>
          <w:b/>
          <w:bCs/>
          <w:highlight w:val="white"/>
          <w:shd w:val="clear" w:color="auto" w:fill="ffffff"/>
        </w:rPr>
      </w:r>
      <w:r>
        <w:rPr>
          <w:b/>
          <w:bCs/>
          <w:highlight w:val="white"/>
          <w:shd w:val="clear" w:color="auto" w:fill="ffffff"/>
        </w:rPr>
      </w:r>
    </w:p>
    <w:p>
      <w:pPr>
        <w:pBdr/>
        <w:spacing/>
        <w:ind/>
        <w:rPr>
          <w:b/>
          <w:bCs/>
          <w:highlight w:val="white"/>
          <w:shd w:val="clear" w:color="auto" w:fill="ffffff"/>
        </w:rPr>
      </w:pPr>
      <w:r>
        <w:rPr>
          <w:b/>
          <w:bCs/>
          <w:highlight w:val="white"/>
          <w:shd w:val="clear" w:color="auto" w:fill="ffffff"/>
        </w:rPr>
      </w:r>
      <w:r>
        <w:rPr>
          <w:b/>
          <w:bCs/>
          <w:highlight w:val="white"/>
          <w:shd w:val="clear" w:color="auto" w:fill="ffffff"/>
        </w:rPr>
      </w:r>
      <w:r>
        <w:rPr>
          <w:b/>
          <w:bCs/>
          <w:highlight w:val="white"/>
          <w:shd w:val="clear" w:color="auto" w:fill="ffffff"/>
        </w:rPr>
      </w:r>
    </w:p>
    <w:tbl>
      <w:tblPr>
        <w:tblStyle w:val="1029"/>
        <w:jc w:val="center"/>
        <w:tblW w:w="0" w:type="auto"/>
        <w:tblBorders/>
        <w:tblLayout w:type="fixed"/>
        <w:tblLook w:val="04A0" w:firstRow="1" w:lastRow="0" w:firstColumn="1" w:lastColumn="0" w:noHBand="0" w:noVBand="1"/>
      </w:tblPr>
      <w:tblGrid>
        <w:gridCol w:w="1167"/>
        <w:gridCol w:w="1663"/>
        <w:gridCol w:w="1560"/>
        <w:gridCol w:w="1605"/>
        <w:gridCol w:w="1371"/>
        <w:gridCol w:w="2149"/>
      </w:tblGrid>
      <w:tr>
        <w:trPr>
          <w:jc w:val="center"/>
        </w:trPr>
        <w:tc>
          <w:tcPr>
            <w:tcBorders/>
            <w:tcW w:w="1167" w:type="dxa"/>
            <w:vAlign w:val="center"/>
            <w:textDirection w:val="lrTb"/>
            <w:noWrap w:val="false"/>
          </w:tcPr>
          <w:p>
            <w:pPr>
              <w:pBdr/>
              <w:spacing/>
              <w:ind/>
              <w:jc w:val="center"/>
              <w:rPr>
                <w:b/>
                <w:bCs/>
                <w:highlight w:val="white"/>
              </w:rPr>
            </w:pPr>
            <w:r>
              <w:rPr>
                <w:b/>
                <w:bCs/>
                <w:highlight w:val="white"/>
              </w:rPr>
              <w:t xml:space="preserve">STT</w:t>
            </w:r>
            <w:r>
              <w:rPr>
                <w:b/>
                <w:bCs/>
                <w:highlight w:val="white"/>
              </w:rPr>
            </w:r>
            <w:r>
              <w:rPr>
                <w:b/>
                <w:bCs/>
                <w:highlight w:val="white"/>
              </w:rPr>
            </w:r>
          </w:p>
        </w:tc>
        <w:tc>
          <w:tcPr>
            <w:tcBorders/>
            <w:tcW w:w="1663" w:type="dxa"/>
            <w:vAlign w:val="center"/>
            <w:textDirection w:val="lrTb"/>
            <w:noWrap w:val="false"/>
          </w:tcPr>
          <w:p>
            <w:pPr>
              <w:pBdr/>
              <w:spacing/>
              <w:ind/>
              <w:jc w:val="center"/>
              <w:rPr>
                <w:b/>
                <w:bCs/>
                <w:highlight w:val="white"/>
              </w:rPr>
            </w:pPr>
            <w:r>
              <w:rPr>
                <w:b/>
                <w:bCs/>
                <w:highlight w:val="white"/>
              </w:rPr>
              <w:t xml:space="preserve">Các yếu tố</w:t>
            </w:r>
            <w:r>
              <w:rPr>
                <w:b/>
                <w:bCs/>
                <w:highlight w:val="white"/>
              </w:rPr>
            </w:r>
            <w:r>
              <w:rPr>
                <w:b/>
                <w:bCs/>
                <w:highlight w:val="white"/>
              </w:rPr>
            </w:r>
          </w:p>
        </w:tc>
        <w:tc>
          <w:tcPr>
            <w:tcBorders/>
            <w:tcW w:w="1560" w:type="dxa"/>
            <w:vAlign w:val="center"/>
            <w:textDirection w:val="lrTb"/>
            <w:noWrap w:val="false"/>
          </w:tcPr>
          <w:p>
            <w:pPr>
              <w:pBdr/>
              <w:spacing/>
              <w:ind/>
              <w:jc w:val="center"/>
              <w:rPr>
                <w:b/>
                <w:bCs/>
                <w:highlight w:val="white"/>
              </w:rPr>
            </w:pPr>
            <w:r>
              <w:rPr>
                <w:b/>
                <w:bCs/>
                <w:highlight w:val="white"/>
              </w:rPr>
              <w:t xml:space="preserve">Thông tin TSTĐ</w:t>
            </w:r>
            <w:r>
              <w:rPr>
                <w:b/>
                <w:bCs/>
                <w:highlight w:val="white"/>
              </w:rPr>
            </w:r>
            <w:r>
              <w:rPr>
                <w:b/>
                <w:bCs/>
                <w:highlight w:val="white"/>
              </w:rPr>
            </w:r>
          </w:p>
        </w:tc>
        <w:tc>
          <w:tcPr>
            <w:tcBorders/>
            <w:tcW w:w="1605" w:type="dxa"/>
            <w:vAlign w:val="center"/>
            <w:textDirection w:val="lrTb"/>
            <w:noWrap w:val="false"/>
          </w:tcPr>
          <w:p>
            <w:pPr>
              <w:pBdr/>
              <w:spacing/>
              <w:ind/>
              <w:jc w:val="center"/>
              <w:rPr>
                <w:b/>
                <w:bCs/>
                <w:highlight w:val="white"/>
              </w:rPr>
            </w:pPr>
            <w:r>
              <w:rPr>
                <w:b/>
                <w:bCs/>
                <w:highlight w:val="white"/>
              </w:rPr>
              <w:t xml:space="preserve">Thông tin khảo sát</w:t>
            </w:r>
            <w:r>
              <w:rPr>
                <w:b/>
                <w:bCs/>
                <w:highlight w:val="white"/>
              </w:rPr>
            </w:r>
            <w:r>
              <w:rPr>
                <w:b/>
                <w:bCs/>
                <w:highlight w:val="white"/>
              </w:rPr>
            </w:r>
          </w:p>
        </w:tc>
        <w:tc>
          <w:tcPr>
            <w:tcBorders/>
            <w:tcW w:w="1371" w:type="dxa"/>
            <w:vAlign w:val="center"/>
            <w:textDirection w:val="lrTb"/>
            <w:noWrap w:val="false"/>
          </w:tcPr>
          <w:p>
            <w:pPr>
              <w:pBdr/>
              <w:spacing/>
              <w:ind/>
              <w:jc w:val="center"/>
              <w:rPr>
                <w:b/>
                <w:bCs/>
                <w:highlight w:val="white"/>
              </w:rPr>
            </w:pPr>
            <w:r>
              <w:rPr>
                <w:b/>
                <w:bCs/>
                <w:highlight w:val="white"/>
              </w:rPr>
              <w:t xml:space="preserve">Chênh lệch</w:t>
            </w:r>
            <w:r>
              <w:rPr>
                <w:b/>
                <w:bCs/>
                <w:highlight w:val="white"/>
              </w:rPr>
            </w:r>
            <w:r>
              <w:rPr>
                <w:b/>
                <w:bCs/>
                <w:highlight w:val="white"/>
              </w:rPr>
            </w:r>
          </w:p>
        </w:tc>
        <w:tc>
          <w:tcPr>
            <w:tcBorders/>
            <w:tcW w:w="2149" w:type="dxa"/>
            <w:vAlign w:val="center"/>
            <w:textDirection w:val="lrTb"/>
            <w:noWrap w:val="false"/>
          </w:tcPr>
          <w:p>
            <w:pPr>
              <w:pBdr/>
              <w:spacing/>
              <w:ind/>
              <w:jc w:val="center"/>
              <w:rPr>
                <w:b/>
                <w:bCs/>
                <w:highlight w:val="white"/>
              </w:rPr>
            </w:pPr>
            <w:r>
              <w:rPr>
                <w:b/>
                <w:bCs/>
                <w:highlight w:val="white"/>
              </w:rPr>
              <w:t xml:space="preserve">Nguyên nhân</w:t>
            </w:r>
            <w:r>
              <w:rPr>
                <w:b/>
                <w:bCs/>
                <w:highlight w:val="white"/>
              </w:rPr>
            </w:r>
            <w:r>
              <w:rPr>
                <w:b/>
                <w:bCs/>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 trên sổ</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xã Dị Nậu huyện Thạch Thất thành phố Hà Nội ✔</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Xã Tây Phương, Thành phố Hà Nội </w:t>
            </w:r>
            <w:r>
              <w:rPr>
                <w:highlight w:val="white"/>
              </w:rPr>
            </w:r>
            <w:r>
              <w:rPr>
                <w:highlight w:val="white"/>
              </w:rPr>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Có</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t xml:space="preserve">Sau sáp nhập</w:t>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2</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Pháp lý</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3</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Loại đất</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Đất ở tại nông thôn</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Đất ở tại nông thôn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4</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Thời hạn sử dụng</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Lâu dài</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Lâu dài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5</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Diện tích</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80</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80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Height w:val="243"/>
        </w:trPr>
        <w:tc>
          <w:tcPr>
            <w:tcBorders/>
            <w:tcW w:w="1167" w:type="dxa"/>
            <w:vAlign w:val="center"/>
            <w:textDirection w:val="lrTb"/>
            <w:noWrap w:val="false"/>
          </w:tcPr>
          <w:p>
            <w:pPr>
              <w:pBdr/>
              <w:spacing/>
              <w:ind/>
              <w:jc w:val="center"/>
              <w:rPr>
                <w:highlight w:val="white"/>
              </w:rPr>
            </w:pPr>
            <w:r>
              <w:rPr>
                <w:highlight w:val="white"/>
              </w:rPr>
              <w:t xml:space="preserve">6</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tiền</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9,91</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9,91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7</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tiếp giáp</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Tiếp giáp 2 mặt ngõ</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Tiếp giáp 2 mặt ngõ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8</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Hình dạng thửa đất</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Hình chữ nhật</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Hình chữ nhật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9</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Hướng</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Đông Nam và Tây Nam</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Đông Nam và Tây Nam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4925"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840"/>
        <w:gridCol w:w="992"/>
        <w:gridCol w:w="1984"/>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b/>
                <w:bCs/>
                <w:highlight w:val="white"/>
              </w:rPr>
            </w:pPr>
            <w:r>
              <w:rPr>
                <w:b/>
                <w:bCs/>
                <w:highlight w:val="white"/>
                <w:lang w:eastAsia="ko-KR"/>
              </w:rPr>
              <w:t xml:space="preserve">TT</w:t>
            </w:r>
            <w:r>
              <w:rPr>
                <w:b/>
                <w:bCs/>
                <w:highlight w:val="white"/>
                <w:lang w:eastAsia="ko-KR"/>
              </w:rPr>
            </w:r>
            <w:r>
              <w:rPr>
                <w:b/>
                <w:bCs/>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992" w:type="dxa"/>
            <w:vAlign w:val="center"/>
            <w:textDirection w:val="lrTb"/>
            <w:noWrap w:val="false"/>
          </w:tcPr>
          <w:p>
            <w:pPr>
              <w:widowControl w:val="false"/>
              <w:pBdr/>
              <w:spacing w:line="247"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984" w:type="dxa"/>
            <w:vAlign w:val="center"/>
            <w:textDirection w:val="lrTb"/>
            <w:noWrap w:val="false"/>
          </w:tcPr>
          <w:p>
            <w:pPr>
              <w:widowControl w:val="false"/>
              <w:pBdr/>
              <w:spacing w:line="247"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47"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47"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47"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984" w:type="dxa"/>
            <w:vAlign w:val="center"/>
            <w:textDirection w:val="lrTb"/>
            <w:noWrap w:val="false"/>
          </w:tcPr>
          <w:p>
            <w:pPr>
              <w:widowControl w:val="false"/>
              <w:pBdr/>
              <w:spacing w:line="247"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840"/>
        <w:gridCol w:w="992"/>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b/>
                <w:bCs/>
                <w:highlight w:val="white"/>
              </w:rPr>
            </w:pPr>
            <w:r>
              <w:rPr>
                <w:b/>
                <w:bCs/>
                <w:highlight w:val="white"/>
                <w:lang w:eastAsia="ko-KR"/>
              </w:rPr>
              <w:t xml:space="preserve">TT</w:t>
            </w:r>
            <w:r>
              <w:rPr>
                <w:b/>
                <w:bCs/>
                <w:highlight w:val="white"/>
                <w:lang w:eastAsia="ko-KR"/>
              </w:rPr>
            </w:r>
            <w:r>
              <w:rPr>
                <w:b/>
                <w:bCs/>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992" w:type="dxa"/>
            <w:vAlign w:val="center"/>
            <w:textDirection w:val="lrTb"/>
            <w:noWrap w:val="false"/>
          </w:tcPr>
          <w:p>
            <w:pPr>
              <w:widowControl w:val="false"/>
              <w:pBdr/>
              <w:spacing w:line="264"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2127" w:type="dxa"/>
            <w:vAlign w:val="center"/>
            <w:textDirection w:val="lrTb"/>
            <w:noWrap w:val="false"/>
          </w:tcPr>
          <w:p>
            <w:pPr>
              <w:widowControl w:val="false"/>
              <w:pBdr/>
              <w:spacing w:line="264"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64"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64"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992" w:type="dxa"/>
            <w:vAlign w:val="center"/>
            <w:textDirection w:val="lrTb"/>
            <w:noWrap w:val="false"/>
          </w:tcPr>
          <w:p>
            <w:pPr>
              <w:widowControl w:val="false"/>
              <w:pBdr/>
              <w:spacing w:line="264" w:lineRule="auto"/>
              <w:ind w:left="144"/>
              <w:jc w:val="center"/>
              <w:rPr>
                <w:highlight w:val="white"/>
              </w:rPr>
            </w:pPr>
            <w:r>
              <w:rPr>
                <w:highlight w:val="white"/>
              </w:rPr>
              <w:t xml:space="preserve">Không</w:t>
            </w:r>
            <w:r>
              <w:rPr>
                <w:highlight w:val="white"/>
              </w:rPr>
            </w:r>
          </w:p>
        </w:tc>
        <w:tc>
          <w:tcPr>
            <w:tcBorders/>
            <w:tcW w:w="2127" w:type="dxa"/>
            <w:vAlign w:val="center"/>
            <w:textDirection w:val="lrTb"/>
            <w:noWrap w:val="false"/>
          </w:tcPr>
          <w:p>
            <w:pPr>
              <w:widowControl w:val="false"/>
              <w:pBdr/>
              <w:spacing w:line="264" w:lineRule="auto"/>
              <w:ind w:left="144"/>
              <w:rPr>
                <w:highlight w:val="white"/>
              </w:rPr>
            </w:pPr>
            <w:r>
              <w:rPr>
                <w:highlight w:val="white"/>
                <w:lang w:eastAsia="ko-KR"/>
              </w:rPr>
            </w:r>
            <w:r>
              <w:rPr>
                <w:highlight w:val="white"/>
                <w:lang w:eastAsia="ko-KR"/>
              </w:rPr>
            </w:r>
            <w:r>
              <w:rPr>
                <w:highlight w:val="white"/>
                <w:lang w:eastAsia="ko-KR"/>
              </w:rPr>
            </w:r>
          </w:p>
        </w:tc>
      </w:tr>
    </w:tbl>
    <w:p>
      <w:pPr>
        <w:pStyle w:val="1025"/>
        <w:pBdr/>
        <w:tabs>
          <w:tab w:val="left" w:leader="none" w:pos="993"/>
        </w:tabs>
        <w:spacing w:after="120" w:before="240" w:line="276" w:lineRule="auto"/>
        <w:ind w:left="0"/>
        <w:jc w:val="both"/>
        <w:rPr>
          <w:b/>
          <w:bCs/>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25"/>
        <w:numPr>
          <w:ilvl w:val="0"/>
          <w:numId w:val="3"/>
        </w:numPr>
        <w:pBdr/>
        <w:tabs>
          <w:tab w:val="left" w:leader="none" w:pos="993"/>
        </w:tabs>
        <w:spacing w:after="120" w:before="120" w:line="264" w:lineRule="auto"/>
        <w:ind/>
        <w:jc w:val="both"/>
        <w:rPr>
          <w:color w:val="000000"/>
          <w:highlight w:val="white"/>
          <w14:ligatures w14:val="none"/>
        </w:rPr>
      </w:pPr>
      <w:r>
        <w:rPr>
          <w:color w:val="000000"/>
          <w:highlight w:val="white"/>
        </w:rPr>
        <w:t xml:space="preserve">Công trình xây dựng trên đất là nhà 01 tầng đã hoàn thiện và đang sử dụng bình thường. Công trình </w:t>
      </w:r>
      <w:r>
        <w:rPr>
          <w:color w:val="000000"/>
          <w:highlight w:val="white"/>
        </w:rPr>
        <w:t xml:space="preserve">xây </w:t>
      </w:r>
      <w:r>
        <w:rPr>
          <w:color w:val="000000"/>
          <w:highlight w:val="white"/>
        </w:rPr>
        <w:t xml:space="preserve">dựng chư được chứng nhận trên GCN số </w:t>
      </w:r>
      <w:r>
        <w:rPr>
          <w:color w:val="000000"/>
          <w:highlight w:val="white"/>
        </w:rPr>
        <w:t xml:space="preserve">DD 681193. </w:t>
      </w:r>
      <w:r>
        <w:rPr>
          <w:color w:val="000000"/>
          <w:highlight w:val="white"/>
        </w:rPr>
        <w:t xml:space="preserve">Do vậy, được sự đồng ý của Ngân hàng, khách hàng, Tổ thẩm định không xác định giá trị của công trình xây dựng tuy nhiên vẫn coi công trình là phần không thể tách rời của tài sản thẩm định</w:t>
      </w:r>
      <w:r>
        <w:rPr>
          <w:color w:val="000000"/>
          <w:highlight w:val="white"/>
        </w:rPr>
        <w:t xml:space="preserve">.</w:t>
      </w:r>
      <w:r>
        <w:rPr>
          <w:color w:val="000000"/>
          <w:highlight w:val="white"/>
          <w14:ligatures w14:val="none"/>
        </w:rPr>
      </w:r>
      <w:r>
        <w:rPr>
          <w:color w:val="000000"/>
          <w:highlight w:val="white"/>
          <w14:ligatures w14:val="none"/>
        </w:rPr>
      </w:r>
    </w:p>
    <w:p>
      <w:pPr>
        <w:pStyle w:val="1025"/>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lang w:val="pt-BR"/>
        </w:rPr>
      </w:r>
    </w:p>
    <w:p>
      <w:pPr>
        <w:pStyle w:val="1025"/>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25"/>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25"/>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2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2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pStyle w:val="1025"/>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25"/>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2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25"/>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25"/>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lang w:val="pt-BR"/>
        </w:rPr>
      </w:r>
    </w:p>
    <w:p>
      <w:pPr>
        <w:pStyle w:val="1025"/>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w:t>
            </w:r>
            <w:r>
              <w:rPr>
                <w:sz w:val="22"/>
                <w:szCs w:val="22"/>
                <w:highlight w:val="white"/>
              </w:rPr>
            </w:r>
            <w:r>
              <w:rPr>
                <w:sz w:val="22"/>
                <w:szCs w:val="22"/>
                <w:highlight w:val="white"/>
              </w:rPr>
            </w:r>
          </w:p>
        </w:tc>
      </w:tr>
      <w:tr>
        <w:trPr>
          <w:trHeight w:val="46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0966704868</w:t>
            </w:r>
            <w:r>
              <w:rPr>
                <w:sz w:val="22"/>
                <w:szCs w:val="22"/>
                <w:highlight w:val="white"/>
              </w:rPr>
              <w:t xml:space="preserve"> </w:t>
            </w:r>
            <w:r>
              <w:rPr>
                <w:sz w:val="22"/>
                <w:szCs w:val="22"/>
                <w:highlight w:val="white"/>
              </w:rPr>
              <w:br/>
              <w:t xml:space="preserve">(</w:t>
            </w:r>
            <w:r>
              <w:rPr>
                <w:sz w:val="22"/>
                <w:szCs w:val="22"/>
                <w:highlight w:val="white"/>
              </w:rPr>
              <w:t xml:space="preserve">chị Xuyến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0979678866</w:t>
            </w:r>
            <w:r>
              <w:rPr>
                <w:sz w:val="22"/>
                <w:szCs w:val="22"/>
                <w:highlight w:val="white"/>
              </w:rPr>
              <w:br/>
            </w:r>
            <w:r>
              <w:rPr>
                <w:sz w:val="22"/>
                <w:szCs w:val="22"/>
                <w:highlight w:val="white"/>
              </w:rPr>
              <w:t xml:space="preserve">(</w:t>
            </w:r>
            <w:r>
              <w:rPr>
                <w:sz w:val="22"/>
                <w:szCs w:val="22"/>
                <w:highlight w:val="white"/>
              </w:rPr>
              <w:t xml:space="preserve">Minh Quý</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0979678866</w:t>
            </w:r>
            <w:r>
              <w:rPr>
                <w:sz w:val="22"/>
                <w:szCs w:val="22"/>
                <w:highlight w:val="white"/>
              </w:rPr>
              <w:br/>
            </w:r>
            <w:r>
              <w:rPr>
                <w:sz w:val="22"/>
                <w:szCs w:val="22"/>
                <w:highlight w:val="white"/>
              </w:rPr>
              <w:t xml:space="preserve">(</w:t>
            </w:r>
            <w:r>
              <w:rPr>
                <w:sz w:val="22"/>
                <w:szCs w:val="22"/>
                <w:highlight w:val="white"/>
              </w:rPr>
              <w:t xml:space="preserve">Minh Quý</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Đang giao dịch</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Đang giao dịch</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Có Giấy chứng nhận quyền sử dụng đất</w:t>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Có Giấy chứng nhận quyền sử dụng đất</w:t>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Có Giấy chứng nhận quyền sử dụng đất</w:t>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Có Giấy chứng nhận quyền sử dụng đất</w:t>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r>
              <w:rPr>
                <w:color w:val="000000" w:themeColor="text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2m, cách trục chính khoảng 500m.</w:t>
            </w:r>
            <w:r>
              <w:rPr>
                <w:bCs w:val="0"/>
                <w:i w:val="0"/>
                <w:sz w:val="22"/>
                <w:szCs w:val="22"/>
                <w:highlight w:val="white"/>
              </w:rPr>
            </w:r>
            <w:r>
              <w:rPr>
                <w:bCs w:val="0"/>
                <w:i w:val="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5m, cách trục chính khoảng 100m.</w:t>
            </w:r>
            <w:r>
              <w:rPr>
                <w:bCs w:val="0"/>
                <w:i w:val="0"/>
                <w:sz w:val="22"/>
                <w:szCs w:val="22"/>
                <w:highlight w:val="white"/>
              </w:rPr>
            </w:r>
            <w:r>
              <w:rPr>
                <w:bCs w:val="0"/>
                <w:i w:val="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2,5m, cách trục chính khoảng 500m.</w:t>
            </w:r>
            <w:r>
              <w:rPr>
                <w:bCs w:val="0"/>
                <w:i w:val="0"/>
                <w:sz w:val="22"/>
                <w:szCs w:val="22"/>
                <w:highlight w:val="white"/>
              </w:rPr>
            </w:r>
            <w:r>
              <w:rPr>
                <w:bCs w:val="0"/>
                <w:i w:val="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2,5m, cách trục chính khoảng 500m.</w:t>
            </w:r>
            <w:r>
              <w:rPr>
                <w:bCs w:val="0"/>
                <w:i w:val="0"/>
                <w:sz w:val="22"/>
                <w:szCs w:val="22"/>
                <w:highlight w:val="white"/>
              </w:rPr>
            </w:r>
            <w:r>
              <w:rPr>
                <w:bCs w:val="0"/>
                <w:i w:val="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Tốt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Tốt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Tốt</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110,5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9,91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4,82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6,22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2 mặt ngõ</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Vạt góc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Vạt góc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Giá rao (đồng)</w:t>
            </w:r>
            <w:r>
              <w:rPr>
                <w:color w:val="000000"/>
                <w:sz w:val="22"/>
                <w:szCs w:val="22"/>
                <w:highlight w:val="white"/>
              </w:rPr>
            </w:r>
            <w:r>
              <w:rPr>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8.800.000.000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5.027.000.000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5.193.000.000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7.480.000.000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4.524.300.000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4.673.700.000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7.480.000.000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4.524.300.000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4.673.700.000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68.000.000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44.096.491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42.295.928</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25"/>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7.480.000.000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4.524.300.000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4.673.700.000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68.000.000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44.096.491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42.295.928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16" w:lineRule="auto"/>
              <w:ind/>
              <w:jc w:val="center"/>
              <w:rPr>
                <w:b/>
                <w:bCs/>
                <w:color w:val="000000" w:themeColor="text1"/>
                <w:sz w:val="22"/>
                <w:szCs w:val="22"/>
                <w:highlight w:val="white"/>
              </w:rPr>
            </w:pPr>
            <w:r>
              <w:rPr>
                <w:color w:val="000000" w:themeColor="text1"/>
                <w:sz w:val="22"/>
                <w:szCs w:val="22"/>
                <w:highlight w:val="white"/>
              </w:rPr>
              <w:t xml:space="preserve">Có Giấy chứng nhận quyền sử dụng đất</w:t>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line="216" w:lineRule="auto"/>
              <w:ind/>
              <w:jc w:val="center"/>
              <w:rPr>
                <w:b/>
                <w:bCs/>
                <w:color w:val="000000" w:themeColor="text1"/>
                <w:sz w:val="22"/>
                <w:szCs w:val="22"/>
                <w:highlight w:val="white"/>
              </w:rPr>
            </w:pPr>
            <w:r>
              <w:rPr>
                <w:color w:val="000000" w:themeColor="text1"/>
                <w:sz w:val="22"/>
                <w:szCs w:val="22"/>
                <w:highlight w:val="white"/>
              </w:rPr>
              <w:t xml:space="preserve">Có Giấy chứng nhận quyền sử dụng đất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line="216" w:lineRule="auto"/>
              <w:ind/>
              <w:jc w:val="center"/>
              <w:rPr>
                <w:b/>
                <w:bCs/>
                <w:color w:val="000000" w:themeColor="text1"/>
                <w:sz w:val="22"/>
                <w:szCs w:val="22"/>
                <w:highlight w:val="white"/>
              </w:rPr>
            </w:pPr>
            <w:r>
              <w:rPr>
                <w:color w:val="000000" w:themeColor="text1"/>
                <w:sz w:val="22"/>
                <w:szCs w:val="22"/>
                <w:highlight w:val="white"/>
              </w:rPr>
              <w:t xml:space="preserve">Có Giấy chứng nhận quyền sử dụng đất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line="216" w:lineRule="auto"/>
              <w:ind/>
              <w:jc w:val="center"/>
              <w:rPr>
                <w:b/>
                <w:bCs/>
                <w:color w:val="000000" w:themeColor="text1"/>
                <w:sz w:val="22"/>
                <w:szCs w:val="22"/>
                <w:highlight w:val="white"/>
              </w:rPr>
            </w:pPr>
            <w:r>
              <w:rPr>
                <w:color w:val="000000" w:themeColor="text1"/>
                <w:sz w:val="22"/>
                <w:szCs w:val="22"/>
                <w:highlight w:val="white"/>
              </w:rPr>
              <w:t xml:space="preserve">Có Giấy chứng nhận quyền sử dụng đất</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68.000.000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44.096.491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42.295.928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68.000.000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44.096.491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42.295.928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Đất ở nông thôn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Đất ở nông thôn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Đất ở nông thôn – Lâu dài</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68.000.000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44.096.491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42.295.928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2m, cách trục chính khoảng 500m.</w:t>
            </w:r>
            <w:r>
              <w:rPr>
                <w:bCs w:val="0"/>
                <w:i w:val="0"/>
                <w:sz w:val="22"/>
                <w:szCs w:val="22"/>
                <w:highlight w:val="white"/>
              </w:rPr>
            </w:r>
            <w:r>
              <w:rPr>
                <w:bCs w:val="0"/>
                <w:i w:val="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5m, cách trục chính khoảng 100m.</w:t>
            </w:r>
            <w:r>
              <w:rPr>
                <w:bCs w:val="0"/>
                <w:i w:val="0"/>
                <w:sz w:val="22"/>
                <w:szCs w:val="22"/>
                <w:highlight w:val="white"/>
              </w:rPr>
            </w:r>
            <w:r>
              <w:rPr>
                <w:bCs w:val="0"/>
                <w:i w:val="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2,5m, cách trục chính khoảng 500m.</w:t>
            </w:r>
            <w:r>
              <w:rPr>
                <w:bCs w:val="0"/>
                <w:i w:val="0"/>
                <w:sz w:val="22"/>
                <w:szCs w:val="22"/>
                <w:highlight w:val="white"/>
              </w:rPr>
            </w:r>
            <w:r>
              <w:rPr>
                <w:bCs w:val="0"/>
                <w:i w:val="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Cs w:val="0"/>
                <w:i w:val="0"/>
                <w:sz w:val="22"/>
                <w:szCs w:val="22"/>
                <w:highlight w:val="white"/>
              </w:rPr>
            </w:pPr>
            <w:r>
              <w:rPr>
                <w:color w:val="000000" w:themeColor="text1"/>
                <w:sz w:val="22"/>
                <w:szCs w:val="22"/>
                <w:highlight w:val="white"/>
              </w:rPr>
              <w:t xml:space="preserve">Xã Dị Nậu, Huyện Thạch Thất, Thành phố Hà Nội. </w:t>
            </w:r>
            <w:r>
              <w:rPr>
                <w:i/>
                <w:iCs/>
                <w:color w:val="000000" w:themeColor="text1"/>
                <w:sz w:val="22"/>
                <w:szCs w:val="22"/>
                <w:highlight w:val="white"/>
              </w:rPr>
              <w:t xml:space="preserve">(Nay là </w:t>
            </w:r>
            <w:r>
              <w:rPr>
                <w:i/>
                <w:iCs/>
                <w:color w:val="000000" w:themeColor="text1"/>
                <w:sz w:val="22"/>
                <w:szCs w:val="22"/>
                <w:highlight w:val="white"/>
              </w:rPr>
              <w:t xml:space="preserve">Xã Tây Phương, Thành phố Hà Nội). </w:t>
            </w:r>
            <w:r>
              <w:rPr>
                <w:i w:val="0"/>
                <w:iCs w:val="0"/>
                <w:color w:val="000000" w:themeColor="text1"/>
                <w:sz w:val="22"/>
                <w:szCs w:val="22"/>
                <w:highlight w:val="white"/>
              </w:rPr>
              <w:t xml:space="preserve">Giáp đường rộng 2,5m, cách trục chính khoảng 500m.</w:t>
            </w:r>
            <w:r>
              <w:rPr>
                <w:bCs w:val="0"/>
                <w:i w:val="0"/>
                <w:sz w:val="22"/>
                <w:szCs w:val="22"/>
                <w:highlight w:val="white"/>
              </w:rPr>
            </w:r>
            <w:r>
              <w:rPr>
                <w:bCs w:val="0"/>
                <w:i w:val="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-10.200.000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57.800.000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44.096.491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42.295.928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-2.720.000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55.080.000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44.096.491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42.295.928</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-10.200.000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-1.322.895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-1.268.878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44.880.000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42.773.596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41.027.050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Cơ sở hạ tầng kỹ thuật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44.880.000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42.773.596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41.027.050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110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102.6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110,5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3.400.000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2.645.789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2.114.796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48.280.000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45.419.385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43.141.846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9,91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4,82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6,22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7,8</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5.440.000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3.086.754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2.537.756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53.720.000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48.506.139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45.679.602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Tiếp giáp 2 mặt ngõ</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2.040.000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1.322.895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1.268.878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55.760.000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49.829.034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46.948.480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Vạt góc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Vạt góc</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2.204.825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2.114.796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55.760.000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52.033.859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49.063.276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line="264" w:lineRule="auto"/>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55.760.000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52.033.859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49.063.276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line="264" w:lineRule="auto"/>
              <w:ind/>
              <w:jc w:val="center"/>
              <w:rPr>
                <w:b/>
                <w:bCs/>
                <w:color w:val="000000"/>
                <w:sz w:val="22"/>
                <w:szCs w:val="22"/>
                <w:highlight w:val="white"/>
              </w:rPr>
            </w:pPr>
            <w:r>
              <w:rPr>
                <w:b/>
                <w:bCs/>
                <w:color w:val="000000" w:themeColor="text1"/>
                <w:sz w:val="22"/>
                <w:szCs w:val="22"/>
                <w:highlight w:val="white"/>
              </w:rPr>
              <w:t xml:space="preserve">52.285.712</w:t>
            </w:r>
            <w:r>
              <w:rPr>
                <w:b/>
                <w:bCs/>
                <w:color w:val="000000"/>
                <w:sz w:val="22"/>
                <w:szCs w:val="22"/>
                <w:highlight w:val="white"/>
              </w:rPr>
            </w:r>
            <w:r>
              <w:rPr>
                <w:b/>
                <w:bCs/>
                <w:color w:val="000000"/>
                <w:sz w:val="22"/>
                <w:szCs w:val="22"/>
                <w:highlight w:val="white"/>
              </w:rPr>
            </w:r>
          </w:p>
        </w:tc>
      </w:tr>
      <w:tr>
        <w:trPr>
          <w:trHeight w:val="582"/>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6,64%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-0,48%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themeColor="text1"/>
                <w:sz w:val="22"/>
                <w:szCs w:val="22"/>
                <w:highlight w:val="white"/>
              </w:rPr>
              <w:t xml:space="preserve">-6,16%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gridSpan w:val="2"/>
            <w:shd w:val="clear" w:color="000000" w:fill="ffffff"/>
            <w:tcBorders/>
            <w:tcW w:w="2795" w:type="dxa"/>
            <w:vAlign w:val="center"/>
            <w:textDirection w:val="lrTb"/>
            <w:noWrap w:val="false"/>
          </w:tcPr>
          <w:p>
            <w:pPr>
              <w:pBdr/>
              <w:spacing w:line="264" w:lineRule="auto"/>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line="264"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34.000.000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10.583.158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highlight w:val="white"/>
              </w:rPr>
            </w:pPr>
            <w:r>
              <w:rPr>
                <w:color w:val="000000" w:themeColor="text1"/>
                <w:sz w:val="22"/>
                <w:szCs w:val="22"/>
                <w:highlight w:val="white"/>
              </w:rPr>
              <w:t xml:space="preserve">9.305.104</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0% - 15%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0% - 6%</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line="264" w:lineRule="auto"/>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12.240.000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7.937.368</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line="264" w:lineRule="auto"/>
              <w:ind/>
              <w:jc w:val="center"/>
              <w:rPr>
                <w:sz w:val="22"/>
                <w:szCs w:val="22"/>
                <w:highlight w:val="white"/>
              </w:rPr>
            </w:pPr>
            <w:r>
              <w:rPr>
                <w:color w:val="000000" w:themeColor="text1"/>
                <w:sz w:val="22"/>
                <w:szCs w:val="22"/>
                <w:highlight w:val="white"/>
              </w:rPr>
              <w:t xml:space="preserve">6.767.348</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-6,16</w:t>
      </w:r>
      <w:r>
        <w:rPr>
          <w:highlight w:val="white"/>
        </w:rPr>
        <w:t xml:space="preserve">% đến</w:t>
      </w:r>
      <w:r>
        <w:rPr>
          <w:highlight w:val="white"/>
        </w:rPr>
        <w:t xml:space="preserve"> </w:t>
      </w:r>
      <w:r>
        <w:rPr>
          <w:highlight w:val="white"/>
        </w:rPr>
        <w:t xml:space="preserve"> </w:t>
      </w:r>
      <w:r>
        <w:rPr>
          <w:highlight w:val="white"/>
        </w:rPr>
        <w:t xml:space="preserve">6,64</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bCs/>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757"/>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21" w:lineRule="auto"/>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21" w:lineRule="auto"/>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21" w:lineRule="auto"/>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21" w:lineRule="auto"/>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21" w:lineRule="auto"/>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55.760.000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30</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16.728.000</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52.033.859</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35</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18.211.851</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49.063.276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35</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17.172.147</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52.111.998</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52.000.000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52.000.000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25"/>
        <w:numPr>
          <w:ilvl w:val="0"/>
          <w:numId w:val="26"/>
        </w:numPr>
        <w:pBdr/>
        <w:spacing w:after="120" w:before="120" w:line="276" w:lineRule="auto"/>
        <w:ind w:hanging="357" w:left="357"/>
        <w:jc w:val="both"/>
        <w:rPr>
          <w:b/>
          <w:bCs/>
          <w:highlight w:val="white"/>
        </w:rPr>
      </w:pPr>
      <w:r>
        <w:rPr>
          <w:b/>
          <w:bCs/>
          <w:highlight w:val="white"/>
        </w:rPr>
      </w:r>
      <w:r>
        <w:rPr>
          <w:b/>
          <w:highlight w:val="white"/>
          <w:lang w:val="pt-BR"/>
        </w:rPr>
        <w:t xml:space="preserve">Kết quả thẩm định giá:</w:t>
      </w:r>
      <w:r>
        <w:rPr>
          <w:b/>
          <w:bCs/>
          <w:highlight w:val="white"/>
        </w:rPr>
      </w:r>
      <w:r>
        <w:rPr>
          <w:b/>
          <w:bCs/>
          <w:highlight w:val="white"/>
        </w:rPr>
      </w:r>
    </w:p>
    <w:p>
      <w:pPr>
        <w:pStyle w:val="1025"/>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04/2026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97"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81"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89"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pPr>
              <w:pBdr/>
              <w:spacing w:after="40" w:before="40" w:line="288" w:lineRule="auto"/>
              <w:ind/>
              <w:jc w:val="both"/>
              <w:rPr>
                <w:b/>
                <w:bCs/>
                <w:highlight w:val="white"/>
              </w:rPr>
            </w:pPr>
            <w:r>
              <w:rPr>
                <w:b/>
                <w:bCs/>
                <w:color w:val="000000"/>
                <w:highlight w:val="white"/>
              </w:rPr>
              <w:t xml:space="preserve">Quyền sử dụng đất tại thửa đất số 654, tờ bản đồ số 4 có địa chỉ: xã Dị Nậu, huyện Thạch Thất, thành phố Hà Nội (Nay là </w:t>
            </w:r>
            <w:r>
              <w:rPr>
                <w:b/>
                <w:bCs/>
                <w:color w:val="000000"/>
                <w:highlight w:val="white"/>
              </w:rPr>
              <w:t xml:space="preserve">Xã </w:t>
            </w:r>
            <w:r>
              <w:rPr>
                <w:b/>
                <w:bCs/>
                <w:color w:val="000000"/>
                <w:highlight w:val="white"/>
              </w:rPr>
              <w:t xml:space="preserve">Tây Phương, thành phố Hà Nội)  theo Giấy chứng nhận quyền sử dụng đất quyền sở hữu nhà ở và tài sản khác gắn liền với đất số DD 681193, số vào sổ cấp GCN CS-TTH 23177 do Sở Tài nguyên và Môi trường thành phố Hà Nội cấp ngày 20/10/2021 cho ông Đỗ Thành Long.</w:t>
            </w:r>
            <w:r>
              <w:rPr>
                <w:b/>
                <w:bCs/>
                <w:highlight w:val="white"/>
              </w:rPr>
              <w:t xml:space="preserve">.</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97"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r>
              <w:rPr>
                <w:b w:val="0"/>
                <w:bCs w:val="0"/>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80</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52.000.000</w:t>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4.160.000.000</w:t>
            </w:r>
            <w:r>
              <w:rPr>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b/>
                <w:bCs/>
                <w:highlight w:val="white"/>
              </w:rPr>
              <w:t xml:space="preserve">4.160.000.000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một trăm sáu mươi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25"/>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25"/>
        <w:numPr>
          <w:ilvl w:val="0"/>
          <w:numId w:val="4"/>
        </w:numPr>
        <w:pBdr/>
        <w:tabs>
          <w:tab w:val="left" w:leader="none" w:pos="993"/>
        </w:tabs>
        <w:spacing w:after="120" w:before="120" w:line="288" w:lineRule="auto"/>
        <w:ind/>
        <w:jc w:val="both"/>
        <w:rPr>
          <w:b/>
          <w:color w:val="000000" w:themeColor="text1"/>
          <w:highlight w:val="white"/>
        </w:rPr>
      </w:pPr>
      <w:r>
        <w:rPr>
          <w:highlight w:val="white"/>
          <w:lang w:val="pt-BR"/>
        </w:rPr>
        <w:t xml:space="preserve">Tố</w:t>
      </w:r>
      <w:r>
        <w:rPr>
          <w:color w:val="000000" w:themeColor="text1"/>
          <w:highlight w:val="white"/>
          <w:lang w:val="pt-BR"/>
        </w:rPr>
        <w:t xml:space="preserve">i đa 06 (sáu) tháng tính từ ngày ký đối với tài sản là Bất động sản.</w:t>
      </w:r>
      <w:r>
        <w:rPr>
          <w:b/>
          <w:color w:val="000000" w:themeColor="text1"/>
          <w:highlight w:val="white"/>
        </w:rPr>
      </w:r>
      <w:r>
        <w:rPr>
          <w:b/>
          <w:color w:val="000000" w:themeColor="text1"/>
          <w:highlight w:val="white"/>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highlight w:val="white"/>
        </w:rPr>
      </w:pPr>
      <w:r>
        <w:rPr>
          <w:rFonts w:ascii="Times New Roman Bold" w:hAnsi="Times New Roman Bold"/>
          <w:b/>
          <w:bCs/>
          <w:color w:val="000000" w:themeColor="text1"/>
          <w:spacing w:val="-4"/>
          <w:highlight w:val="white"/>
          <w:lang w:val="pt-BR"/>
        </w:rPr>
        <w:t xml:space="preserve">X. TUYÊN BỐ CHUNG VÀ MIỄN TRỪ TRÁCH NHIỆM</w:t>
      </w:r>
      <w:r>
        <w:rPr>
          <w:rFonts w:ascii="Times New Roman Bold" w:hAnsi="Times New Roman Bold"/>
          <w:b/>
          <w:bCs/>
          <w:color w:val="000000" w:themeColor="text1"/>
          <w:spacing w:val="-4"/>
          <w:highlight w:val="white"/>
        </w:rPr>
      </w:r>
      <w:r>
        <w:rPr>
          <w:rFonts w:ascii="Times New Roman Bold" w:hAnsi="Times New Roman Bold"/>
          <w:b/>
          <w:bCs/>
          <w:color w:val="000000" w:themeColor="text1"/>
          <w:spacing w:val="-4"/>
          <w:highlight w:val="white"/>
        </w:rPr>
      </w:r>
    </w:p>
    <w:p>
      <w:pPr>
        <w:pStyle w:val="1025"/>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r>
      <w:r>
        <w:rPr>
          <w:rFonts w:ascii="Times New Roman" w:hAnsi="Times New Roman" w:eastAsia="Times New Roman" w:cs="Times New Roman"/>
          <w:color w:val="000000" w:themeColor="text1"/>
          <w:sz w:val="24"/>
          <w:highlight w:val="white"/>
        </w:rPr>
        <w:t xml:space="preserve">Kết quả thẩm định giá chỉ được sử dụng cho một “mục đích thẩm định giá” duy nhất theo yêu</w:t>
        <w:br/>
        <w:t xml:space="preserve">cầu của khách hàng đã được ghi tại phần đầu của chứng thư. Khách hàng phải hoàn toàn chịu</w:t>
        <w:br/>
        <w:t xml:space="preserve">trách nhiệm khi sử dụng sai mục đích đã yêu cầu</w:t>
      </w:r>
      <w:r>
        <w:rPr>
          <w:color w:val="000000" w:themeColor="text1"/>
          <w:highlight w:val="white"/>
          <w:lang w:val="pt-BR"/>
        </w:rPr>
        <w:t xml:space="preserve">.</w:t>
      </w:r>
      <w:r>
        <w:rPr>
          <w:color w:val="000000" w:themeColor="text1"/>
          <w:highlight w:val="white"/>
        </w:rPr>
      </w:r>
      <w:r>
        <w:rPr>
          <w:color w:val="000000" w:themeColor="text1"/>
          <w:highlight w:val="white"/>
        </w:rPr>
      </w:r>
    </w:p>
    <w:p>
      <w:pPr>
        <w:pStyle w:val="1025"/>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25"/>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25"/>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25"/>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25"/>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25"/>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25"/>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25"/>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25"/>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25"/>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25"/>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25"/>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lang w:val="pt-BR"/>
        </w:rPr>
      </w:r>
    </w:p>
    <w:p>
      <w:pPr>
        <w:pStyle w:val="1025"/>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25"/>
        <w:numPr>
          <w:ilvl w:val="0"/>
          <w:numId w:val="5"/>
        </w:numPr>
        <w:pBdr/>
        <w:tabs>
          <w:tab w:val="left" w:leader="none" w:pos="993"/>
        </w:tabs>
        <w:spacing w:after="120" w:before="120" w:line="288" w:lineRule="auto"/>
        <w:ind/>
        <w:jc w:val="both"/>
        <w:rPr>
          <w:bCs/>
          <w:spacing w:val="-2"/>
          <w:highlight w:val="white"/>
        </w:rPr>
      </w:pPr>
      <w:r>
        <w:rPr>
          <w:bCs/>
          <w:spacing w:val="-2"/>
          <w:highlight w:val="white"/>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highlight w:val="white"/>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highlight w:val="white"/>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highlight w:val="white"/>
          <w:lang w:val="pt-BR"/>
        </w:rPr>
      </w:r>
      <w:r>
        <w:rPr>
          <w:bCs/>
          <w:spacing w:val="-2"/>
          <w:highlight w:val="white"/>
          <w:lang w:val="pt-BR"/>
        </w:rPr>
      </w:r>
    </w:p>
    <w:p>
      <w:pPr>
        <w:pStyle w:val="1025"/>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25"/>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lang w:val="pt-BR"/>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25"/>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Style w:val="1025"/>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275/2026/0659/VFI-CT.24.A</w:t>
      </w:r>
      <w:r>
        <w:rPr>
          <w:color w:val="ff0000"/>
          <w:highlight w:val="white"/>
          <w:lang w:val="vi-VN"/>
        </w:rPr>
        <w:t xml:space="preserve"> </w:t>
      </w:r>
      <w:r>
        <w:rPr>
          <w:color w:val="000000" w:themeColor="text1"/>
          <w:highlight w:val="white"/>
        </w:rPr>
        <w:t xml:space="preserve">ngày 29 tháng 4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Ind w:w="-252" w:type="dxa"/>
        <w:tblW w:w="5206" w:type="pct"/>
        <w:tblBorders/>
        <w:tblLayout w:type="fixed"/>
        <w:tblLook w:val="01E0" w:firstRow="1" w:lastRow="1" w:firstColumn="1" w:lastColumn="1" w:noHBand="0" w:noVBand="0"/>
      </w:tblPr>
      <w:tblGrid>
        <w:gridCol w:w="4687"/>
        <w:gridCol w:w="5231"/>
      </w:tblGrid>
      <w:tr>
        <w:trPr>
          <w:trHeight w:val="20"/>
        </w:trPr>
        <w:tc>
          <w:tcPr>
            <w:tcBorders/>
            <w:tcW w:w="4687" w:type="dxa"/>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5231" w:type="dxa"/>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4687" w:type="dxa"/>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5231" w:type="dxa"/>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4687" w:type="dxa"/>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5231" w:type="dxa"/>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Thị Quỳnh Anh</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pPr>
        <w:pBdr/>
        <w:shd w:val="nil"/>
        <w:spacing/>
        <w:ind/>
        <w:rPr>
          <w:b/>
          <w:bCs/>
          <w:highlight w:val="white"/>
          <w:u w:val="single"/>
        </w:rPr>
      </w:pPr>
      <w:r>
        <w:rPr>
          <w:b/>
          <w:highlight w:val="white"/>
          <w:lang w:val="pt-BR"/>
        </w:rPr>
        <w:br w:type="page" w:clear="all"/>
      </w:r>
      <w:r>
        <w:rPr>
          <w:b/>
          <w:highlight w:val="white"/>
          <w:lang w:val="pt-BR"/>
        </w:rPr>
      </w:r>
      <w:r>
        <w:rPr>
          <w:b/>
          <w:highlight w:val="white"/>
          <w:lang w:val="pt-BR"/>
        </w:rPr>
      </w:r>
    </w:p>
    <w:p>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275/2026/0659/VFI-BC.24.A</w:t>
      </w:r>
      <w:r>
        <w:rPr>
          <w:i/>
          <w:highlight w:val="white"/>
          <w:lang w:val="pt-BR"/>
        </w:rPr>
        <w:t xml:space="preserve"> ngày </w:t>
      </w:r>
      <w:r>
        <w:rPr>
          <w:i/>
          <w:highlight w:val="white"/>
          <w:lang w:val="pt-BR"/>
        </w:rPr>
        <w:t xml:space="preserve">29 tháng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44549" cy="220841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087" name=""/>
                              <pic:cNvPicPr>
                                <a:picLocks noChangeAspect="1"/>
                              </pic:cNvPicPr>
                              <pic:nvPr/>
                            </pic:nvPicPr>
                            <pic:blipFill rotWithShape="1">
                              <a:blip r:embed="rId21"/>
                              <a:stretch/>
                            </pic:blipFill>
                            <pic:spPr bwMode="auto">
                              <a:xfrm flipH="1" flipV="0">
                                <a:off x="0" y="0"/>
                                <a:ext cx="2944548" cy="22084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85pt;height:173.89pt;mso-wrap-distance-left:0.00pt;mso-wrap-distance-top:0.00pt;mso-wrap-distance-right:0.00pt;mso-wrap-distance-bottom:0.00pt;flip:x;z-index:1;" stroked="false">
                      <v:imagedata r:id="rId21"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lang w:val="pt-BR"/>
              </w:rPr>
            </w:r>
          </w:p>
        </w:tc>
      </w:tr>
    </w:tbl>
    <w:p>
      <w:pPr>
        <w:pBdr/>
        <w:spacing/>
        <w:ind/>
        <w:rPr>
          <w:highlight w:val="white"/>
        </w:rPr>
      </w:pPr>
      <w:r>
        <w:rPr>
          <w:highlight w:val="white"/>
        </w:rPr>
      </w:r>
      <w:r>
        <w:rPr>
          <w:highlight w:val="white"/>
        </w:rPr>
      </w:r>
    </w:p>
    <w:p>
      <w:pPr>
        <w:pBdr/>
        <w:spacing w:after="200" w:line="276" w:lineRule="auto"/>
        <w:ind/>
        <w:rPr>
          <w:highlight w:val="white"/>
        </w:rPr>
      </w:pPr>
      <w:r>
        <w:rPr>
          <w:highlight w:val="white"/>
        </w:rPr>
        <w:br w:type="page" w:clear="all"/>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lang w:val="pt-BR"/>
        </w:rPr>
      </w:r>
    </w:p>
    <w:p>
      <w:pPr>
        <w:pBdr/>
        <w:spacing/>
        <w:ind/>
        <w:jc w:val="center"/>
        <w:rPr>
          <w:i/>
          <w:highlight w:val="white"/>
        </w:rPr>
      </w:pPr>
      <w:r>
        <w:rPr>
          <w:i/>
          <w:highlight w:val="white"/>
          <w:lang w:val="pt-BR"/>
        </w:rPr>
        <w:t xml:space="preserve">(Kèm theo Báo cáo thẩm định số </w:t>
      </w:r>
      <w:r>
        <w:rPr>
          <w:i/>
          <w:highlight w:val="white"/>
        </w:rPr>
        <w:t xml:space="preserve">275/2026/0659/VFI-BC.24.A</w:t>
      </w:r>
      <w:r>
        <w:rPr>
          <w:i/>
          <w:highlight w:val="white"/>
          <w:lang w:val="pt-BR"/>
        </w:rPr>
        <w:t xml:space="preserve"> </w:t>
      </w:r>
      <w:r>
        <w:rPr>
          <w:i/>
          <w:highlight w:val="white"/>
          <w:lang w:val="pt-BR"/>
        </w:rPr>
        <w:t xml:space="preserve">ngày 29 tháng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t xml:space="preserve">: 0966704868</w:t>
            </w:r>
            <w:r>
              <w:rPr>
                <w:sz w:val="22"/>
                <w:szCs w:val="22"/>
                <w:highlight w:val="white"/>
              </w:rPr>
              <w:t xml:space="preserve"> </w:t>
            </w:r>
            <w:r>
              <w:rPr>
                <w:sz w:val="22"/>
                <w:szCs w:val="22"/>
                <w:highlight w:val="white"/>
              </w:rPr>
              <w:br/>
              <w:t xml:space="preserve">(chị Xuyến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8.800.000.000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7.480.000.000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Đầy đủ pháp lý</w:t>
            </w:r>
            <w:r>
              <w:rPr>
                <w:color w:val="000000" w:themeColor="text1"/>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(110m²)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Xã Dị Nậu, Huyện Thạch Thất, Thành phố Hà Nội. (Nay là Xã Tây Phương, Thành phố Hà Nội). Giáp đường rộng 5m, cách trục chính khoảng 100m.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4,82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w:t>
            </w:r>
            <w:r>
              <w:rPr>
                <w:color w:val="000000"/>
                <w:sz w:val="22"/>
                <w:szCs w:val="22"/>
                <w:highlight w:val="white"/>
              </w:rPr>
              <w:t xml:space="preserve"> 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87988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798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5.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08041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375225866" name="" descr=""/>
                              <pic:cNvPicPr/>
                              <pic:nvPr/>
                            </pic:nvPicPr>
                            <pic:blipFill rotWithShape="1">
                              <a:blip r:embed="rId25"/>
                              <a:stretch/>
                            </pic:blipFill>
                            <pic:spPr bwMode="auto">
                              <a:xfrm>
                                <a:off x="0" y="0"/>
                                <a:ext cx="308041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2.5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i/>
          <w:highlight w:val="white"/>
        </w:rPr>
      </w:pPr>
      <w:r>
        <w:rPr>
          <w:i/>
          <w:highlight w:val="white"/>
          <w:lang w:val="pt-BR"/>
        </w:rPr>
      </w:r>
      <w:r>
        <w:rPr>
          <w:i/>
          <w:highlight w:val="white"/>
          <w:lang w:val="pt-BR"/>
        </w:rPr>
      </w:r>
      <w:r>
        <w:rPr>
          <w:i/>
          <w:highlight w:val="whit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highlight w:val="white"/>
              </w:rPr>
            </w:pPr>
            <w:r>
              <w:rPr>
                <w:highlight w:val="white"/>
              </w:rPr>
              <w:t xml:space="preserve">Lê Thị Quỳnh Anh</w:t>
            </w:r>
            <w:r>
              <w:rPr>
                <w:highlight w:val="white"/>
              </w:rPr>
            </w:r>
          </w:p>
        </w:tc>
      </w:tr>
      <w:tr>
        <w:trPr>
          <w:trHeight w:val="298"/>
        </w:trPr>
        <w:tc>
          <w:tcPr>
            <w:tcBorders/>
            <w:tcW w:w="4358"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jc w:val="center"/>
        <w:rPr>
          <w:b/>
          <w:bCs/>
          <w:iCs/>
          <w:highlight w:val="white"/>
        </w:rPr>
      </w:pPr>
      <w:r>
        <w:rPr>
          <w:b/>
          <w:bCs/>
          <w:iCs/>
          <w:highlight w:val="white"/>
          <w:lang w:val="pt-BR"/>
        </w:rPr>
      </w:r>
      <w:r>
        <w:rPr>
          <w:b/>
          <w:bCs/>
          <w:iCs/>
          <w:highlight w:val="white"/>
          <w:lang w:val="pt-BR"/>
        </w:rPr>
      </w:r>
      <w:r>
        <w:rPr>
          <w:b/>
          <w:bCs/>
          <w:iCs/>
          <w:highlight w:val="white"/>
          <w:lang w:val="pt-BR"/>
        </w:rPr>
      </w:r>
    </w:p>
    <w:p>
      <w:pPr>
        <w:pBdr/>
        <w:spacing w:after="200" w:line="276" w:lineRule="auto"/>
        <w:ind/>
        <w:rPr>
          <w:b/>
          <w:bCs/>
          <w:iCs/>
          <w:highlight w:val="white"/>
        </w:rPr>
      </w:pPr>
      <w:r>
        <w:rPr>
          <w:b/>
          <w:bCs/>
          <w:iCs/>
          <w:highlight w:val="white"/>
          <w:lang w:val="pt-BR"/>
        </w:rPr>
        <w:br w:type="page" w:clear="all"/>
      </w:r>
      <w:r>
        <w:rPr>
          <w:b/>
          <w:bCs/>
          <w:iCs/>
          <w:highlight w:val="white"/>
          <w:lang w:val="pt-BR"/>
        </w:rPr>
      </w:r>
      <w:r>
        <w:rPr>
          <w:b/>
          <w:bCs/>
          <w:iCs/>
          <w:highlight w:val="white"/>
          <w:lang w:val="pt-BR"/>
        </w:rPr>
      </w:r>
    </w:p>
    <w:p>
      <w:pPr>
        <w:pBdr/>
        <w:spacing w:after="200" w:line="276" w:lineRule="auto"/>
        <w:ind/>
        <w:jc w:val="center"/>
        <w:rPr>
          <w:bCs/>
          <w:iCs/>
          <w:highlight w:val="white"/>
        </w:rPr>
      </w:pPr>
      <w:r>
        <w:rPr>
          <w:b/>
          <w:bCs/>
          <w:iCs/>
          <w:highlight w:val="white"/>
          <w:lang w:val="pt-BR"/>
        </w:rPr>
        <w:t xml:space="preserve">TSSS2</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t xml:space="preserve"> 0979678866</w:t>
            </w:r>
            <w:r>
              <w:rPr>
                <w:sz w:val="22"/>
                <w:szCs w:val="22"/>
                <w:highlight w:val="white"/>
              </w:rPr>
              <w:t xml:space="preserve"> </w:t>
            </w:r>
            <w:r>
              <w:rPr>
                <w:sz w:val="22"/>
                <w:szCs w:val="22"/>
                <w:highlight w:val="white"/>
              </w:rPr>
              <w:br/>
              <w:t xml:space="preserve">(Minh Quý</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5.027.000.000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4.524.300.000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Đầy đủ pháp lý</w:t>
            </w:r>
            <w:r>
              <w:rPr>
                <w:color w:val="000000" w:themeColor="text1"/>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(102.6m²)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w:t>
            </w:r>
            <w:r>
              <w:rPr>
                <w:color w:val="000000" w:themeColor="text1"/>
                <w:sz w:val="22"/>
                <w:szCs w:val="22"/>
                <w:highlight w:val="white"/>
              </w:rPr>
              <w:t xml:space="preserve">Xã Dị Nậu, Huyện Thạch Thất, Thành phố Hà Nội. (Nay là Xã Tây Phương, Thành phố Hà Nội). Giáp đường rộng 2,5m, cách trục chính khoảng 500m.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102,6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6,22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Vạt góc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Không có lợi thế thương mại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Không có bất lợi thương mại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23217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21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2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bCs/>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Lê Thị Quỳnh Anh</w:t>
            </w:r>
            <w:r>
              <w:rPr>
                <w:highlight w:val="white"/>
              </w:rPr>
            </w:r>
          </w:p>
          <w:p>
            <w:pPr>
              <w:pBdr/>
              <w:spacing/>
              <w:ind/>
              <w:jc w:val="center"/>
              <w:rPr>
                <w:highlight w:val="white"/>
              </w:rPr>
            </w:pPr>
            <w:r>
              <w:rPr>
                <w:highlight w:val="white"/>
              </w:rPr>
            </w:r>
            <w:r>
              <w:rPr>
                <w:highlight w:val="white"/>
              </w:rPr>
            </w:r>
          </w:p>
        </w:tc>
      </w:tr>
    </w:tbl>
    <w:p>
      <w:pPr>
        <w:pBdr/>
        <w:spacing w:after="200" w:line="276" w:lineRule="auto"/>
        <w:ind/>
        <w:rPr>
          <w:bCs/>
          <w:iCs/>
          <w:highlight w:val="white"/>
        </w:rPr>
      </w:pPr>
      <w:r>
        <w:rPr>
          <w:iCs/>
          <w:highlight w:val="white"/>
          <w:lang w:val="pt-BR"/>
        </w:rPr>
      </w:r>
      <w:r>
        <w:rPr>
          <w:iCs/>
          <w:highlight w:val="white"/>
          <w:lang w:val="pt-BR"/>
        </w:rPr>
      </w:r>
      <w:r>
        <w:rPr>
          <w:iCs/>
          <w:highlight w:val="white"/>
          <w:lang w:val="pt-BR"/>
        </w:rPr>
      </w:r>
    </w:p>
    <w:p>
      <w:pPr>
        <w:pBdr/>
        <w:spacing w:after="200" w:line="276" w:lineRule="auto"/>
        <w:ind/>
        <w:jc w:val="center"/>
        <w:rPr>
          <w:b/>
          <w:bCs/>
          <w:highlight w:val="white"/>
        </w:rPr>
      </w:pPr>
      <w:r>
        <w:rPr>
          <w:b/>
          <w:bCs/>
          <w:iCs/>
          <w:highlight w:val="white"/>
          <w:lang w:val="pt-BR"/>
        </w:rPr>
      </w:r>
      <w:r>
        <w:rPr>
          <w:b/>
          <w:bCs/>
          <w:iCs/>
          <w:highlight w:val="white"/>
          <w:lang w:val="pt-BR"/>
        </w:rPr>
      </w:r>
      <w:r>
        <w:rPr>
          <w:b/>
          <w:bCs/>
          <w:iCs/>
          <w:highlight w:val="white"/>
          <w:lang w:val="pt-BR"/>
        </w:rPr>
      </w:r>
    </w:p>
    <w:p>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t xml:space="preserve"> SĐT: </w:t>
            </w:r>
            <w:r>
              <w:rPr>
                <w:color w:val="000000" w:themeColor="text1"/>
                <w:sz w:val="22"/>
                <w:szCs w:val="22"/>
                <w:highlight w:val="white"/>
              </w:rPr>
              <w:t xml:space="preserve">0979678866</w:t>
            </w:r>
            <w:r>
              <w:rPr>
                <w:sz w:val="22"/>
                <w:szCs w:val="22"/>
                <w:highlight w:val="white"/>
              </w:rPr>
              <w:t xml:space="preserve"> </w:t>
            </w:r>
            <w:r>
              <w:rPr>
                <w:sz w:val="22"/>
                <w:szCs w:val="22"/>
                <w:highlight w:val="white"/>
              </w:rPr>
              <w:br/>
              <w:t xml:space="preserve">(Minh Quý</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5.193.000.000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4.673.700.000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Đầy đủ pháp lý</w:t>
            </w:r>
            <w:r>
              <w:rPr>
                <w:color w:val="000000" w:themeColor="text1"/>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(110.5m²)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Xã Dị Nậu, Huyện Thạch Thất, Thành phố Hà Nội. (Nay là Xã Tây Phương, Thành phố Hà Nội). Giáp đường rộng 2,5m, cách trục chính khoảng 500m.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110,5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Vạt góc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Không có lợi thế thương mại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Không có bất lợi thương mại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23217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21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2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bCs/>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 </w:t>
            </w:r>
            <w:r>
              <w:rPr>
                <w:highlight w:val="white"/>
              </w:rPr>
            </w:r>
          </w:p>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Lê Thị Quỳnh Anh</w:t>
            </w:r>
            <w:r>
              <w:rPr>
                <w:b/>
                <w:bCs/>
                <w:highlight w:val="white"/>
              </w:rPr>
            </w:r>
            <w:r>
              <w:rPr>
                <w:b/>
                <w:bCs/>
                <w:highlight w:val="white"/>
              </w:rPr>
            </w:r>
          </w:p>
        </w:tc>
      </w:tr>
    </w:tbl>
    <w:p>
      <w:pPr>
        <w:pBdr/>
        <w:spacing w:after="200" w:line="276" w:lineRule="auto"/>
        <w:ind/>
        <w:rPr>
          <w:bCs/>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5-04T09:27:14Z" w:initials="NTTD">
    <w:p w14:paraId="00000001" w14:textId="00000001">
      <w:pPr>
        <w:spacing w:line="240" w:after="0" w:lineRule="auto" w:before="0"/>
        <w:ind w:firstLine="0" w:left="0" w:right="0"/>
        <w:jc w:val="left"/>
      </w:pPr>
      <w:r>
        <w:rPr>
          <w:rFonts w:eastAsia="Arial" w:ascii="Arial" w:hAnsi="Arial" w:cs="Arial"/>
          <w:sz w:val="22"/>
        </w:rPr>
        <w:t xml:space="preserve">BC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AFEDFD5" w16cex:dateUtc="2026-05-04T02:27:1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AFEDF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comments" Target="comments.xml" /><Relationship Id="rId33" Type="http://schemas.microsoft.com/office/2011/relationships/commentsExtended" Target="commentsExtended.xml" /><Relationship Id="rId34" Type="http://schemas.microsoft.com/office/2018/08/relationships/commentsExtensible" Target="commentsExtensible.xml" /><Relationship Id="rId35" Type="http://schemas.microsoft.com/office/2016/09/relationships/commentsIds" Target="commentsIds.xml" /><Relationship Id="rId3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282</cp:revision>
  <dcterms:created xsi:type="dcterms:W3CDTF">2025-09-15T09:58:00Z</dcterms:created>
  <dcterms:modified xsi:type="dcterms:W3CDTF">2026-05-04T02:55:14Z</dcterms:modified>
</cp:coreProperties>
</file>