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7254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7254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Số: 275/2026/0635/VFI-CT.44.A</w:t>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Ngân hàng Nông nghiệp và Phát triển Nông thôn Việt Nam (Agribank) - Chi nhánh huyện Văn Giang Hưng Yên II</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Căn hộ chung cư số R212A03 Tòa nhà R2, khu căn hộ Hồ Thiên Nga (CT21-22), khu đô thị thương mại và dịch vụ Văn Giang (Ecopark), xã Phụng Công, huyện Văn Giang (</w:t>
                            </w:r>
                            <w:r>
                              <w:rPr>
                                <w:rFonts w:ascii="Times New Roman" w:hAnsi="Times New Roman" w:eastAsia="Times New Roman" w:cs="Times New Roman"/>
                                <w:i/>
                                <w:iCs/>
                                <w:color w:val="000000"/>
                                <w:sz w:val="24"/>
                              </w:rPr>
                              <w:t xml:space="preserve">nay là xã Phụng Công</w:t>
                            </w:r>
                            <w:r>
                              <w:rPr>
                                <w:rFonts w:ascii="Times New Roman" w:hAnsi="Times New Roman" w:eastAsia="Times New Roman" w:cs="Times New Roman"/>
                                <w:color w:val="000000"/>
                                <w:sz w:val="24"/>
                              </w:rPr>
                              <w:t xml:space="preserve">), tỉnh Hưng Yên theo Giấy chứng nhận quyền sử dụng đất, quyền sở hữu tài sả</w:t>
                            </w:r>
                            <w:r>
                              <w:rPr>
                                <w:rFonts w:ascii="Times New Roman" w:hAnsi="Times New Roman" w:eastAsia="Times New Roman" w:cs="Times New Roman"/>
                                <w:color w:val="000000"/>
                                <w:sz w:val="24"/>
                              </w:rPr>
                              <w:t xml:space="preserve">n gắn liền với đất số: DQ 907595, số vào sổ cấp GCN: VP09620 do Văn phòng đăng ký đất đai tỉnh Hưng Yên cấp ngày 27/12/2024; Chủ sở hữu căn hộ là Ông Nguyễn Văn Thảo và vợ Nguyễn Thị Phương Loan</w:t>
                            </w:r>
                            <w:r>
                              <w:rPr>
                                <w:rFonts w:ascii="Times New Roman" w:hAnsi="Times New Roman" w:eastAsia="Times New Roman" w:cs="Times New Roman"/>
                                <w:i/>
                                <w:color w:val="000000"/>
                                <w:sz w:val="24"/>
                              </w:rPr>
                              <w:t xml:space="preserve">.</w:t>
                            </w:r>
                            <w:r/>
                          </w:p>
                          <w:p>
                            <w:pPr>
                              <w:pBdr/>
                              <w:spacing w:after="120" w:before="120" w:line="360" w:lineRule="auto"/>
                              <w:ind/>
                              <w:jc w:val="center"/>
                              <w:rPr>
                                <w:bCs/>
                                <w:i/>
                                <w:iCs/>
                              </w:rPr>
                            </w:pPr>
                            <w:r>
                              <w:rPr>
                                <w:b/>
                                <w:bCs/>
                                <w:lang w:val="pt-BR"/>
                              </w:rPr>
                            </w: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4/2026</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93.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color w:val="000000" w:themeColor="text1"/>
                        </w:rPr>
                      </w:pPr>
                      <w:r>
                        <w:rPr>
                          <w:rFonts w:ascii="Times New Roman" w:hAnsi="Times New Roman" w:eastAsia="Times New Roman" w:cs="Times New Roman"/>
                          <w:b/>
                          <w:color w:val="000000" w:themeColor="text1"/>
                          <w:sz w:val="24"/>
                        </w:rPr>
                        <w:t xml:space="preserve">Số: 275/2026/0635/VFI-CT.44.A</w:t>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Ngân hàng Nông nghiệp và Phát triển Nông thôn Việt Nam (Agribank) - Chi nhánh huyện Văn Giang Hưng Yên II</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Căn hộ chung cư số R212A03 Tòa nhà R2, khu căn hộ Hồ Thiên Nga (CT21-22), khu đô thị thương mại và dịch vụ Văn Giang (Ecopark), xã Phụng Công, huyện Văn Giang (</w:t>
                      </w:r>
                      <w:r>
                        <w:rPr>
                          <w:rFonts w:ascii="Times New Roman" w:hAnsi="Times New Roman" w:eastAsia="Times New Roman" w:cs="Times New Roman"/>
                          <w:i/>
                          <w:iCs/>
                          <w:color w:val="000000"/>
                          <w:sz w:val="24"/>
                        </w:rPr>
                        <w:t xml:space="preserve">nay là xã Phụng Công</w:t>
                      </w:r>
                      <w:r>
                        <w:rPr>
                          <w:rFonts w:ascii="Times New Roman" w:hAnsi="Times New Roman" w:eastAsia="Times New Roman" w:cs="Times New Roman"/>
                          <w:color w:val="000000"/>
                          <w:sz w:val="24"/>
                        </w:rPr>
                        <w:t xml:space="preserve">), tỉnh Hưng Yên theo Giấy chứng nhận quyền sử dụng đất, quyền sở hữu tài sả</w:t>
                      </w:r>
                      <w:r>
                        <w:rPr>
                          <w:rFonts w:ascii="Times New Roman" w:hAnsi="Times New Roman" w:eastAsia="Times New Roman" w:cs="Times New Roman"/>
                          <w:color w:val="000000"/>
                          <w:sz w:val="24"/>
                        </w:rPr>
                        <w:t xml:space="preserve">n gắn liền với đất số: DQ 907595, số vào sổ cấp GCN: VP09620 do Văn phòng đăng ký đất đai tỉnh Hưng Yên cấp ngày 27/12/2024; Chủ sở hữu căn hộ là Ông Nguyễn Văn Thảo và vợ Nguyễn Thị Phương Loan</w:t>
                      </w:r>
                      <w:r>
                        <w:rPr>
                          <w:rFonts w:ascii="Times New Roman" w:hAnsi="Times New Roman" w:eastAsia="Times New Roman" w:cs="Times New Roman"/>
                          <w:i/>
                          <w:color w:val="000000"/>
                          <w:sz w:val="24"/>
                        </w:rPr>
                        <w:t xml:space="preserve">.</w:t>
                      </w:r>
                      <w:r/>
                    </w:p>
                    <w:p>
                      <w:pPr>
                        <w:pBdr/>
                        <w:spacing w:after="120" w:before="120" w:line="360" w:lineRule="auto"/>
                        <w:ind/>
                        <w:jc w:val="center"/>
                        <w:rPr>
                          <w:bCs/>
                          <w:i/>
                          <w:iCs/>
                        </w:rPr>
                      </w:pPr>
                      <w:r>
                        <w:rPr>
                          <w:b/>
                          <w:bCs/>
                          <w:lang w:val="pt-BR"/>
                        </w:rPr>
                      </w: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4/2026</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32"/>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4-19</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 Pháp lý</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20-22</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 +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23-26</w:t>
            </w:r>
            <w:r/>
          </w:p>
        </w:tc>
      </w:tr>
    </w:tbl>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1032"/>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150325" cy="1119579"/>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39210" name=""/>
                              <pic:cNvPicPr>
                                <a:picLocks noChangeAspect="1"/>
                              </pic:cNvPicPr>
                              <pic:nvPr/>
                            </pic:nvPicPr>
                            <pic:blipFill rotWithShape="1">
                              <a:blip r:embed="rId13"/>
                              <a:stretch/>
                            </pic:blipFill>
                            <pic:spPr bwMode="auto">
                              <a:xfrm flipH="0" flipV="0">
                                <a:off x="0" y="0"/>
                                <a:ext cx="1150324" cy="111957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90.58pt;height:88.16pt;mso-wrap-distance-left:0.00pt;mso-wrap-distance-top:0.00pt;mso-wrap-distance-right:0.00pt;mso-wrap-distance-bottom:0.00pt;z-index:1;" stroked="false">
                      <v:imagedata r:id="rId13"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4" w:tooltip="mailto:ilotus.contact@gmail.com" w:history="1">
              <w:r>
                <w:rPr>
                  <w:rStyle w:val="1018"/>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275/2026/0635/VFI-CT.44.A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23 tháng 4 năm 2026</w:t>
            </w:r>
            <w:r/>
          </w:p>
        </w:tc>
      </w:tr>
      <w:tr>
        <w:trPr/>
        <w:tc>
          <w:tcPr>
            <w:tcBorders/>
            <w:tcMar>
              <w:left w:w="0" w:type="dxa"/>
              <w:top w:w="0" w:type="dxa"/>
              <w:right w:w="0" w:type="dxa"/>
              <w:bottom w:w="0" w:type="dxa"/>
            </w:tcMar>
            <w:tcW w:w="185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13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3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67"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rPr>
        <w:t xml:space="preserve">Ngân hàng Nông nghiệp và Phát triển Nông thôn Việt Nam (Agribank) - Chi nhánh huyện Văn Giang Hưng Yên II</w:t>
      </w:r>
      <w:r>
        <w:rPr>
          <w:rFonts w:ascii="Times New Roman" w:hAnsi="Times New Roman" w:eastAsia="Times New Roman" w:cs="Times New Roman"/>
          <w:b/>
          <w:color w:val="000000"/>
          <w:sz w:val="24"/>
        </w:rPr>
      </w:r>
      <w:r/>
    </w:p>
    <w:p>
      <w:pPr>
        <w:pBdr>
          <w:top w:val="none" w:color="000000" w:sz="4" w:space="0"/>
          <w:left w:val="none" w:color="000000" w:sz="4" w:space="0"/>
          <w:bottom w:val="none" w:color="000000" w:sz="4" w:space="0"/>
          <w:right w:val="none" w:color="000000" w:sz="4" w:space="0"/>
        </w:pBdr>
        <w:tabs>
          <w:tab w:val="left" w:leader="none" w:pos="450"/>
        </w:tabs>
        <w:spacing w:after="120" w:before="120" w:line="276"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275/2026/0635/VFI-HĐTĐ.44.A ký ngày 01 tháng 4 năm 2026 giữa </w:t>
      </w:r>
      <w:r>
        <w:rPr>
          <w:rFonts w:ascii="Times New Roman" w:hAnsi="Times New Roman" w:eastAsia="Times New Roman" w:cs="Times New Roman"/>
          <w:b w:val="0"/>
          <w:bCs w:val="0"/>
          <w:color w:val="000000"/>
          <w:sz w:val="24"/>
        </w:rPr>
        <w:t xml:space="preserve">Ngân hàng Nông nghiệp và Phát triển Nông thôn Việt Nam (Agribank) - Chi nhánh huyện Văn Giang Hưng Yên II</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w:t>
      </w:r>
      <w:r>
        <w:rPr>
          <w:rFonts w:ascii="Times New Roman" w:hAnsi="Times New Roman" w:eastAsia="Times New Roman" w:cs="Times New Roman"/>
          <w:color w:val="000000"/>
          <w:spacing w:val="-4"/>
          <w:sz w:val="24"/>
        </w:rPr>
        <w:t xml:space="preserve">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275/2026/0635/VFI-BC.44.A ngày 23 tháng 4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2"/>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4"/>
        <w:gridCol w:w="283"/>
        <w:gridCol w:w="6945"/>
      </w:tblGrid>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b/>
                <w:color w:val="000000"/>
                <w:sz w:val="24"/>
              </w:rPr>
              <w:t xml:space="preserve">NGÂN HÀNG NÔNG NGHIỆP VÀ PHÁT TRIỂN NÔNG THÔN VIỆT NAM (AGRIBANK) - CHI NHÁNH HUYỆN VĂN GIANG HƯNG YÊN II</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b/>
                <w:bCs/>
              </w:rPr>
            </w:pPr>
            <w:r>
              <w:rPr>
                <w:rFonts w:ascii="Times New Roman" w:hAnsi="Times New Roman" w:eastAsia="Times New Roman" w:cs="Times New Roman"/>
                <w:b/>
                <w:bCs/>
                <w:color w:val="000000"/>
                <w:sz w:val="24"/>
              </w:rPr>
              <w:t xml:space="preserve">Ông Hồ Khắc Phụ      Chức vụ: Phó Giám đốc</w:t>
            </w:r>
            <w:r>
              <w:rPr>
                <w:b/>
                <w:bCs/>
              </w:rPr>
            </w:r>
            <w:r>
              <w:rPr>
                <w:b/>
                <w:bCs/>
              </w:rP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0100686174-823</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pacing w:val="2"/>
                <w:sz w:val="24"/>
              </w:rPr>
              <w:t xml:space="preserve">Xã Văn Giang, tỉnh Hưng Yên</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2"/>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left"/>
              <w:rPr/>
            </w:pPr>
            <w:r>
              <w:rPr>
                <w:rFonts w:ascii="Times New Roman" w:hAnsi="Times New Roman" w:eastAsia="Times New Roman" w:cs="Times New Roman"/>
                <w:b/>
                <w:color w:val="000000"/>
                <w:sz w:val="24"/>
              </w:rPr>
              <w:t xml:space="preserve">Ông Vũ Văn Quân</w:t>
              <w:tab/>
              <w:t xml:space="preserve">      Chức vụ: Chủ tịch HĐQT kiêm Tổng GĐ</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Căn hộ chung cư số R212A03 Tòa nhà R2, khu căn hộ Hồ Thiên Nga (CT21-22), khu đô thị thương mại và dịch vụ Văn Giang (Ecopark), xã Phụng Công, huyện Văn Giang (nay là xã Phụng Công), tỉnh Hưng Yên theo Giấy chứng nhận quyền sử dụng đất, quyền sở hữu tài s</w:t>
      </w:r>
      <w:r>
        <w:rPr>
          <w:rFonts w:ascii="Times New Roman" w:hAnsi="Times New Roman" w:eastAsia="Times New Roman" w:cs="Times New Roman"/>
          <w:color w:val="000000"/>
          <w:sz w:val="24"/>
        </w:rPr>
        <w:t xml:space="preserve">ản gắn liền với đất số: DQ 907595, số vào sổ cấp GCN: VP09620 do Văn phòng đăng ký đất đai tỉnh Hưng Yên cấp ngày 27/12/2024; Chủ sở hữu căn hộ là Ông Nguyễn Văn Thảo và vợ Nguyễn Thị Phương Loan</w:t>
      </w:r>
      <w:r>
        <w:rPr>
          <w:rFonts w:ascii="Times New Roman" w:hAnsi="Times New Roman" w:eastAsia="Times New Roman" w:cs="Times New Roman"/>
          <w:i/>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4/2026.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40"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40"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40"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240"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40"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240"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40"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240"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240"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04/2026 ước tính như sau:</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2232"/>
        <w:gridCol w:w="1896"/>
        <w:gridCol w:w="2251"/>
        <w:gridCol w:w="2268"/>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w:t>
              <w:br/>
              <w:t xml:space="preserve">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Căn hộ chung cư số R212A03 Tòa nhà R2, khu căn hộ Hồ Thiên Nga (CT21-22), khu đô thị thương mại và dịch vụ Văn Giang (Ecopark), xã Phụng Công, huyện Văn Giang (nay là xã Phụng Công), tỉnh Hưng Yên theo Giấy chứng nhận quyền sử dụng đất, quyền sở hữu tài sả</w:t>
            </w:r>
            <w:r>
              <w:rPr>
                <w:rFonts w:ascii="Times New Roman" w:hAnsi="Times New Roman" w:eastAsia="Times New Roman" w:cs="Times New Roman"/>
                <w:b/>
                <w:color w:val="000000"/>
                <w:sz w:val="24"/>
              </w:rPr>
              <w:t xml:space="preserve">n gắn liền với đất số: DQ 907595, số vào sổ cấp GCN: VP09620 do Văn phòng đăng ký đất đai tỉnh Hưng Yên cấp ngày 27/12/2024; Chủ sở hữu căn hộ là Ông Nguyễn Văn Thảo và vợ Nguyễn Thị Phương Loan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spacing w:after="0" w:before="0" w:line="276"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left"/>
              <w:rPr/>
            </w:pPr>
            <w:r>
              <w:rPr>
                <w:rFonts w:ascii="Times New Roman" w:hAnsi="Times New Roman" w:eastAsia="Times New Roman" w:cs="Times New Roman"/>
                <w:color w:val="000000"/>
                <w:sz w:val="24"/>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74.700.000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6.648.300.000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05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6.648.000.000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3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Sáu tỷ, sáu trăm bốn mươi tám triệu đồng chẵn ./.)</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Chi tiết như Báo cáo kèm theo.</w:t>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32"/>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Thị Thịnh</w:t>
            </w:r>
            <w:r/>
          </w:p>
          <w:p>
            <w:pPr>
              <w:pBdr>
                <w:top w:val="none" w:color="000000" w:sz="4" w:space="0"/>
                <w:left w:val="none" w:color="000000" w:sz="4" w:space="0"/>
                <w:bottom w:val="none" w:color="000000" w:sz="4" w:space="0"/>
                <w:right w:val="none" w:color="000000" w:sz="4" w:space="0"/>
              </w:pBdr>
              <w:spacing w:after="0" w:before="0"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VIII13.990</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tbl>
      <w:tblPr>
        <w:tblStyle w:val="1032"/>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16"/>
        <w:gridCol w:w="2091"/>
        <w:gridCol w:w="5412"/>
        <w:gridCol w:w="554"/>
      </w:tblGrid>
      <w:tr>
        <w:trPr>
          <w:trHeight w:val="1843"/>
        </w:trPr>
        <w:tc>
          <w:tcPr>
            <w:tcBorders/>
            <w:tcMar>
              <w:left w:w="108" w:type="dxa"/>
              <w:top w:w="0" w:type="dxa"/>
              <w:right w:w="108" w:type="dxa"/>
              <w:bottom w:w="0" w:type="dxa"/>
            </w:tcMar>
            <w:tcW w:w="1816" w:type="dxa"/>
            <w:vAlign w:val="top"/>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019175" cy="111718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53299" name=""/>
                              <pic:cNvPicPr>
                                <a:picLocks noChangeAspect="1"/>
                              </pic:cNvPicPr>
                              <pic:nvPr/>
                            </pic:nvPicPr>
                            <pic:blipFill rotWithShape="1">
                              <a:blip r:embed="rId15"/>
                              <a:stretch/>
                            </pic:blipFill>
                            <pic:spPr bwMode="auto">
                              <a:xfrm flipH="0" flipV="0">
                                <a:off x="0" y="0"/>
                                <a:ext cx="1019174" cy="11171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87.97pt;mso-wrap-distance-left:0.00pt;mso-wrap-distance-top:0.00pt;mso-wrap-distance-right:0.00pt;mso-wrap-distance-bottom:0.00pt;z-index:1;" stroked="false">
                      <v:imagedata r:id="rId15" o:title=""/>
                      <o:lock v:ext="edit" rotation="t"/>
                    </v:shape>
                  </w:pict>
                </mc:Fallback>
              </mc:AlternateContent>
            </w:r>
            <w:r/>
          </w:p>
        </w:tc>
        <w:tc>
          <w:tcPr>
            <w:gridSpan w:val="3"/>
            <w:tcBorders/>
            <w:tcMar>
              <w:left w:w="108" w:type="dxa"/>
              <w:top w:w="0" w:type="dxa"/>
              <w:right w:w="108" w:type="dxa"/>
              <w:bottom w:w="0" w:type="dxa"/>
            </w:tcMar>
            <w:tcW w:w="8057"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6" w:tooltip="mailto:ilotus.contact@gmail.com" w:history="1">
              <w:r>
                <w:rPr>
                  <w:rStyle w:val="1018"/>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275/2026/0635/VFI-BC.44.A</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23 tháng 4 năm 2026</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both"/>
              <w:rPr/>
            </w:pPr>
            <w:r>
              <w:rPr>
                <w:rFonts w:ascii="Times New Roman" w:hAnsi="Times New Roman" w:eastAsia="Times New Roman" w:cs="Times New Roman"/>
                <w:i/>
                <w:color w:val="000000"/>
                <w:sz w:val="24"/>
              </w:rPr>
              <w:t xml:space="preserve"> </w:t>
            </w:r>
            <w:r/>
          </w:p>
        </w:tc>
      </w:tr>
      <w:tr>
        <w:trPr/>
        <w:tc>
          <w:tcPr>
            <w:tcBorders/>
            <w:tcMar>
              <w:left w:w="0" w:type="dxa"/>
              <w:top w:w="0" w:type="dxa"/>
              <w:right w:w="0" w:type="dxa"/>
              <w:bottom w:w="0" w:type="dxa"/>
            </w:tcMar>
            <w:tcW w:w="181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091"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412"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4"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07"/>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b w:val="0"/>
          <w:bCs w:val="0"/>
        </w:rPr>
      </w:pPr>
      <w:r>
        <w:rPr>
          <w:rFonts w:ascii="Times New Roman" w:hAnsi="Times New Roman" w:eastAsia="Times New Roman" w:cs="Times New Roman"/>
          <w:b w:val="0"/>
          <w:bCs w:val="0"/>
          <w:i/>
          <w:color w:val="000000"/>
          <w:spacing w:val="-6"/>
          <w:sz w:val="24"/>
        </w:rPr>
        <w:t xml:space="preserve">(Kèm theo Chứng thư thẩm định giá số: 275/2026/0635/VFI-CT.44.A ngày 23 tháng 4 năm 2026)</w:t>
      </w:r>
      <w:r>
        <w:rPr>
          <w:b w:val="0"/>
          <w:bCs w:val="0"/>
        </w:rPr>
      </w:r>
      <w:r>
        <w:rPr>
          <w:b w:val="0"/>
          <w:bCs w:val="0"/>
        </w:rPr>
      </w:r>
    </w:p>
    <w:p>
      <w:pPr>
        <w:pStyle w:val="1007"/>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32"/>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GĐ</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b/>
                <w:color w:val="000000"/>
                <w:sz w:val="24"/>
              </w:rPr>
              <w:t xml:space="preserve">NGÂN HÀNG NÔNG NGHIỆP VÀ PHÁT TRIỂN NÔNG THÔN VIỆT NAM (AGRIBANK) - CHI NHÁNH HUYỆN VĂN GIANG HƯNG YÊN II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b/>
                <w:bCs/>
              </w:rPr>
            </w:pPr>
            <w:r>
              <w:rPr>
                <w:rFonts w:ascii="Times New Roman" w:hAnsi="Times New Roman" w:eastAsia="Times New Roman" w:cs="Times New Roman"/>
                <w:b/>
                <w:bCs/>
                <w:color w:val="000000"/>
                <w:sz w:val="24"/>
              </w:rPr>
              <w:t xml:space="preserve">Ông Hồ Khắc Phụ      Chức vụ: Phó Giám đốc</w:t>
            </w:r>
            <w:r>
              <w:rPr>
                <w:b/>
                <w:bCs/>
              </w:rPr>
            </w:r>
            <w:r>
              <w:rPr>
                <w:b/>
                <w:bCs/>
              </w:rP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0100686174-823</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pacing w:val="2"/>
                <w:sz w:val="24"/>
              </w:rPr>
              <w:t xml:space="preserve">Xã Văn Giang, tỉnh Hưng Yên</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Căn hộ chung cư số R212A03 Tòa nhà R2, khu căn hộ Hồ Thiên Nga (CT21-22), khu đô thị thương mại và dịch vụ Văn Giang (Ecopark), xã Phụng Công, huyện Văn Giang (nay là xã Phụng Công), tỉnh Hưng Yên theo Giấy chứng nhận quyền sử dụng đất, quyền sở hữu tài sả</w:t>
            </w:r>
            <w:r>
              <w:rPr>
                <w:rFonts w:ascii="Times New Roman" w:hAnsi="Times New Roman" w:eastAsia="Times New Roman" w:cs="Times New Roman"/>
                <w:color w:val="000000"/>
                <w:sz w:val="24"/>
              </w:rPr>
              <w:t xml:space="preserve">n gắn liền với đất số: DQ 907595, số vào sổ cấp GCN: VP09620 do Văn phòng đăng ký đất đai tỉnh Hưng Yên cấp ngày 27/12/2024; Chủ sở hữu căn hộ là Ông Nguyễn Văn Thảo và vợ Nguyễn Thị Phương Loan.</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4/2026.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Xã Phụng Công, tỉnh Hưng Yên</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4/2026.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DQ 907595, số vào sổ cấp GCN: VP09620 do Văn phòng đăng ký đất đai tỉnh Hưng Yên cấp ngày 27/12/2024; Chủ sở hữu căn hộ là Ông Nguyễn Văn Thảo và vợ Nguyễn Thị Phương Loan.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275/2026/0635/VFI-HĐTĐ.44.A ngày 11/4/2026 giữa </w:t>
      </w:r>
      <w:r>
        <w:rPr>
          <w:rFonts w:ascii="Times New Roman" w:hAnsi="Times New Roman" w:eastAsia="Times New Roman" w:cs="Times New Roman"/>
          <w:b w:val="0"/>
          <w:bCs w:val="0"/>
          <w:color w:val="000000"/>
          <w:sz w:val="24"/>
        </w:rPr>
        <w:t xml:space="preserve">Ngân hàng Nông nghiệp và Phát triển Nông thôn Việt Nam (Agribank) - Chi nhánh huyện Văn Giang Hưng Yên II</w:t>
      </w:r>
      <w:r>
        <w:rPr>
          <w:rFonts w:ascii="Times New Roman" w:hAnsi="Times New Roman" w:eastAsia="Times New Roman" w:cs="Times New Roman"/>
          <w:b w:val="0"/>
          <w:bCs w:val="0"/>
          <w:color w:val="000000"/>
          <w:sz w:val="24"/>
        </w:rPr>
        <w:t xml:space="preserve"> </w:t>
      </w:r>
      <w:r>
        <w:rPr>
          <w:rFonts w:ascii="Times New Roman" w:hAnsi="Times New Roman" w:eastAsia="Times New Roman" w:cs="Times New Roman"/>
          <w:color w:val="000000"/>
          <w:sz w:val="24"/>
        </w:rPr>
        <w:t xml:space="preserve">với Công ty Cổ phần Thẩm định và Đầu tư Tài chính Hoa Sen;</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283" w:left="0"/>
        <w:jc w:val="both"/>
        <w:rPr/>
      </w:pPr>
      <w:r>
        <w:rPr>
          <w:rFonts w:ascii="Times New Roman" w:hAnsi="Times New Roman" w:eastAsia="Times New Roman" w:cs="Times New Roman"/>
          <w:color w:val="0a0a0a"/>
          <w:sz w:val="24"/>
        </w:rPr>
        <w:t xml:space="preserve">Thị trường bất động sản chung cư Hưng Yên giai đoạn 2025-2026 đang bùng nổ, trở thành tâm điểm phía Đông Hà Nội nhờ vị trí giáp ranh, hạ tầng kết nối mạnh (Vành đai 4) và nguồn cung lớn từ các đại đô thị. Khu vực Văn Giang dẫn đầu với các dự án cao cấp (Vi</w:t>
      </w:r>
      <w:r>
        <w:rPr>
          <w:rFonts w:ascii="Times New Roman" w:hAnsi="Times New Roman" w:eastAsia="Times New Roman" w:cs="Times New Roman"/>
          <w:color w:val="0a0a0a"/>
          <w:sz w:val="24"/>
        </w:rPr>
        <w:t xml:space="preserve">nhomes Ocean Park 2, 3, Ecopark), giá căn hộ có xu hướng tăng, ghi nhận điểm đỉnh lên tới 87 triệu đồng/</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a0a0a"/>
          <w:sz w:val="24"/>
        </w:rPr>
        <w:t xml:space="preserve"> vào đầu năm 2026. </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a0a0a"/>
          <w:sz w:val="24"/>
        </w:rPr>
        <w:t xml:space="preserve">Tổng quan thị trường chung cư Hưng Yên:</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76" w:lineRule="auto"/>
        <w:ind/>
        <w:jc w:val="both"/>
        <w:rPr/>
      </w:pPr>
      <w:r>
        <w:rPr>
          <w:rFonts w:ascii="Times New Roman" w:hAnsi="Times New Roman" w:eastAsia="Times New Roman" w:cs="Times New Roman"/>
          <w:b/>
          <w:color w:val="0a0a0a"/>
          <w:sz w:val="24"/>
        </w:rPr>
        <w:t xml:space="preserve">Vị trí chiến lược:</w:t>
      </w:r>
      <w:r>
        <w:rPr>
          <w:rFonts w:ascii="Times New Roman" w:hAnsi="Times New Roman" w:eastAsia="Times New Roman" w:cs="Times New Roman"/>
          <w:color w:val="0a0a0a"/>
          <w:sz w:val="24"/>
        </w:rPr>
        <w:t xml:space="preserve"> Hưng Yên, đặc biệt là huyện Văn Giang, đóng vai trò là "đô thị vệ tinh" chiến lược của Hà Nội, kết nối thuận tiện qua cao tốc Hà Nội - Hải Phòng, Quốc lộ 5, và dự án Vành đai 4 trong tương lai.</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76" w:lineRule="auto"/>
        <w:ind/>
        <w:jc w:val="both"/>
        <w:rPr/>
      </w:pPr>
      <w:r>
        <w:rPr>
          <w:rFonts w:ascii="Times New Roman" w:hAnsi="Times New Roman" w:eastAsia="Times New Roman" w:cs="Times New Roman"/>
          <w:b/>
          <w:color w:val="0a0a0a"/>
          <w:sz w:val="24"/>
        </w:rPr>
        <w:t xml:space="preserve">Nguồn cung bùng nổ:</w:t>
      </w:r>
      <w:r>
        <w:rPr>
          <w:rFonts w:ascii="Times New Roman" w:hAnsi="Times New Roman" w:eastAsia="Times New Roman" w:cs="Times New Roman"/>
          <w:color w:val="0a0a0a"/>
          <w:sz w:val="24"/>
        </w:rPr>
        <w:t xml:space="preserve"> Đến năm 2025-2026, khu vực này cung cấp khoảng 1/3 lượng căn hộ cho Hà Nội và vùng lân cận, với các dự án quy mô lớn từ các chủ đầu tư uy tín như Vingroup, Ecopark, Masterise Homes.</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76" w:lineRule="auto"/>
        <w:ind/>
        <w:jc w:val="both"/>
        <w:rPr/>
      </w:pPr>
      <w:r>
        <w:rPr>
          <w:rFonts w:ascii="Times New Roman" w:hAnsi="Times New Roman" w:eastAsia="Times New Roman" w:cs="Times New Roman"/>
          <w:b/>
          <w:color w:val="0a0a0a"/>
          <w:sz w:val="24"/>
        </w:rPr>
        <w:t xml:space="preserve">Các loại hình phổ biến:</w:t>
      </w:r>
      <w:r>
        <w:rPr>
          <w:rFonts w:ascii="Times New Roman" w:hAnsi="Times New Roman" w:eastAsia="Times New Roman" w:cs="Times New Roman"/>
          <w:color w:val="0a0a0a"/>
          <w:sz w:val="24"/>
        </w:rPr>
        <w:t xml:space="preserve"> Căn hộ cao cấp, trung cấp, studio, 1-3 phòng ngủ tại các khu phức hợp tích hợp nhiều tiện ích (công viên, trường học, bệnh viện).</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76" w:lineRule="auto"/>
        <w:ind/>
        <w:jc w:val="both"/>
        <w:rPr/>
      </w:pPr>
      <w:r>
        <w:rPr>
          <w:rFonts w:ascii="Times New Roman" w:hAnsi="Times New Roman" w:eastAsia="Times New Roman" w:cs="Times New Roman"/>
          <w:b/>
          <w:color w:val="0a0a0a"/>
          <w:sz w:val="24"/>
        </w:rPr>
        <w:t xml:space="preserve">Giá cả &amp; Phân khúc:</w:t>
      </w:r>
      <w:r>
        <w:rPr>
          <w:rFonts w:ascii="Times New Roman" w:hAnsi="Times New Roman" w:eastAsia="Times New Roman" w:cs="Times New Roman"/>
          <w:color w:val="0a0a0a"/>
          <w:sz w:val="24"/>
        </w:rPr>
        <w:t xml:space="preserve"> Giá căn hộ có xu hướng tăng nhanh, với phân khúc cao cấp chiếm tỷ trọng lớn. Giá có thể đạt mức cao, ví dụ 87 triệu đồng/</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a0a0a"/>
          <w:sz w:val="24"/>
        </w:rPr>
        <w:t xml:space="preserve"> tại một số khu vực.</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76" w:lineRule="auto"/>
        <w:ind/>
        <w:jc w:val="both"/>
        <w:rPr/>
      </w:pPr>
      <w:r>
        <w:rPr>
          <w:rFonts w:ascii="Times New Roman" w:hAnsi="Times New Roman" w:eastAsia="Times New Roman" w:cs="Times New Roman"/>
          <w:b/>
          <w:color w:val="0a0a0a"/>
          <w:sz w:val="24"/>
        </w:rPr>
        <w:t xml:space="preserve">Tiềm năng đầu tư:</w:t>
      </w:r>
      <w:r>
        <w:rPr>
          <w:rFonts w:ascii="Times New Roman" w:hAnsi="Times New Roman" w:eastAsia="Times New Roman" w:cs="Times New Roman"/>
          <w:color w:val="0a0a0a"/>
          <w:sz w:val="24"/>
        </w:rPr>
        <w:t xml:space="preserve"> Nhờ hạ tầng đồng bộ và làn sóng dịch chuyển dân cư từ nội đô Hà Nội, thị trường Hưng Yên có thanh khoản tốt và tiềm năng tăng giá trong dài hạn. </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a0a0a"/>
          <w:sz w:val="24"/>
        </w:rPr>
        <w:t xml:space="preserve">Top các dự án chung cư tiêu biểu:</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hyperlink r:id="rId17" w:tooltip="https://www.google.com/search?q=Vinhomes+Ocean+Park+2+%26+3&amp;oq=t%E1%BB%95ng+quan+b%C4%91s+chung+c%C6%B0+h%C6%B0ng+y%C3%AAn&amp;gs_lcrp=EgZjaHJvbWUyBggAEEUYOTIHCAEQIRigATIHCAIQIRigAdIBCTEzNzAwajBqN6gCALACAA&amp;sourceid=chrome&amp;ie=UTF-8&amp;mstk=AUtExfC21-WllSV0YwReBmGnw0gOS_mzZpFegioZ7maFQU2vcTfSXjDRkGVKnuCA2ZNmPN9pYNG4_fF3s54xNsVgPE7UjF-NkQWCSSI4xBZvDwJgbPrjYE-x5rD2J9beFHWuXT4&amp;csui=3&amp;ved=2ahUKEwjawbKz14OUAxXRhq8BHdySMykQgK4QegQIBhAB" w:history="1">
        <w:r>
          <w:rPr>
            <w:rStyle w:val="1018"/>
            <w:rFonts w:ascii="Times New Roman" w:hAnsi="Times New Roman" w:eastAsia="Times New Roman" w:cs="Times New Roman"/>
            <w:b/>
            <w:color w:val="000000"/>
            <w:sz w:val="24"/>
            <w:u w:val="single"/>
          </w:rPr>
          <w:t xml:space="preserve">Vinhomes Ocean Park 2 &amp; 3</w:t>
        </w:r>
      </w:hyperlink>
      <w:r>
        <w:rPr>
          <w:rFonts w:ascii="Times New Roman" w:hAnsi="Times New Roman" w:eastAsia="Times New Roman" w:cs="Times New Roman"/>
          <w:b/>
          <w:color w:val="0a0a0a"/>
          <w:sz w:val="24"/>
        </w:rPr>
        <w:t xml:space="preserve">:</w:t>
      </w:r>
      <w:r>
        <w:rPr>
          <w:rFonts w:ascii="Times New Roman" w:hAnsi="Times New Roman" w:eastAsia="Times New Roman" w:cs="Times New Roman"/>
          <w:color w:val="0a0a0a"/>
          <w:sz w:val="24"/>
        </w:rPr>
        <w:t xml:space="preserve"> Đại đô thị với quy mô hàng ngàn căn hộ cao cấp.</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hyperlink r:id="rId18" w:tooltip="https://www.google.com/search?q=Ecopark&amp;oq=t%E1%BB%95ng+quan+b%C4%91s+chung+c%C6%B0+h%C6%B0ng+y%C3%AAn&amp;gs_lcrp=EgZjaHJvbWUyBggAEEUYOTIHCAEQIRigATIHCAIQIRigAdIBCTEzNzAwajBqN6gCALACAA&amp;sourceid=chrome&amp;ie=UTF-8&amp;mstk=AUtExfC21-WllSV0YwReBmGnw0gOS_mzZpFegioZ7maFQU2vcTfSXjDRkGVKnuCA2ZNmPN9pYNG4_fF3s54xNsVgPE7UjF-NkQWCSSI4xBZvDwJgbPrjYE-x5rD2J9beFHWuXT4&amp;csui=3&amp;ved=2ahUKEwjawbKz14OUAxXRhq8BHdySMykQgK4QegQIBhAD" w:history="1">
        <w:r>
          <w:rPr>
            <w:rStyle w:val="1018"/>
            <w:rFonts w:ascii="Times New Roman" w:hAnsi="Times New Roman" w:eastAsia="Times New Roman" w:cs="Times New Roman"/>
            <w:b/>
            <w:color w:val="000000"/>
            <w:sz w:val="24"/>
            <w:u w:val="single"/>
          </w:rPr>
          <w:t xml:space="preserve">Ecopark</w:t>
        </w:r>
      </w:hyperlink>
      <w:r>
        <w:rPr>
          <w:rFonts w:ascii="Times New Roman" w:hAnsi="Times New Roman" w:eastAsia="Times New Roman" w:cs="Times New Roman"/>
          <w:b/>
          <w:color w:val="0a0a0a"/>
          <w:sz w:val="24"/>
        </w:rPr>
        <w:t xml:space="preserve">:</w:t>
      </w:r>
      <w:r>
        <w:rPr>
          <w:rFonts w:ascii="Times New Roman" w:hAnsi="Times New Roman" w:eastAsia="Times New Roman" w:cs="Times New Roman"/>
          <w:color w:val="0a0a0a"/>
          <w:sz w:val="24"/>
        </w:rPr>
        <w:t xml:space="preserve"> Khu đô thị xanh nổi tiếng với các khu căn hộ cao tầng đồng bộ.</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hyperlink r:id="rId19" w:tooltip="https://www.google.com/search?q=Masteri+Trinity+Square&amp;oq=t%E1%BB%95ng+quan+b%C4%91s+chung+c%C6%B0+h%C6%B0ng+y%C3%AAn&amp;gs_lcrp=EgZjaHJvbWUyBggAEEUYOTIHCAEQIRigATIHCAIQIRigAdIBCTEzNzAwajBqN6gCALACAA&amp;sourceid=chrome&amp;ie=UTF-8&amp;mstk=AUtExfC21-WllSV0YwReBmGnw0gOS_mzZpFegioZ7maFQU2vcTfSXjDRkGVKnuCA2ZNmPN9pYNG4_fF3s54xNsVgPE7UjF-NkQWCSSI4xBZvDwJgbPrjYE-x5rD2J9beFHWuXT4&amp;csui=3&amp;ved=2ahUKEwjawbKz14OUAxXRhq8BHdySMykQgK4QegQIBhAF" w:history="1">
        <w:r>
          <w:rPr>
            <w:rStyle w:val="1018"/>
            <w:rFonts w:ascii="Times New Roman" w:hAnsi="Times New Roman" w:eastAsia="Times New Roman" w:cs="Times New Roman"/>
            <w:b/>
            <w:color w:val="000000"/>
            <w:sz w:val="24"/>
            <w:u w:val="single"/>
          </w:rPr>
          <w:t xml:space="preserve">Masteri Trinity Square</w:t>
        </w:r>
      </w:hyperlink>
      <w:r>
        <w:rPr>
          <w:rFonts w:ascii="Times New Roman" w:hAnsi="Times New Roman" w:eastAsia="Times New Roman" w:cs="Times New Roman"/>
          <w:b/>
          <w:color w:val="0a0a0a"/>
          <w:sz w:val="24"/>
        </w:rPr>
        <w:t xml:space="preserve">:</w:t>
      </w:r>
      <w:r>
        <w:rPr>
          <w:rFonts w:ascii="Times New Roman" w:hAnsi="Times New Roman" w:eastAsia="Times New Roman" w:cs="Times New Roman"/>
          <w:color w:val="0a0a0a"/>
          <w:sz w:val="24"/>
        </w:rPr>
        <w:t xml:space="preserve"> Khu phức hợp cao tầng tại Vinhomes Ocean Park.</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hyperlink r:id="rId20" w:tooltip="https://www.google.com/search?q=Alluvia+City+V%C4%83n+Giang&amp;oq=t%E1%BB%95ng+quan+b%C4%91s+chung+c%C6%B0+h%C6%B0ng+y%C3%AAn&amp;gs_lcrp=EgZjaHJvbWUyBggAEEUYOTIHCAEQIRigATIHCAIQIRigAdIBCTEzNzAwajBqN6gCALACAA&amp;sourceid=chrome&amp;ie=UTF-8&amp;mstk=AUtExfC21-WllSV0YwReBmGnw0gOS_mzZpFegioZ7maFQU2vcTfSXjDRkGVKnuCA2ZNmPN9pYNG4_fF3s54xNsVgPE7UjF-NkQWCSSI4xBZvDwJgbPrjYE-x5rD2J9beFHWuXT4&amp;csui=3&amp;ved=2ahUKEwjawbKz14OUAxXRhq8BHdySMykQgK4QegQIBhAH" w:history="1">
        <w:r>
          <w:rPr>
            <w:rStyle w:val="1018"/>
            <w:rFonts w:ascii="Times New Roman" w:hAnsi="Times New Roman" w:eastAsia="Times New Roman" w:cs="Times New Roman"/>
            <w:b/>
            <w:color w:val="000000"/>
            <w:sz w:val="24"/>
            <w:u w:val="single"/>
          </w:rPr>
          <w:t xml:space="preserve">Alluvia City Văn Giang</w:t>
        </w:r>
      </w:hyperlink>
      <w:r>
        <w:rPr>
          <w:rFonts w:ascii="Times New Roman" w:hAnsi="Times New Roman" w:eastAsia="Times New Roman" w:cs="Times New Roman"/>
          <w:color w:val="0a0a0a"/>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a0a0a"/>
          <w:sz w:val="24"/>
        </w:rPr>
        <w:t xml:space="preserve">Thách thức:</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76" w:lineRule="auto"/>
        <w:ind/>
        <w:jc w:val="both"/>
        <w:rPr/>
      </w:pPr>
      <w:r>
        <w:rPr>
          <w:rFonts w:ascii="Times New Roman" w:hAnsi="Times New Roman" w:eastAsia="Times New Roman" w:cs="Times New Roman"/>
          <w:color w:val="0a0a0a"/>
          <w:sz w:val="24"/>
        </w:rPr>
        <w:t xml:space="preserve">Cạnh tranh về giá so với các khu vực khác.</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276" w:lineRule="auto"/>
        <w:ind/>
        <w:jc w:val="both"/>
        <w:rPr/>
      </w:pPr>
      <w:r>
        <w:rPr>
          <w:rFonts w:ascii="Times New Roman" w:hAnsi="Times New Roman" w:eastAsia="Times New Roman" w:cs="Times New Roman"/>
          <w:color w:val="0a0a0a"/>
          <w:sz w:val="24"/>
        </w:rPr>
        <w:t xml:space="preserve">Yêu cầu về hạ tầng kỹ thuật và xã hội đồng bộ để đáp ứng quy mô dân cư lớn.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2092"/>
        <w:gridCol w:w="2234"/>
        <w:gridCol w:w="2126"/>
        <w:gridCol w:w="223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Căn hộ chung cư số R212A03 Tòa nhà R2, khu căn hộ Hồ Thiên Nga (CT21-22), khu đô thị thương mại và dịch vụ Văn Giang (Ecopark), xã Phụng Công, huyện Văn Giang (nay là xã Phụng Công), tỉnh Hưng Yên theo Giấy chứng nhận quyền sử dụng đất, quyền sở hữu tài sả</w:t>
            </w:r>
            <w:r>
              <w:rPr>
                <w:rFonts w:ascii="Times New Roman" w:hAnsi="Times New Roman" w:eastAsia="Times New Roman" w:cs="Times New Roman"/>
                <w:b/>
                <w:color w:val="000000"/>
                <w:sz w:val="24"/>
              </w:rPr>
              <w:t xml:space="preserve">n gắn liền với đất số: DQ 907595, số vào sổ cấp GCN: VP09620 do Văn phòng đăng ký đất đai tỉnh Hưng Yên cấp ngày 27/12/2024; Chủ sở hữu căn hộ là Ông Nguyễn Văn Thảo và vợ Nguyễn Thị Phương Loan.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499</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Căn hộ chung cư số R212A03 Tòa nhà R2, khu căn hộ Hồ Thiên Nga (CT21-22), khu đô thị thương mại và dịch vụ Văn Giang (Ecopark), xã Phụng Công, huyện Văn Giang (</w:t>
            </w:r>
            <w:r>
              <w:rPr>
                <w:rFonts w:ascii="Times New Roman" w:hAnsi="Times New Roman" w:eastAsia="Times New Roman" w:cs="Times New Roman"/>
                <w:i/>
                <w:iCs/>
                <w:color w:val="000000"/>
                <w:sz w:val="24"/>
              </w:rPr>
              <w:t xml:space="preserve">nay là xã Phụng Công</w:t>
            </w:r>
            <w:r>
              <w:rPr>
                <w:rFonts w:ascii="Times New Roman" w:hAnsi="Times New Roman" w:eastAsia="Times New Roman" w:cs="Times New Roman"/>
                <w:color w:val="000000"/>
                <w:sz w:val="24"/>
              </w:rPr>
              <w:t xml:space="preserve">),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40.045,0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chung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bottom w:val="single" w:color="000000" w:sz="8" w:space="0"/>
              <w:right w:val="single" w:color="000000" w:sz="8" w:space="0"/>
            </w:tcBorders>
            <w:tcMar>
              <w:left w:w="108" w:type="dxa"/>
              <w:top w:w="0" w:type="dxa"/>
              <w:right w:w="108" w:type="dxa"/>
              <w:bottom w:w="0" w:type="dxa"/>
            </w:tcMar>
            <w:tcW w:w="209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Nguồn gốc sử dụng:</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gridSpan w:val="3"/>
            <w:tcBorders>
              <w:bottom w:val="single" w:color="000000" w:sz="8" w:space="0"/>
              <w:right w:val="single" w:color="000000" w:sz="8" w:space="0"/>
            </w:tcBorders>
            <w:tcMar>
              <w:left w:w="108" w:type="dxa"/>
              <w:top w:w="0" w:type="dxa"/>
              <w:right w:w="108" w:type="dxa"/>
              <w:bottom w:w="0" w:type="dxa"/>
            </w:tcMar>
            <w:tcW w:w="659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Nhận chuyển nhượng đất được Nhà nước giao đất có thu tiền sử dụng đất.</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(20.95304373924128, 105.93322336440114)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686"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5369613" cy="206014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31267" name=""/>
                              <pic:cNvPicPr>
                                <a:picLocks noChangeAspect="1"/>
                              </pic:cNvPicPr>
                              <pic:nvPr/>
                            </pic:nvPicPr>
                            <pic:blipFill rotWithShape="1">
                              <a:blip r:embed="rId21"/>
                              <a:stretch/>
                            </pic:blipFill>
                            <pic:spPr bwMode="auto">
                              <a:xfrm flipH="0" flipV="0">
                                <a:off x="0" y="0"/>
                                <a:ext cx="5369612" cy="20601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2.80pt;height:162.22pt;mso-wrap-distance-left:0.00pt;mso-wrap-distance-top:0.00pt;mso-wrap-distance-right:0.00pt;mso-wrap-distance-bottom:0.00pt;z-index:1;" stroked="false">
                      <v:imagedata r:id="rId21"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căn hộ:</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Tên tài sản:</w:t>
            </w:r>
            <w:r/>
          </w:p>
        </w:tc>
        <w:tc>
          <w:tcPr>
            <w:gridSpan w:val="3"/>
            <w:tcBorders>
              <w:bottom w:val="single" w:color="000000" w:sz="8" w:space="0"/>
              <w:right w:val="single" w:color="000000" w:sz="8" w:space="0"/>
            </w:tcBorders>
            <w:tcMar>
              <w:left w:w="108" w:type="dxa"/>
              <w:top w:w="0" w:type="dxa"/>
              <w:right w:w="108" w:type="dxa"/>
              <w:bottom w:w="0" w:type="dxa"/>
            </w:tcMar>
            <w:tcW w:w="6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Căn hộ chung cư số R212A03 - Tòa nhà R2.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sàn xây dựng (m²):</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96,33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(m²):</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sở hữu:</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Sở hữu chung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là Căn hộ chung cư số R212A03 - Tòa nhà R2, khu căn hộ Hồ Thiên Nga (CT21-22) - Swan Lake Onsen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Tầng 12A/36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góc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Bắc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 phòng ngủ + 2 nhà vệ sinh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32"/>
        <w:tblInd w:w="0" w:type="dxa"/>
        <w:tblW w:w="5053"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895"/>
        <w:gridCol w:w="3969"/>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32"/>
        <w:tblInd w:w="0" w:type="dxa"/>
        <w:tblW w:w="5053"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895"/>
        <w:gridCol w:w="3969"/>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pBdr>
          <w:top w:val="none" w:color="000000" w:sz="4" w:space="0"/>
          <w:left w:val="none" w:color="000000" w:sz="4" w:space="0"/>
          <w:bottom w:val="none" w:color="000000" w:sz="4" w:space="0"/>
          <w:right w:val="none" w:color="000000" w:sz="4" w:space="0"/>
        </w:pBdr>
        <w:spacing w:after="120" w:before="120" w:line="276" w:lineRule="auto"/>
        <w:ind w:firstLine="0" w:left="360"/>
        <w:jc w:val="both"/>
        <w:rPr/>
      </w:pPr>
      <w:r>
        <w:rPr>
          <w:rFonts w:ascii="Times New Roman" w:hAnsi="Times New Roman" w:eastAsia="Times New Roman" w:cs="Times New Roman"/>
          <w:b/>
          <w:color w:val="000000"/>
          <w:sz w:val="24"/>
        </w:rPr>
        <w:t xml:space="preserve">1. Xác định đơn giá quyền sử dụng đất:</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hanging="283" w:left="567"/>
        <w:jc w:val="both"/>
        <w:rPr/>
      </w:pPr>
      <w:r>
        <w:rPr>
          <w:rFonts w:ascii="Times New Roman" w:hAnsi="Times New Roman" w:eastAsia="Times New Roman" w:cs="Times New Roman"/>
          <w:b/>
          <w:color w:val="000000"/>
          <w:sz w:val="24"/>
        </w:rPr>
        <w:t xml:space="preserve">Thông tin tài sản so sánh:</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843"/>
        <w:gridCol w:w="1701"/>
        <w:gridCol w:w="1651"/>
        <w:gridCol w:w="1609"/>
        <w:gridCol w:w="184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hộ chung cư số R212A03 Tòa nhà R2, khu căn hộ Hồ Thiên Nga (CT21-22), khu đô thị thương mại và dịch vụ Văn Giang (Ecopark), xã Phụng Công, tỉnh Hưng Yên</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hộ chung cư  Tòa nhà R2, khu căn hộ Hồ Thiên Nga (CT21-22), khu đô thị thương mại và dịch vụ Văn Giang (Ecopark), xã Phụng Công, tỉnh Hưng Yên</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hộ chung cư  Tòa nhà R1, khu căn hộ Hồ Thiên Nga, khu đô thị thương mại và dịch vụ Văn Giang (Ecopark), xã Phụng Công, tỉnh Hưng Yên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hộ chung cư  Tòa nhà R1, khu căn hộ Hồ Thiên Nga, khu đô thị thương mại và dịch vụ Văn Giang (Ecopark), xã Phụng Công,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https://batdongsan.com.vn/ban-can-ho-chung-cu-xa-xuan-quan-swan-lake-onsen-residences/ban-rat-gap-2-ngu-view-san-golf-full-o-gia-tot-nhat-pr45336547</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https://batdongsan.com.vn/ban-can-ho-chung-cu-xa-xuan-quan-swan-lake-onsen-residences/ban-2-ngu-toa-r1-65m-view-gia-5-9-ty-bao-phi-lh-pr45594015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https://batdongsan.com.vn/ban-can-ho-chung-cu-xa-xuan-quan-swan-lake-onsen-residences/ban-3-ngu-goc-khu-khu-cao-cap-nhat-ecopark-hung-yen-pr45589523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SDT: 0989.498000</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SDT: 0989.498000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SDT: 0969.606314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4/2026</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4/2026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Vị trí, tòa nhà</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R2</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R2</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R1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R1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89,0</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65,0</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Loại Căn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12/36</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30/36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Tây Bắc (Nhìn đường nội khu)</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 (Nhìn ra hồ Thiên Nga)</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 (Nhìn ra hồ Thiên Nga)</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 (Nhìn ra hồ Thiên Nga)</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WC, 1 Bếp, 1 Khách</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WC, 1 Bếp, 1 Khách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5.950.000.000</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5.900.000.000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5.771.500.000</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5.310.000.000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Đơn giá QSD căn hộ (đồng/m</w:t>
            </w:r>
            <w:r>
              <w:rPr>
                <w:rFonts w:ascii="Times New Roman" w:hAnsi="Times New Roman" w:eastAsia="Times New Roman" w:cs="Times New Roman"/>
                <w:color w:val="000000"/>
                <w:sz w:val="22"/>
                <w:vertAlign w:val="superscript"/>
              </w:rPr>
              <w:t xml:space="preserve">2</w:t>
            </w: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88.792.308</w: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81.692.308</w:t>
            </w:r>
            <w:r>
              <w:rPr>
                <w:b/>
                <w:bCs/>
              </w:rPr>
            </w:r>
            <w:r>
              <w:rPr>
                <w:b/>
                <w:bCs/>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2"/>
              </w:rPr>
              <w:t xml:space="preserve">80.898.876</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Vị trí, tòa nhà</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Vị trí căn hộ</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6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hanging="360" w:left="567"/>
        <w:jc w:val="both"/>
        <w:rPr/>
      </w:pPr>
      <w:r>
        <w:rPr>
          <w:rFonts w:ascii="Times New Roman" w:hAnsi="Times New Roman" w:eastAsia="Times New Roman" w:cs="Times New Roman"/>
          <w:b/>
          <w:color w:val="000000"/>
          <w:sz w:val="24"/>
        </w:rPr>
        <w:t xml:space="preserve">Bảng điều chỉnh:</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890"/>
        <w:gridCol w:w="1028"/>
        <w:gridCol w:w="1548"/>
        <w:gridCol w:w="1602"/>
        <w:gridCol w:w="1602"/>
        <w:gridCol w:w="160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5.771.500.000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88.792.308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81.692.308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80.898.876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88.792.308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81.692.308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80.898.876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Vị trí, tòa nhà</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Tòa R2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Tòa R2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Tòa R1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Tòa R1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88.792.308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81.692.308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80.898.876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Tây Bắc (Nhìn đường nội khu)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Đông Nam (Nhìn ra hồ Thiên Nga)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Đông Nam (Nhìn ra hồ Thiên Nga)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Đông Nam (Nhìn ra hồ Thiên Nga)</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-4.439.615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-4.084.615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-4.044.944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84.352.692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77.607.692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76.853.933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Diện tích sàn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89,0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-8.879.231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-8.169.231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75.473.462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69.438.462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76.853.933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Vị trí căn hộ</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75.473.462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69.438.462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76.853.933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12/36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30/36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1.633.846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75.473.462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71.072.308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76.853.933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 Phòng Ngủ, 2 WC, 1 Bếp, 1 Khách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WC, 1 Bếp, 1 Khách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WC, 1 Bếp, 1 Khách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 Phòng Ngủ, 2 WC, 1 Bếp, 1 Khách</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75.473.462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71.072.308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76.853.933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Mức giá chỉ dẫn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75.473.462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71.072.308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76.853.933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trị 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tcPr>
          <w:p>
            <w:pPr>
              <w:pBdr/>
              <w:spacing w:after="0" w:before="0" w:line="240" w:lineRule="auto"/>
              <w:ind/>
              <w:rPr/>
            </w:pPr>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74.466.567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13.318.846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13.887.692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4.044.944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13.318.846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10.620.000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4.044.944</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64"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1,4% đến 4,6%,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64"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32"/>
        <w:tblInd w:w="0" w:type="dxa"/>
        <w:tblW w:w="5015"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100"/>
        <w:gridCol w:w="2551"/>
        <w:gridCol w:w="1905"/>
        <w:gridCol w:w="1905"/>
        <w:gridCol w:w="2092"/>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75.473.462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30,00%</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22.642.038</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71.072.308</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30,00%</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21.321.692</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76.853.933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40,00%</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30.741.573</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4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74.705.304</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4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74.700.000</w:t>
            </w:r>
            <w:r/>
          </w:p>
        </w:tc>
      </w:tr>
    </w:tbl>
    <w:p>
      <w:pPr>
        <w:pBdr>
          <w:top w:val="none" w:color="000000" w:sz="4" w:space="0"/>
          <w:left w:val="none" w:color="000000" w:sz="4" w:space="0"/>
          <w:bottom w:val="none" w:color="000000" w:sz="4" w:space="0"/>
          <w:right w:val="none" w:color="000000" w:sz="4" w:space="0"/>
        </w:pBdr>
        <w:spacing w:after="120" w:before="120" w:line="264"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74.700.000 đồng/m².</w:t>
      </w:r>
      <w:r/>
    </w:p>
    <w:p>
      <w:pPr>
        <w:pBdr>
          <w:top w:val="none" w:color="000000" w:sz="4" w:space="0"/>
          <w:left w:val="none" w:color="000000" w:sz="4" w:space="0"/>
          <w:bottom w:val="none" w:color="000000" w:sz="4" w:space="0"/>
          <w:right w:val="none" w:color="000000" w:sz="4" w:space="0"/>
        </w:pBdr>
        <w:spacing w:after="120" w:before="120" w:line="264" w:lineRule="auto"/>
        <w:ind w:firstLine="0" w:left="0"/>
        <w:jc w:val="both"/>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p>
    <w:p>
      <w:pPr>
        <w:pBdr>
          <w:top w:val="none" w:color="000000" w:sz="4" w:space="0"/>
          <w:left w:val="none" w:color="000000" w:sz="4" w:space="0"/>
          <w:bottom w:val="none" w:color="000000" w:sz="4" w:space="0"/>
          <w:right w:val="none" w:color="000000" w:sz="4" w:space="0"/>
        </w:pBdr>
        <w:spacing w:after="120" w:before="120" w:line="264" w:lineRule="auto"/>
        <w:ind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2. Kết quả thẩm định giá:</w:t>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4/2026 ước tính như sau:</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1"/>
        <w:gridCol w:w="2517"/>
        <w:gridCol w:w="1896"/>
        <w:gridCol w:w="2251"/>
        <w:gridCol w:w="2268"/>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w:t>
              <w:br/>
              <w:t xml:space="preserve">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Căn hộ chung cư số R212A03 Tòa nhà R2, khu căn hộ Hồ Thiên Nga (CT21-22), khu đô thị thương mại và dịch vụ Văn Giang (Ecopark), xã Phụng Công, huyện Văn Giang (</w:t>
            </w:r>
            <w:r>
              <w:rPr>
                <w:rFonts w:ascii="Times New Roman" w:hAnsi="Times New Roman" w:eastAsia="Times New Roman" w:cs="Times New Roman"/>
                <w:b/>
                <w:i/>
                <w:iCs/>
                <w:color w:val="000000"/>
                <w:sz w:val="24"/>
              </w:rPr>
              <w:t xml:space="preserve">nay là xã Phụng Công)</w:t>
            </w:r>
            <w:r>
              <w:rPr>
                <w:rFonts w:ascii="Times New Roman" w:hAnsi="Times New Roman" w:eastAsia="Times New Roman" w:cs="Times New Roman"/>
                <w:b/>
                <w:color w:val="000000"/>
                <w:sz w:val="24"/>
              </w:rPr>
              <w:t xml:space="preserve">, tỉnh Hưng Yên theo Giấy chứng nhận quyền sử dụng đất, quyền sở hữu tài sả</w:t>
            </w:r>
            <w:r>
              <w:rPr>
                <w:rFonts w:ascii="Times New Roman" w:hAnsi="Times New Roman" w:eastAsia="Times New Roman" w:cs="Times New Roman"/>
                <w:b/>
                <w:color w:val="000000"/>
                <w:sz w:val="24"/>
              </w:rPr>
              <w:t xml:space="preserve">n gắn liền với đất số: DQ 907595, số vào sổ cấp GCN: VP09620 do Văn phòng đăng ký đất đai tỉnh Hưng Yên cấp ngày 27/12/2024; Chủ sở hữu căn hộ là Ông Nguyễn Văn Thảo và vợ Nguyễn Thị Phương Loan.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spacing w:after="0" w:before="0" w:line="276"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74.700.000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6.648.300.000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33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6.648.000.000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60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Sáu tỷ, sáu trăm bốn mươi tám triệu đồng chẵn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39"/>
        </w:numPr>
        <w:pBdr>
          <w:top w:val="none" w:color="000000" w:sz="4" w:space="0"/>
          <w:left w:val="none" w:color="000000" w:sz="4" w:space="0"/>
          <w:bottom w:val="none" w:color="000000" w:sz="4" w:space="0"/>
          <w:right w:val="none" w:color="000000" w:sz="4" w:space="0"/>
        </w:pBdr>
        <w:spacing w:after="120" w:before="120" w:line="295"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95"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95"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95"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5"/>
        </w:numPr>
        <w:pBdr>
          <w:top w:val="none" w:color="000000" w:sz="4" w:space="0"/>
          <w:left w:val="none" w:color="000000" w:sz="4" w:space="0"/>
          <w:bottom w:val="none" w:color="000000" w:sz="4" w:space="0"/>
          <w:right w:val="none" w:color="000000" w:sz="4" w:space="0"/>
        </w:pBdr>
        <w:spacing w:after="120" w:before="120" w:line="295"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95"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95"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Phụ lục 2: Thông tin thu thập thị trường.</w:t>
      </w:r>
      <w:r>
        <w:rPr>
          <w:rFonts w:ascii="Times New Roman" w:hAnsi="Times New Roman" w:eastAsia="Times New Roman" w:cs="Times New Roman"/>
          <w:sz w:val="24"/>
        </w:rPr>
      </w:r>
      <w:r>
        <w:rPr>
          <w:rFonts w:ascii="Times New Roman" w:hAnsi="Times New Roman" w:eastAsia="Times New Roman" w:cs="Times New Roman"/>
          <w:color w:val="000000"/>
          <w:sz w:val="24"/>
          <w:szCs w:val="24"/>
          <w:highlight w:val="none"/>
        </w:rPr>
      </w:r>
    </w:p>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275/2026/0635/VFI-CT.44.A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23 tháng 4 năm 2026 tại Công ty Cổ phần Thẩm định và Đầu tư Tài chính Hoa Sen.</w:t>
      </w:r>
      <w:r/>
    </w:p>
    <w:tbl>
      <w:tblPr>
        <w:tblStyle w:val="1032"/>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Thị Thịnh</w:t>
            </w:r>
            <w:r/>
          </w:p>
          <w:p>
            <w:pPr>
              <w:pBdr>
                <w:top w:val="none" w:color="000000" w:sz="4" w:space="0"/>
                <w:left w:val="none" w:color="000000" w:sz="4" w:space="0"/>
                <w:bottom w:val="none" w:color="000000" w:sz="4" w:space="0"/>
                <w:right w:val="none" w:color="000000" w:sz="4" w:space="0"/>
              </w:pBdr>
              <w:spacing w:after="0" w:before="0"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VIII13.990</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32"/>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275/2026/0635/VFI-BC.44.A ngày 23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1"/>
        <w:gridCol w:w="4794"/>
      </w:tblGrid>
      <w:tr>
        <w:trPr/>
        <w:tc>
          <w:tcPr>
            <w:tcBorders/>
            <w:tcMar>
              <w:left w:w="108" w:type="dxa"/>
              <w:top w:w="0" w:type="dxa"/>
              <w:right w:w="108" w:type="dxa"/>
              <w:bottom w:w="0" w:type="dxa"/>
            </w:tcMar>
            <w:tcW w:w="473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876425" cy="25050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02432" name=""/>
                              <pic:cNvPicPr>
                                <a:picLocks noChangeAspect="1"/>
                              </pic:cNvPicPr>
                              <pic:nvPr/>
                            </pic:nvPicPr>
                            <pic:blipFill rotWithShape="1">
                              <a:blip r:embed="rId22"/>
                              <a:stretch/>
                            </pic:blipFill>
                            <pic:spPr bwMode="auto">
                              <a:xfrm>
                                <a:off x="0" y="0"/>
                                <a:ext cx="1876424" cy="2505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47.75pt;height:197.25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124200" cy="23431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5561" name=""/>
                              <pic:cNvPicPr>
                                <a:picLocks noChangeAspect="1"/>
                              </pic:cNvPicPr>
                              <pic:nvPr/>
                            </pic:nvPicPr>
                            <pic:blipFill rotWithShape="1">
                              <a:blip r:embed="rId23"/>
                              <a:stretch/>
                            </pic:blipFill>
                            <pic:spPr bwMode="auto">
                              <a:xfrm>
                                <a:off x="0" y="0"/>
                                <a:ext cx="3124199" cy="23431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46.00pt;height:184.50pt;mso-wrap-distance-left:0.00pt;mso-wrap-distance-top:0.00pt;mso-wrap-distance-right:0.00pt;mso-wrap-distance-bottom:0.00pt;z-index:1;" stroked="false">
                      <v:imagedata r:id="rId23"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057525" cy="22955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42611" name=""/>
                              <pic:cNvPicPr>
                                <a:picLocks noChangeAspect="1"/>
                              </pic:cNvPicPr>
                              <pic:nvPr/>
                            </pic:nvPicPr>
                            <pic:blipFill rotWithShape="1">
                              <a:blip r:embed="rId24"/>
                              <a:stretch/>
                            </pic:blipFill>
                            <pic:spPr bwMode="auto">
                              <a:xfrm>
                                <a:off x="0" y="0"/>
                                <a:ext cx="3057525" cy="2295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40.75pt;height:180.75pt;mso-wrap-distance-left:0.00pt;mso-wrap-distance-top:0.00pt;mso-wrap-distance-right:0.00pt;mso-wrap-distance-bottom:0.00pt;z-index:1;" stroked="false">
                      <v:imagedata r:id="rId24"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3267075" cy="244792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67181" name=""/>
                              <pic:cNvPicPr>
                                <a:picLocks noChangeAspect="1"/>
                              </pic:cNvPicPr>
                              <pic:nvPr/>
                            </pic:nvPicPr>
                            <pic:blipFill rotWithShape="1">
                              <a:blip r:embed="rId25"/>
                              <a:stretch/>
                            </pic:blipFill>
                            <pic:spPr bwMode="auto">
                              <a:xfrm>
                                <a:off x="0" y="0"/>
                                <a:ext cx="3267074" cy="2447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57.25pt;height:192.75pt;mso-wrap-distance-left:0.00pt;mso-wrap-distance-top:0.00pt;mso-wrap-distance-right:0.00pt;mso-wrap-distance-bottom:0.00pt;z-index:1;" stroked="false">
                      <v:imagedata r:id="rId25"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943225" cy="22098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07215" name=""/>
                              <pic:cNvPicPr>
                                <a:picLocks noChangeAspect="1"/>
                              </pic:cNvPicPr>
                              <pic:nvPr/>
                            </pic:nvPicPr>
                            <pic:blipFill rotWithShape="1">
                              <a:blip r:embed="rId26"/>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75pt;height:174.00pt;mso-wrap-distance-left:0.00pt;mso-wrap-distance-top:0.00pt;mso-wrap-distance-right:0.00pt;mso-wrap-distance-bottom:0.00pt;z-index:1;" stroked="false">
                      <v:imagedata r:id="rId26"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905125" cy="21812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81195" name=""/>
                              <pic:cNvPicPr>
                                <a:picLocks noChangeAspect="1"/>
                              </pic:cNvPicPr>
                              <pic:nvPr/>
                            </pic:nvPicPr>
                            <pic:blipFill rotWithShape="1">
                              <a:blip r:embed="rId27"/>
                              <a:stretch/>
                            </pic:blipFill>
                            <pic:spPr bwMode="auto">
                              <a:xfrm>
                                <a:off x="0" y="0"/>
                                <a:ext cx="2905124"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8.75pt;height:171.75pt;mso-wrap-distance-left:0.00pt;mso-wrap-distance-top:0.00pt;mso-wrap-distance-right:0.00pt;mso-wrap-distance-bottom:0.00pt;z-index:1;" stroked="false">
                      <v:imagedata r:id="rId27"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6048375" cy="80676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74041" name=""/>
                        <pic:cNvPicPr>
                          <a:picLocks noChangeAspect="1"/>
                        </pic:cNvPicPr>
                        <pic:nvPr/>
                      </pic:nvPicPr>
                      <pic:blipFill rotWithShape="1">
                        <a:blip r:embed="rId28"/>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635.25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sz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6048375" cy="68103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31304" name=""/>
                        <pic:cNvPicPr>
                          <a:picLocks noChangeAspect="1"/>
                        </pic:cNvPicPr>
                        <pic:nvPr/>
                      </pic:nvPicPr>
                      <pic:blipFill rotWithShape="1">
                        <a:blip r:embed="rId29"/>
                        <a:stretch/>
                      </pic:blipFill>
                      <pic:spPr bwMode="auto">
                        <a:xfrm>
                          <a:off x="0" y="0"/>
                          <a:ext cx="6048374" cy="6810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536.25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z w:val="24"/>
        </w:rPr>
        <w:t xml:space="preserve"> </w:t>
        <w:br w:type="page" w:clear="all"/>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275/2026/0635/VFI-BC.44.A ngày 23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32"/>
        <w:gridCol w:w="3226"/>
        <w:gridCol w:w="5528"/>
        <w:gridCol w:w="1675"/>
        <w:gridCol w:w="1675"/>
      </w:tblGrid>
      <w:tr>
        <w:trPr>
          <w:gridAfter w:val="2"/>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https://batdongsan.com.vn/ban-can-ho-chung-cu-xa-xuan-quan-swan-lake-onsen-residences/ban-rat-gap-2-ngu-view-san-golf-full-o-gia-tot-nhat-pr45336547 - SDT: 0989.498000</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5.950.000.000</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5.771.500.000</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4/2026</w:t>
            </w:r>
            <w:r/>
          </w:p>
        </w:tc>
      </w:tr>
      <w:tr>
        <w:trPr>
          <w:gridAfter w:val="2"/>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R2</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65,0</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Căn</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 (Nhìn ra hồ Thiên Nga)</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WC, 1 Bếp, 1 Khách</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 </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gridAfter w:val="2"/>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5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c>
          <w:tcPr>
            <w:tcBorders/>
            <w:tcMar>
              <w:left w:w="108" w:type="dxa"/>
              <w:top w:w="0" w:type="dxa"/>
              <w:right w:w="108" w:type="dxa"/>
              <w:bottom w:w="0" w:type="dxa"/>
            </w:tcMar>
            <w:tcW w:w="1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3667125" cy="36766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38355" name=""/>
                              <pic:cNvPicPr>
                                <a:picLocks noChangeAspect="1"/>
                              </pic:cNvPicPr>
                              <pic:nvPr/>
                            </pic:nvPicPr>
                            <pic:blipFill rotWithShape="1">
                              <a:blip r:embed="rId30"/>
                              <a:stretch/>
                            </pic:blipFill>
                            <pic:spPr bwMode="auto">
                              <a:xfrm>
                                <a:off x="0" y="0"/>
                                <a:ext cx="3667124" cy="3676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88.75pt;height:289.5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tcMar>
              <w:left w:w="108" w:type="dxa"/>
              <w:top w:w="0" w:type="dxa"/>
              <w:right w:w="108" w:type="dxa"/>
              <w:bottom w:w="0" w:type="dxa"/>
            </w:tcMar>
            <w:tcW w:w="1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1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https://batdongsan.com.vn/ban-can-ho-chung-cu-xa-xuan-quan-swan-lake-onsen-residences/ban-2-ngu-toa-r1-65m-view-gia-5-9-ty-bao-phi-lh-pr45594015 - SDT: 0989.498000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5.900.000.000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5.310.000.000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tòa nhà</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R1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Căn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30/36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 (Nhìn ra hồ Thiên Nga)</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WC, 1 Bếp, 1 Khách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5343525" cy="380047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29037" name=""/>
                              <pic:cNvPicPr>
                                <a:picLocks noChangeAspect="1"/>
                              </pic:cNvPicPr>
                              <pic:nvPr/>
                            </pic:nvPicPr>
                            <pic:blipFill rotWithShape="1">
                              <a:blip r:embed="rId31"/>
                              <a:stretch/>
                            </pic:blipFill>
                            <pic:spPr bwMode="auto">
                              <a:xfrm>
                                <a:off x="0" y="0"/>
                                <a:ext cx="5343525" cy="38004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20.75pt;height:299.25pt;mso-wrap-distance-left:0.00pt;mso-wrap-distance-top:0.00pt;mso-wrap-distance-right:0.00pt;mso-wrap-distance-bottom:0.00pt;z-index:1;" stroked="false">
                      <v:imagedata r:id="rId31"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https://batdongsan.com.vn/ban-can-ho-chung-cu-xa-xuan-quan-swan-lake-onsen-residences/ban-3-ngu-goc-khu-khu-cao-cap-nhat-ecopark-hung-yen-pr45589523 - SDT: 0969.606314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 tòa nhà</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R1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Căn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 (Nhìn ra hồ Thiên Nga)</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5619750" cy="3149442"/>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84209" name=""/>
                              <pic:cNvPicPr>
                                <a:picLocks noChangeAspect="1"/>
                              </pic:cNvPicPr>
                              <pic:nvPr/>
                            </pic:nvPicPr>
                            <pic:blipFill rotWithShape="1">
                              <a:blip r:embed="rId32"/>
                              <a:stretch/>
                            </pic:blipFill>
                            <pic:spPr bwMode="auto">
                              <a:xfrm flipH="0" flipV="0">
                                <a:off x="0" y="0"/>
                                <a:ext cx="5619749" cy="31494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42.50pt;height:247.99pt;mso-wrap-distance-left:0.00pt;mso-wrap-distance-top:0.00pt;mso-wrap-distance-right:0.00pt;mso-wrap-distance-bottom:0.00pt;z-index:1;" stroked="false">
                      <v:imagedata r:id="rId32"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16"/>
          <w:szCs w:val="16"/>
        </w:rPr>
      </w:r>
      <w:r>
        <w:rPr>
          <w:rFonts w:ascii="Times New Roman" w:hAnsi="Times New Roman" w:eastAsia="Times New Roman" w:cs="Times New Roman"/>
          <w:color w:val="000000"/>
          <w:sz w:val="24"/>
        </w:rPr>
        <w:t xml:space="preserve"> </w:t>
      </w:r>
      <w:r/>
    </w:p>
    <w:tbl>
      <w:tblPr>
        <w:tblStyle w:val="1032"/>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Lê Đình Duy</w:t>
            </w:r>
            <w:r>
              <w:rPr>
                <w:rFonts w:ascii="Times New Roman" w:hAnsi="Times New Roman" w:eastAsia="Times New Roman" w:cs="Times New Roman"/>
                <w:color w:val="000000"/>
                <w:sz w:val="24"/>
                <w:szCs w:val="24"/>
                <w:highlight w:val="none"/>
              </w:rPr>
            </w:r>
          </w:p>
        </w:tc>
      </w:tr>
    </w:tbl>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BIÊN BẢN KHẢO SÁT</w:t>
      </w:r>
      <w:r>
        <w:rPr>
          <w:rFonts w:ascii="Times New Roman" w:hAnsi="Times New Roman" w:eastAsia="Times New Roman" w:cs="Times New Roman"/>
          <w:b/>
          <w:bCs/>
          <w:color w:val="000000"/>
          <w:sz w:val="24"/>
          <w:szCs w:val="24"/>
          <w:highlight w:val="none"/>
        </w:rPr>
      </w:r>
    </w:p>
    <w:p>
      <w:pPr>
        <w:pBdr/>
        <w:spacing w:after="200" w:line="276" w:lineRule="auto"/>
        <w:ind/>
        <w:rPr>
          <w:iCs/>
          <w:lang w:val="pt-BR"/>
        </w:rPr>
      </w:pPr>
      <w:r>
        <w:rPr>
          <w:iCs/>
          <w:lang w:val="pt-BR"/>
        </w:rPr>
      </w:r>
      <w:r>
        <w:rPr>
          <w:iCs/>
          <w:lang w:val="pt-BR"/>
        </w:rPr>
      </w:r>
      <w:r>
        <w:rPr>
          <w:iCs/>
          <w:lang w:val="pt-BR"/>
        </w:rPr>
      </w:r>
    </w:p>
    <w:sectPr>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4"/>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4"/>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C651B9C"/>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1A70833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69501CF7"/>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4A18DEFA"/>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Wingdings" w:hAnsi="Wingdings" w:eastAsia="Wingdings" w:cs="Wingdings"/>
      </w:rPr>
      <w:start w:val="1"/>
      <w:suff w:val="tab"/>
    </w:lvl>
    <w:lvl w:ilvl="4">
      <w:isLgl w:val="false"/>
      <w:lvlJc w:val="left"/>
      <w:lvlText w:val=""/>
      <w:numFmt w:val="bullet"/>
      <w:pPr>
        <w:pBdr/>
        <w:spacing/>
        <w:ind w:hanging="360" w:left="3600"/>
      </w:pPr>
      <w:rPr>
        <w:rFonts w:hint="default" w:ascii="Wingdings" w:hAnsi="Wingdings" w:eastAsia="Wingdings" w:cs="Wingdings"/>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Wingdings" w:hAnsi="Wingdings" w:eastAsia="Wingdings" w:cs="Wingdings"/>
      </w:rPr>
      <w:start w:val="1"/>
      <w:suff w:val="tab"/>
    </w:lvl>
    <w:lvl w:ilvl="7">
      <w:isLgl w:val="false"/>
      <w:lvlJc w:val="left"/>
      <w:lvlText w:val=""/>
      <w:numFmt w:val="bullet"/>
      <w:pPr>
        <w:pBdr/>
        <w:spacing/>
        <w:ind w:hanging="360" w:left="5760"/>
      </w:pPr>
      <w:rPr>
        <w:rFonts w:hint="default" w:ascii="Wingdings" w:hAnsi="Wingdings" w:eastAsia="Wingdings" w:cs="Wingdings"/>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4403D1E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45C32498"/>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3">
    <w:nsid w:val="42E5BF8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0">
    <w:name w:val="Table Grid Light"/>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1"/>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2"/>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3"/>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4"/>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5"/>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w:basedOn w:val="101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w:basedOn w:val="101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1"/>
    <w:basedOn w:val="101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2"/>
    <w:basedOn w:val="101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3"/>
    <w:basedOn w:val="101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4"/>
    <w:basedOn w:val="101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5"/>
    <w:basedOn w:val="101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6"/>
    <w:basedOn w:val="101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1"/>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2"/>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3"/>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4"/>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5"/>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6"/>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2">
    <w:name w:val="Grid Table 6 Colorful - Accent 1"/>
    <w:basedOn w:val="101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3">
    <w:name w:val="Grid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4">
    <w:name w:val="Grid Table 6 Colorful - Accent 3"/>
    <w:basedOn w:val="101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5">
    <w:name w:val="Grid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6">
    <w:name w:val="Grid Table 6 Colorful - Accent 5"/>
    <w:basedOn w:val="101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6 Colorful - Accent 6"/>
    <w:basedOn w:val="101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7 Colorful"/>
    <w:basedOn w:val="101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1"/>
    <w:basedOn w:val="101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5"/>
    <w:basedOn w:val="101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6"/>
    <w:basedOn w:val="101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1"/>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2"/>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3"/>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4"/>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5"/>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6"/>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w:basedOn w:val="101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1"/>
    <w:basedOn w:val="101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2"/>
    <w:basedOn w:val="101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3"/>
    <w:basedOn w:val="101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4"/>
    <w:basedOn w:val="101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5"/>
    <w:basedOn w:val="101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6"/>
    <w:basedOn w:val="101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1"/>
    <w:basedOn w:val="101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3"/>
    <w:basedOn w:val="101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5"/>
    <w:basedOn w:val="101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6"/>
    <w:basedOn w:val="101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1"/>
    <w:basedOn w:val="101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2"/>
    <w:basedOn w:val="101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3"/>
    <w:basedOn w:val="101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4"/>
    <w:basedOn w:val="101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5"/>
    <w:basedOn w:val="101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6"/>
    <w:basedOn w:val="101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5 Dark"/>
    <w:basedOn w:val="101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1"/>
    <w:basedOn w:val="101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2"/>
    <w:basedOn w:val="101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3"/>
    <w:basedOn w:val="101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4"/>
    <w:basedOn w:val="101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5"/>
    <w:basedOn w:val="101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6"/>
    <w:basedOn w:val="101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1"/>
    <w:basedOn w:val="101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3"/>
    <w:basedOn w:val="101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5"/>
    <w:basedOn w:val="101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6"/>
    <w:basedOn w:val="101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7 Colorful"/>
    <w:basedOn w:val="101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8">
    <w:name w:val="List Table 7 Colorful - Accent 1"/>
    <w:basedOn w:val="101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9">
    <w:name w:val="List Table 7 Colorful - Accent 2"/>
    <w:basedOn w:val="101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0">
    <w:name w:val="List Table 7 Colorful - Accent 3"/>
    <w:basedOn w:val="101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1">
    <w:name w:val="List Table 7 Colorful - Accent 4"/>
    <w:basedOn w:val="101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2">
    <w:name w:val="List Table 7 Colorful - Accent 5"/>
    <w:basedOn w:val="101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3">
    <w:name w:val="List Table 7 Colorful - Accent 6"/>
    <w:basedOn w:val="101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4">
    <w:name w:val="Lined - Accent"/>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1"/>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2"/>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3"/>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4"/>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5"/>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6"/>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w:basedOn w:val="101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1"/>
    <w:basedOn w:val="101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2"/>
    <w:basedOn w:val="101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3"/>
    <w:basedOn w:val="101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4"/>
    <w:basedOn w:val="101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5"/>
    <w:basedOn w:val="101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6"/>
    <w:basedOn w:val="101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w:basedOn w:val="101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5">
    <w:name w:val="Heading 5"/>
    <w:basedOn w:val="1006"/>
    <w:next w:val="1006"/>
    <w:link w:val="97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6">
    <w:name w:val="Heading 6"/>
    <w:basedOn w:val="1006"/>
    <w:next w:val="1006"/>
    <w:link w:val="97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7">
    <w:name w:val="Heading 7"/>
    <w:basedOn w:val="1006"/>
    <w:next w:val="1006"/>
    <w:link w:val="97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8">
    <w:name w:val="Heading 8"/>
    <w:basedOn w:val="1006"/>
    <w:next w:val="1006"/>
    <w:link w:val="97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9">
    <w:name w:val="Heading 9"/>
    <w:basedOn w:val="1006"/>
    <w:next w:val="1006"/>
    <w:link w:val="97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0">
    <w:name w:val="Heading 5 Char"/>
    <w:basedOn w:val="1011"/>
    <w:link w:val="965"/>
    <w:uiPriority w:val="9"/>
    <w:pPr>
      <w:pBdr/>
      <w:spacing/>
      <w:ind/>
    </w:pPr>
    <w:rPr>
      <w:rFonts w:ascii="Arial" w:hAnsi="Arial" w:eastAsia="Arial" w:cs="Arial"/>
      <w:color w:val="0f4761" w:themeColor="accent1" w:themeShade="BF"/>
    </w:rPr>
  </w:style>
  <w:style w:type="character" w:styleId="971">
    <w:name w:val="Heading 6 Char"/>
    <w:basedOn w:val="1011"/>
    <w:link w:val="966"/>
    <w:uiPriority w:val="9"/>
    <w:pPr>
      <w:pBdr/>
      <w:spacing/>
      <w:ind/>
    </w:pPr>
    <w:rPr>
      <w:rFonts w:ascii="Arial" w:hAnsi="Arial" w:eastAsia="Arial" w:cs="Arial"/>
      <w:i/>
      <w:iCs/>
      <w:color w:val="595959" w:themeColor="text1" w:themeTint="A6"/>
    </w:rPr>
  </w:style>
  <w:style w:type="character" w:styleId="972">
    <w:name w:val="Heading 7 Char"/>
    <w:basedOn w:val="1011"/>
    <w:link w:val="967"/>
    <w:uiPriority w:val="9"/>
    <w:pPr>
      <w:pBdr/>
      <w:spacing/>
      <w:ind/>
    </w:pPr>
    <w:rPr>
      <w:rFonts w:ascii="Arial" w:hAnsi="Arial" w:eastAsia="Arial" w:cs="Arial"/>
      <w:color w:val="595959" w:themeColor="text1" w:themeTint="A6"/>
    </w:rPr>
  </w:style>
  <w:style w:type="character" w:styleId="973">
    <w:name w:val="Heading 8 Char"/>
    <w:basedOn w:val="1011"/>
    <w:link w:val="968"/>
    <w:uiPriority w:val="9"/>
    <w:pPr>
      <w:pBdr/>
      <w:spacing/>
      <w:ind/>
    </w:pPr>
    <w:rPr>
      <w:rFonts w:ascii="Arial" w:hAnsi="Arial" w:eastAsia="Arial" w:cs="Arial"/>
      <w:i/>
      <w:iCs/>
      <w:color w:val="272727" w:themeColor="text1" w:themeTint="D8"/>
    </w:rPr>
  </w:style>
  <w:style w:type="character" w:styleId="974">
    <w:name w:val="Heading 9 Char"/>
    <w:basedOn w:val="1011"/>
    <w:link w:val="969"/>
    <w:uiPriority w:val="9"/>
    <w:pPr>
      <w:pBdr/>
      <w:spacing/>
      <w:ind/>
    </w:pPr>
    <w:rPr>
      <w:rFonts w:ascii="Arial" w:hAnsi="Arial" w:eastAsia="Arial" w:cs="Arial"/>
      <w:i/>
      <w:iCs/>
      <w:color w:val="272727" w:themeColor="text1" w:themeTint="D8"/>
    </w:rPr>
  </w:style>
  <w:style w:type="paragraph" w:styleId="975">
    <w:name w:val="Subtitle"/>
    <w:basedOn w:val="1006"/>
    <w:next w:val="1006"/>
    <w:link w:val="976"/>
    <w:uiPriority w:val="11"/>
    <w:qFormat/>
    <w:pPr>
      <w:numPr>
        <w:ilvl w:val="1"/>
      </w:numPr>
      <w:pBdr/>
      <w:spacing/>
      <w:ind/>
    </w:pPr>
    <w:rPr>
      <w:color w:val="595959" w:themeColor="text1" w:themeTint="A6"/>
      <w:spacing w:val="15"/>
      <w:sz w:val="28"/>
      <w:szCs w:val="28"/>
    </w:rPr>
  </w:style>
  <w:style w:type="character" w:styleId="976">
    <w:name w:val="Subtitle Char"/>
    <w:basedOn w:val="1011"/>
    <w:link w:val="975"/>
    <w:uiPriority w:val="11"/>
    <w:pPr>
      <w:pBdr/>
      <w:spacing/>
      <w:ind/>
    </w:pPr>
    <w:rPr>
      <w:color w:val="595959" w:themeColor="text1" w:themeTint="A6"/>
      <w:spacing w:val="15"/>
      <w:sz w:val="28"/>
      <w:szCs w:val="28"/>
    </w:rPr>
  </w:style>
  <w:style w:type="paragraph" w:styleId="977">
    <w:name w:val="Quote"/>
    <w:basedOn w:val="1006"/>
    <w:next w:val="1006"/>
    <w:link w:val="978"/>
    <w:uiPriority w:val="29"/>
    <w:qFormat/>
    <w:pPr>
      <w:pBdr/>
      <w:spacing w:before="160"/>
      <w:ind/>
      <w:jc w:val="center"/>
    </w:pPr>
    <w:rPr>
      <w:i/>
      <w:iCs/>
      <w:color w:val="404040" w:themeColor="text1" w:themeTint="BF"/>
    </w:rPr>
  </w:style>
  <w:style w:type="character" w:styleId="978">
    <w:name w:val="Quote Char"/>
    <w:basedOn w:val="1011"/>
    <w:link w:val="977"/>
    <w:uiPriority w:val="29"/>
    <w:pPr>
      <w:pBdr/>
      <w:spacing/>
      <w:ind/>
    </w:pPr>
    <w:rPr>
      <w:i/>
      <w:iCs/>
      <w:color w:val="404040" w:themeColor="text1" w:themeTint="BF"/>
    </w:rPr>
  </w:style>
  <w:style w:type="character" w:styleId="979">
    <w:name w:val="Intense Emphasis"/>
    <w:basedOn w:val="1011"/>
    <w:uiPriority w:val="21"/>
    <w:qFormat/>
    <w:pPr>
      <w:pBdr/>
      <w:spacing/>
      <w:ind/>
    </w:pPr>
    <w:rPr>
      <w:i/>
      <w:iCs/>
      <w:color w:val="0f4761" w:themeColor="accent1" w:themeShade="BF"/>
    </w:rPr>
  </w:style>
  <w:style w:type="paragraph" w:styleId="980">
    <w:name w:val="Intense Quote"/>
    <w:basedOn w:val="1006"/>
    <w:next w:val="1006"/>
    <w:link w:val="98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1">
    <w:name w:val="Intense Quote Char"/>
    <w:basedOn w:val="1011"/>
    <w:link w:val="980"/>
    <w:uiPriority w:val="30"/>
    <w:pPr>
      <w:pBdr/>
      <w:spacing/>
      <w:ind/>
    </w:pPr>
    <w:rPr>
      <w:i/>
      <w:iCs/>
      <w:color w:val="0f4761" w:themeColor="accent1" w:themeShade="BF"/>
    </w:rPr>
  </w:style>
  <w:style w:type="character" w:styleId="982">
    <w:name w:val="Intense Reference"/>
    <w:basedOn w:val="1011"/>
    <w:uiPriority w:val="32"/>
    <w:qFormat/>
    <w:pPr>
      <w:pBdr/>
      <w:spacing/>
      <w:ind/>
    </w:pPr>
    <w:rPr>
      <w:b/>
      <w:bCs/>
      <w:smallCaps/>
      <w:color w:val="0f4761" w:themeColor="accent1" w:themeShade="BF"/>
      <w:spacing w:val="5"/>
    </w:rPr>
  </w:style>
  <w:style w:type="paragraph" w:styleId="983">
    <w:name w:val="No Spacing"/>
    <w:basedOn w:val="1006"/>
    <w:uiPriority w:val="1"/>
    <w:qFormat/>
    <w:pPr>
      <w:pBdr/>
      <w:spacing w:after="0" w:line="240" w:lineRule="auto"/>
      <w:ind/>
    </w:pPr>
  </w:style>
  <w:style w:type="character" w:styleId="984">
    <w:name w:val="Subtle Emphasis"/>
    <w:basedOn w:val="1011"/>
    <w:uiPriority w:val="19"/>
    <w:qFormat/>
    <w:pPr>
      <w:pBdr/>
      <w:spacing/>
      <w:ind/>
    </w:pPr>
    <w:rPr>
      <w:i/>
      <w:iCs/>
      <w:color w:val="404040" w:themeColor="text1" w:themeTint="BF"/>
    </w:rPr>
  </w:style>
  <w:style w:type="character" w:styleId="985">
    <w:name w:val="Subtle Reference"/>
    <w:basedOn w:val="1011"/>
    <w:uiPriority w:val="31"/>
    <w:qFormat/>
    <w:pPr>
      <w:pBdr/>
      <w:spacing/>
      <w:ind/>
    </w:pPr>
    <w:rPr>
      <w:smallCaps/>
      <w:color w:val="5a5a5a" w:themeColor="text1" w:themeTint="A5"/>
    </w:rPr>
  </w:style>
  <w:style w:type="character" w:styleId="986">
    <w:name w:val="Book Title"/>
    <w:basedOn w:val="1011"/>
    <w:uiPriority w:val="33"/>
    <w:qFormat/>
    <w:pPr>
      <w:pBdr/>
      <w:spacing/>
      <w:ind/>
    </w:pPr>
    <w:rPr>
      <w:b/>
      <w:bCs/>
      <w:i/>
      <w:iCs/>
      <w:spacing w:val="5"/>
    </w:rPr>
  </w:style>
  <w:style w:type="paragraph" w:styleId="987">
    <w:name w:val="Caption"/>
    <w:basedOn w:val="1006"/>
    <w:next w:val="1006"/>
    <w:uiPriority w:val="35"/>
    <w:unhideWhenUsed/>
    <w:qFormat/>
    <w:pPr>
      <w:pBdr/>
      <w:spacing w:after="200" w:line="240" w:lineRule="auto"/>
      <w:ind/>
    </w:pPr>
    <w:rPr>
      <w:i/>
      <w:iCs/>
      <w:color w:val="0e2841" w:themeColor="text2"/>
      <w:sz w:val="18"/>
      <w:szCs w:val="18"/>
    </w:rPr>
  </w:style>
  <w:style w:type="paragraph" w:styleId="988">
    <w:name w:val="footnote text"/>
    <w:basedOn w:val="1006"/>
    <w:link w:val="989"/>
    <w:uiPriority w:val="99"/>
    <w:semiHidden/>
    <w:unhideWhenUsed/>
    <w:pPr>
      <w:pBdr/>
      <w:spacing w:after="0" w:line="240" w:lineRule="auto"/>
      <w:ind/>
    </w:pPr>
    <w:rPr>
      <w:sz w:val="20"/>
      <w:szCs w:val="20"/>
    </w:rPr>
  </w:style>
  <w:style w:type="character" w:styleId="989">
    <w:name w:val="Footnote Text Char"/>
    <w:basedOn w:val="1011"/>
    <w:link w:val="988"/>
    <w:uiPriority w:val="99"/>
    <w:semiHidden/>
    <w:pPr>
      <w:pBdr/>
      <w:spacing/>
      <w:ind/>
    </w:pPr>
    <w:rPr>
      <w:sz w:val="20"/>
      <w:szCs w:val="20"/>
    </w:rPr>
  </w:style>
  <w:style w:type="character" w:styleId="990">
    <w:name w:val="footnote reference"/>
    <w:basedOn w:val="1011"/>
    <w:uiPriority w:val="99"/>
    <w:semiHidden/>
    <w:unhideWhenUsed/>
    <w:pPr>
      <w:pBdr/>
      <w:spacing/>
      <w:ind/>
    </w:pPr>
    <w:rPr>
      <w:vertAlign w:val="superscript"/>
    </w:rPr>
  </w:style>
  <w:style w:type="paragraph" w:styleId="991">
    <w:name w:val="endnote text"/>
    <w:basedOn w:val="1006"/>
    <w:link w:val="992"/>
    <w:uiPriority w:val="99"/>
    <w:semiHidden/>
    <w:unhideWhenUsed/>
    <w:pPr>
      <w:pBdr/>
      <w:spacing w:after="0" w:line="240" w:lineRule="auto"/>
      <w:ind/>
    </w:pPr>
    <w:rPr>
      <w:sz w:val="20"/>
      <w:szCs w:val="20"/>
    </w:rPr>
  </w:style>
  <w:style w:type="character" w:styleId="992">
    <w:name w:val="Endnote Text Char"/>
    <w:basedOn w:val="1011"/>
    <w:link w:val="991"/>
    <w:uiPriority w:val="99"/>
    <w:semiHidden/>
    <w:pPr>
      <w:pBdr/>
      <w:spacing/>
      <w:ind/>
    </w:pPr>
    <w:rPr>
      <w:sz w:val="20"/>
      <w:szCs w:val="20"/>
    </w:rPr>
  </w:style>
  <w:style w:type="character" w:styleId="993">
    <w:name w:val="endnote reference"/>
    <w:basedOn w:val="1011"/>
    <w:uiPriority w:val="99"/>
    <w:semiHidden/>
    <w:unhideWhenUsed/>
    <w:pPr>
      <w:pBdr/>
      <w:spacing/>
      <w:ind/>
    </w:pPr>
    <w:rPr>
      <w:vertAlign w:val="superscript"/>
    </w:rPr>
  </w:style>
  <w:style w:type="paragraph" w:styleId="994">
    <w:name w:val="toc 1"/>
    <w:basedOn w:val="1006"/>
    <w:next w:val="1006"/>
    <w:uiPriority w:val="39"/>
    <w:unhideWhenUsed/>
    <w:pPr>
      <w:pBdr/>
      <w:spacing w:after="100"/>
      <w:ind/>
    </w:pPr>
  </w:style>
  <w:style w:type="paragraph" w:styleId="995">
    <w:name w:val="toc 2"/>
    <w:basedOn w:val="1006"/>
    <w:next w:val="1006"/>
    <w:uiPriority w:val="39"/>
    <w:unhideWhenUsed/>
    <w:pPr>
      <w:pBdr/>
      <w:spacing w:after="100"/>
      <w:ind w:left="220"/>
    </w:pPr>
  </w:style>
  <w:style w:type="paragraph" w:styleId="996">
    <w:name w:val="toc 3"/>
    <w:basedOn w:val="1006"/>
    <w:next w:val="1006"/>
    <w:uiPriority w:val="39"/>
    <w:unhideWhenUsed/>
    <w:pPr>
      <w:pBdr/>
      <w:spacing w:after="100"/>
      <w:ind w:left="440"/>
    </w:pPr>
  </w:style>
  <w:style w:type="paragraph" w:styleId="997">
    <w:name w:val="toc 4"/>
    <w:basedOn w:val="1006"/>
    <w:next w:val="1006"/>
    <w:uiPriority w:val="39"/>
    <w:unhideWhenUsed/>
    <w:pPr>
      <w:pBdr/>
      <w:spacing w:after="100"/>
      <w:ind w:left="660"/>
    </w:pPr>
  </w:style>
  <w:style w:type="paragraph" w:styleId="998">
    <w:name w:val="toc 5"/>
    <w:basedOn w:val="1006"/>
    <w:next w:val="1006"/>
    <w:uiPriority w:val="39"/>
    <w:unhideWhenUsed/>
    <w:pPr>
      <w:pBdr/>
      <w:spacing w:after="100"/>
      <w:ind w:left="880"/>
    </w:pPr>
  </w:style>
  <w:style w:type="paragraph" w:styleId="999">
    <w:name w:val="toc 6"/>
    <w:basedOn w:val="1006"/>
    <w:next w:val="1006"/>
    <w:uiPriority w:val="39"/>
    <w:unhideWhenUsed/>
    <w:pPr>
      <w:pBdr/>
      <w:spacing w:after="100"/>
      <w:ind w:left="1100"/>
    </w:pPr>
  </w:style>
  <w:style w:type="paragraph" w:styleId="1000">
    <w:name w:val="toc 7"/>
    <w:basedOn w:val="1006"/>
    <w:next w:val="1006"/>
    <w:uiPriority w:val="39"/>
    <w:unhideWhenUsed/>
    <w:pPr>
      <w:pBdr/>
      <w:spacing w:after="100"/>
      <w:ind w:left="1320"/>
    </w:pPr>
  </w:style>
  <w:style w:type="paragraph" w:styleId="1001">
    <w:name w:val="toc 8"/>
    <w:basedOn w:val="1006"/>
    <w:next w:val="1006"/>
    <w:uiPriority w:val="39"/>
    <w:unhideWhenUsed/>
    <w:pPr>
      <w:pBdr/>
      <w:spacing w:after="100"/>
      <w:ind w:left="1540"/>
    </w:pPr>
  </w:style>
  <w:style w:type="paragraph" w:styleId="1002">
    <w:name w:val="toc 9"/>
    <w:basedOn w:val="1006"/>
    <w:next w:val="1006"/>
    <w:uiPriority w:val="39"/>
    <w:unhideWhenUsed/>
    <w:pPr>
      <w:pBdr/>
      <w:spacing w:after="100"/>
      <w:ind w:left="1760"/>
    </w:pPr>
  </w:style>
  <w:style w:type="character" w:styleId="1003">
    <w:name w:val="Placeholder Text"/>
    <w:basedOn w:val="1011"/>
    <w:uiPriority w:val="99"/>
    <w:semiHidden/>
    <w:pPr>
      <w:pBdr/>
      <w:spacing/>
      <w:ind/>
    </w:pPr>
    <w:rPr>
      <w:color w:val="666666"/>
    </w:rPr>
  </w:style>
  <w:style w:type="paragraph" w:styleId="1004">
    <w:name w:val="TOC Heading"/>
    <w:uiPriority w:val="39"/>
    <w:unhideWhenUsed/>
    <w:pPr>
      <w:pBdr/>
      <w:spacing/>
      <w:ind/>
    </w:pPr>
  </w:style>
  <w:style w:type="paragraph" w:styleId="1005">
    <w:name w:val="table of figures"/>
    <w:basedOn w:val="1006"/>
    <w:next w:val="1006"/>
    <w:uiPriority w:val="99"/>
    <w:unhideWhenUsed/>
    <w:pPr>
      <w:pBdr/>
      <w:spacing w:after="0" w:afterAutospacing="0"/>
      <w:ind/>
    </w:pPr>
  </w:style>
  <w:style w:type="paragraph" w:styleId="1006" w:default="1">
    <w:name w:val="Normal"/>
    <w:qFormat/>
    <w:pPr>
      <w:pBdr/>
      <w:spacing w:after="0" w:line="240" w:lineRule="auto"/>
      <w:ind/>
    </w:pPr>
    <w:rPr>
      <w:rFonts w:ascii="Times New Roman" w:hAnsi="Times New Roman" w:eastAsia="Times New Roman" w:cs="Times New Roman"/>
      <w:sz w:val="24"/>
      <w:szCs w:val="24"/>
    </w:rPr>
  </w:style>
  <w:style w:type="paragraph" w:styleId="1007">
    <w:name w:val="Heading 1"/>
    <w:basedOn w:val="1006"/>
    <w:next w:val="1006"/>
    <w:link w:val="1014"/>
    <w:qFormat/>
    <w:pPr>
      <w:keepNext w:val="true"/>
      <w:pBdr/>
      <w:spacing w:after="120" w:before="120"/>
      <w:ind/>
      <w:jc w:val="center"/>
      <w:outlineLvl w:val="0"/>
    </w:pPr>
    <w:rPr>
      <w:b/>
      <w:bCs/>
      <w:sz w:val="27"/>
      <w:szCs w:val="27"/>
    </w:rPr>
  </w:style>
  <w:style w:type="paragraph" w:styleId="1008">
    <w:name w:val="Heading 2"/>
    <w:basedOn w:val="1006"/>
    <w:next w:val="1006"/>
    <w:link w:val="1015"/>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9">
    <w:name w:val="Heading 3"/>
    <w:basedOn w:val="1006"/>
    <w:next w:val="1006"/>
    <w:link w:val="1016"/>
    <w:qFormat/>
    <w:pPr>
      <w:keepNext w:val="true"/>
      <w:pBdr/>
      <w:spacing w:before="60"/>
      <w:ind/>
      <w:outlineLvl w:val="2"/>
    </w:pPr>
    <w:rPr>
      <w:sz w:val="28"/>
      <w:szCs w:val="28"/>
    </w:rPr>
  </w:style>
  <w:style w:type="paragraph" w:styleId="1010">
    <w:name w:val="Heading 4"/>
    <w:basedOn w:val="1006"/>
    <w:next w:val="1006"/>
    <w:link w:val="1017"/>
    <w:qFormat/>
    <w:pPr>
      <w:keepNext w:val="true"/>
      <w:pBdr/>
      <w:spacing/>
      <w:ind/>
      <w:jc w:val="center"/>
      <w:outlineLvl w:val="3"/>
    </w:pPr>
    <w:rPr>
      <w:b/>
      <w:bCs/>
    </w:rPr>
  </w:style>
  <w:style w:type="character" w:styleId="1011" w:default="1">
    <w:name w:val="Default Paragraph Font"/>
    <w:uiPriority w:val="1"/>
    <w:semiHidden/>
    <w:unhideWhenUsed/>
    <w:pPr>
      <w:pBdr/>
      <w:spacing/>
      <w:ind/>
    </w:pPr>
  </w:style>
  <w:style w:type="table" w:styleId="101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3" w:default="1">
    <w:name w:val="No List"/>
    <w:uiPriority w:val="99"/>
    <w:semiHidden/>
    <w:unhideWhenUsed/>
    <w:pPr>
      <w:pBdr/>
      <w:spacing/>
      <w:ind/>
    </w:pPr>
  </w:style>
  <w:style w:type="character" w:styleId="1014" w:customStyle="1">
    <w:name w:val="Heading 1 Char"/>
    <w:basedOn w:val="1011"/>
    <w:link w:val="1007"/>
    <w:pPr>
      <w:pBdr/>
      <w:spacing/>
      <w:ind/>
    </w:pPr>
    <w:rPr>
      <w:rFonts w:ascii="Times New Roman" w:hAnsi="Times New Roman" w:eastAsia="Times New Roman" w:cs="Times New Roman"/>
      <w:b/>
      <w:bCs/>
      <w:sz w:val="27"/>
      <w:szCs w:val="27"/>
    </w:rPr>
  </w:style>
  <w:style w:type="character" w:styleId="1015" w:customStyle="1">
    <w:name w:val="Heading 2 Char"/>
    <w:basedOn w:val="1011"/>
    <w:link w:val="1008"/>
    <w:uiPriority w:val="9"/>
    <w:pPr>
      <w:pBdr/>
      <w:spacing/>
      <w:ind/>
    </w:pPr>
    <w:rPr>
      <w:rFonts w:asciiTheme="majorHAnsi" w:hAnsiTheme="majorHAnsi" w:eastAsiaTheme="majorEastAsia" w:cstheme="majorBidi"/>
      <w:color w:val="365f91" w:themeColor="accent1" w:themeShade="BF"/>
      <w:sz w:val="26"/>
      <w:szCs w:val="26"/>
    </w:rPr>
  </w:style>
  <w:style w:type="character" w:styleId="1016" w:customStyle="1">
    <w:name w:val="Heading 3 Char"/>
    <w:basedOn w:val="1011"/>
    <w:link w:val="1009"/>
    <w:pPr>
      <w:pBdr/>
      <w:spacing/>
      <w:ind/>
    </w:pPr>
    <w:rPr>
      <w:rFonts w:ascii="Times New Roman" w:hAnsi="Times New Roman" w:eastAsia="Times New Roman" w:cs="Times New Roman"/>
      <w:sz w:val="28"/>
      <w:szCs w:val="28"/>
    </w:rPr>
  </w:style>
  <w:style w:type="character" w:styleId="1017" w:customStyle="1">
    <w:name w:val="Heading 4 Char"/>
    <w:basedOn w:val="1011"/>
    <w:link w:val="1010"/>
    <w:pPr>
      <w:pBdr/>
      <w:spacing/>
      <w:ind/>
    </w:pPr>
    <w:rPr>
      <w:rFonts w:ascii="Times New Roman" w:hAnsi="Times New Roman" w:eastAsia="Times New Roman" w:cs="Times New Roman"/>
      <w:b/>
      <w:bCs/>
      <w:sz w:val="24"/>
      <w:szCs w:val="24"/>
    </w:rPr>
  </w:style>
  <w:style w:type="character" w:styleId="1018">
    <w:name w:val="Hyperlink"/>
    <w:uiPriority w:val="99"/>
    <w:pPr>
      <w:pBdr/>
      <w:spacing/>
      <w:ind/>
    </w:pPr>
    <w:rPr>
      <w:color w:val="000000"/>
      <w:u w:val="single"/>
    </w:rPr>
  </w:style>
  <w:style w:type="character" w:styleId="1019">
    <w:name w:val="Strong"/>
    <w:uiPriority w:val="22"/>
    <w:qFormat/>
    <w:pPr>
      <w:pBdr/>
      <w:spacing/>
      <w:ind/>
    </w:pPr>
    <w:rPr>
      <w:b/>
      <w:bCs/>
    </w:rPr>
  </w:style>
  <w:style w:type="paragraph" w:styleId="1020">
    <w:name w:val="Balloon Text"/>
    <w:basedOn w:val="1006"/>
    <w:link w:val="1021"/>
    <w:uiPriority w:val="99"/>
    <w:semiHidden/>
    <w:unhideWhenUsed/>
    <w:pPr>
      <w:pBdr/>
      <w:spacing/>
      <w:ind/>
    </w:pPr>
    <w:rPr>
      <w:rFonts w:ascii="Tahoma" w:hAnsi="Tahoma" w:cs="Tahoma"/>
      <w:sz w:val="16"/>
      <w:szCs w:val="16"/>
    </w:rPr>
  </w:style>
  <w:style w:type="character" w:styleId="1021" w:customStyle="1">
    <w:name w:val="Balloon Text Char"/>
    <w:basedOn w:val="1011"/>
    <w:link w:val="1020"/>
    <w:uiPriority w:val="99"/>
    <w:semiHidden/>
    <w:pPr>
      <w:pBdr/>
      <w:spacing/>
      <w:ind/>
    </w:pPr>
    <w:rPr>
      <w:rFonts w:ascii="Tahoma" w:hAnsi="Tahoma" w:eastAsia="Times New Roman" w:cs="Tahoma"/>
      <w:sz w:val="16"/>
      <w:szCs w:val="16"/>
    </w:rPr>
  </w:style>
  <w:style w:type="paragraph" w:styleId="1022">
    <w:name w:val="Header"/>
    <w:basedOn w:val="1006"/>
    <w:link w:val="1023"/>
    <w:unhideWhenUsed/>
    <w:pPr>
      <w:pBdr/>
      <w:tabs>
        <w:tab w:val="center" w:leader="none" w:pos="4680"/>
        <w:tab w:val="right" w:leader="none" w:pos="9360"/>
      </w:tabs>
      <w:spacing/>
      <w:ind/>
    </w:pPr>
  </w:style>
  <w:style w:type="character" w:styleId="1023" w:customStyle="1">
    <w:name w:val="Header Char"/>
    <w:basedOn w:val="1011"/>
    <w:link w:val="1022"/>
    <w:pPr>
      <w:pBdr/>
      <w:spacing/>
      <w:ind/>
    </w:pPr>
    <w:rPr>
      <w:rFonts w:ascii="Times New Roman" w:hAnsi="Times New Roman" w:eastAsia="Times New Roman" w:cs="Times New Roman"/>
      <w:sz w:val="24"/>
      <w:szCs w:val="24"/>
    </w:rPr>
  </w:style>
  <w:style w:type="paragraph" w:styleId="1024">
    <w:name w:val="Footer"/>
    <w:basedOn w:val="1006"/>
    <w:link w:val="1025"/>
    <w:uiPriority w:val="99"/>
    <w:unhideWhenUsed/>
    <w:pPr>
      <w:pBdr/>
      <w:tabs>
        <w:tab w:val="center" w:leader="none" w:pos="4680"/>
        <w:tab w:val="right" w:leader="none" w:pos="9360"/>
      </w:tabs>
      <w:spacing/>
      <w:ind/>
    </w:pPr>
  </w:style>
  <w:style w:type="character" w:styleId="1025" w:customStyle="1">
    <w:name w:val="Footer Char"/>
    <w:basedOn w:val="1011"/>
    <w:link w:val="1024"/>
    <w:uiPriority w:val="99"/>
    <w:pPr>
      <w:pBdr/>
      <w:spacing/>
      <w:ind/>
    </w:pPr>
    <w:rPr>
      <w:rFonts w:ascii="Times New Roman" w:hAnsi="Times New Roman" w:eastAsia="Times New Roman" w:cs="Times New Roman"/>
      <w:sz w:val="24"/>
      <w:szCs w:val="24"/>
    </w:rPr>
  </w:style>
  <w:style w:type="character" w:styleId="1026" w:customStyle="1">
    <w:name w:val="normal-h1"/>
    <w:pPr>
      <w:pBdr/>
      <w:spacing/>
      <w:ind/>
    </w:pPr>
    <w:rPr>
      <w:rFonts w:hint="default" w:ascii=".VnTime" w:hAnsi=".VnTime"/>
      <w:color w:val="0000ff"/>
      <w:sz w:val="24"/>
      <w:szCs w:val="24"/>
    </w:rPr>
  </w:style>
  <w:style w:type="paragraph" w:styleId="1027" w:customStyle="1">
    <w:name w:val="normal-p"/>
    <w:basedOn w:val="1006"/>
    <w:pPr>
      <w:pBdr/>
      <w:spacing/>
      <w:ind/>
      <w:jc w:val="both"/>
    </w:pPr>
    <w:rPr>
      <w:sz w:val="20"/>
      <w:szCs w:val="20"/>
    </w:rPr>
  </w:style>
  <w:style w:type="paragraph" w:styleId="1028">
    <w:name w:val="List Paragraph"/>
    <w:basedOn w:val="1006"/>
    <w:link w:val="1115"/>
    <w:uiPriority w:val="34"/>
    <w:qFormat/>
    <w:pPr>
      <w:pBdr/>
      <w:spacing/>
      <w:ind w:left="720"/>
    </w:pPr>
  </w:style>
  <w:style w:type="paragraph" w:styleId="1029">
    <w:name w:val="Normal (Web)"/>
    <w:basedOn w:val="1006"/>
    <w:uiPriority w:val="99"/>
    <w:pPr>
      <w:pBdr/>
      <w:spacing w:after="100" w:afterAutospacing="1" w:before="100" w:beforeAutospacing="1"/>
      <w:ind/>
    </w:pPr>
  </w:style>
  <w:style w:type="paragraph" w:styleId="1030">
    <w:name w:val="Body Text"/>
    <w:basedOn w:val="1006"/>
    <w:link w:val="1031"/>
    <w:pPr>
      <w:pBdr/>
      <w:spacing w:after="120"/>
      <w:ind/>
      <w:jc w:val="both"/>
    </w:pPr>
  </w:style>
  <w:style w:type="character" w:styleId="1031" w:customStyle="1">
    <w:name w:val="Body Text Char"/>
    <w:basedOn w:val="1011"/>
    <w:link w:val="1030"/>
    <w:pPr>
      <w:pBdr/>
      <w:spacing/>
      <w:ind/>
    </w:pPr>
    <w:rPr>
      <w:rFonts w:ascii="Times New Roman" w:hAnsi="Times New Roman" w:eastAsia="Times New Roman" w:cs="Times New Roman"/>
      <w:sz w:val="24"/>
      <w:szCs w:val="24"/>
    </w:rPr>
  </w:style>
  <w:style w:type="table" w:styleId="1032">
    <w:name w:val="Table Grid"/>
    <w:basedOn w:val="1012"/>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3"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4">
    <w:name w:val="annotation reference"/>
    <w:basedOn w:val="1011"/>
    <w:uiPriority w:val="99"/>
    <w:semiHidden/>
    <w:unhideWhenUsed/>
    <w:pPr>
      <w:pBdr/>
      <w:spacing/>
      <w:ind/>
    </w:pPr>
    <w:rPr>
      <w:sz w:val="16"/>
      <w:szCs w:val="16"/>
    </w:rPr>
  </w:style>
  <w:style w:type="paragraph" w:styleId="1035">
    <w:name w:val="annotation text"/>
    <w:basedOn w:val="1006"/>
    <w:link w:val="1036"/>
    <w:uiPriority w:val="99"/>
    <w:unhideWhenUsed/>
    <w:pPr>
      <w:pBdr/>
      <w:spacing/>
      <w:ind/>
    </w:pPr>
    <w:rPr>
      <w:sz w:val="20"/>
      <w:szCs w:val="20"/>
    </w:rPr>
  </w:style>
  <w:style w:type="character" w:styleId="1036" w:customStyle="1">
    <w:name w:val="Comment Text Char"/>
    <w:basedOn w:val="1011"/>
    <w:link w:val="1035"/>
    <w:uiPriority w:val="99"/>
    <w:pPr>
      <w:pBdr/>
      <w:spacing/>
      <w:ind/>
    </w:pPr>
    <w:rPr>
      <w:rFonts w:ascii="Times New Roman" w:hAnsi="Times New Roman" w:eastAsia="Times New Roman" w:cs="Times New Roman"/>
      <w:sz w:val="20"/>
      <w:szCs w:val="20"/>
    </w:rPr>
  </w:style>
  <w:style w:type="paragraph" w:styleId="1037">
    <w:name w:val="annotation subject"/>
    <w:basedOn w:val="1035"/>
    <w:next w:val="1035"/>
    <w:link w:val="1038"/>
    <w:uiPriority w:val="99"/>
    <w:semiHidden/>
    <w:unhideWhenUsed/>
    <w:pPr>
      <w:pBdr/>
      <w:spacing/>
      <w:ind/>
    </w:pPr>
    <w:rPr>
      <w:b/>
      <w:bCs/>
    </w:rPr>
  </w:style>
  <w:style w:type="character" w:styleId="1038" w:customStyle="1">
    <w:name w:val="Comment Subject Char"/>
    <w:basedOn w:val="1036"/>
    <w:link w:val="1037"/>
    <w:uiPriority w:val="99"/>
    <w:semiHidden/>
    <w:pPr>
      <w:pBdr/>
      <w:spacing/>
      <w:ind/>
    </w:pPr>
    <w:rPr>
      <w:rFonts w:ascii="Times New Roman" w:hAnsi="Times New Roman" w:eastAsia="Times New Roman" w:cs="Times New Roman"/>
      <w:b/>
      <w:bCs/>
      <w:sz w:val="20"/>
      <w:szCs w:val="20"/>
    </w:rPr>
  </w:style>
  <w:style w:type="paragraph" w:styleId="1039" w:customStyle="1">
    <w:name w:val="font5"/>
    <w:basedOn w:val="1006"/>
    <w:pPr>
      <w:pBdr/>
      <w:spacing w:after="100" w:afterAutospacing="1" w:before="100" w:beforeAutospacing="1"/>
      <w:ind/>
    </w:pPr>
    <w:rPr>
      <w:rFonts w:ascii="Tahoma" w:hAnsi="Tahoma" w:cs="Tahoma"/>
      <w:color w:val="000000"/>
      <w:sz w:val="18"/>
      <w:szCs w:val="18"/>
    </w:rPr>
  </w:style>
  <w:style w:type="paragraph" w:styleId="1040" w:customStyle="1">
    <w:name w:val="font6"/>
    <w:basedOn w:val="1006"/>
    <w:pPr>
      <w:pBdr/>
      <w:spacing w:after="100" w:afterAutospacing="1" w:before="100" w:beforeAutospacing="1"/>
      <w:ind/>
    </w:pPr>
    <w:rPr>
      <w:rFonts w:ascii="Tahoma" w:hAnsi="Tahoma" w:cs="Tahoma"/>
      <w:b/>
      <w:bCs/>
      <w:color w:val="000000"/>
      <w:sz w:val="18"/>
      <w:szCs w:val="18"/>
    </w:rPr>
  </w:style>
  <w:style w:type="paragraph" w:styleId="1041" w:customStyle="1">
    <w:name w:val="xl23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2" w:customStyle="1">
    <w:name w:val="xl234"/>
    <w:basedOn w:val="1006"/>
    <w:pPr>
      <w:pBdr/>
      <w:spacing w:after="100" w:afterAutospacing="1" w:before="100" w:beforeAutospacing="1"/>
      <w:ind/>
      <w:jc w:val="center"/>
    </w:pPr>
  </w:style>
  <w:style w:type="paragraph" w:styleId="1043" w:customStyle="1">
    <w:name w:val="xl235"/>
    <w:basedOn w:val="1006"/>
    <w:pPr>
      <w:pBdr/>
      <w:spacing w:after="100" w:afterAutospacing="1" w:before="100" w:beforeAutospacing="1"/>
      <w:ind/>
      <w:jc w:val="center"/>
    </w:pPr>
    <w:rPr>
      <w:b/>
      <w:bCs/>
    </w:rPr>
  </w:style>
  <w:style w:type="paragraph" w:styleId="1044" w:customStyle="1">
    <w:name w:val="xl236"/>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5" w:customStyle="1">
    <w:name w:val="xl23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38"/>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7" w:customStyle="1">
    <w:name w:val="xl23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8" w:customStyle="1">
    <w:name w:val="xl240"/>
    <w:basedOn w:val="1006"/>
    <w:pPr>
      <w:pBdr/>
      <w:spacing w:after="100" w:afterAutospacing="1" w:before="100" w:beforeAutospacing="1"/>
      <w:ind/>
    </w:pPr>
  </w:style>
  <w:style w:type="paragraph" w:styleId="1049" w:customStyle="1">
    <w:name w:val="xl241"/>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0" w:customStyle="1">
    <w:name w:val="xl242"/>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3"/>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2" w:customStyle="1">
    <w:name w:val="xl244"/>
    <w:basedOn w:val="1006"/>
    <w:pPr>
      <w:pBdr/>
      <w:spacing w:after="100" w:afterAutospacing="1" w:before="100" w:beforeAutospacing="1"/>
      <w:ind/>
    </w:pPr>
    <w:rPr>
      <w:b/>
      <w:bCs/>
    </w:rPr>
  </w:style>
  <w:style w:type="paragraph" w:styleId="1053" w:customStyle="1">
    <w:name w:val="xl245"/>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5" w:customStyle="1">
    <w:name w:val="xl247"/>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4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7" w:customStyle="1">
    <w:name w:val="xl24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8" w:customStyle="1">
    <w:name w:val="xl25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9" w:customStyle="1">
    <w:name w:val="xl25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3"/>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4"/>
    <w:basedOn w:val="1006"/>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5"/>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8"/>
    <w:basedOn w:val="1006"/>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0"/>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1"/>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2"/>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1" w:customStyle="1">
    <w:name w:val="xl263"/>
    <w:basedOn w:val="1006"/>
    <w:pPr>
      <w:pBdr/>
      <w:shd w:val="clear" w:color="000000" w:fill="ffffff"/>
      <w:spacing w:after="100" w:afterAutospacing="1" w:before="100" w:beforeAutospacing="1"/>
      <w:ind/>
    </w:pPr>
  </w:style>
  <w:style w:type="paragraph" w:styleId="1072" w:customStyle="1">
    <w:name w:val="xl264"/>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5"/>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4" w:customStyle="1">
    <w:name w:val="xl26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5" w:customStyle="1">
    <w:name w:val="xl26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68"/>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69"/>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7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1"/>
    <w:basedOn w:val="1006"/>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0" w:customStyle="1">
    <w:name w:val="xl27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73"/>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2" w:customStyle="1">
    <w:name w:val="xl274"/>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3" w:customStyle="1">
    <w:name w:val="xl275"/>
    <w:basedOn w:val="1006"/>
    <w:pPr>
      <w:pBdr/>
      <w:spacing w:after="100" w:afterAutospacing="1" w:before="100" w:beforeAutospacing="1"/>
      <w:ind/>
    </w:pPr>
  </w:style>
  <w:style w:type="paragraph" w:styleId="1084" w:customStyle="1">
    <w:name w:val="xl27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5" w:customStyle="1">
    <w:name w:val="xl277"/>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6" w:customStyle="1">
    <w:name w:val="xl27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7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8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8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0" w:customStyle="1">
    <w:name w:val="xl28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4"/>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5"/>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7"/>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8"/>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89"/>
    <w:basedOn w:val="1006"/>
    <w:pPr>
      <w:pBdr>
        <w:left w:val="single" w:color="000000" w:sz="4" w:space="0"/>
        <w:right w:val="single" w:color="000000" w:sz="4" w:space="0"/>
      </w:pBdr>
      <w:spacing w:after="100" w:afterAutospacing="1" w:before="100" w:beforeAutospacing="1"/>
      <w:ind/>
    </w:pPr>
    <w:rPr>
      <w:b/>
      <w:bCs/>
    </w:rPr>
  </w:style>
  <w:style w:type="paragraph" w:styleId="1098" w:customStyle="1">
    <w:name w:val="xl29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9" w:customStyle="1">
    <w:name w:val="xl291"/>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0" w:customStyle="1">
    <w:name w:val="xl292"/>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101" w:customStyle="1">
    <w:name w:val="xl293"/>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94"/>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name w:val="Title"/>
    <w:basedOn w:val="1006"/>
    <w:link w:val="1104"/>
    <w:qFormat/>
    <w:pPr>
      <w:pBdr/>
      <w:spacing/>
      <w:ind/>
      <w:jc w:val="center"/>
    </w:pPr>
    <w:rPr>
      <w:b/>
      <w:bCs/>
      <w:sz w:val="32"/>
      <w:szCs w:val="26"/>
    </w:rPr>
  </w:style>
  <w:style w:type="character" w:styleId="1104" w:customStyle="1">
    <w:name w:val="Title Char"/>
    <w:basedOn w:val="1011"/>
    <w:link w:val="1103"/>
    <w:pPr>
      <w:pBdr/>
      <w:spacing/>
      <w:ind/>
    </w:pPr>
    <w:rPr>
      <w:rFonts w:ascii="Times New Roman" w:hAnsi="Times New Roman" w:eastAsia="Times New Roman" w:cs="Times New Roman"/>
      <w:b/>
      <w:bCs/>
      <w:sz w:val="32"/>
      <w:szCs w:val="26"/>
    </w:rPr>
  </w:style>
  <w:style w:type="character" w:styleId="1105" w:customStyle="1">
    <w:name w:val="Unresolved Mention1"/>
    <w:basedOn w:val="1011"/>
    <w:uiPriority w:val="99"/>
    <w:semiHidden/>
    <w:unhideWhenUsed/>
    <w:pPr>
      <w:pBdr/>
      <w:spacing/>
      <w:ind/>
    </w:pPr>
    <w:rPr>
      <w:color w:val="605e5c"/>
      <w:shd w:val="clear" w:color="auto" w:fill="e1dfdd"/>
    </w:rPr>
  </w:style>
  <w:style w:type="character" w:styleId="1106" w:customStyle="1">
    <w:name w:val="Body text (3)_"/>
    <w:link w:val="1107"/>
    <w:pPr>
      <w:pBdr/>
      <w:spacing/>
      <w:ind/>
    </w:pPr>
    <w:rPr>
      <w:rFonts w:ascii="Times New Roman" w:hAnsi="Times New Roman" w:cs="Times New Roman"/>
      <w:i/>
      <w:iCs/>
      <w:spacing w:val="4"/>
      <w:shd w:val="clear" w:color="auto" w:fill="ffffff"/>
    </w:rPr>
  </w:style>
  <w:style w:type="paragraph" w:styleId="1107" w:customStyle="1">
    <w:name w:val="Body text (3)1"/>
    <w:basedOn w:val="1006"/>
    <w:link w:val="1106"/>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8" w:customStyle="1">
    <w:name w:val="t-j"/>
    <w:basedOn w:val="1006"/>
    <w:pPr>
      <w:pBdr/>
      <w:spacing w:after="100" w:afterAutospacing="1" w:before="100" w:beforeAutospacing="1"/>
      <w:ind/>
    </w:pPr>
  </w:style>
  <w:style w:type="character" w:styleId="1109" w:customStyle="1">
    <w:name w:val="Unresolved Mention2"/>
    <w:basedOn w:val="1011"/>
    <w:uiPriority w:val="99"/>
    <w:semiHidden/>
    <w:unhideWhenUsed/>
    <w:pPr>
      <w:pBdr/>
      <w:spacing/>
      <w:ind/>
    </w:pPr>
    <w:rPr>
      <w:color w:val="605e5c"/>
      <w:shd w:val="clear" w:color="auto" w:fill="e1dfdd"/>
    </w:rPr>
  </w:style>
  <w:style w:type="character" w:styleId="1110">
    <w:name w:val="FollowedHyperlink"/>
    <w:basedOn w:val="1011"/>
    <w:uiPriority w:val="99"/>
    <w:semiHidden/>
    <w:unhideWhenUsed/>
    <w:pPr>
      <w:pBdr/>
      <w:spacing/>
      <w:ind/>
    </w:pPr>
    <w:rPr>
      <w:color w:val="800080" w:themeColor="followedHyperlink"/>
      <w:u w:val="single"/>
    </w:rPr>
  </w:style>
  <w:style w:type="character" w:styleId="1111" w:customStyle="1">
    <w:name w:val="text"/>
    <w:basedOn w:val="1011"/>
    <w:pPr>
      <w:pBdr/>
      <w:spacing/>
      <w:ind/>
    </w:pPr>
  </w:style>
  <w:style w:type="character" w:styleId="1112" w:customStyle="1">
    <w:name w:val="card-send-time__sendtime"/>
    <w:basedOn w:val="1011"/>
    <w:pPr>
      <w:pBdr/>
      <w:spacing/>
      <w:ind/>
    </w:pPr>
  </w:style>
  <w:style w:type="character" w:styleId="1113" w:customStyle="1">
    <w:name w:val="Đề cập Chưa giải quyết1"/>
    <w:basedOn w:val="1011"/>
    <w:uiPriority w:val="99"/>
    <w:semiHidden/>
    <w:unhideWhenUsed/>
    <w:pPr>
      <w:pBdr/>
      <w:spacing/>
      <w:ind/>
    </w:pPr>
    <w:rPr>
      <w:color w:val="605e5c"/>
      <w:shd w:val="clear" w:color="auto" w:fill="e1dfdd"/>
    </w:rPr>
  </w:style>
  <w:style w:type="paragraph" w:styleId="1114" w:customStyle="1">
    <w:name w:val="nqtitle"/>
    <w:basedOn w:val="1006"/>
    <w:pPr>
      <w:pBdr/>
      <w:spacing w:after="100" w:afterAutospacing="1" w:before="100" w:beforeAutospacing="1"/>
      <w:ind/>
    </w:pPr>
    <w:rPr>
      <w:lang w:val="vi-VN" w:eastAsia="vi-VN"/>
    </w:rPr>
  </w:style>
  <w:style w:type="character" w:styleId="1115" w:customStyle="1">
    <w:name w:val="List Paragraph Char"/>
    <w:link w:val="1028"/>
    <w:uiPriority w:val="34"/>
    <w:qFormat/>
    <w:pPr>
      <w:pBdr/>
      <w:spacing/>
      <w:ind/>
    </w:pPr>
    <w:rPr>
      <w:rFonts w:ascii="Times New Roman" w:hAnsi="Times New Roman" w:eastAsia="Times New Roman" w:cs="Times New Roman"/>
      <w:sz w:val="24"/>
      <w:szCs w:val="24"/>
    </w:rPr>
  </w:style>
  <w:style w:type="character" w:styleId="1116" w:customStyle="1">
    <w:name w:val="Đề cập Chưa giải quyết2"/>
    <w:basedOn w:val="1011"/>
    <w:uiPriority w:val="99"/>
    <w:semiHidden/>
    <w:unhideWhenUsed/>
    <w:pPr>
      <w:pBdr/>
      <w:spacing/>
      <w:ind/>
    </w:pPr>
    <w:rPr>
      <w:color w:val="605e5c"/>
      <w:shd w:val="clear" w:color="auto" w:fill="e1dfdd"/>
    </w:rPr>
  </w:style>
  <w:style w:type="character" w:styleId="1117" w:customStyle="1">
    <w:name w:val="Unresolved Mention3"/>
    <w:basedOn w:val="1011"/>
    <w:uiPriority w:val="99"/>
    <w:semiHidden/>
    <w:unhideWhenUsed/>
    <w:pPr>
      <w:pBdr/>
      <w:spacing/>
      <w:ind/>
    </w:pPr>
    <w:rPr>
      <w:color w:val="605e5c"/>
      <w:shd w:val="clear" w:color="auto" w:fill="e1dfdd"/>
    </w:rPr>
  </w:style>
  <w:style w:type="character" w:styleId="1118" w:customStyle="1">
    <w:name w:val="copy"/>
    <w:basedOn w:val="1011"/>
    <w:pPr>
      <w:pBdr/>
      <w:spacing/>
      <w:ind/>
    </w:pPr>
  </w:style>
  <w:style w:type="paragraph" w:styleId="1119" w:customStyle="1">
    <w:name w:val="align-justify"/>
    <w:basedOn w:val="1006"/>
    <w:pPr>
      <w:pBdr/>
      <w:spacing w:after="100" w:afterAutospacing="1" w:before="100" w:beforeAutospacing="1"/>
      <w:ind/>
    </w:pPr>
  </w:style>
  <w:style w:type="character" w:styleId="1120" w:customStyle="1">
    <w:name w:val="btn"/>
    <w:basedOn w:val="1011"/>
    <w:pPr>
      <w:pBdr/>
      <w:spacing/>
      <w:ind/>
    </w:pPr>
  </w:style>
  <w:style w:type="character" w:styleId="1121" w:customStyle="1">
    <w:name w:val="hide_mobile"/>
    <w:basedOn w:val="1011"/>
    <w:pPr>
      <w:pBdr/>
      <w:spacing/>
      <w:ind/>
    </w:pPr>
  </w:style>
  <w:style w:type="character" w:styleId="1122">
    <w:name w:val="Emphasis"/>
    <w:basedOn w:val="1011"/>
    <w:uiPriority w:val="20"/>
    <w:qFormat/>
    <w:pPr>
      <w:pBdr/>
      <w:spacing/>
      <w:ind/>
    </w:pPr>
    <w:rPr>
      <w:i/>
      <w:iCs/>
    </w:rPr>
  </w:style>
  <w:style w:type="character" w:styleId="1123" w:customStyle="1">
    <w:name w:val="t1"/>
    <w:basedOn w:val="1011"/>
    <w:pPr>
      <w:pBdr/>
      <w:spacing/>
      <w:ind/>
    </w:pPr>
  </w:style>
  <w:style w:type="character" w:styleId="1124" w:customStyle="1">
    <w:name w:val="Unresolved Mention4"/>
    <w:basedOn w:val="1011"/>
    <w:uiPriority w:val="99"/>
    <w:semiHidden/>
    <w:unhideWhenUsed/>
    <w:pPr>
      <w:pBdr/>
      <w:spacing/>
      <w:ind/>
    </w:pPr>
    <w:rPr>
      <w:color w:val="605e5c"/>
      <w:shd w:val="clear" w:color="auto" w:fill="e1dfdd"/>
    </w:rPr>
  </w:style>
  <w:style w:type="character" w:styleId="1125">
    <w:name w:val="Unresolved Mention"/>
    <w:basedOn w:val="1011"/>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mailto:ilotus.contact@gmail.com" TargetMode="External"/><Relationship Id="rId15" Type="http://schemas.openxmlformats.org/officeDocument/2006/relationships/image" Target="media/image3.png"/><Relationship Id="rId16" Type="http://schemas.openxmlformats.org/officeDocument/2006/relationships/hyperlink" Target="mailto:ilotus.contact@gmail.com" TargetMode="External"/><Relationship Id="rId17" Type="http://schemas.openxmlformats.org/officeDocument/2006/relationships/hyperlink" Target="https://www.google.com/search?q=Vinhomes+Ocean+Park+2+%26+3&amp;oq=t%E1%BB%95ng+quan+b%C4%91s+chung+c%C6%B0+h%C6%B0ng+y%C3%AAn&amp;gs_lcrp=EgZjaHJvbWUyBggAEEUYOTIHCAEQIRigATIHCAIQIRigAdIBCTEzNzAwajBqN6gCALACAA&amp;sourceid=chrome&amp;ie=UTF-8&amp;mstk=AUtExfC21-WllSV0YwReBmGnw0gOS_mzZpFegioZ7maFQU2vcTfSXjDRkGVKnuCA2ZNmPN9pYNG4_fF3s54xNsVgPE7UjF-NkQWCSSI4xBZvDwJgbPrjYE-x5rD2J9beFHWuXT4&amp;csui=3&amp;ved=2ahUKEwjawbKz14OUAxXRhq8BHdySMykQgK4QegQIBhAB" TargetMode="External"/><Relationship Id="rId18" Type="http://schemas.openxmlformats.org/officeDocument/2006/relationships/hyperlink" Target="https://www.google.com/search?q=Ecopark&amp;oq=t%E1%BB%95ng+quan+b%C4%91s+chung+c%C6%B0+h%C6%B0ng+y%C3%AAn&amp;gs_lcrp=EgZjaHJvbWUyBggAEEUYOTIHCAEQIRigATIHCAIQIRigAdIBCTEzNzAwajBqN6gCALACAA&amp;sourceid=chrome&amp;ie=UTF-8&amp;mstk=AUtExfC21-WllSV0YwReBmGnw0gOS_mzZpFegioZ7maFQU2vcTfSXjDRkGVKnuCA2ZNmPN9pYNG4_fF3s54xNsVgPE7UjF-NkQWCSSI4xBZvDwJgbPrjYE-x5rD2J9beFHWuXT4&amp;csui=3&amp;ved=2ahUKEwjawbKz14OUAxXRhq8BHdySMykQgK4QegQIBhAD" TargetMode="External"/><Relationship Id="rId19" Type="http://schemas.openxmlformats.org/officeDocument/2006/relationships/hyperlink" Target="https://www.google.com/search?q=Masteri+Trinity+Square&amp;oq=t%E1%BB%95ng+quan+b%C4%91s+chung+c%C6%B0+h%C6%B0ng+y%C3%AAn&amp;gs_lcrp=EgZjaHJvbWUyBggAEEUYOTIHCAEQIRigATIHCAIQIRigAdIBCTEzNzAwajBqN6gCALACAA&amp;sourceid=chrome&amp;ie=UTF-8&amp;mstk=AUtExfC21-WllSV0YwReBmGnw0gOS_mzZpFegioZ7maFQU2vcTfSXjDRkGVKnuCA2ZNmPN9pYNG4_fF3s54xNsVgPE7UjF-NkQWCSSI4xBZvDwJgbPrjYE-x5rD2J9beFHWuXT4&amp;csui=3&amp;ved=2ahUKEwjawbKz14OUAxXRhq8BHdySMykQgK4QegQIBhAF" TargetMode="External"/><Relationship Id="rId20" Type="http://schemas.openxmlformats.org/officeDocument/2006/relationships/hyperlink" Target="https://www.google.com/search?q=Alluvia+City+V%C4%83n+Giang&amp;oq=t%E1%BB%95ng+quan+b%C4%91s+chung+c%C6%B0+h%C6%B0ng+y%C3%AAn&amp;gs_lcrp=EgZjaHJvbWUyBggAEEUYOTIHCAEQIRigATIHCAIQIRigAdIBCTEzNzAwajBqN6gCALACAA&amp;sourceid=chrome&amp;ie=UTF-8&amp;mstk=AUtExfC21-WllSV0YwReBmGnw0gOS_mzZpFegioZ7maFQU2vcTfSXjDRkGVKnuCA2ZNmPN9pYNG4_fF3s54xNsVgPE7UjF-NkQWCSSI4xBZvDwJgbPrjYE-x5rD2J9beFHWuXT4&amp;csui=3&amp;ved=2ahUKEwjawbKz14OUAxXRhq8BHdySMykQgK4QegQIBhAH"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280</cp:revision>
  <dcterms:created xsi:type="dcterms:W3CDTF">2025-09-15T09:58:00Z</dcterms:created>
  <dcterms:modified xsi:type="dcterms:W3CDTF">2026-04-24T02:47:03Z</dcterms:modified>
</cp:coreProperties>
</file>