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778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778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275/2026/0610/VFI-CT.53.A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BÁ THIỆN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b w:val="0"/>
                                <w:bCs w:val="0"/>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sử dụng đất và tài sản gắn liền với đất tại thửa đất số: ./., tờ bản đồ số: ./. có địa chỉ: Khu Vĩnh Hồng, Thị trấn Mạo Khê, huyện Đông Triều, tỉnh Quảng Ninh (nay là Phường Mạo Khê, tỉnh Quảng Ninh) theo Giấy chứng nhận quyền sử dụng đất số: V 58219</w:t>
                            </w:r>
                            <w:r>
                              <w:rPr>
                                <w:rFonts w:ascii="Times New Roman" w:hAnsi="Times New Roman" w:eastAsia="Times New Roman" w:cs="Times New Roman"/>
                                <w:b w:val="0"/>
                                <w:bCs w:val="0"/>
                                <w:color w:val="000000"/>
                                <w:sz w:val="24"/>
                              </w:rPr>
                              <w:t xml:space="preserve">9, số vào sổ cấp GCN: 809QSDĐ/MK do Uỷ ban Nhân dân Huyện Đông Triều Tỉnh Quảng Ninh  cấp ngày 25/12/2002 cho Bà Đồng Thị Thu Phương</w:t>
                            </w:r>
                            <w:r>
                              <w:rPr>
                                <w:b w:val="0"/>
                                <w:bCs w:val="0"/>
                              </w:rPr>
                            </w:r>
                            <w:r>
                              <w:rPr>
                                <w:b w:val="0"/>
                                <w:bCs w:val="0"/>
                              </w:rPr>
                            </w:r>
                          </w:p>
                          <w:p>
                            <w:pPr>
                              <w:pBdr/>
                              <w:spacing w:after="120" w:before="120" w:line="276" w:lineRule="auto"/>
                              <w:ind/>
                              <w:jc w:val="both"/>
                              <w:rPr>
                                <w:bCs/>
                                <w:i/>
                              </w:rPr>
                            </w:pPr>
                            <w:r>
                              <w:rPr>
                                <w:b w:val="0"/>
                                <w:bCs w:val="0"/>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5.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275/2026/0610/VFI-CT.53.A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BÁ THIỆN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b w:val="0"/>
                          <w:bCs w:val="0"/>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sử dụng đất và tài sản gắn liền với đất tại thửa đất số: ./., tờ bản đồ số: ./. có địa chỉ: Khu Vĩnh Hồng, Thị trấn Mạo Khê, huyện Đông Triều, tỉnh Quảng Ninh (nay là Phường Mạo Khê, tỉnh Quảng Ninh) theo Giấy chứng nhận quyền sử dụng đất số: V 58219</w:t>
                      </w:r>
                      <w:r>
                        <w:rPr>
                          <w:rFonts w:ascii="Times New Roman" w:hAnsi="Times New Roman" w:eastAsia="Times New Roman" w:cs="Times New Roman"/>
                          <w:b w:val="0"/>
                          <w:bCs w:val="0"/>
                          <w:color w:val="000000"/>
                          <w:sz w:val="24"/>
                        </w:rPr>
                        <w:t xml:space="preserve">9, số vào sổ cấp GCN: 809QSDĐ/MK do Uỷ ban Nhân dân Huyện Đông Triều Tỉnh Quảng Ninh  cấp ngày 25/12/2002 cho Bà Đồng Thị Thu Phương</w:t>
                      </w:r>
                      <w:r>
                        <w:rPr>
                          <w:b w:val="0"/>
                          <w:bCs w:val="0"/>
                        </w:rPr>
                      </w:r>
                      <w:r>
                        <w:rPr>
                          <w:b w:val="0"/>
                          <w:bCs w:val="0"/>
                        </w:rPr>
                      </w:r>
                    </w:p>
                    <w:p>
                      <w:pPr>
                        <w:pBdr/>
                        <w:spacing w:after="120" w:before="120" w:line="276" w:lineRule="auto"/>
                        <w:ind/>
                        <w:jc w:val="both"/>
                        <w:rPr>
                          <w:bCs/>
                          <w:i/>
                        </w:rPr>
                      </w:pPr>
                      <w:r>
                        <w:rPr>
                          <w:b w:val="0"/>
                          <w:bCs w:val="0"/>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016"/>
        <w:gridCol w:w="12543"/>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275/2026/0610/VFI-CT.53.A</w:t>
            </w:r>
            <w:r>
              <w:rPr>
                <w:color w:val="000000" w:themeColor="text1"/>
                <w:sz w:val="24"/>
                <w:szCs w:val="24"/>
              </w:rPr>
            </w:r>
            <w:r>
              <w:rPr>
                <w:color w:val="000000" w:themeColor="text1"/>
                <w:sz w:val="24"/>
                <w:szCs w:val="24"/>
              </w:rPr>
            </w:r>
          </w:p>
          <w:p>
            <w:pPr>
              <w:pStyle w:val="1034"/>
              <w:pBdr/>
              <w:spacing w:after="60"/>
              <w:ind w:right="-56"/>
              <w:jc w:val="center"/>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20 tháng 4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BÁ THIỆN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275/2026/0610/VFI-HĐTĐ.53.A</w:t>
      </w:r>
      <w:r>
        <w:rPr>
          <w:spacing w:val="-4"/>
          <w:lang w:val="vi-VN"/>
        </w:rPr>
        <w:t xml:space="preserve"> ký ngày </w:t>
      </w:r>
      <w:r>
        <w:rPr>
          <w:color w:val="000000" w:themeColor="text1"/>
          <w:spacing w:val="-4"/>
        </w:rPr>
        <w:t xml:space="preserve">13 tháng 4 năm 2026</w:t>
      </w:r>
      <w:r>
        <w:rPr>
          <w:spacing w:val="-4"/>
          <w:lang w:val="vi-VN"/>
        </w:rPr>
        <w:t xml:space="preserve"> </w:t>
      </w:r>
      <w:r>
        <w:rPr>
          <w:spacing w:val="-4"/>
          <w:lang w:val="vi-VN"/>
        </w:rPr>
        <w:t xml:space="preserve">giữa </w:t>
      </w:r>
      <w:r>
        <w:rPr>
          <w:color w:val="000000" w:themeColor="text1"/>
          <w:spacing w:val="-4"/>
        </w:rPr>
        <w:t xml:space="preserve">ÔNG NGUYỄN BÁ THIỆN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275/2026/0610/VFI-BC.53.A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BÁ THIỆN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022079003271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Khu Vĩnh Hợp, Phường Mạo Khê, tỉnh Quảng Ninh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highlight w:val="yellow"/>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rFonts w:ascii="Times New Roman" w:hAnsi="Times New Roman" w:eastAsia="Times New Roman" w:cs="Times New Roman"/>
          <w:b w:val="0"/>
          <w:bCs w:val="0"/>
          <w:color w:val="000000"/>
          <w:sz w:val="24"/>
          <w:highlight w:val="white"/>
        </w:rPr>
        <w:t xml:space="preserve">Quyền sử dụng đất và tài sản gắn liền với đất tại thửa đất số: ./., tờ bản đồ số: ./. có địa chỉ: Khu Vĩnh H</w:t>
      </w:r>
      <w:r>
        <w:rPr>
          <w:rFonts w:ascii="Times New Roman" w:hAnsi="Times New Roman" w:eastAsia="Times New Roman" w:cs="Times New Roman"/>
          <w:b w:val="0"/>
          <w:bCs w:val="0"/>
          <w:color w:val="000000"/>
          <w:sz w:val="24"/>
        </w:rPr>
        <w:t xml:space="preserve">ồng, Thị trấn Mạo Khê, huyện Đông Triều, tỉnh Quảng Ninh (nay là Phường Mạo Khê, tỉnh Quảng Ninh) theo Giấy chứng nhận quyền sử dụng đất số: V 58219</w:t>
      </w:r>
      <w:r>
        <w:rPr>
          <w:rFonts w:ascii="Times New Roman" w:hAnsi="Times New Roman" w:eastAsia="Times New Roman" w:cs="Times New Roman"/>
          <w:b w:val="0"/>
          <w:bCs w:val="0"/>
          <w:color w:val="000000"/>
          <w:sz w:val="24"/>
        </w:rPr>
        <w:t xml:space="preserve">9, số vào sổ cấp GCN: 809QSDĐ/MK do Uỷ ban Nhân dân Huyện Đông Triều Tỉnh Quảng Ninh  cấp ngày 25/12/2002 cho Bà Đồng Thị Thu Phương</w:t>
      </w:r>
      <w:r>
        <w:rPr>
          <w:b/>
          <w:bCs/>
          <w:highlight w:val="yellow"/>
        </w:rPr>
      </w:r>
      <w:r>
        <w:rPr>
          <w:b/>
          <w:bCs/>
          <w:highlight w:val="yellow"/>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27"/>
        <w:gridCol w:w="3012"/>
        <w:gridCol w:w="1388"/>
        <w:gridCol w:w="1437"/>
        <w:gridCol w:w="1262"/>
        <w:gridCol w:w="1990"/>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301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38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4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r/>
          </w:p>
        </w:tc>
      </w:tr>
      <w:tr>
        <w:trPr>
          <w:trHeight w:val="951"/>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r/>
          </w:p>
        </w:tc>
        <w:tc>
          <w:tcPr>
            <w:gridSpan w:val="4"/>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7099" w:type="dxa"/>
            <w:vAlign w:val="center"/>
            <w:textDirection w:val="lrTb"/>
            <w:noWrap w:val="false"/>
          </w:tcPr>
          <w:p>
            <w:pPr>
              <w:pBdr/>
              <w:tabs>
                <w:tab w:val="left" w:leader="none" w:pos="7222"/>
              </w:tabs>
              <w:spacing w:after="0" w:before="0" w:line="36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 tờ bản đồ số: ./. có địa chỉ: Khu Vĩnh Hồng, Thị trấn Mạo Khê, huyện Đông Triều, tỉnh Quảng Ninh (nay là Phường Mạo Khê, tỉnh Quảng Ninh) theo Giấy chứng nhận quyền sử dụng đất  số: V 58</w:t>
            </w:r>
            <w:r>
              <w:rPr>
                <w:rFonts w:ascii="Times New Roman" w:hAnsi="Times New Roman" w:eastAsia="Times New Roman" w:cs="Times New Roman"/>
                <w:b/>
                <w:color w:val="000000"/>
                <w:sz w:val="24"/>
              </w:rPr>
              <w:t xml:space="preserve">2199, số vào sổ cấp GCN: 809QSDĐ/MK do Uỷ ban Nhân dân Huyện Đông Triều Tỉnh Quảng Ninh  cấp ngày 25/12/2002 cho Bà Đồng Thị Thu Phương</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r/>
          </w:p>
        </w:tc>
      </w:tr>
      <w:tr>
        <w:trPr>
          <w:trHeight w:val="31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30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 </w:t>
            </w:r>
            <w:r/>
            <w:r/>
          </w:p>
        </w:tc>
        <w:tc>
          <w:tcPr>
            <w:tcBorders>
              <w:bottom w:val="single" w:color="000000" w:sz="5" w:space="0"/>
              <w:right w:val="single" w:color="000000" w:sz="5" w:space="0"/>
            </w:tcBorders>
            <w:tcMar>
              <w:left w:w="15" w:type="dxa"/>
              <w:top w:w="15" w:type="dxa"/>
              <w:right w:w="15" w:type="dxa"/>
              <w:bottom w:w="0" w:type="dxa"/>
            </w:tcMar>
            <w:tcW w:w="138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347,00 </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4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38.500.000 </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13.359.500.000</w:t>
            </w:r>
            <w:r/>
            <w:r/>
          </w:p>
        </w:tc>
      </w:tr>
      <w:tr>
        <w:trPr>
          <w:trHeight w:val="31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30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3 tầng </w:t>
            </w:r>
            <w:r/>
            <w:r/>
          </w:p>
        </w:tc>
        <w:tc>
          <w:tcPr>
            <w:tcBorders>
              <w:bottom w:val="single" w:color="000000" w:sz="5" w:space="0"/>
              <w:right w:val="single" w:color="000000" w:sz="5" w:space="0"/>
            </w:tcBorders>
            <w:tcMar>
              <w:left w:w="15" w:type="dxa"/>
              <w:top w:w="15" w:type="dxa"/>
              <w:right w:w="15" w:type="dxa"/>
              <w:bottom w:w="0" w:type="dxa"/>
            </w:tcMar>
            <w:tcW w:w="138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360,00 </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4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7.934.760 </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2.285.210.880</w:t>
            </w:r>
            <w:r/>
            <w:r/>
          </w:p>
        </w:tc>
      </w:tr>
      <w:tr>
        <w:trPr>
          <w:trHeight w:val="67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30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cấp 4</w:t>
            </w:r>
            <w:r/>
            <w:r/>
          </w:p>
        </w:tc>
        <w:tc>
          <w:tcPr>
            <w:tcBorders>
              <w:bottom w:val="single" w:color="000000" w:sz="5" w:space="0"/>
              <w:right w:val="single" w:color="000000" w:sz="5" w:space="0"/>
            </w:tcBorders>
            <w:tcMar>
              <w:left w:w="15" w:type="dxa"/>
              <w:top w:w="15" w:type="dxa"/>
              <w:right w:w="15" w:type="dxa"/>
              <w:bottom w:w="0" w:type="dxa"/>
            </w:tcMar>
            <w:tcW w:w="138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40,00 </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4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6.116.496 </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122.329.920</w:t>
            </w:r>
            <w:r/>
            <w:r/>
          </w:p>
        </w:tc>
      </w:tr>
      <w:tr>
        <w:trPr>
          <w:trHeight w:val="31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r/>
          </w:p>
        </w:tc>
        <w:tc>
          <w:tcPr>
            <w:gridSpan w:val="3"/>
            <w:shd w:val="clear" w:color="ffffff" w:fill="ffffff"/>
            <w:tcBorders>
              <w:top w:val="single" w:color="000000" w:sz="5" w:space="0"/>
              <w:bottom w:val="single" w:color="000000" w:sz="5" w:space="0"/>
              <w:right w:val="single" w:color="000000" w:sz="4" w:space="0"/>
            </w:tcBorders>
            <w:tcMar>
              <w:left w:w="15" w:type="dxa"/>
              <w:top w:w="15" w:type="dxa"/>
              <w:right w:w="15" w:type="dxa"/>
              <w:bottom w:w="0" w:type="dxa"/>
            </w:tcMar>
            <w:tcW w:w="58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b/>
                <w:bCs/>
              </w:rPr>
            </w:pPr>
            <w:r>
              <w:rPr>
                <w:rFonts w:ascii="Times New Roman" w:hAnsi="Times New Roman" w:eastAsia="Times New Roman" w:cs="Times New Roman"/>
                <w:b/>
                <w:bCs/>
                <w:color w:val="000000"/>
                <w:sz w:val="24"/>
              </w:rPr>
              <w:t xml:space="preserve">15.767.040.800</w:t>
            </w:r>
            <w:r>
              <w:rPr>
                <w:b/>
                <w:bCs/>
              </w:rPr>
            </w:r>
            <w:r>
              <w:rPr>
                <w:b/>
                <w:bCs/>
              </w:rPr>
            </w:r>
          </w:p>
        </w:tc>
      </w:tr>
      <w:tr>
        <w:trPr>
          <w:trHeight w:val="339"/>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r/>
          </w:p>
        </w:tc>
        <w:tc>
          <w:tcPr>
            <w:gridSpan w:val="3"/>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58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 </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15.767.000.000</w:t>
            </w:r>
            <w:r/>
            <w:r/>
          </w:p>
        </w:tc>
      </w:tr>
      <w:tr>
        <w:trPr>
          <w:trHeight w:val="309"/>
        </w:trPr>
        <w:tc>
          <w:tcPr>
            <w:gridSpan w:val="6"/>
            <w:shd w:val="clear" w:color="ffffff" w:fill="ffffff"/>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96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Mười lăm tỷ, bảy trăm sáu mươi bảy triệu đồng chẵn./.</w:t>
            </w:r>
            <w:r/>
            <w:r/>
          </w:p>
        </w:tc>
      </w:tr>
    </w:tbl>
    <w:p>
      <w:pPr>
        <w:pBdr/>
        <w:spacing w:after="120" w:before="120" w:line="312" w:lineRule="auto"/>
        <w:ind/>
        <w:jc w:val="both"/>
        <w:rPr/>
      </w:pPr>
      <w:r>
        <w:rPr>
          <w:highlight w:val="none"/>
          <w:lang w:val="vi-VN"/>
        </w:rPr>
      </w:r>
      <w:r>
        <w:rPr>
          <w:highlight w:val="none"/>
          <w:lang w:val="vi-VN"/>
        </w:rPr>
      </w:r>
      <w:r>
        <w:rPr>
          <w:highlight w:val="none"/>
          <w:lang w:val="vi-VN"/>
        </w:rP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spacing w:val="-4"/>
          <w:lang w:val="pt-BR"/>
        </w:rPr>
      </w:r>
      <w:r>
        <w:rPr>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874"/>
        <w:gridCol w:w="12688"/>
      </w:tblGrid>
      <w:tr>
        <w:trPr>
          <w:trHeight w:val="1843"/>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275/2026/0610/VFI-</w:t>
            </w:r>
            <w:r>
              <w:rPr>
                <w:rStyle w:val="1033"/>
                <w:rFonts w:ascii="Times New Roman" w:hAnsi="Times New Roman"/>
                <w:color w:val="000000" w:themeColor="text1"/>
                <w:lang w:val="pt-BR"/>
              </w:rPr>
              <w:t xml:space="preserve">BC.53.A</w:t>
            </w:r>
            <w:r>
              <w:rPr>
                <w:color w:val="000000" w:themeColor="text1"/>
                <w:sz w:val="24"/>
                <w:szCs w:val="24"/>
              </w:rPr>
            </w:r>
            <w:r>
              <w:rPr>
                <w:color w:val="000000" w:themeColor="text1"/>
                <w:sz w:val="24"/>
                <w:szCs w:val="24"/>
              </w:rPr>
            </w:r>
          </w:p>
          <w:p>
            <w:pPr>
              <w:pStyle w:val="1034"/>
              <w:pBdr/>
              <w:spacing w:after="60"/>
              <w:ind w:right="-56"/>
              <w:jc w:val="center"/>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20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874" w:type="dxa"/>
            <w:textDirection w:val="lrTb"/>
            <w:noWrap w:val="false"/>
          </w:tcPr>
          <w:p>
            <w:pPr>
              <w:pStyle w:val="1034"/>
              <w:pBdr/>
              <w:spacing w:after="60"/>
              <w:ind/>
              <w:rPr>
                <w:rStyle w:val="1033"/>
                <w:rFonts w:ascii="Times New Roman" w:hAnsi="Times New Roman"/>
                <w:color w:val="000000" w:themeColor="text1"/>
                <w:lang w:val="pt-BR"/>
              </w:rPr>
            </w:pPr>
            <w:r>
              <w:rPr>
                <w:rStyle w:val="1033"/>
                <w:rFonts w:ascii="Times New Roman" w:hAnsi="Times New Roman"/>
                <w:color w:val="000000" w:themeColor="text1"/>
                <w:lang w:val="pt-BR"/>
              </w:rPr>
            </w:r>
            <w:r>
              <w:rPr>
                <w:rStyle w:val="1033"/>
                <w:rFonts w:ascii="Times New Roman" w:hAnsi="Times New Roman"/>
                <w:color w:val="000000" w:themeColor="text1"/>
                <w:lang w:val="pt-BR"/>
              </w:rPr>
            </w:r>
            <w:r>
              <w:rPr>
                <w:rStyle w:val="103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688" w:type="dxa"/>
            <w:textDirection w:val="lrTb"/>
            <w:noWrap w:val="false"/>
          </w:tcPr>
          <w:p>
            <w:pPr>
              <w:pStyle w:val="1034"/>
              <w:pBdr/>
              <w:spacing w:after="6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275/2026/0610/VFI-CT.53.A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Tên khách hàng</w:t>
            </w:r>
            <w:r>
              <w:rPr>
                <w:bCs/>
                <w:highlight w:val="white"/>
              </w:rPr>
            </w:r>
            <w:r>
              <w:rPr>
                <w:bCs/>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ind/>
              <w:rPr>
                <w:highlight w:val="white"/>
              </w:rPr>
            </w:pPr>
            <w:r>
              <w:rPr>
                <w:b/>
                <w:bCs/>
                <w:highlight w:val="white"/>
              </w:rPr>
              <w:t xml:space="preserve">ÔNG NGUYỄN BÁ THIỆN</w:t>
            </w:r>
            <w:r>
              <w:rPr>
                <w:highlight w:val="white"/>
              </w:rPr>
            </w:r>
            <w:r>
              <w:rPr>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MST/CMTND/CCCD:</w:t>
            </w:r>
            <w:r>
              <w:rPr>
                <w:bCs/>
                <w:highlight w:val="white"/>
              </w:rPr>
            </w:r>
            <w:r>
              <w:rPr>
                <w:bCs/>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022079003271</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Địa chỉ</w:t>
            </w:r>
            <w:r>
              <w:rPr>
                <w:bCs/>
                <w:highlight w:val="white"/>
              </w:rPr>
            </w:r>
            <w:r>
              <w:rPr>
                <w:bCs/>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Khu Vĩnh Hợp, Phường Mạo Khê, tỉnh Quảng Ninh</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 sản thẩm định giá</w:t>
            </w:r>
            <w:r>
              <w:rPr>
                <w:bCs/>
                <w:highlight w:val="white"/>
              </w:rPr>
            </w:r>
            <w:r>
              <w:rPr>
                <w:bCs/>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r>
            <w:r>
              <w:rPr>
                <w:rFonts w:ascii="Times New Roman" w:hAnsi="Times New Roman" w:eastAsia="Times New Roman" w:cs="Times New Roman"/>
                <w:b w:val="0"/>
                <w:bCs w:val="0"/>
                <w:color w:val="000000"/>
                <w:sz w:val="24"/>
                <w:highlight w:val="white"/>
              </w:rPr>
              <w:t xml:space="preserve">Quyền sử dụng đất và tài sản gắn liền với đất tại thửa đất số: ./., tờ bản đồ số: ./. có địa chỉ: Khu Vĩnh Hồng, Thị trấn Mạo Khê, huyện Đông Triều, tỉnh Quảng Ninh (nay là Phường Mạo Khê, tỉnh Quảng Ninh) theo Giấy chứng nhận quyền sử dụng đất số: V 58219</w:t>
            </w:r>
            <w:r>
              <w:rPr>
                <w:rFonts w:ascii="Times New Roman" w:hAnsi="Times New Roman" w:eastAsia="Times New Roman" w:cs="Times New Roman"/>
                <w:b w:val="0"/>
                <w:bCs w:val="0"/>
                <w:color w:val="000000"/>
                <w:sz w:val="24"/>
                <w:highlight w:val="white"/>
              </w:rPr>
              <w:t xml:space="preserve">9, số vào sổ cấp GCN: 809QSDĐ/MK do Uỷ ban Nhân dân Huyện Đông Triều Tỉnh Quảng Ninh  cấp ngày 25/12/2002 cho Bà Đồng Thị Thu Phương</w:t>
            </w:r>
            <w:r>
              <w:rPr>
                <w:b/>
                <w:bCs/>
                <w:spacing w:val="2"/>
                <w:highlight w:val="white"/>
              </w:rPr>
            </w:r>
            <w:r>
              <w:rPr>
                <w:b/>
                <w:bCs/>
                <w:spacing w:val="2"/>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04/2026</w:t>
            </w:r>
            <w:r>
              <w:rPr>
                <w:highlight w:val="white"/>
                <w:lang w:val="pt-BR"/>
              </w:rPr>
              <w:t xml:space="preserve">.</w:t>
            </w:r>
            <w:r>
              <w:rPr>
                <w:bCs/>
                <w:spacing w:val="-4"/>
                <w:highlight w:val="white"/>
                <w:lang w:val="pt-BR"/>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Thị trấn Mạo Khê, Huyện Đông Triều, Tỉnh Quảng Ninh</w:t>
            </w:r>
            <w:r>
              <w:rPr>
                <w:color w:val="ee0000"/>
                <w:highlight w:val="white"/>
                <w:lang w:val="pt-BR"/>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21.0622168, 106.5780402</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Tháng 04/2026</w:t>
            </w:r>
            <w:r>
              <w:rPr>
                <w:highlight w:val="white"/>
                <w:lang w:val="pt-BR"/>
              </w:rPr>
              <w:t xml:space="preserve">.</w:t>
            </w:r>
            <w:r>
              <w:rPr>
                <w:highlight w:val="white"/>
                <w:lang w:val="pt-BR"/>
              </w:rPr>
            </w:r>
            <w:r>
              <w:rPr>
                <w:highlight w:val="white"/>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highlight w:val="white"/>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w:t>
      </w:r>
      <w:r>
        <w:rPr>
          <w:spacing w:val="-4"/>
          <w:highlight w:val="white"/>
          <w:lang w:val="pt-BR"/>
        </w:rPr>
        <w:t xml:space="preserve">13/10/2016 của Bộ Tài chính hướng dẫn chế độ quản lý, sử dụng và trích khấu hao tài sản cố định;</w:t>
      </w:r>
      <w:r>
        <w:rPr>
          <w:spacing w:val="-4"/>
          <w:highlight w:val="white"/>
          <w:lang w:val="pt-BR"/>
        </w:rPr>
      </w:r>
      <w:r>
        <w:rPr>
          <w:spacing w:val="-4"/>
          <w:highlight w:val="white"/>
          <w:lang w:val="pt-BR"/>
        </w:rPr>
      </w:r>
    </w:p>
    <w:p>
      <w:pPr>
        <w:pStyle w:val="1035"/>
        <w:numPr>
          <w:ilvl w:val="0"/>
          <w:numId w:val="1"/>
        </w:numPr>
        <w:pBdr/>
        <w:spacing w:after="120" w:before="120" w:line="276" w:lineRule="auto"/>
        <w:ind/>
        <w:jc w:val="both"/>
        <w:rPr>
          <w:bCs/>
          <w:spacing w:val="-4"/>
          <w:highlight w:val="white"/>
        </w:rPr>
      </w:pPr>
      <w:r>
        <w:rPr>
          <w:bCs/>
          <w:spacing w:val="-4"/>
          <w:highlight w:val="white"/>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highlight w:val="white"/>
        </w:rPr>
      </w:r>
      <w:r>
        <w:rPr>
          <w:bCs/>
          <w:spacing w:val="-4"/>
          <w:highlight w:val="white"/>
        </w:rPr>
      </w:r>
    </w:p>
    <w:p>
      <w:pPr>
        <w:pStyle w:val="1035"/>
        <w:numPr>
          <w:ilvl w:val="0"/>
          <w:numId w:val="1"/>
        </w:numPr>
        <w:pBdr/>
        <w:tabs>
          <w:tab w:val="left" w:leader="none" w:pos="993"/>
        </w:tabs>
        <w:spacing w:after="120" w:before="120" w:line="276" w:lineRule="auto"/>
        <w:ind/>
        <w:jc w:val="both"/>
        <w:rPr>
          <w:b/>
          <w:highlight w:val="white"/>
        </w:rPr>
      </w:pPr>
      <w:r>
        <w:rPr>
          <w:highlight w:val="white"/>
          <w:lang w:val="pt-BR"/>
        </w:rPr>
        <w:t xml:space="preserve">Công văn số 1326/BXD-QLN của Bộ Xây dựng ban hành ngày 08/8/2011 về việc hướng dẫn kiểm kê, đánh giá lại giá trị tài sản cố định là nhà, vật kiến trúc;</w:t>
      </w:r>
      <w:r>
        <w:rPr>
          <w:b/>
          <w:highlight w:val="white"/>
          <w:lang w:val="pt-BR"/>
        </w:rPr>
      </w:r>
      <w:r>
        <w:rPr>
          <w:b/>
          <w:highlight w:val="white"/>
          <w:lang w:val="pt-BR"/>
        </w:rPr>
      </w:r>
    </w:p>
    <w:p>
      <w:pPr>
        <w:pStyle w:val="1035"/>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lang w:val="pt-BR"/>
        </w:rPr>
      </w:r>
    </w:p>
    <w:p>
      <w:pPr>
        <w:pStyle w:val="1035"/>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lang w:val="pt-BR"/>
        </w:rPr>
      </w:r>
    </w:p>
    <w:p>
      <w:pPr>
        <w:pStyle w:val="1035"/>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lang w:val="pt-BR"/>
        </w:rPr>
      </w:r>
    </w:p>
    <w:p>
      <w:pPr>
        <w:pStyle w:val="1035"/>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r>
      <w:r>
        <w:rPr>
          <w:rFonts w:ascii="Times New Roman" w:hAnsi="Times New Roman" w:eastAsia="Times New Roman" w:cs="Times New Roman"/>
          <w:b w:val="0"/>
          <w:bCs w:val="0"/>
          <w:color w:val="000000"/>
          <w:sz w:val="24"/>
          <w:highlight w:val="white"/>
        </w:rPr>
        <w:t xml:space="preserve">Giấy chứng nhận quyền sử dụng đất số: V 58219</w:t>
      </w:r>
      <w:r>
        <w:rPr>
          <w:rFonts w:ascii="Times New Roman" w:hAnsi="Times New Roman" w:eastAsia="Times New Roman" w:cs="Times New Roman"/>
          <w:b w:val="0"/>
          <w:bCs w:val="0"/>
          <w:color w:val="000000"/>
          <w:sz w:val="24"/>
          <w:highlight w:val="white"/>
        </w:rPr>
        <w:t xml:space="preserve">9, số vào sổ cấp GCN: 809QSDĐ/MK do Uỷ ban Nhân dân Huyện Đông Triều Tỉnh Quảng Ninh  cấp ngày 25/12/2002 cho Bà Đồng Thị Thu Phương</w:t>
      </w:r>
      <w:r>
        <w:rPr>
          <w:i/>
          <w:iCs/>
          <w:highlight w:val="white"/>
        </w:rPr>
      </w:r>
      <w:r>
        <w:rPr>
          <w:i/>
          <w:iCs/>
          <w:highlight w:val="white"/>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35"/>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w:t>
      </w:r>
      <w:r>
        <w:rPr>
          <w:color w:val="000000" w:themeColor="text1"/>
          <w:spacing w:val="-4"/>
          <w:highlight w:val="white"/>
          <w:lang w:val="vi-VN"/>
        </w:rPr>
        <w:t xml:space="preserve">275/2026/0610/VFI-HĐTĐ.53.A</w:t>
      </w:r>
      <w:r>
        <w:rPr>
          <w:spacing w:val="-4"/>
          <w:highlight w:val="white"/>
          <w:lang w:val="vi-VN"/>
        </w:rPr>
        <w:t xml:space="preserve"> </w:t>
      </w:r>
      <w:r>
        <w:rPr>
          <w:color w:val="000000" w:themeColor="text1"/>
          <w:highlight w:val="white"/>
          <w:lang w:val="pt-BR"/>
        </w:rPr>
        <w:t xml:space="preserve"> ngày 13/04/2026 </w:t>
      </w:r>
      <w:r>
        <w:rPr>
          <w:color w:val="000000" w:themeColor="text1"/>
          <w:highlight w:val="white"/>
          <w:lang w:val="pt-BR"/>
        </w:rPr>
        <w:t xml:space="preserve">giữa Ông Nguyễn Bá Thiện </w:t>
      </w:r>
      <w:r>
        <w:rPr>
          <w:color w:val="000000" w:themeColor="text1"/>
          <w:highlight w:val="white"/>
          <w:lang w:val="pt-BR"/>
        </w:rPr>
        <w:t xml:space="preserve">với Công ty Cổ phần Thẩm định và Đầu tư Tài chính Hoa Sen.</w:t>
      </w:r>
      <w:r>
        <w:rPr>
          <w:b/>
          <w:highlight w:val="white"/>
          <w:lang w:val="pt-BR"/>
        </w:rPr>
      </w:r>
      <w:r>
        <w:rPr>
          <w:b/>
          <w:highlight w:val="white"/>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lang w:val="pt-BR"/>
        </w:rPr>
        <w:tab/>
      </w:r>
      <w:r>
        <w:rPr>
          <w:i/>
          <w:iCs/>
          <w:lang w:val="pt-BR"/>
        </w:rPr>
      </w:r>
      <w:r>
        <w:rPr>
          <w:rFonts w:ascii="Times New Roman" w:hAnsi="Times New Roman" w:eastAsia="Times New Roman" w:cs="Times New Roman"/>
          <w:color w:val="000000"/>
          <w:sz w:val="24"/>
        </w:rPr>
        <w:t xml:space="preserve">Quảng Ninh, với tiềm năng phát triển vượt trội về kinh tế và du lịch, đang trở thành một trong những điểm đến hấp dẫn đối với các nhà đầu tư bất động sản. Trong những năm gần đây, thị trường đất nền Quảng Ninh ghi nhận nhiều chuyển biến tích cực với sự gia</w:t>
      </w:r>
      <w:r>
        <w:rPr>
          <w:rFonts w:ascii="Times New Roman" w:hAnsi="Times New Roman" w:eastAsia="Times New Roman" w:cs="Times New Roman"/>
          <w:color w:val="000000"/>
          <w:sz w:val="24"/>
        </w:rPr>
        <w:t xml:space="preserve"> tăng đáng kể về dự án hạ tầng lớn như cao tốc, sân bay và cảng biển. Bài viết sau sẽ cung cấp cái nhìn tổng quan về tình hình thị trường đất nền Quảng Ninh hiện nay, giúp nhà đầu tư nắm bắt được cơ hội và xu hướng mới nhất.</w:t>
      </w:r>
      <w:r/>
    </w:p>
    <w:p>
      <w:pPr>
        <w:pBdr>
          <w:top w:val="single" w:color="e5e5ea" w:sz="2" w:space="0"/>
          <w:left w:val="single" w:color="e5e5ea" w:sz="2" w:space="0"/>
          <w:bottom w:val="single" w:color="e5e5ea" w:sz="2" w:space="0"/>
          <w:right w:val="single" w:color="e5e5ea" w:sz="2" w:space="0"/>
        </w:pBdr>
        <w:spacing w:after="299"/>
        <w:ind w:right="0" w:firstLine="283" w:left="0"/>
        <w:jc w:val="both"/>
        <w:rPr/>
      </w:pPr>
      <w:r>
        <w:rPr>
          <w:rFonts w:ascii="Times New Roman" w:hAnsi="Times New Roman" w:eastAsia="Times New Roman" w:cs="Times New Roman"/>
          <w:color w:val="000000"/>
          <w:sz w:val="24"/>
        </w:rPr>
        <w:t xml:space="preserve">Nhìn chung, giá đất tại các khu vực trọng điểm của Quảng Ninh không có nhiều biến động lớn trong năm 2024 nhưng thanh khoản giảm mạnh so với các năm trước, phản ánh sự chuyển dịch trong chiến lược đầu tư.</w:t>
      </w:r>
      <w:r/>
    </w:p>
    <w:p>
      <w:pPr>
        <w:pBdr>
          <w:top w:val="single" w:color="e5e5ea" w:sz="2" w:space="0"/>
          <w:left w:val="single" w:color="e5e5ea" w:sz="2" w:space="0"/>
          <w:bottom w:val="single" w:color="e5e5ea" w:sz="2" w:space="0"/>
          <w:right w:val="single" w:color="e5e5ea" w:sz="2" w:space="0"/>
        </w:pBdr>
        <w:spacing w:after="299" w:before="299"/>
        <w:ind w:right="0" w:firstLine="283" w:left="0"/>
        <w:jc w:val="both"/>
        <w:rPr/>
      </w:pPr>
      <w:r>
        <w:rPr>
          <w:rFonts w:ascii="Times New Roman" w:hAnsi="Times New Roman" w:eastAsia="Times New Roman" w:cs="Times New Roman"/>
          <w:color w:val="000000"/>
          <w:sz w:val="24"/>
        </w:rPr>
        <w:t xml:space="preserve">Loại hình đất nền được đánh giá cao tại Quảng Ninh là đất nền ở các khu vực phát triển du lịch và công nghiệp như Hạ Long, Cẩm Phả và Quảng Yên. Đây là những khu vực có hạ tầng giao thông phát triển, với sự xuất hiện của các dự án đô thị và nghỉ dưỡng lớn,</w:t>
      </w:r>
      <w:r>
        <w:rPr>
          <w:rFonts w:ascii="Times New Roman" w:hAnsi="Times New Roman" w:eastAsia="Times New Roman" w:cs="Times New Roman"/>
          <w:color w:val="000000"/>
          <w:sz w:val="24"/>
        </w:rPr>
        <w:t xml:space="preserve"> tạo điều kiện thuận lợi cho sự phát triển đất nền trong dài hạn. Tuy nhiên, với sự gia tăng của các dự án bất động sản mới, phân khúc này đang cạnh tranh gay gắt với các loại hình khác như chung cư và shophouse.</w:t>
      </w:r>
      <w:r/>
    </w:p>
    <w:p>
      <w:pPr>
        <w:pBdr>
          <w:top w:val="single" w:color="e5e5ea" w:sz="2" w:space="0"/>
          <w:left w:val="single" w:color="e5e5ea" w:sz="2" w:space="0"/>
          <w:bottom w:val="single" w:color="e5e5ea" w:sz="2" w:space="0"/>
          <w:right w:val="single" w:color="e5e5ea" w:sz="2" w:space="0"/>
        </w:pBdr>
        <w:spacing w:after="299"/>
        <w:ind w:right="0" w:firstLine="283" w:left="0"/>
        <w:jc w:val="both"/>
        <w:rPr/>
      </w:pPr>
      <w:r>
        <w:rPr>
          <w:rFonts w:ascii="Times New Roman" w:hAnsi="Times New Roman" w:eastAsia="Times New Roman" w:cs="Times New Roman"/>
          <w:color w:val="000000"/>
          <w:sz w:val="24"/>
        </w:rPr>
        <w:t xml:space="preserve">Mặc dù thị trường bất động sản tại các thành phố lớn như Hạ Long, Cẩm Phả, Móng Cái và Uông Bí đã có sự phát triển mạnh mẽ và tăng giá trong thời gian dài, nhưng sức hấp dẫn đối với các nhà đầu tư vẫn không hề giảm. Đầu năm 2023, khi nhiều khu vực khác tro</w:t>
      </w:r>
      <w:r>
        <w:rPr>
          <w:rFonts w:ascii="Times New Roman" w:hAnsi="Times New Roman" w:eastAsia="Times New Roman" w:cs="Times New Roman"/>
          <w:color w:val="000000"/>
          <w:sz w:val="24"/>
        </w:rPr>
        <w:t xml:space="preserve">ng cả nước gặp khó khăn về giao dịch, Quảng Ninh vẫn ghi nhận những điểm sáng tích cực trong thị trường bất động sản. </w:t>
      </w:r>
      <w:r/>
    </w:p>
    <w:p>
      <w:pPr>
        <w:pBdr>
          <w:top w:val="single" w:color="e5e5ea" w:sz="2" w:space="0"/>
          <w:left w:val="single" w:color="e5e5ea" w:sz="2" w:space="0"/>
          <w:bottom w:val="single" w:color="e5e5ea" w:sz="2" w:space="0"/>
          <w:right w:val="single" w:color="e5e5ea" w:sz="2" w:space="0"/>
        </w:pBdr>
        <w:spacing w:after="299" w:before="299"/>
        <w:ind w:right="0" w:firstLine="283" w:left="0"/>
        <w:jc w:val="both"/>
        <w:rPr/>
      </w:pPr>
      <w:r>
        <w:rPr>
          <w:rFonts w:ascii="Times New Roman" w:hAnsi="Times New Roman" w:eastAsia="Times New Roman" w:cs="Times New Roman"/>
          <w:color w:val="000000"/>
          <w:sz w:val="24"/>
        </w:rPr>
        <w:t xml:space="preserve">Một phần lý do là nhờ sự đầu tư mạnh vào hạ tầng và các dự án lớn trong tỉnh. Đặc biệt là kế hoạch vốn đầu tư công của Quảng Ninh cho năm 2024 sau khi bổ sung đã lên đến 14.606 tỷ đồng. Điều này hứa hẹn sẽ tiếp tục thúc đẩy sự phát triển của thị trường bất</w:t>
      </w:r>
      <w:r>
        <w:rPr>
          <w:rFonts w:ascii="Times New Roman" w:hAnsi="Times New Roman" w:eastAsia="Times New Roman" w:cs="Times New Roman"/>
          <w:color w:val="000000"/>
          <w:sz w:val="24"/>
        </w:rPr>
        <w:t xml:space="preserve"> động sản tại đây, tạo thêm động lực cho các nhà đầu tư tìm kiếm cơ hội.</w:t>
      </w:r>
      <w:r/>
    </w:p>
    <w:p>
      <w:pPr>
        <w:pBdr>
          <w:top w:val="single" w:color="e5e5ea" w:sz="2" w:space="0"/>
          <w:left w:val="single" w:color="e5e5ea" w:sz="2" w:space="0"/>
          <w:bottom w:val="single" w:color="e5e5ea" w:sz="2" w:space="0"/>
          <w:right w:val="single" w:color="e5e5ea" w:sz="2" w:space="0"/>
        </w:pBdr>
        <w:spacing w:after="299" w:before="299"/>
        <w:ind w:right="0" w:firstLine="283" w:left="0"/>
        <w:jc w:val="both"/>
        <w:rPr/>
      </w:pPr>
      <w:r>
        <w:rPr>
          <w:rFonts w:ascii="Times New Roman" w:hAnsi="Times New Roman" w:eastAsia="Times New Roman" w:cs="Times New Roman"/>
          <w:color w:val="000000"/>
          <w:sz w:val="24"/>
        </w:rPr>
        <w:t xml:space="preserve">Theo nhận định của các chuyên gia, xu hướng “săn” đất nền tại các khu vực ven đô thị lớn, nơi hạ tầng giao thông được cải thiện và tốc độ đô thị hóa cao, sẽ tiếp tục là tâm điểm của giới đầu tư. Với mức giá hiện tại còn tương đối hợp lý so với tiềm năng tă</w:t>
      </w:r>
      <w:r>
        <w:rPr>
          <w:rFonts w:ascii="Times New Roman" w:hAnsi="Times New Roman" w:eastAsia="Times New Roman" w:cs="Times New Roman"/>
          <w:color w:val="000000"/>
          <w:sz w:val="24"/>
        </w:rPr>
        <w:t xml:space="preserve">ng trưởng trong tương lai, Quảng Ninh có khả năng trở thành một trong những thị trường đất nền sôi động nhất miền Bắc.</w:t>
      </w:r>
      <w:r/>
    </w:p>
    <w:p>
      <w:pPr>
        <w:pBdr>
          <w:top w:val="single" w:color="e5e5ea" w:sz="2" w:space="0"/>
          <w:left w:val="single" w:color="e5e5ea" w:sz="2" w:space="0"/>
          <w:bottom w:val="single" w:color="e5e5ea" w:sz="2" w:space="0"/>
          <w:right w:val="single" w:color="e5e5ea" w:sz="2" w:space="0"/>
        </w:pBdr>
        <w:spacing w:after="299" w:before="299"/>
        <w:ind w:right="0" w:firstLine="283" w:left="0"/>
        <w:jc w:val="both"/>
        <w:rPr/>
      </w:pPr>
      <w:r>
        <w:rPr>
          <w:rFonts w:ascii="Times New Roman" w:hAnsi="Times New Roman" w:eastAsia="Times New Roman" w:cs="Times New Roman"/>
          <w:color w:val="000000"/>
          <w:sz w:val="24"/>
        </w:rPr>
        <w:t xml:space="preserve">Những năm tới, Quảng Ninh sẽ tiếp tục là thị trường tiềm năng cho các nhà đầu tư bất động sản, đặc biệt ở phân khúc đất nền. Tuy nhiên, để tối ưu hóa lợi nhuận, các nhà đầu tư nên cân nhắc kỹ về vị trí và tiềm năng phát triển của từng khu vực. Đặc biệt, sự</w:t>
      </w:r>
      <w:r>
        <w:rPr>
          <w:rFonts w:ascii="Times New Roman" w:hAnsi="Times New Roman" w:eastAsia="Times New Roman" w:cs="Times New Roman"/>
          <w:color w:val="000000"/>
          <w:sz w:val="24"/>
        </w:rPr>
        <w:t xml:space="preserve"> tham gia của các "ông lớn" trong lĩnh vực bất động sản sẽ giúp Quảng Ninh thu hút ngày càng nhiều nhà đầu tư, tạo ra một môi trường cạnh tranh lành mạnh và hứa hẹn đem lại lợi nhuận ổn định.</w:t>
      </w:r>
      <w:r/>
    </w:p>
    <w:p>
      <w:pPr>
        <w:pBdr>
          <w:top w:val="single" w:color="e5e5ea" w:sz="2" w:space="0"/>
          <w:left w:val="single" w:color="e5e5ea" w:sz="2" w:space="0"/>
          <w:bottom w:val="single" w:color="e5e5ea" w:sz="2" w:space="0"/>
          <w:right w:val="single" w:color="e5e5ea" w:sz="2" w:space="0"/>
        </w:pBdr>
        <w:spacing w:after="299" w:before="299"/>
        <w:ind w:right="0" w:firstLine="283" w:left="0"/>
        <w:jc w:val="both"/>
        <w:rPr/>
      </w:pPr>
      <w:r>
        <w:rPr>
          <w:rFonts w:ascii="Times New Roman" w:hAnsi="Times New Roman" w:eastAsia="Times New Roman" w:cs="Times New Roman"/>
          <w:color w:val="000000"/>
          <w:sz w:val="24"/>
        </w:rPr>
        <w:t xml:space="preserve">Có thể thấy, thị trường đất nền Quảng Ninh vẫn còn nhiều tiềm năng phát triển. Tuy nhiên, để tận dụng được những cơ hội này, nhà đầu tư cần trang bị cho mình những kiến thức cần thiết và lựa chọn những dự án phù hợp. Với sự phát triển bền vững và sự quan t</w:t>
      </w:r>
      <w:r>
        <w:rPr>
          <w:rFonts w:ascii="Times New Roman" w:hAnsi="Times New Roman" w:eastAsia="Times New Roman" w:cs="Times New Roman"/>
          <w:color w:val="000000"/>
          <w:sz w:val="24"/>
        </w:rPr>
        <w:t xml:space="preserve">âm từ phía chính quyền, thị trường đất nền Quảng Ninh hứa hẹn sẽ tiếp tục là điểm đến lý tưởng cho các nhà đầu tư trong tương lai.</w:t>
      </w:r>
      <w:r/>
    </w:p>
    <w:p>
      <w:pPr>
        <w:pBdr>
          <w:top w:val="single" w:color="e5e5ea" w:sz="2" w:space="0"/>
          <w:left w:val="single" w:color="e5e5ea" w:sz="2" w:space="0"/>
          <w:bottom w:val="single" w:color="e5e5ea" w:sz="2" w:space="0"/>
          <w:right w:val="single" w:color="e5e5ea" w:sz="2" w:space="0"/>
        </w:pBdr>
        <w:spacing w:after="299" w:before="299"/>
        <w:ind w:right="0" w:firstLine="283" w:left="0"/>
        <w:jc w:val="center"/>
        <w:rPr/>
      </w:pPr>
      <w:r>
        <w:rPr>
          <w:rFonts w:ascii="Times New Roman" w:hAnsi="Times New Roman" w:eastAsia="Times New Roman" w:cs="Times New Roman"/>
          <w:i/>
          <w:color w:val="000000"/>
          <w:sz w:val="24"/>
          <w:highlight w:val="white"/>
          <w:u w:val="single"/>
        </w:rPr>
        <w:t xml:space="preserve">(Nguồn tham khảo: https://onehousing.vn/blog/tong-quan-tinh-hinh-thi-truong-dat-nen-quang-ninh-cap-nhat-moi-nhat-n17t)</w:t>
      </w:r>
      <w:r/>
      <w:r>
        <w:rPr>
          <w:lang w:val="pt-BR"/>
        </w:rPr>
      </w:r>
      <w:r>
        <w:rPr>
          <w:i/>
          <w:iCs/>
          <w:lang w:val="pt-BR"/>
        </w:rPr>
      </w:r>
      <w:r/>
      <w:r>
        <w:rPr>
          <w:rFonts w:ascii="Times New Roman" w:hAnsi="Times New Roman" w:eastAsia="Times New Roman" w:cs="Times New Roman"/>
          <w:sz w:val="24"/>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7"/>
        <w:gridCol w:w="2323"/>
        <w:gridCol w:w="2050"/>
        <w:gridCol w:w="2541"/>
        <w:gridCol w:w="2793"/>
      </w:tblGrid>
      <w:tr>
        <w:trPr>
          <w:trHeight w:val="1692"/>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tabs>
                <w:tab w:val="left" w:leader="none" w:pos="7222"/>
              </w:tabs>
              <w:spacing w:after="0" w:before="0" w:line="276"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 tờ bản đồ số: ./. có địa chỉ: Khu Vĩnh Hồng, Thị trấn Mạo Khê, huyện Đông Triều, tỉnh Quảng Ninh (nay là Phường Mạo Khê, tỉnh Quảng Ninh) theo Giấy chứng nhận quyền sử dụng đất  số: V 58</w:t>
            </w:r>
            <w:r>
              <w:rPr>
                <w:rFonts w:ascii="Times New Roman" w:hAnsi="Times New Roman" w:eastAsia="Times New Roman" w:cs="Times New Roman"/>
                <w:b/>
                <w:color w:val="000000"/>
                <w:sz w:val="24"/>
              </w:rPr>
              <w:t xml:space="preserve">2199, số vào sổ cấp GCN: 809QSDĐ/MK do Uỷ ban Nhân dân Huyện Đông Triều Tỉnh Quảng Ninh  cấp ngày 25/12/2002 cho Bà Đồng Thị Thu Phương</w:t>
            </w:r>
            <w:r>
              <w:tab/>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Khu Vĩnh Hồng, Thị trấn Mạo Khê, huyện Đông Triều, tỉnh Quảng Ninh (nay là Phường Mạo Khê, tỉnh Quảng Ninh)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347,0 </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5" w:space="0"/>
              <w:right w:val="single" w:color="000000" w:sz="5" w:space="0"/>
            </w:tcBorders>
            <w:tcMar>
              <w:left w:w="0" w:type="dxa"/>
              <w:top w:w="0" w:type="dxa"/>
              <w:right w:w="0" w:type="dxa"/>
              <w:bottom w:w="0" w:type="dxa"/>
            </w:tcMar>
            <w:tcW w:w="2323"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Thông tin quy hoạch</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bottom w:val="single" w:color="000000" w:sz="5" w:space="0"/>
              <w:right w:val="single" w:color="000000" w:sz="5" w:space="0"/>
            </w:tcBorders>
            <w:tcMar>
              <w:left w:w="0" w:type="dxa"/>
              <w:top w:w="0" w:type="dxa"/>
              <w:right w:w="0" w:type="dxa"/>
              <w:bottom w:w="0" w:type="dxa"/>
            </w:tcMar>
            <w:tcW w:w="6856"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Tại thời điểm thẩm định, tổ thẩm định không thu thập được bất kì thông tin quy hoạch nào liên quan tới thửa đất. Kính mong đơn vị sử dụng kết quả lưu ý.</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Khu Vĩnh Hồng, Thị trấn Mạo Khê, huyện Đông Triều, tỉnh Quảng Ninh (nay là Phường Mạo Khê, tỉnh Quảng Ninh)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nhựa </w:t>
            </w:r>
            <w:r/>
          </w:p>
        </w:tc>
        <w:tc>
          <w:tcPr>
            <w:tcBorders>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793"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2 mặt tiền</w:t>
            </w:r>
            <w:r/>
          </w:p>
        </w:tc>
      </w:tr>
      <w:tr>
        <w:trPr>
          <w:trHeight w:val="147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11,7+ vỉa hè mỗi bên khoảng 8m</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c>
          <w:tcPr>
            <w:tcBorders>
              <w:top w:val="single" w:color="000000" w:sz="5" w:space="0"/>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11,7+ vỉa hè mỗi bên khoảng 8m</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97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nằm tiếp giáp đường QL18</w:t>
            </w:r>
            <w:r/>
          </w:p>
        </w:tc>
      </w:tr>
      <w:tr>
        <w:trPr>
          <w:trHeight w:val="86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Bắc : Tiếp giáp đường nhựa rộng khoảng 11,7m+ vỉa hè mỗi bên 8m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rPr/>
            </w:pPr>
            <w:r>
              <w:rPr>
                <w:rFonts w:ascii="Times New Roman" w:hAnsi="Times New Roman" w:eastAsia="Times New Roman" w:cs="Times New Roman"/>
                <w:color w:val="000000"/>
                <w:sz w:val="24"/>
              </w:rPr>
              <w:t xml:space="preserve">- Hướng Đông: Tiếp giáp đường bê tông rộng khoảng 3m</w:t>
              <w:br/>
              <w:t xml:space="preserve">- Các hướng khác: Tiếp giáp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21.062486897135237, 106.57817482424974</w:t>
            </w:r>
            <w:r>
              <w:rPr>
                <w:rFonts w:ascii="Times New Roman" w:hAnsi="Times New Roman" w:eastAsia="Times New Roman" w:cs="Times New Roman"/>
                <w:color w:val="000000"/>
                <w:sz w:val="24"/>
              </w:rPr>
            </w:r>
            <w:r/>
          </w:p>
        </w:tc>
      </w:tr>
      <w:tr>
        <w:trPr>
          <w:trHeight w:val="73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416740" cy="285656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56465" name=""/>
                              <pic:cNvPicPr>
                                <a:picLocks noChangeAspect="1"/>
                              </pic:cNvPicPr>
                              <pic:nvPr/>
                            </pic:nvPicPr>
                            <pic:blipFill rotWithShape="1">
                              <a:blip r:embed="rId17"/>
                              <a:stretch/>
                            </pic:blipFill>
                            <pic:spPr bwMode="auto">
                              <a:xfrm flipH="0" flipV="0">
                                <a:off x="0" y="0"/>
                                <a:ext cx="5416740" cy="28565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51pt;height:224.93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347,0 </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8,50</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40,50</w:t>
            </w:r>
            <w:r/>
          </w:p>
        </w:tc>
      </w:tr>
      <w:tr>
        <w:trPr>
          <w:trHeight w:val="102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hậu (m):</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7,00</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Tương đối vuông vức, hơi thóp hậu </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Bắc</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rPr>
                <w:color w:val="ff0000"/>
              </w:rPr>
            </w:pPr>
            <w:r>
              <w:rPr>
                <w:rFonts w:ascii="Times New Roman" w:hAnsi="Times New Roman" w:eastAsia="Times New Roman" w:cs="Times New Roman"/>
                <w:color w:val="ff0000"/>
                <w:sz w:val="24"/>
              </w:rPr>
              <w:t xml:space="preserve">Thích hợp để ở/Kinh doanh</w:t>
            </w:r>
            <w:r>
              <w:rPr>
                <w:color w:val="ff0000"/>
              </w:rPr>
            </w:r>
            <w:r>
              <w:rPr>
                <w:color w:val="ff0000"/>
              </w:rP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1536"/>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Tại thời điểm thẩm định giá, trên đất có công trình xây dựng là:</w:t>
              <w:br/>
              <w:t xml:space="preserve">+ 01 nhà 3 tầng, diện tích 120m2/ sàn. Xây dựng năm 2024. Tổng diện tích sàn là 360m2. </w:t>
              <w:br/>
              <w:t xml:space="preserve">+ 01 nhà cấp 4, diện tích xây dựng 40m2. Xây khoảng 16 năm. Hiện các  công trình chưa được chứng nhận</w:t>
            </w:r>
            <w:r>
              <w:rPr>
                <w:rFonts w:ascii="Times New Roman" w:hAnsi="Times New Roman" w:eastAsia="Times New Roman" w:cs="Times New Roman"/>
                <w:color w:val="000000"/>
                <w:sz w:val="24"/>
              </w:rPr>
              <w:t xml:space="preserve"> trên GCN số V 582199</w:t>
            </w: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left"/>
              <w:rPr>
                <w:highlight w:val="white"/>
              </w:rPr>
            </w:pPr>
            <w:r>
              <w:rPr>
                <w:highlight w:val="white"/>
              </w:rPr>
              <w:t xml:space="preserve">      Có</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t xml:space="preserve"> Có cột điện trước mặt tiền</w:t>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sz w:val="24"/>
        </w:rPr>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559"/>
        <w:gridCol w:w="1878"/>
        <w:gridCol w:w="1949"/>
        <w:gridCol w:w="1808"/>
        <w:gridCol w:w="1878"/>
      </w:tblGrid>
      <w:tr>
        <w:trPr>
          <w:trHeight w:val="3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top"/>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top"/>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r>
      <w:tr>
        <w:trPr>
          <w:trHeight w:val="1209"/>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Phường Mạo Khê Quảng Ninh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Phường Mạo Khê Quảng Ninh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Phường Mạo Khê Quảng Ninh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Phường Mạo Khê Quảng Ninh</w:t>
            </w:r>
            <w:r>
              <w:rPr>
                <w:color w:val="000000" w:themeColor="text1"/>
              </w:rPr>
            </w:r>
          </w:p>
        </w:tc>
      </w:tr>
      <w:tr>
        <w:trPr>
          <w:trHeight w:val="108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rPr>
                <w:color w:val="000000" w:themeColor="text1"/>
              </w:rPr>
            </w:pPr>
            <w:r>
              <w:rPr>
                <w:rFonts w:ascii="Arial" w:hAnsi="Arial" w:eastAsia="Arial" w:cs="Arial"/>
                <w:color w:val="000000" w:themeColor="text1"/>
                <w:sz w:val="22"/>
                <w:u w:val="single"/>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https://batdongsan.com.vn/ban-dat-duong-quoc-lo-18-phuong-kim-son/ban-nen-tai-trung-tam-do-thi-dong-trieu-quang-ninh-gia-chi-49-trieu-1m2-pr44556952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https://batdongsan.com.vn/ban-dat-nen-du-an-duong-quoc-lo-18-phuong-kim-son/ban-68-trieu-m2-300m2-tai-18-dong-trieu-quang-ninh-pr43713922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https://www.facebook.com/share/p/1DkpuryXjC/</w:t>
            </w:r>
            <w:r>
              <w:rPr>
                <w:color w:val="000000" w:themeColor="text1"/>
              </w:rPr>
            </w:r>
          </w:p>
        </w:tc>
      </w:tr>
      <w:tr>
        <w:trPr>
          <w:trHeight w:val="63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Môi giới: 0963249196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Môi giới: 0968666818</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Môi giới: 988989236</w:t>
            </w:r>
            <w:r>
              <w:rPr>
                <w:color w:val="000000" w:themeColor="text1"/>
              </w:rPr>
            </w:r>
          </w:p>
        </w:tc>
      </w:tr>
      <w:tr>
        <w:trPr>
          <w:trHeight w:val="63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4/2026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4/2026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4/2026 </w:t>
            </w:r>
            <w:r>
              <w:rPr>
                <w:color w:val="000000" w:themeColor="text1"/>
              </w:rP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r>
      <w:tr>
        <w:trPr>
          <w:trHeight w:val="46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đô thị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đô thị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đô thị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đô thị </w:t>
            </w:r>
            <w:r>
              <w:rPr>
                <w:color w:val="000000" w:themeColor="text1"/>
              </w:rPr>
            </w:r>
          </w:p>
        </w:tc>
      </w:tr>
      <w:tr>
        <w:trPr>
          <w:trHeight w:val="81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r>
      <w:tr>
        <w:trPr>
          <w:trHeight w:val="15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nằm tại Phường Mạo Khê, tỉnh Quảng Ninh. Tài sản nằm tiếp giáp mặt đường QL18</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nằm tại Phường Mạo Khê, tỉnh Quảng Ninh. Tài sản cách QL18 khoảng 200m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nằm tại Phường Mạo Khê, tỉnh Quảng Ninh. Tài sản cách QL18 khoảng 200m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nằm tại Phường Mạo Khê, tỉnh Quảng Ninh. Tài sản nằm tiếp giáp mặt đường QL18</w:t>
            </w:r>
            <w:r>
              <w:rPr>
                <w:color w:val="000000" w:themeColor="text1"/>
              </w:rPr>
            </w:r>
          </w:p>
        </w:tc>
      </w:tr>
      <w:tr>
        <w:trPr>
          <w:trHeight w:val="9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p>
        </w:tc>
      </w:tr>
      <w:tr>
        <w:trPr>
          <w:trHeight w:val="99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Độ rộng đường (m)</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 vỉa hè mỗi bên 8m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p>
        </w:tc>
      </w:tr>
      <w:tr>
        <w:trPr>
          <w:trHeight w:val="7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left w:val="single" w:color="000000" w:sz="4" w:space="0"/>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Diện tích đất ở </w:t>
            </w:r>
            <w:r>
              <w:rPr>
                <w:color w:val="000000" w:themeColor="text1"/>
              </w:rPr>
            </w:r>
          </w:p>
        </w:tc>
        <w:tc>
          <w:tcPr>
            <w:tcBorders>
              <w:bottom w:val="single" w:color="000000" w:sz="5" w:space="0"/>
              <w:right w:val="single" w:color="000000" w:sz="5"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347</w:t>
            </w:r>
            <w:r>
              <w:rPr>
                <w:color w:val="000000" w:themeColor="text1"/>
              </w:rPr>
            </w:r>
          </w:p>
        </w:tc>
        <w:tc>
          <w:tcPr>
            <w:tcBorders>
              <w:bottom w:val="single" w:color="000000" w:sz="5" w:space="0"/>
              <w:right w:val="single" w:color="000000" w:sz="5"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250</w:t>
            </w:r>
            <w:r>
              <w:rPr>
                <w:color w:val="000000" w:themeColor="text1"/>
              </w:rPr>
            </w:r>
          </w:p>
        </w:tc>
        <w:tc>
          <w:tcPr>
            <w:tcBorders>
              <w:bottom w:val="single" w:color="000000" w:sz="5" w:space="0"/>
              <w:right w:val="single" w:color="000000" w:sz="5"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p>
        </w:tc>
        <w:tc>
          <w:tcPr>
            <w:tcBorders>
              <w:bottom w:val="single" w:color="000000" w:sz="5" w:space="0"/>
              <w:right w:val="single" w:color="000000" w:sz="5"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162</w:t>
            </w:r>
            <w:r>
              <w:rPr>
                <w:color w:val="000000" w:themeColor="text1"/>
              </w:rPr>
            </w:r>
          </w:p>
        </w:tc>
      </w:tr>
      <w:tr>
        <w:trPr>
          <w:trHeight w:val="42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w:t>
            </w:r>
            <w:r>
              <w:rPr>
                <w:color w:val="000000" w:themeColor="text1"/>
              </w:rPr>
            </w:r>
          </w:p>
        </w:tc>
      </w:tr>
      <w:tr>
        <w:trPr>
          <w:trHeight w:val="108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mặt (mặt bên cạnh tiếp giáp đường rộng khoảng 3m)</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Lô góc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Lô góc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mặt tiền trước sau (mặt sau rộng khoảng 7,5m)</w:t>
            </w:r>
            <w:r>
              <w:rPr>
                <w:color w:val="000000" w:themeColor="text1"/>
              </w:rPr>
            </w:r>
          </w:p>
        </w:tc>
      </w:tr>
      <w:tr>
        <w:trPr>
          <w:trHeight w:val="624"/>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đối vuông vức, hơi thóp hậu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Hình chữ nhật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Hình chữ nhật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Hình chữ nhật </w:t>
            </w:r>
            <w:r>
              <w:rPr>
                <w:color w:val="000000" w:themeColor="text1"/>
              </w:rPr>
            </w:r>
          </w:p>
        </w:tc>
      </w:tr>
      <w:tr>
        <w:trPr>
          <w:trHeight w:val="73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Bất lợi thương mại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cột điện trước mặt tiền </w:t>
            </w:r>
            <w:r>
              <w:rPr>
                <w:color w:val="000000" w:themeColor="text1"/>
                <w:sz w:val="22"/>
                <w:szCs w:val="22"/>
              </w:rPr>
            </w:r>
            <w:r>
              <w:rPr>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Bình thường </w:t>
            </w:r>
            <w:r>
              <w:rPr>
                <w:color w:val="000000" w:themeColor="text1"/>
                <w:sz w:val="22"/>
                <w:szCs w:val="22"/>
              </w:rPr>
            </w:r>
            <w:r>
              <w:rPr>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Bình thường </w:t>
            </w:r>
            <w:r>
              <w:rPr>
                <w:color w:val="000000" w:themeColor="text1"/>
                <w:sz w:val="22"/>
                <w:szCs w:val="22"/>
              </w:rPr>
            </w:r>
            <w:r>
              <w:rPr>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Bình thường </w:t>
            </w:r>
            <w:r>
              <w:rPr>
                <w:color w:val="000000" w:themeColor="text1"/>
                <w:sz w:val="22"/>
                <w:szCs w:val="22"/>
              </w:rPr>
            </w:r>
            <w:r>
              <w:rPr>
                <w:color w:val="000000" w:themeColor="text1"/>
                <w:sz w:val="22"/>
                <w:szCs w:val="22"/>
              </w:rPr>
            </w:r>
          </w:p>
        </w:tc>
      </w:tr>
      <w:tr>
        <w:trPr>
          <w:trHeight w:val="14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Hạ tầng khu dân cư thông thường: Hệ thống cấp điện, cấp thoát nước đầy đủ</w:t>
            </w:r>
            <w:r>
              <w:rPr>
                <w:color w:val="000000" w:themeColor="text1"/>
                <w:sz w:val="22"/>
                <w:szCs w:val="22"/>
              </w:rPr>
            </w:r>
            <w:r>
              <w:rPr>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Hạ tầng khu dân cư thông thường: Hệ thống cấp điện, cấp thoát nước đầy đủ</w:t>
            </w:r>
            <w:r>
              <w:rPr>
                <w:color w:val="000000" w:themeColor="text1"/>
                <w:sz w:val="22"/>
                <w:szCs w:val="22"/>
              </w:rPr>
            </w:r>
            <w:r>
              <w:rPr>
                <w:color w:val="000000" w:themeColor="text1"/>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Nhà 3 tầng, nhà cấp 4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Đất trống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Đất trống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Nhà 3,5 tầng  </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bottom"/>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Số tầng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3,0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3,5 </w:t>
            </w:r>
            <w:r>
              <w:rPr>
                <w:color w:val="000000" w:themeColor="text1"/>
              </w:rPr>
            </w:r>
          </w:p>
        </w:tc>
      </w:tr>
      <w:tr>
        <w:trPr>
          <w:trHeight w:val="6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bottom"/>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Diện tích sàn sử dụng (m²)</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bottom"/>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280,0</w:t>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12.250.000.000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12.000.000.000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9.500.000.000</w:t>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10.841.250.000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10.920.000.000</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8.550.000.000</w:t>
            </w:r>
            <w:r>
              <w:rPr>
                <w:color w:val="000000" w:themeColor="text1"/>
              </w:rPr>
            </w:r>
          </w:p>
        </w:tc>
      </w:tr>
      <w:tr>
        <w:trPr>
          <w:trHeight w:val="315"/>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801"/>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tài sản trên đất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      1.518.980.400 </w:t>
            </w:r>
            <w:r>
              <w:rPr>
                <w:color w:val="000000" w:themeColor="text1"/>
              </w:rPr>
            </w:r>
          </w:p>
        </w:tc>
      </w:tr>
      <w:tr>
        <w:trPr>
          <w:trHeight w:val="169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Đơn giá xây dựng theo Quyết định 425/QĐ-BXD năm 2025 của Bộ Xây Dựng (đồng/m²)</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7.233.240 </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 Tỷ lệ % CLCL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75%</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đất ở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       10.841.250.000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     10.920.000.000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        7.031.019.600   </w:t>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             43.365.000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            36.400.000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jc w:val="right"/>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sz w:val="22"/>
                <w:szCs w:val="22"/>
              </w:rPr>
            </w:r>
          </w:p>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2"/>
              </w:rPr>
              <w:t xml:space="preserve">43.401.356 </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Diện tích đất ở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Độ rộng đường (m)</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Bất lợi thương mại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r>
      <w:tr>
        <w:trPr>
          <w:trHeight w:val="72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864"/>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50"/>
        <w:gridCol w:w="1753"/>
        <w:gridCol w:w="884"/>
        <w:gridCol w:w="1559"/>
        <w:gridCol w:w="1559"/>
        <w:gridCol w:w="1559"/>
        <w:gridCol w:w="1559"/>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10.841.250.000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color w:val="000000" w:themeColor="text1"/>
                <w:sz w:val="22"/>
              </w:rPr>
              <w:t xml:space="preserve">  10.920.000.000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7.031.019.600 </w:t>
            </w:r>
            <w:r>
              <w:rPr>
                <w:color w:val="000000" w:themeColor="text1"/>
              </w:rPr>
            </w:r>
            <w:r>
              <w:rPr>
                <w:color w:val="000000" w:themeColor="text1"/>
              </w:rPr>
            </w:r>
          </w:p>
        </w:tc>
      </w:tr>
      <w:tr>
        <w:trPr>
          <w:trHeight w:val="390"/>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43.365.000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36.400.000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43.401.356 </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93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5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43.365.000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36.400.000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43.401.356 </w:t>
            </w:r>
            <w:r>
              <w:rPr>
                <w:color w:val="000000" w:themeColor="text1"/>
              </w:rPr>
            </w:r>
            <w:r>
              <w:rPr>
                <w:color w:val="000000" w:themeColor="text1"/>
              </w:rPr>
            </w:r>
          </w:p>
        </w:tc>
      </w:tr>
      <w:tr>
        <w:trPr>
          <w:trHeight w:val="165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5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Phường Mạo Khê, tỉnh Quảng Ninh. Tài sản nằm tiếp giáp mặt đường QL18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Phường Mạo Khê, tỉnh Quảng Ninh. Tài sản cách QL18 khoảng 200m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Phường Mạo Khê, tỉnh Quảng Ninh. Tài sản cách QL18 khoảng 200m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Phường Mạo Khê, tỉnh Quảng Ninh. Tài sản nằm tiếp giáp mặt đường QL18</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4.336.500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47.701.500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43.401.356 </w:t>
            </w:r>
            <w:r>
              <w:rPr>
                <w:color w:val="000000" w:themeColor="text1"/>
              </w:rPr>
            </w:r>
            <w:r>
              <w:rPr>
                <w:color w:val="000000" w:themeColor="text1"/>
              </w:rPr>
            </w:r>
          </w:p>
        </w:tc>
      </w:tr>
      <w:tr>
        <w:trPr>
          <w:trHeight w:val="1428"/>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5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47.701.500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43.401.356 </w:t>
            </w:r>
            <w:r>
              <w:rPr>
                <w:color w:val="000000" w:themeColor="text1"/>
              </w:rPr>
            </w:r>
            <w:r>
              <w:rPr>
                <w:color w:val="000000" w:themeColor="text1"/>
              </w:rPr>
            </w:r>
          </w:p>
        </w:tc>
      </w:tr>
      <w:tr>
        <w:trPr>
          <w:trHeight w:val="61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5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ở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347,0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162,0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-2.168.250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-6.076.190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45.533.250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37.325.166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5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11,7+ vỉa hè mỗi bên 8m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6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92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45.533.250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37.325.166 </w:t>
            </w:r>
            <w:r>
              <w:rPr>
                <w:color w:val="000000" w:themeColor="text1"/>
              </w:rPr>
            </w:r>
            <w:r>
              <w:rPr>
                <w:color w:val="000000" w:themeColor="text1"/>
              </w:rPr>
            </w:r>
          </w:p>
        </w:tc>
      </w:tr>
      <w:tr>
        <w:trPr>
          <w:trHeight w:val="141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5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 mặt (mặt bên cạnh tiếp giáp đường rộng khoảng 3m)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Lô góc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Lô góc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 mặt tiền trước sau (mặt sau rộng khoảng 7,5m)</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-1.300.950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-1.092.000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-1.302.041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44.232.300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38.948.000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36.023.125 </w:t>
            </w:r>
            <w:r>
              <w:rPr>
                <w:color w:val="000000" w:themeColor="text1"/>
              </w:rPr>
            </w:r>
            <w:r>
              <w:rPr>
                <w:color w:val="000000" w:themeColor="text1"/>
              </w:rPr>
            </w:r>
          </w:p>
        </w:tc>
      </w:tr>
      <w:tr>
        <w:trPr>
          <w:trHeight w:val="960"/>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5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 hơi thóp hậu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44.232.300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38.948.000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36.023.125 </w:t>
            </w:r>
            <w:r>
              <w:rPr>
                <w:color w:val="000000" w:themeColor="text1"/>
              </w:rPr>
            </w:r>
            <w:r>
              <w:rPr>
                <w:color w:val="000000" w:themeColor="text1"/>
              </w:rPr>
            </w:r>
          </w:p>
        </w:tc>
      </w:tr>
      <w:tr>
        <w:trPr>
          <w:trHeight w:val="85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5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Bất lợi thương mại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cột điện trước mặt tiền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Bình thường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Bình thường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Bình thường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-1.300.950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-1.092.000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-1.302.041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42.931.350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37.856.000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34.721.084 </w:t>
            </w:r>
            <w:r>
              <w:rPr>
                <w:color w:val="000000" w:themeColor="text1"/>
              </w:rPr>
            </w:r>
            <w:r>
              <w:rPr>
                <w:color w:val="000000" w:themeColor="text1"/>
              </w:rPr>
            </w:r>
          </w:p>
        </w:tc>
      </w:tr>
      <w:tr>
        <w:trPr>
          <w:trHeight w:val="1224"/>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5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đô thị, khu phân lô/tái định cư</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đô thị, khu phân lô/tái định cư</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r>
              <w:rPr>
                <w:color w:val="000000" w:themeColor="text1"/>
              </w:rPr>
            </w:r>
          </w:p>
        </w:tc>
      </w:tr>
      <w:tr>
        <w:trPr>
          <w:trHeight w:val="9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9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9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42.931.350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37.856.000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34.721.084 </w:t>
            </w:r>
            <w:r>
              <w:rPr>
                <w:color w:val="000000" w:themeColor="text1"/>
              </w:rPr>
            </w:r>
            <w:r>
              <w:rPr>
                <w:color w:val="000000" w:themeColor="text1"/>
              </w:rPr>
            </w:r>
          </w:p>
        </w:tc>
      </w:tr>
      <w:tr>
        <w:trPr>
          <w:trHeight w:val="93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5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môi trường an ninh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2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0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42.931.350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37.856.000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34.721.084 </w:t>
            </w:r>
            <w:r>
              <w:rPr>
                <w:color w:val="000000" w:themeColor="text1"/>
              </w:rPr>
            </w:r>
            <w:r>
              <w:rPr>
                <w:color w:val="000000" w:themeColor="text1"/>
              </w:rPr>
            </w:r>
          </w:p>
        </w:tc>
      </w:tr>
      <w:tr>
        <w:trPr>
          <w:trHeight w:val="43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42.931.350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37.856.000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34.721.084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15" w:type="dxa"/>
              <w:top w:w="15" w:type="dxa"/>
              <w:right w:w="15" w:type="dxa"/>
              <w:bottom w:w="0" w:type="dxa"/>
            </w:tcMar>
            <w:tcW w:w="62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38.502.811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F</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cho tài sản thẩm định (làm tròn)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15" w:type="dxa"/>
              <w:top w:w="15" w:type="dxa"/>
              <w:right w:w="15" w:type="dxa"/>
              <w:bottom w:w="0" w:type="dxa"/>
            </w:tcMar>
            <w:tcW w:w="62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38.500.000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w:t>
            </w:r>
            <w:r>
              <w:rPr>
                <w:color w:val="000000" w:themeColor="text1"/>
              </w:rPr>
            </w:r>
            <w:r>
              <w:rPr>
                <w:color w:val="000000" w:themeColor="text1"/>
              </w:rPr>
            </w:r>
          </w:p>
        </w:tc>
      </w:tr>
      <w:tr>
        <w:trPr>
          <w:trHeight w:val="39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top w:val="single" w:color="000000" w:sz="5" w:space="0"/>
              <w:bottom w:val="single" w:color="000000" w:sz="5" w:space="0"/>
              <w:right w:val="single" w:color="000000" w:sz="4" w:space="0"/>
            </w:tcBorders>
            <w:tcMar>
              <w:left w:w="15" w:type="dxa"/>
              <w:top w:w="15" w:type="dxa"/>
              <w:right w:w="15" w:type="dxa"/>
              <w:bottom w:w="0" w:type="dxa"/>
            </w:tcMar>
            <w:tcW w:w="887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9.106.650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5.824.000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8.680.271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75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88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(433.650)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1.456.000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(8.680.271)</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-9,8</w:t>
      </w:r>
      <w:r>
        <w:t xml:space="preserve">% đến</w:t>
      </w:r>
      <w:r>
        <w:t xml:space="preserve"> </w:t>
      </w:r>
      <w:r>
        <w:t xml:space="preserve"> </w:t>
      </w:r>
      <w:r>
        <w:t xml:space="preserve">11,5%,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4"/>
              </w:rPr>
              <w:t xml:space="preserve">TT</w:t>
            </w:r>
            <w:r>
              <w:rPr>
                <w:color w:val="auto"/>
              </w:rPr>
            </w:r>
            <w:r>
              <w:rPr>
                <w:color w:val="auto"/>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4"/>
              </w:rPr>
              <w:t xml:space="preserve">Tài sản</w:t>
            </w:r>
            <w:r>
              <w:rPr>
                <w:color w:val="auto"/>
              </w:rPr>
            </w:r>
            <w:r>
              <w:rPr>
                <w:color w:val="auto"/>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4"/>
              </w:rPr>
              <w:t xml:space="preserve">Mức giá chỉ dẫn của các TSSS</w:t>
            </w:r>
            <w:r>
              <w:rPr>
                <w:color w:val="auto"/>
              </w:rPr>
            </w:r>
            <w:r>
              <w:rPr>
                <w:color w:val="auto"/>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4"/>
              </w:rPr>
              <w:t xml:space="preserve">Trọng số của các TSSS sau điều chỉnh</w:t>
            </w:r>
            <w:r>
              <w:rPr>
                <w:color w:val="auto"/>
              </w:rPr>
            </w:r>
            <w:r>
              <w:rPr>
                <w:color w:val="auto"/>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4"/>
              </w:rPr>
              <w:t xml:space="preserve">Giá trị trung bình của mức giá chỉ dẫn sau điều chỉnh</w:t>
            </w:r>
            <w:r>
              <w:rPr>
                <w:color w:val="auto"/>
              </w:rPr>
            </w:r>
            <w:r>
              <w:rPr>
                <w:color w:val="auto"/>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1</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auto"/>
              </w:rPr>
            </w:pPr>
            <w:r>
              <w:rPr>
                <w:rFonts w:ascii="Times New Roman" w:hAnsi="Times New Roman" w:eastAsia="Times New Roman" w:cs="Times New Roman"/>
                <w:color w:val="auto"/>
                <w:sz w:val="24"/>
              </w:rPr>
              <w:t xml:space="preserve">Tài sản so sánh 1</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auto"/>
              </w:rPr>
            </w:pPr>
            <w:r>
              <w:rPr>
                <w:rFonts w:ascii="Times New Roman" w:hAnsi="Times New Roman" w:eastAsia="Times New Roman" w:cs="Times New Roman"/>
                <w:color w:val="auto"/>
                <w:sz w:val="24"/>
              </w:rPr>
              <w:t xml:space="preserve">42.931.350 </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33,33%</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            14.310.450 </w:t>
            </w:r>
            <w:r>
              <w:rPr>
                <w:color w:val="auto"/>
              </w:rPr>
            </w:r>
            <w:r>
              <w:rPr>
                <w:color w:val="auto"/>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2</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auto"/>
              </w:rPr>
            </w:pPr>
            <w:r>
              <w:rPr>
                <w:rFonts w:ascii="Times New Roman" w:hAnsi="Times New Roman" w:eastAsia="Times New Roman" w:cs="Times New Roman"/>
                <w:color w:val="auto"/>
                <w:sz w:val="24"/>
              </w:rPr>
              <w:t xml:space="preserve">Tài sản so sánh 2</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auto"/>
              </w:rPr>
            </w:pPr>
            <w:r>
              <w:rPr>
                <w:rFonts w:ascii="Times New Roman" w:hAnsi="Times New Roman" w:eastAsia="Times New Roman" w:cs="Times New Roman"/>
                <w:color w:val="auto"/>
                <w:sz w:val="24"/>
              </w:rPr>
              <w:t xml:space="preserve">37.856.000 </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33,33%</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            12.618.667 </w:t>
            </w:r>
            <w:r>
              <w:rPr>
                <w:color w:val="auto"/>
              </w:rPr>
            </w:r>
            <w:r>
              <w:rPr>
                <w:color w:val="auto"/>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3</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auto"/>
              </w:rPr>
            </w:pPr>
            <w:r>
              <w:rPr>
                <w:rFonts w:ascii="Times New Roman" w:hAnsi="Times New Roman" w:eastAsia="Times New Roman" w:cs="Times New Roman"/>
                <w:color w:val="auto"/>
                <w:sz w:val="24"/>
              </w:rPr>
              <w:t xml:space="preserve">Tài sản so sánh 3</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auto"/>
              </w:rPr>
            </w:pPr>
            <w:r>
              <w:rPr>
                <w:rFonts w:ascii="Times New Roman" w:hAnsi="Times New Roman" w:eastAsia="Times New Roman" w:cs="Times New Roman"/>
                <w:color w:val="auto"/>
                <w:sz w:val="24"/>
              </w:rPr>
              <w:t xml:space="preserve">34.721.084 </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33,33%</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            11.573.695 </w:t>
            </w:r>
            <w:r>
              <w:rPr>
                <w:color w:val="auto"/>
              </w:rPr>
            </w:r>
            <w:r>
              <w:rPr>
                <w:color w:val="auto"/>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4"/>
              </w:rPr>
              <w:t xml:space="preserve">Giá trị bình quân theo trọng số</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4"/>
              </w:rPr>
              <w:t xml:space="preserve">            38.502.811 </w:t>
            </w:r>
            <w:r>
              <w:rPr>
                <w:color w:val="auto"/>
              </w:rPr>
            </w:r>
            <w:r>
              <w:rPr>
                <w:color w:val="auto"/>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4"/>
              </w:rPr>
              <w:t xml:space="preserve">Làm tròn</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4"/>
              </w:rPr>
              <w:t xml:space="preserve">            38.500.000 </w:t>
            </w:r>
            <w:r>
              <w:rPr>
                <w:color w:val="auto"/>
              </w:rPr>
            </w:r>
            <w:r>
              <w:rPr>
                <w:color w:val="auto"/>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38.500.000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bCs/>
        </w:rPr>
      </w:pPr>
      <w:r>
        <w:rPr>
          <w:b/>
          <w:bCs/>
        </w:rPr>
        <w:t xml:space="preserve">Xác định gi</w:t>
      </w:r>
      <w:r>
        <w:rPr>
          <w:b/>
          <w:bCs/>
        </w:rPr>
        <w:t xml:space="preserve">á trị tài sản gắn liền với đất</w:t>
      </w:r>
      <w:r>
        <w:rPr>
          <w:b/>
          <w:bCs/>
        </w:rPr>
        <w:t xml:space="preserve">: </w:t>
      </w:r>
      <w:r>
        <w:rPr>
          <w:b/>
          <w:bCs/>
          <w:i/>
          <w:iCs/>
        </w:rPr>
        <w:t xml:space="preserve">Nhà 3 tầng </w:t>
      </w:r>
      <w:r>
        <w:rPr>
          <w:b/>
          <w:bCs/>
        </w:rPr>
      </w:r>
      <w:r>
        <w:rPr>
          <w:b/>
          <w:bCs/>
        </w:rP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xây mới của công trình xây dựng trên đất:</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3 tầng, cân nhắc và xem xét với mức độ hoàn thiện của công trình xây dựng hiện có, Tổ thẩm định nhận thấy đơn giá vận dụng theo Quyết định số 425/QĐ-BXD ngày30/3/2026 của Bộ Xây dựng</w:t>
      </w:r>
      <w:r>
        <w:rPr>
          <w:rFonts w:ascii="Times New Roman" w:hAnsi="Times New Roman" w:eastAsia="Times New Roman" w:cs="Times New Roman"/>
          <w:color w:val="000000"/>
          <w:sz w:val="24"/>
        </w:rPr>
        <w:t xml:space="preserve"> về việc Công bố suất vốn đầu tư xây dựng công trình và giá xây dựng tổng hợp bộ phận kết cấu công trình năm 2025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highlight w:val="white"/>
        </w:rPr>
      </w:pPr>
      <w:r>
        <w:rPr>
          <w:rFonts w:ascii="Times New Roman" w:hAnsi="Times New Roman" w:eastAsia="Times New Roman" w:cs="Times New Roman"/>
          <w:i/>
          <w:color w:val="000000"/>
          <w:spacing w:val="3"/>
          <w:sz w:val="24"/>
          <w:highlight w:val="white"/>
        </w:rPr>
        <w:t xml:space="preserve">“Suất vốn đầu tư Nhà từ 2 đến 3 tầng, kết cấu khung chịu lực BTCT; tường bao xây gạch; sàn, mái BTCT đổ tại chỗ, không có tầng h</w:t>
      </w:r>
      <w:r>
        <w:rPr>
          <w:rFonts w:ascii="Times New Roman" w:hAnsi="Times New Roman" w:eastAsia="Times New Roman" w:cs="Times New Roman"/>
          <w:i/>
          <w:color w:val="000000"/>
          <w:spacing w:val="3"/>
          <w:sz w:val="24"/>
          <w:highlight w:val="white"/>
        </w:rPr>
        <w:t xml:space="preserve">ầm, có đơn giá đã bao gồm VAT là:</w:t>
      </w:r>
      <w:r>
        <w:rPr>
          <w:rFonts w:ascii="Times New Roman" w:hAnsi="Times New Roman" w:eastAsia="Times New Roman" w:cs="Times New Roman"/>
          <w:b/>
          <w:i/>
          <w:color w:val="000000"/>
          <w:sz w:val="24"/>
          <w:highlight w:val="white"/>
        </w:rPr>
        <w:t xml:space="preserve">8.370.000 </w:t>
      </w:r>
      <w:r>
        <w:rPr>
          <w:rFonts w:ascii="Times New Roman" w:hAnsi="Times New Roman" w:eastAsia="Times New Roman" w:cs="Times New Roman"/>
          <w:i/>
          <w:color w:val="000000"/>
          <w:spacing w:val="3"/>
          <w:sz w:val="24"/>
          <w:highlight w:val="white"/>
        </w:rPr>
        <w:t xml:space="preserve">đồng/m².</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w:t>
      </w:r>
      <w:r>
        <w:rPr>
          <w:rFonts w:ascii="Times New Roman" w:hAnsi="Times New Roman" w:eastAsia="Times New Roman" w:cs="Times New Roman"/>
          <w:i/>
          <w:color w:val="000000"/>
          <w:sz w:val="24"/>
          <w:highlight w:val="white"/>
        </w:rPr>
        <w:t xml:space="preserve">Tỉnh Quảng Ninh</w:t>
      </w:r>
      <w:r>
        <w:rPr>
          <w:rFonts w:ascii="Times New Roman" w:hAnsi="Times New Roman" w:eastAsia="Times New Roman" w:cs="Times New Roman"/>
          <w:i/>
          <w:color w:val="000000"/>
          <w:sz w:val="24"/>
          <w:highlight w:val="white"/>
        </w:rPr>
        <w:t xml:space="preserve"> thuộc vùng 2 có hệ số điều chỉnh là 0,948.”</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
          <w:bCs/>
          <w:i/>
          <w:color w:val="000000"/>
          <w:spacing w:val="3"/>
          <w:sz w:val="24"/>
          <w:szCs w:val="24"/>
          <w:highlight w:val="none"/>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sz w:val="24"/>
        </w:rPr>
        <w:t xml:space="preserve">8.370.000 </w:t>
      </w:r>
      <w:r>
        <w:rPr>
          <w:rFonts w:ascii="Times New Roman" w:hAnsi="Times New Roman" w:eastAsia="Times New Roman" w:cs="Times New Roman"/>
          <w:b/>
          <w:bCs/>
          <w:i/>
          <w:color w:val="000000"/>
          <w:spacing w:val="3"/>
          <w:sz w:val="24"/>
          <w:highlight w:val="white"/>
        </w:rPr>
        <w:t xml:space="preserve">x0,948 </w:t>
      </w:r>
      <w:r>
        <w:rPr>
          <w:rFonts w:ascii="Times New Roman" w:hAnsi="Times New Roman" w:eastAsia="Times New Roman" w:cs="Times New Roman"/>
          <w:i/>
          <w:color w:val="000000"/>
          <w:spacing w:val="3"/>
          <w:sz w:val="24"/>
          <w:highlight w:val="white"/>
        </w:rPr>
        <w:t xml:space="preserve">=</w:t>
      </w:r>
      <w:r>
        <w:rPr>
          <w:rFonts w:ascii="Times New Roman" w:hAnsi="Times New Roman" w:eastAsia="Times New Roman" w:cs="Times New Roman"/>
          <w:b/>
          <w:i/>
          <w:color w:val="000000"/>
          <w:spacing w:val="3"/>
          <w:sz w:val="24"/>
          <w:highlight w:val="white"/>
        </w:rPr>
        <w:t xml:space="preserve"> 7.934.760 đồng/m².</w:t>
      </w:r>
      <w:r>
        <w:rPr>
          <w:rFonts w:ascii="Times New Roman" w:hAnsi="Times New Roman" w:eastAsia="Times New Roman" w:cs="Times New Roman"/>
          <w:b/>
          <w:bCs/>
          <w:i/>
          <w:color w:val="000000"/>
          <w:spacing w:val="3"/>
          <w:sz w:val="24"/>
          <w:szCs w:val="24"/>
          <w:highlight w:val="none"/>
        </w:rPr>
      </w:r>
      <w:r>
        <w:rPr>
          <w:rFonts w:ascii="Times New Roman" w:hAnsi="Times New Roman" w:eastAsia="Times New Roman" w:cs="Times New Roman"/>
          <w:b/>
          <w:bCs/>
          <w:i/>
          <w:color w:val="000000"/>
          <w:spacing w:val="3"/>
          <w:sz w:val="24"/>
          <w:szCs w:val="24"/>
          <w:highlight w:val="non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    Xác định giá trị hao mòn theo phương pháp tổng cộng:</w:t>
      </w:r>
      <w:r/>
    </w:p>
    <w:p>
      <w:pPr>
        <w:pBdr>
          <w:top w:val="none" w:color="000000" w:sz="4" w:space="0"/>
          <w:left w:val="none" w:color="000000" w:sz="4" w:space="0"/>
          <w:bottom w:val="none" w:color="000000" w:sz="4" w:space="0"/>
          <w:right w:val="none" w:color="000000" w:sz="4" w:space="0"/>
        </w:pBdr>
        <w:spacing w:after="120" w:before="120" w:line="276" w:lineRule="auto"/>
        <w:ind w:right="0" w:firstLine="450" w:left="0"/>
        <w:jc w:val="both"/>
        <w:rPr/>
      </w:pPr>
      <w:r>
        <w:rPr>
          <w:rFonts w:ascii="Times New Roman" w:hAnsi="Times New Roman" w:eastAsia="Times New Roman" w:cs="Times New Roman"/>
          <w:b/>
          <w:i/>
          <w:color w:val="000000"/>
          <w:sz w:val="24"/>
        </w:rPr>
        <w:t xml:space="preserve">Tổng giá trị hao mòn của tài sản được xác định thông qua tổng giá trị các loại hao mòn vật lý, chức năng và ngoại biên của tài sản:</w:t>
      </w:r>
      <w:r/>
    </w:p>
    <w:p>
      <w:pPr>
        <w:pBdr>
          <w:top w:val="none" w:color="000000" w:sz="4" w:space="0"/>
          <w:left w:val="none" w:color="000000" w:sz="4" w:space="0"/>
          <w:bottom w:val="none" w:color="000000" w:sz="4" w:space="0"/>
          <w:right w:val="none" w:color="000000" w:sz="4" w:space="0"/>
        </w:pBdr>
        <w:spacing w:after="120" w:before="120" w:line="276" w:lineRule="auto"/>
        <w:ind w:right="0" w:firstLine="498" w:left="-72"/>
        <w:jc w:val="both"/>
        <w:rPr/>
      </w:pPr>
      <w:r>
        <w:rPr>
          <w:rFonts w:ascii="Times New Roman" w:hAnsi="Times New Roman" w:eastAsia="Times New Roman" w:cs="Times New Roman"/>
          <w:color w:val="000000"/>
          <w:sz w:val="24"/>
        </w:rPr>
        <w:t xml:space="preserve">+ Hao mòn chức năng và hao mòn ngoại biên: Công trình xây dựng hiện đang sử dụng bình thường, đáp ứng đầy đủ về công năng sử dụng =&gt; hao mòn chức năng và hao mòn ngoại biên là không đáng kể.</w:t>
        <w:tab/>
        <w:tab/>
        <w:tab/>
        <w:tab/>
        <w:tab/>
        <w:tab/>
        <w:tab/>
        <w:tab/>
        <w:tab/>
      </w:r>
      <w:r/>
    </w:p>
    <w:p>
      <w:pPr>
        <w:pBdr>
          <w:top w:val="none" w:color="000000" w:sz="4" w:space="0"/>
          <w:left w:val="none" w:color="000000" w:sz="4" w:space="0"/>
          <w:bottom w:val="none" w:color="000000" w:sz="4" w:space="0"/>
          <w:right w:val="none" w:color="000000" w:sz="4" w:space="0"/>
        </w:pBdr>
        <w:spacing w:after="120" w:before="120" w:line="276" w:lineRule="auto"/>
        <w:ind w:right="0" w:firstLine="498" w:left="-72"/>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 Hao mòn vật lý: Xác định tỷ lệ hao mòn vật lý căn cứ vào đánh giá mức độ hao mòn các kết cấu chính của tài sản.</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w:t>
      </w:r>
      <w:r>
        <w:rPr>
          <w:rFonts w:ascii="Times New Roman" w:hAnsi="Times New Roman" w:eastAsia="Times New Roman" w:cs="Times New Roman"/>
          <w:color w:val="000000"/>
          <w:sz w:val="24"/>
        </w:rPr>
        <w:t xml:space="preserve">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n</w:t>
      </w:r>
      <w:r>
        <w:rPr>
          <w:rFonts w:ascii="Times New Roman" w:hAnsi="Times New Roman" w:eastAsia="Times New Roman" w:cs="Times New Roman"/>
          <w:color w:val="000000"/>
          <w:sz w:val="24"/>
        </w:rPr>
        <w:t xml:space="preserve">ền, sàn, kết cấu đỡ mái và mái) tạo nên nhà đó và tỷ lệ giá trị của các kết cấu chính đó so với tổng giá trị của nhà hoặc vật kiến trúc.</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80"/>
        <w:gridCol w:w="690"/>
        <w:gridCol w:w="870"/>
        <w:gridCol w:w="3570"/>
        <w:gridCol w:w="795"/>
        <w:gridCol w:w="3075"/>
      </w:tblGrid>
      <w:tr>
        <w:trPr/>
        <w:tc>
          <w:tcPr>
            <w:tcBorders/>
            <w:tcMar>
              <w:left w:w="15" w:type="dxa"/>
              <w:top w:w="15" w:type="dxa"/>
              <w:right w:w="15" w:type="dxa"/>
              <w:bottom w:w="15" w:type="dxa"/>
            </w:tcMar>
            <w:tcW w:w="258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5" w:type="dxa"/>
              <w:top w:w="15" w:type="dxa"/>
              <w:right w:w="15" w:type="dxa"/>
              <w:bottom w:w="15" w:type="dxa"/>
            </w:tcMar>
            <w:tcW w:w="69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5" w:type="dxa"/>
              <w:top w:w="15" w:type="dxa"/>
              <w:right w:w="15" w:type="dxa"/>
              <w:bottom w:w="15" w:type="dxa"/>
            </w:tcMar>
            <w:tcW w:w="8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5" w:type="dxa"/>
              <w:top w:w="15" w:type="dxa"/>
              <w:right w:w="15" w:type="dxa"/>
              <w:bottom w:w="15" w:type="dxa"/>
            </w:tcMar>
            <w:tcW w:w="35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tcMar>
              <w:left w:w="15" w:type="dxa"/>
              <w:top w:w="15" w:type="dxa"/>
              <w:right w:w="15" w:type="dxa"/>
              <w:bottom w:w="15" w:type="dxa"/>
            </w:tcMar>
            <w:tcW w:w="7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x</w:t>
            </w:r>
            <w:r/>
          </w:p>
        </w:tc>
        <w:tc>
          <w:tcPr>
            <w:tcBorders/>
            <w:tcMar>
              <w:left w:w="15" w:type="dxa"/>
              <w:top w:w="15" w:type="dxa"/>
              <w:right w:w="15" w:type="dxa"/>
              <w:bottom w:w="15" w:type="dxa"/>
            </w:tcMar>
            <w:tcW w:w="307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5" w:type="dxa"/>
              <w:top w:w="15" w:type="dxa"/>
              <w:right w:w="15" w:type="dxa"/>
              <w:bottom w:w="15" w:type="dxa"/>
            </w:tcMar>
            <w:tcW w:w="83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n: số các kết cấu chính.</w:t>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693"/>
        <w:gridCol w:w="2268"/>
        <w:gridCol w:w="1984"/>
        <w:gridCol w:w="1702"/>
      </w:tblGrid>
      <w:tr>
        <w:trPr>
          <w:trHeight w:val="93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2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bottom w:val="single" w:color="000000" w:sz="5" w:space="0"/>
              <w:right w:val="single" w:color="000000" w:sz="5" w:space="0"/>
            </w:tcBorders>
            <w:tcMar>
              <w:left w:w="0" w:type="dxa"/>
              <w:top w:w="0" w:type="dxa"/>
              <w:right w:w="0" w:type="dxa"/>
              <w:bottom w:w="0" w:type="dxa"/>
            </w:tcMar>
            <w:tcW w:w="2693"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5" w:space="0"/>
              <w:right w:val="single" w:color="000000" w:sz="5"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2693"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5" w:space="0"/>
              <w:right w:val="single" w:color="000000" w:sz="5"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9%</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w:t>
            </w:r>
            <w:r/>
          </w:p>
        </w:tc>
        <w:tc>
          <w:tcPr>
            <w:tcBorders>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2693"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5" w:space="0"/>
              <w:right w:val="single" w:color="000000" w:sz="5"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2693"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5" w:space="0"/>
              <w:right w:val="single" w:color="000000" w:sz="5"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w:t>
            </w:r>
            <w:r/>
          </w:p>
        </w:tc>
        <w:tc>
          <w:tcPr>
            <w:tcBorders>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bottom w:val="single" w:color="000000" w:sz="5" w:space="0"/>
              <w:right w:val="single" w:color="000000" w:sz="5" w:space="0"/>
            </w:tcBorders>
            <w:tcMar>
              <w:left w:w="0" w:type="dxa"/>
              <w:top w:w="0" w:type="dxa"/>
              <w:right w:w="0" w:type="dxa"/>
              <w:bottom w:w="0" w:type="dxa"/>
            </w:tcMar>
            <w:tcW w:w="2693"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5" w:space="0"/>
              <w:right w:val="single" w:color="000000" w:sz="5"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13%</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w:t>
            </w:r>
            <w:r/>
          </w:p>
        </w:tc>
        <w:tc>
          <w:tcPr>
            <w:tcBorders>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19%</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5" w:space="0"/>
              <w:right w:val="single" w:color="000000" w:sz="5" w:space="0"/>
            </w:tcBorders>
            <w:tcMar>
              <w:left w:w="0" w:type="dxa"/>
              <w:top w:w="0" w:type="dxa"/>
              <w:right w:w="0" w:type="dxa"/>
              <w:bottom w:w="0" w:type="dxa"/>
            </w:tcMar>
            <w:tcW w:w="2693"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5" w:space="0"/>
              <w:right w:val="single" w:color="000000" w:sz="5"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tcBorders>
              <w:bottom w:val="single" w:color="000000" w:sz="5" w:space="0"/>
              <w:right w:val="single" w:color="000000" w:sz="5" w:space="0"/>
            </w:tcBorders>
            <w:tcMar>
              <w:left w:w="0" w:type="dxa"/>
              <w:top w:w="0" w:type="dxa"/>
              <w:right w:w="0" w:type="dxa"/>
              <w:bottom w:w="0" w:type="dxa"/>
            </w:tcMar>
            <w:tcW w:w="2693"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5" w:space="0"/>
              <w:right w:val="single" w:color="000000" w:sz="5"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w:t>
            </w:r>
            <w:r/>
          </w:p>
        </w:tc>
        <w:tc>
          <w:tcPr>
            <w:tcBorders>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 (g)</w:t>
            </w:r>
            <w:r/>
          </w:p>
        </w:tc>
        <w:tc>
          <w:tcPr>
            <w:tcBorders>
              <w:bottom w:val="single" w:color="000000" w:sz="5" w:space="0"/>
              <w:right w:val="single" w:color="000000" w:sz="5"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56%</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5" w:space="0"/>
              <w:right w:val="single" w:color="000000" w:sz="5"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80%</w:t>
            </w:r>
            <w:r/>
          </w:p>
        </w:tc>
      </w:tr>
    </w:tbl>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80%.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Do đó, tỷ lệ hao mòn của công trình là 100% - 80%=20%</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9"/>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729"/>
        <w:gridCol w:w="1134"/>
        <w:gridCol w:w="1134"/>
        <w:gridCol w:w="1559"/>
        <w:gridCol w:w="855"/>
        <w:gridCol w:w="1412"/>
        <w:gridCol w:w="1702"/>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Tài sản</w:t>
            </w:r>
            <w:r>
              <w:rPr>
                <w:b w:val="0"/>
                <w:bCs w:val="0"/>
                <w:sz w:val="22"/>
                <w:szCs w:val="22"/>
              </w:rPr>
            </w:r>
            <w:r>
              <w:rPr>
                <w:b w:val="0"/>
                <w:bCs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Diện tích sàn</w:t>
              <w:br/>
              <w:t xml:space="preserve">  (m²)</w:t>
            </w:r>
            <w:r>
              <w:rPr>
                <w:b w:val="0"/>
                <w:bCs w:val="0"/>
                <w:sz w:val="22"/>
                <w:szCs w:val="22"/>
              </w:rPr>
            </w:r>
            <w:r>
              <w:rPr>
                <w:b w:val="0"/>
                <w:bCs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Đơn giá xây dựng mới (đồng/m²)</w:t>
            </w:r>
            <w:r>
              <w:rPr>
                <w:b w:val="0"/>
                <w:bCs w:val="0"/>
                <w:sz w:val="22"/>
                <w:szCs w:val="22"/>
              </w:rPr>
            </w:r>
            <w:r>
              <w:rPr>
                <w:b w:val="0"/>
                <w:bCs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Chi phí thay thế (đồng)</w:t>
            </w:r>
            <w:r>
              <w:rPr>
                <w:b w:val="0"/>
                <w:bCs w:val="0"/>
                <w:sz w:val="22"/>
                <w:szCs w:val="22"/>
              </w:rPr>
            </w:r>
            <w:r>
              <w:rPr>
                <w:b w:val="0"/>
                <w:bCs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Tỷ lệ hao mòn </w:t>
            </w:r>
            <w:r>
              <w:rPr>
                <w:b w:val="0"/>
                <w:bCs w:val="0"/>
                <w:sz w:val="22"/>
                <w:szCs w:val="22"/>
              </w:rPr>
            </w:r>
            <w:r>
              <w:rPr>
                <w:b w:val="0"/>
                <w:bCs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Gía trị hao mòn </w:t>
            </w:r>
            <w:r>
              <w:rPr>
                <w:b w:val="0"/>
                <w:bCs w:val="0"/>
                <w:sz w:val="22"/>
                <w:szCs w:val="22"/>
              </w:rPr>
            </w:r>
            <w:r>
              <w:rPr>
                <w:b w:val="0"/>
                <w:bCs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Giá trị thẩm định tại thời điểm thẩm định giá (đồng)</w:t>
            </w:r>
            <w:r>
              <w:rPr>
                <w:b w:val="0"/>
                <w:bCs w:val="0"/>
                <w:sz w:val="22"/>
                <w:szCs w:val="22"/>
              </w:rPr>
            </w:r>
            <w:r>
              <w:rPr>
                <w:b w:val="0"/>
                <w:bCs w:val="0"/>
                <w:sz w:val="22"/>
                <w:szCs w:val="22"/>
              </w:rPr>
            </w:r>
          </w:p>
        </w:tc>
      </w:tr>
      <w:tr>
        <w:trPr>
          <w:trHeight w:val="331"/>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(A)</w:t>
            </w:r>
            <w:r>
              <w:rPr>
                <w:b w:val="0"/>
                <w:bCs w:val="0"/>
                <w:sz w:val="22"/>
                <w:szCs w:val="22"/>
              </w:rPr>
            </w:r>
            <w:r>
              <w:rPr>
                <w:b w:val="0"/>
                <w:bCs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1</w:t>
            </w:r>
            <w:r>
              <w:rPr>
                <w:b w:val="0"/>
                <w:bCs w:val="0"/>
                <w:sz w:val="22"/>
                <w:szCs w:val="22"/>
              </w:rPr>
            </w:r>
            <w:r>
              <w:rPr>
                <w:b w:val="0"/>
                <w:bCs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2</w:t>
            </w:r>
            <w:r>
              <w:rPr>
                <w:b w:val="0"/>
                <w:bCs w:val="0"/>
                <w:sz w:val="22"/>
                <w:szCs w:val="22"/>
              </w:rPr>
            </w:r>
            <w:r>
              <w:rPr>
                <w:b w:val="0"/>
                <w:bCs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(3) = (2) * (1)</w:t>
            </w:r>
            <w:r>
              <w:rPr>
                <w:b w:val="0"/>
                <w:bCs w:val="0"/>
                <w:sz w:val="22"/>
                <w:szCs w:val="22"/>
              </w:rPr>
            </w:r>
            <w:r>
              <w:rPr>
                <w:b w:val="0"/>
                <w:bCs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(4)</w:t>
            </w:r>
            <w:r>
              <w:rPr>
                <w:b w:val="0"/>
                <w:bCs w:val="0"/>
                <w:sz w:val="22"/>
                <w:szCs w:val="22"/>
              </w:rPr>
            </w:r>
            <w:r>
              <w:rPr>
                <w:b w:val="0"/>
                <w:bCs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(5)= (3)*(4)</w:t>
            </w:r>
            <w:r>
              <w:rPr>
                <w:b w:val="0"/>
                <w:bCs w:val="0"/>
                <w:sz w:val="22"/>
                <w:szCs w:val="22"/>
              </w:rPr>
            </w:r>
            <w:r>
              <w:rPr>
                <w:b w:val="0"/>
                <w:bCs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(6) = (3) - (5)</w:t>
            </w:r>
            <w:r>
              <w:rPr>
                <w:b w:val="0"/>
                <w:bCs w:val="0"/>
                <w:sz w:val="22"/>
                <w:szCs w:val="22"/>
              </w:rPr>
            </w:r>
            <w:r>
              <w:rPr>
                <w:b w:val="0"/>
                <w:bCs w:val="0"/>
                <w:sz w:val="22"/>
                <w:szCs w:val="22"/>
              </w:rPr>
            </w:r>
          </w:p>
        </w:tc>
      </w:tr>
      <w:tr>
        <w:trPr>
          <w:trHeight w:val="300"/>
        </w:trPr>
        <w:tc>
          <w:tcPr>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Nhà 3 tầng </w:t>
            </w:r>
            <w:r>
              <w:rPr>
                <w:b w:val="0"/>
                <w:bCs w:val="0"/>
                <w:sz w:val="22"/>
                <w:szCs w:val="22"/>
              </w:rPr>
            </w:r>
            <w:r>
              <w:rPr>
                <w:b w:val="0"/>
                <w:bCs w:val="0"/>
                <w:sz w:val="22"/>
                <w:szCs w:val="22"/>
              </w:rP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left"/>
              <w:rPr>
                <w:b w:val="0"/>
                <w:bCs w:val="0"/>
                <w:sz w:val="22"/>
                <w:szCs w:val="22"/>
              </w:rPr>
            </w:pPr>
            <w:r>
              <w:rPr>
                <w:rFonts w:ascii="Times New Roman" w:hAnsi="Times New Roman" w:eastAsia="Times New Roman" w:cs="Times New Roman"/>
                <w:b w:val="0"/>
                <w:bCs w:val="0"/>
                <w:color w:val="000000"/>
                <w:sz w:val="22"/>
                <w:szCs w:val="22"/>
              </w:rPr>
              <w:t xml:space="preserve">       360</w:t>
            </w:r>
            <w:r>
              <w:rPr>
                <w:b w:val="0"/>
                <w:bCs w:val="0"/>
                <w:sz w:val="22"/>
                <w:szCs w:val="22"/>
              </w:rPr>
            </w:r>
            <w:r>
              <w:rPr>
                <w:b w:val="0"/>
                <w:bCs w:val="0"/>
                <w:sz w:val="22"/>
                <w:szCs w:val="22"/>
              </w:rP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r>
            <w:r>
              <w:rPr>
                <w:rFonts w:ascii="Times New Roman" w:hAnsi="Times New Roman" w:eastAsia="Times New Roman" w:cs="Times New Roman"/>
                <w:b w:val="0"/>
                <w:bCs w:val="0"/>
                <w:i/>
                <w:color w:val="000000"/>
                <w:spacing w:val="3"/>
                <w:sz w:val="22"/>
                <w:szCs w:val="22"/>
                <w:highlight w:val="white"/>
              </w:rPr>
              <w:t xml:space="preserve">7.934.760</w:t>
            </w:r>
            <w:r>
              <w:rPr>
                <w:b w:val="0"/>
                <w:bCs w:val="0"/>
                <w:sz w:val="22"/>
                <w:szCs w:val="22"/>
              </w:rPr>
            </w:r>
            <w:r>
              <w:rPr>
                <w:b w:val="0"/>
                <w:bCs w:val="0"/>
                <w:sz w:val="22"/>
                <w:szCs w:val="22"/>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2.856.213.600</w:t>
            </w:r>
            <w:r>
              <w:rPr>
                <w:b w:val="0"/>
                <w:bCs w:val="0"/>
                <w:sz w:val="22"/>
                <w:szCs w:val="22"/>
              </w:rPr>
            </w:r>
            <w:r>
              <w:rPr>
                <w:b w:val="0"/>
                <w:bCs w:val="0"/>
                <w:sz w:val="22"/>
                <w:szCs w:val="22"/>
              </w:rPr>
            </w:r>
          </w:p>
        </w:tc>
        <w:tc>
          <w:tcPr>
            <w:tcBorders>
              <w:bottom w:val="single" w:color="000000" w:sz="8" w:space="0"/>
              <w:right w:val="single" w:color="000000" w:sz="8" w:space="0"/>
            </w:tcBorders>
            <w:tcMar>
              <w:left w:w="0" w:type="dxa"/>
              <w:top w:w="0" w:type="dxa"/>
              <w:right w:w="0" w:type="dxa"/>
              <w:bottom w:w="0" w:type="dxa"/>
            </w:tcMar>
            <w:tcW w:w="85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20%</w:t>
            </w:r>
            <w:r>
              <w:rPr>
                <w:b w:val="0"/>
                <w:bCs w:val="0"/>
                <w:sz w:val="22"/>
                <w:szCs w:val="22"/>
              </w:rPr>
            </w:r>
            <w:r>
              <w:rPr>
                <w:b w:val="0"/>
                <w:bCs w:val="0"/>
                <w:sz w:val="22"/>
                <w:szCs w:val="22"/>
              </w:rPr>
            </w:r>
          </w:p>
        </w:tc>
        <w:tc>
          <w:tcPr>
            <w:tcBorders>
              <w:bottom w:val="single" w:color="000000" w:sz="8" w:space="0"/>
              <w:right w:val="single" w:color="000000" w:sz="8" w:space="0"/>
            </w:tcBorders>
            <w:tcMar>
              <w:left w:w="0" w:type="dxa"/>
              <w:top w:w="0" w:type="dxa"/>
              <w:right w:w="0" w:type="dxa"/>
              <w:bottom w:w="0" w:type="dxa"/>
            </w:tcMar>
            <w:tcW w:w="141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571.302.720</w:t>
            </w:r>
            <w:r>
              <w:rPr>
                <w:b w:val="0"/>
                <w:bCs w:val="0"/>
                <w:sz w:val="22"/>
                <w:szCs w:val="22"/>
              </w:rPr>
            </w:r>
            <w:r>
              <w:rPr>
                <w:b w:val="0"/>
                <w:bCs w:val="0"/>
                <w:sz w:val="22"/>
                <w:szCs w:val="22"/>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     2.285.210.880</w:t>
            </w:r>
            <w:r>
              <w:rPr>
                <w:b w:val="0"/>
                <w:bCs w:val="0"/>
                <w:sz w:val="22"/>
                <w:szCs w:val="22"/>
              </w:rPr>
            </w:r>
            <w:r>
              <w:rPr>
                <w:b w:val="0"/>
                <w:bCs w:val="0"/>
                <w:sz w:val="22"/>
                <w:szCs w:val="22"/>
              </w:rP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p>
    <w:p>
      <w:pPr>
        <w:pBdr/>
        <w:spacing w:after="120" w:before="120" w:line="276" w:lineRule="auto"/>
        <w:ind w:firstLine="0" w:left="0"/>
        <w:jc w:val="both"/>
        <w:rPr>
          <w:b/>
          <w:bCs/>
          <w:highlight w:val="none"/>
          <w:lang w:val="pt-BR"/>
        </w:rPr>
      </w:pPr>
      <w:r>
        <w:rPr>
          <w:b/>
          <w:highlight w:val="none"/>
          <w:lang w:val="pt-BR"/>
        </w:rPr>
        <w:t xml:space="preserve">3. Xác định giá trị tài sản gắn liền với đất : Nhà cấp 4 </w:t>
      </w:r>
      <w:r>
        <w:rPr>
          <w:b/>
          <w:bCs/>
          <w:highlight w:val="none"/>
          <w:lang w:val="pt-BR"/>
        </w:rPr>
      </w:r>
      <w:r>
        <w:rPr>
          <w:b/>
          <w:bCs/>
          <w:highlight w:val="none"/>
          <w:lang w:val="pt-BR"/>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b w:val="0"/>
          <w:bCs w:val="0"/>
        </w:rPr>
      </w:pPr>
      <w:r>
        <w:rPr>
          <w:rFonts w:ascii="Times New Roman" w:hAnsi="Times New Roman" w:eastAsia="Times New Roman" w:cs="Times New Roman"/>
          <w:b w:val="0"/>
          <w:bCs w:val="0"/>
          <w:color w:val="000000"/>
          <w:sz w:val="24"/>
        </w:rPr>
        <w:t xml:space="preserve">Qua tham khảo thị trường về đơn giá xây dựng mới đối với công trình</w:t>
      </w:r>
      <w:r>
        <w:rPr>
          <w:highlight w:val="white"/>
        </w:rPr>
        <w:t xml:space="preserve"> Nhà 1 tầng,</w:t>
      </w:r>
      <w:r>
        <w:rPr>
          <w:highlight w:val="white"/>
        </w:rPr>
        <w:t xml:space="preserve"> cân nhắc và xem xét với mức độ hoàn thiện của công trình xây dựng hiện có, Tổ thẩm định n</w:t>
      </w:r>
      <w:r>
        <w:rPr>
          <w:rFonts w:ascii="Times New Roman" w:hAnsi="Times New Roman" w:eastAsia="Times New Roman" w:cs="Times New Roman"/>
          <w:b w:val="0"/>
          <w:bCs w:val="0"/>
          <w:color w:val="000000"/>
          <w:sz w:val="24"/>
        </w:rPr>
        <w:t xml:space="preserve">hận thấy đơn giá vận dụng theo Quyết định số 425/QĐ-BXD ngày30/3/2026 của Bộ Xây dựng</w:t>
      </w:r>
      <w:r>
        <w:rPr>
          <w:rFonts w:ascii="Times New Roman" w:hAnsi="Times New Roman" w:eastAsia="Times New Roman" w:cs="Times New Roman"/>
          <w:b w:val="0"/>
          <w:bCs w:val="0"/>
          <w:color w:val="000000"/>
          <w:sz w:val="24"/>
        </w:rPr>
        <w:t xml:space="preserve"> về việc Công bố suất vốn đầu tư xây dựng công trình và giá xây dựng tổng hợp bộ phận kết cấu công trình năm 2025 là khá phù hợp với thị trường, theo đó</w:t>
      </w:r>
      <w:r>
        <w:rPr>
          <w:rFonts w:ascii="Times New Roman" w:hAnsi="Times New Roman" w:eastAsia="Times New Roman" w:cs="Times New Roman"/>
          <w:b w:val="0"/>
          <w:bCs w:val="0"/>
          <w:color w:val="000000"/>
          <w:spacing w:val="-4"/>
          <w:sz w:val="24"/>
        </w:rPr>
        <w:t xml:space="preserve">:</w:t>
      </w:r>
      <w:r>
        <w:rPr>
          <w:b w:val="0"/>
          <w:bCs w:val="0"/>
        </w:rPr>
      </w:r>
      <w:r>
        <w:rPr>
          <w:b w:val="0"/>
          <w:bCs w:val="0"/>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b w:val="0"/>
          <w:bCs w:val="0"/>
          <w:sz w:val="24"/>
          <w:szCs w:val="24"/>
        </w:rPr>
      </w:pPr>
      <w:r>
        <w:rPr>
          <w:rFonts w:ascii="Times New Roman" w:hAnsi="Times New Roman" w:eastAsia="Times New Roman" w:cs="Times New Roman"/>
          <w:b w:val="0"/>
          <w:bCs w:val="0"/>
          <w:i/>
          <w:color w:val="000000"/>
          <w:spacing w:val="3"/>
          <w:sz w:val="24"/>
          <w:szCs w:val="24"/>
          <w:highlight w:val="white"/>
        </w:rPr>
        <w:t xml:space="preserve">“</w:t>
      </w:r>
      <w:r>
        <w:rPr>
          <w:rFonts w:ascii="Times New Roman" w:hAnsi="Times New Roman" w:eastAsia="Times New Roman" w:cs="Times New Roman"/>
          <w:b w:val="0"/>
          <w:bCs w:val="0"/>
          <w:i/>
          <w:color w:val="000000"/>
          <w:spacing w:val="3"/>
          <w:sz w:val="24"/>
          <w:szCs w:val="24"/>
          <w:highlight w:val="white"/>
        </w:rPr>
        <w:t xml:space="preserve">S</w:t>
      </w:r>
      <w:r>
        <w:rPr>
          <w:rFonts w:ascii="Times New Roman" w:hAnsi="Times New Roman" w:eastAsia="Times New Roman" w:cs="Times New Roman"/>
          <w:b w:val="0"/>
          <w:bCs w:val="0"/>
          <w:i/>
          <w:color w:val="000000"/>
          <w:spacing w:val="3"/>
          <w:sz w:val="24"/>
          <w:szCs w:val="24"/>
          <w:highlight w:val="white"/>
        </w:rPr>
        <w:t xml:space="preserve">uất vốn đầu tư</w:t>
      </w:r>
      <w:r>
        <w:rPr>
          <w:rFonts w:ascii="Times New Roman" w:hAnsi="Times New Roman" w:eastAsia="Times New Roman" w:cs="Times New Roman"/>
          <w:b w:val="0"/>
          <w:bCs w:val="0"/>
          <w:color w:val="000000"/>
          <w:sz w:val="24"/>
          <w:szCs w:val="24"/>
          <w:highlight w:val="white"/>
        </w:rPr>
        <w:t xml:space="preserve"> Nhà 1 tầng, căn hộ khép kín, kết cấu tường gạch chịu lực, mái BTCT đổ tại chỗ</w:t>
      </w:r>
      <w:r>
        <w:rPr>
          <w:rFonts w:ascii="Times New Roman" w:hAnsi="Times New Roman" w:eastAsia="Times New Roman" w:cs="Times New Roman"/>
          <w:b w:val="0"/>
          <w:bCs w:val="0"/>
          <w:i/>
          <w:color w:val="000000"/>
          <w:spacing w:val="3"/>
          <w:sz w:val="24"/>
          <w:szCs w:val="24"/>
          <w:highlight w:val="white"/>
        </w:rPr>
        <w:t xml:space="preserve">, có đơn giá đã bao gồm VAT là</w:t>
      </w:r>
      <w:r>
        <w:rPr>
          <w:rFonts w:ascii="Times New Roman" w:hAnsi="Times New Roman" w:eastAsia="Times New Roman" w:cs="Times New Roman"/>
          <w:b w:val="0"/>
          <w:bCs w:val="0"/>
          <w:i/>
          <w:color w:val="000000"/>
          <w:spacing w:val="3"/>
          <w:sz w:val="24"/>
          <w:szCs w:val="24"/>
          <w:highlight w:val="white"/>
        </w:rPr>
        <w:t xml:space="preserve">:</w:t>
      </w:r>
      <w:r>
        <w:rPr>
          <w:rFonts w:ascii="Times New Roman" w:hAnsi="Times New Roman" w:eastAsia="Times New Roman" w:cs="Times New Roman"/>
          <w:b w:val="0"/>
          <w:bCs w:val="0"/>
          <w:i/>
          <w:color w:val="000000"/>
          <w:sz w:val="24"/>
          <w:szCs w:val="24"/>
        </w:rPr>
        <w:t xml:space="preserve">6.452.000 </w:t>
      </w:r>
      <w:r>
        <w:rPr>
          <w:rFonts w:ascii="Times New Roman" w:hAnsi="Times New Roman" w:eastAsia="Times New Roman" w:cs="Times New Roman"/>
          <w:b w:val="0"/>
          <w:bCs w:val="0"/>
          <w:i/>
          <w:color w:val="000000"/>
          <w:spacing w:val="3"/>
          <w:sz w:val="24"/>
          <w:szCs w:val="24"/>
          <w:highlight w:val="white"/>
        </w:rPr>
        <w:t xml:space="preserve">đồng/m².</w:t>
      </w:r>
      <w:r>
        <w:rPr>
          <w:b w:val="0"/>
          <w:bCs w:val="0"/>
          <w:sz w:val="24"/>
          <w:szCs w:val="24"/>
        </w:rPr>
      </w:r>
      <w:r>
        <w:rPr>
          <w:b w:val="0"/>
          <w:bCs w:val="0"/>
          <w:sz w:val="24"/>
          <w:szCs w:val="24"/>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b w:val="0"/>
          <w:bCs w:val="0"/>
          <w:sz w:val="24"/>
          <w:szCs w:val="24"/>
        </w:rPr>
      </w:pPr>
      <w:r>
        <w:rPr>
          <w:rFonts w:ascii="Times New Roman" w:hAnsi="Times New Roman" w:eastAsia="Times New Roman" w:cs="Times New Roman"/>
          <w:b w:val="0"/>
          <w:bCs w:val="0"/>
          <w:i/>
          <w:color w:val="000000"/>
          <w:sz w:val="24"/>
          <w:szCs w:val="24"/>
          <w:highlight w:val="white"/>
        </w:rPr>
        <w:t xml:space="preserve">Hệ số điều chỉnh vùng cho Suất v</w:t>
      </w:r>
      <w:r>
        <w:rPr>
          <w:rFonts w:ascii="Times New Roman" w:hAnsi="Times New Roman" w:eastAsia="Times New Roman" w:cs="Times New Roman"/>
          <w:b w:val="0"/>
          <w:bCs w:val="0"/>
          <w:i/>
          <w:color w:val="000000"/>
          <w:sz w:val="24"/>
          <w:szCs w:val="24"/>
          <w:highlight w:val="white"/>
        </w:rPr>
        <w:t xml:space="preserve">ốn đầu tư: Tỉnh Quảng Ninh</w:t>
      </w:r>
      <w:r>
        <w:rPr>
          <w:rFonts w:ascii="Times New Roman" w:hAnsi="Times New Roman" w:eastAsia="Times New Roman" w:cs="Times New Roman"/>
          <w:b w:val="0"/>
          <w:bCs w:val="0"/>
          <w:i/>
          <w:color w:val="000000"/>
          <w:sz w:val="24"/>
          <w:szCs w:val="24"/>
          <w:highlight w:val="white"/>
        </w:rPr>
        <w:t xml:space="preserve"> thu</w:t>
      </w:r>
      <w:r>
        <w:rPr>
          <w:rFonts w:ascii="Times New Roman" w:hAnsi="Times New Roman" w:eastAsia="Times New Roman" w:cs="Times New Roman"/>
          <w:b w:val="0"/>
          <w:bCs w:val="0"/>
          <w:i/>
          <w:color w:val="000000"/>
          <w:sz w:val="24"/>
          <w:szCs w:val="24"/>
          <w:highlight w:val="white"/>
        </w:rPr>
        <w:t xml:space="preserve">ộc vù</w:t>
      </w:r>
      <w:r>
        <w:rPr>
          <w:rFonts w:ascii="Times New Roman" w:hAnsi="Times New Roman" w:eastAsia="Times New Roman" w:cs="Times New Roman"/>
          <w:b w:val="0"/>
          <w:bCs w:val="0"/>
          <w:i/>
          <w:color w:val="000000"/>
          <w:sz w:val="24"/>
          <w:szCs w:val="24"/>
          <w:highlight w:val="white"/>
        </w:rPr>
        <w:t xml:space="preserve">ng 2 có hệ số điều chỉnh là 0,948.”</w:t>
      </w:r>
      <w:r>
        <w:rPr>
          <w:b w:val="0"/>
          <w:bCs w:val="0"/>
          <w:sz w:val="24"/>
          <w:szCs w:val="24"/>
        </w:rPr>
      </w:r>
      <w:r>
        <w:rPr>
          <w:b w:val="0"/>
          <w:bCs w:val="0"/>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 w:val="0"/>
          <w:bCs w:val="0"/>
          <w:i/>
          <w:color w:val="000000"/>
          <w:spacing w:val="3"/>
          <w:sz w:val="24"/>
          <w:szCs w:val="24"/>
          <w:highlight w:val="none"/>
        </w:rPr>
      </w:pPr>
      <w:r>
        <w:rPr>
          <w:rFonts w:ascii="Times New Roman" w:hAnsi="Times New Roman" w:eastAsia="Times New Roman" w:cs="Times New Roman"/>
          <w:b w:val="0"/>
          <w:bCs w:val="0"/>
          <w:i/>
          <w:color w:val="000000"/>
          <w:spacing w:val="3"/>
          <w:sz w:val="24"/>
          <w:szCs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val="0"/>
          <w:bCs w:val="0"/>
          <w:i/>
          <w:color w:val="000000"/>
          <w:spacing w:val="3"/>
          <w:sz w:val="24"/>
          <w:szCs w:val="24"/>
          <w:highlight w:val="none"/>
        </w:rPr>
        <w:t xml:space="preserve">6.452</w:t>
      </w:r>
      <w:r>
        <w:rPr>
          <w:rFonts w:ascii="Times New Roman" w:hAnsi="Times New Roman" w:eastAsia="Times New Roman" w:cs="Times New Roman"/>
          <w:b w:val="0"/>
          <w:bCs w:val="0"/>
          <w:i/>
          <w:color w:val="000000"/>
          <w:sz w:val="24"/>
          <w:szCs w:val="24"/>
        </w:rPr>
        <w:t xml:space="preserve">.000 </w:t>
      </w:r>
      <w:r>
        <w:rPr>
          <w:rFonts w:ascii="Times New Roman" w:hAnsi="Times New Roman" w:eastAsia="Times New Roman" w:cs="Times New Roman"/>
          <w:b w:val="0"/>
          <w:bCs w:val="0"/>
          <w:i/>
          <w:color w:val="000000"/>
          <w:spacing w:val="3"/>
          <w:sz w:val="24"/>
          <w:szCs w:val="24"/>
          <w:highlight w:val="white"/>
        </w:rPr>
        <w:t xml:space="preserve">x 0,948 =</w:t>
      </w:r>
      <w:r>
        <w:rPr>
          <w:rFonts w:ascii="Times New Roman" w:hAnsi="Times New Roman" w:eastAsia="Times New Roman" w:cs="Times New Roman"/>
          <w:b w:val="0"/>
          <w:bCs w:val="0"/>
          <w:i/>
          <w:color w:val="000000"/>
          <w:spacing w:val="3"/>
          <w:sz w:val="24"/>
          <w:szCs w:val="24"/>
          <w:highlight w:val="white"/>
        </w:rPr>
        <w:t xml:space="preserve"> 6.116.469 đồng/m².</w:t>
      </w:r>
      <w:r>
        <w:rPr>
          <w:rFonts w:ascii="Times New Roman" w:hAnsi="Times New Roman" w:eastAsia="Times New Roman" w:cs="Times New Roman"/>
          <w:b w:val="0"/>
          <w:bCs w:val="0"/>
          <w:i/>
          <w:color w:val="000000"/>
          <w:spacing w:val="3"/>
          <w:sz w:val="24"/>
          <w:szCs w:val="24"/>
          <w:highlight w:val="none"/>
        </w:rPr>
      </w:r>
      <w:r>
        <w:rPr>
          <w:rFonts w:ascii="Times New Roman" w:hAnsi="Times New Roman" w:eastAsia="Times New Roman" w:cs="Times New Roman"/>
          <w:b w:val="0"/>
          <w:bCs w:val="0"/>
          <w:i/>
          <w:color w:val="000000"/>
          <w:spacing w:val="3"/>
          <w:sz w:val="24"/>
          <w:szCs w:val="24"/>
          <w:highlight w:val="non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2"/>
          <w:szCs w:val="22"/>
        </w:rPr>
      </w:pPr>
      <w:r>
        <w:rPr>
          <w:rFonts w:ascii="Times New Roman" w:hAnsi="Times New Roman" w:eastAsia="Times New Roman" w:cs="Times New Roman"/>
          <w:b/>
          <w:color w:val="000000"/>
          <w:sz w:val="22"/>
          <w:szCs w:val="22"/>
        </w:rPr>
        <w:t xml:space="preserve">    Xác định giá trị hao mòn theo phương pháp tổng cộng:</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p>
      <w:pPr>
        <w:pBdr>
          <w:top w:val="none" w:color="000000" w:sz="4" w:space="0"/>
          <w:left w:val="none" w:color="000000" w:sz="4" w:space="0"/>
          <w:bottom w:val="none" w:color="000000" w:sz="4" w:space="0"/>
          <w:right w:val="none" w:color="000000" w:sz="4" w:space="0"/>
        </w:pBdr>
        <w:spacing w:after="120" w:before="120" w:line="276" w:lineRule="auto"/>
        <w:ind w:right="0" w:firstLine="450" w:left="0"/>
        <w:jc w:val="both"/>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Tổng giá trị hao mòn của tài sản được xác định thông qua tổng giá trị các loại hao mòn vật lý, chức năng và ngoại biên của tài sản:</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498" w:left="-72"/>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Hao mòn chức năng và hao mòn ngoại biên: Công trình xây dựng hiện đang sử dụng bình thường, đáp ứng đầy đủ về công năng sử dụng =&gt; hao mòn chức năng và hao mòn ngoại biên là không đáng kể.</w:t>
        <w:tab/>
        <w:tab/>
        <w:tab/>
        <w:tab/>
        <w:tab/>
        <w:tab/>
        <w:tab/>
        <w:tab/>
        <w:tab/>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498" w:left="-72"/>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 Hao mòn vật lý: Xác định tỷ lệ hao mòn vật lý căn cứ vào đánh giá mức độ hao mòn các kết cấu chính của tài sản.</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w:t>
      </w:r>
      <w:r>
        <w:rPr>
          <w:rFonts w:ascii="Times New Roman" w:hAnsi="Times New Roman" w:eastAsia="Times New Roman" w:cs="Times New Roman"/>
          <w:color w:val="000000"/>
          <w:sz w:val="24"/>
        </w:rPr>
        <w:t xml:space="preserve">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n</w:t>
      </w:r>
      <w:r>
        <w:rPr>
          <w:rFonts w:ascii="Times New Roman" w:hAnsi="Times New Roman" w:eastAsia="Times New Roman" w:cs="Times New Roman"/>
          <w:color w:val="000000"/>
          <w:sz w:val="24"/>
        </w:rPr>
        <w:t xml:space="preserve">ền, sàn, kết cấu đỡ mái và mái) tạo nên nhà đó và tỷ lệ giá trị của các kết cấu chính đó so với tổng giá trị của nhà hoặc vật kiến trúc.</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74"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Công thức tính như sau:</w:t>
      </w:r>
      <w:r>
        <w:rPr>
          <w:rFonts w:ascii="Times New Roman" w:hAnsi="Times New Roman" w:eastAsia="Times New Roman" w:cs="Times New Roman"/>
          <w:sz w:val="24"/>
        </w:rPr>
      </w:r>
      <w:r>
        <w:rPr>
          <w:rFonts w:ascii="Times New Roman" w:hAnsi="Times New Roman" w:eastAsia="Times New Roman" w:cs="Times New Roman"/>
          <w:sz w:val="24"/>
        </w:rP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80"/>
        <w:gridCol w:w="690"/>
        <w:gridCol w:w="870"/>
        <w:gridCol w:w="3570"/>
        <w:gridCol w:w="795"/>
        <w:gridCol w:w="3075"/>
      </w:tblGrid>
      <w:tr>
        <w:trPr/>
        <w:tc>
          <w:tcPr>
            <w:tcBorders/>
            <w:tcMar>
              <w:left w:w="15" w:type="dxa"/>
              <w:top w:w="15" w:type="dxa"/>
              <w:right w:w="15" w:type="dxa"/>
              <w:bottom w:w="15" w:type="dxa"/>
            </w:tcMar>
            <w:tcW w:w="258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Tỷ lệ chất lượng còn lại lại của nhà, vật kiến trúc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5" w:type="dxa"/>
              <w:top w:w="15" w:type="dxa"/>
              <w:right w:w="15" w:type="dxa"/>
              <w:bottom w:w="15" w:type="dxa"/>
            </w:tcMar>
            <w:tcW w:w="69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5" w:type="dxa"/>
              <w:top w:w="15" w:type="dxa"/>
              <w:right w:w="15" w:type="dxa"/>
              <w:bottom w:w="15" w:type="dxa"/>
            </w:tcMar>
            <w:tcW w:w="8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5" w:type="dxa"/>
              <w:top w:w="15" w:type="dxa"/>
              <w:right w:w="15" w:type="dxa"/>
              <w:bottom w:w="15" w:type="dxa"/>
            </w:tcMar>
            <w:tcW w:w="35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Tỷ lệ chất lượng còn lại của kết cấu chính thức i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5" w:type="dxa"/>
              <w:top w:w="15" w:type="dxa"/>
              <w:right w:w="15" w:type="dxa"/>
              <w:bottom w:w="15" w:type="dxa"/>
            </w:tcMar>
            <w:tcW w:w="7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x</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5" w:type="dxa"/>
              <w:top w:w="15" w:type="dxa"/>
              <w:right w:w="15" w:type="dxa"/>
              <w:bottom w:w="15" w:type="dxa"/>
            </w:tcMar>
            <w:tcW w:w="307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rPr>
                <w:rFonts w:ascii="Times New Roman" w:hAnsi="Times New Roman" w:eastAsia="Times New Roman" w:cs="Times New Roman"/>
                <w:sz w:val="24"/>
              </w:rPr>
            </w:r>
            <w:r>
              <w:rPr>
                <w:rFonts w:ascii="Times New Roman" w:hAnsi="Times New Roman" w:eastAsia="Times New Roman" w:cs="Times New Roman"/>
                <w:sz w:val="24"/>
              </w:rP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5" w:type="dxa"/>
              <w:top w:w="15" w:type="dxa"/>
              <w:right w:w="15" w:type="dxa"/>
              <w:bottom w:w="15" w:type="dxa"/>
            </w:tcMar>
            <w:tcW w:w="83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top w:val="none" w:color="000000" w:sz="4" w:space="0"/>
          <w:left w:val="none" w:color="000000" w:sz="4" w:space="0"/>
          <w:bottom w:val="none" w:color="000000" w:sz="4" w:space="0"/>
          <w:right w:val="none" w:color="000000" w:sz="4" w:space="0"/>
        </w:pBdr>
        <w:spacing w:line="274" w:lineRule="auto"/>
        <w:ind w:right="0" w:firstLine="0" w:left="0"/>
        <w:rPr>
          <w:rFonts w:ascii="Times New Roman" w:hAnsi="Times New Roman" w:eastAsia="Times New Roman" w:cs="Times New Roman"/>
          <w:sz w:val="24"/>
        </w:rPr>
      </w:pPr>
      <w:r>
        <w:rPr>
          <w:rFonts w:ascii="Times New Roman" w:hAnsi="Times New Roman" w:eastAsia="Times New Roman" w:cs="Times New Roman"/>
          <w:i/>
          <w:color w:val="000000"/>
          <w:sz w:val="24"/>
        </w:rPr>
        <w:t xml:space="preserve">Trong đó:</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4"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i: số thứ tự của kết cấu chính</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4" w:lineRule="auto"/>
        <w:ind w:right="0" w:firstLine="0" w:left="0"/>
        <w:rPr>
          <w:rFonts w:ascii="Times New Roman" w:hAnsi="Times New Roman" w:eastAsia="Times New Roman" w:cs="Times New Roman"/>
          <w:sz w:val="24"/>
          <w:szCs w:val="24"/>
          <w:highlight w:val="none"/>
        </w:rPr>
      </w:pPr>
      <w:r>
        <w:rPr>
          <w:rFonts w:ascii="Times New Roman" w:hAnsi="Times New Roman" w:eastAsia="Times New Roman" w:cs="Times New Roman"/>
          <w:color w:val="000000"/>
          <w:sz w:val="24"/>
        </w:rPr>
        <w:t xml:space="preserve">n: số các kết cấu chính.</w:t>
      </w:r>
      <w:r>
        <w:rPr>
          <w:rFonts w:ascii="Times New Roman" w:hAnsi="Times New Roman" w:eastAsia="Times New Roman" w:cs="Times New Roman"/>
          <w:sz w:val="24"/>
          <w:szCs w:val="24"/>
          <w:highlight w:val="none"/>
        </w:rPr>
      </w:r>
      <w:r>
        <w:rPr>
          <w:rFonts w:ascii="Times New Roman" w:hAnsi="Times New Roman" w:eastAsia="Times New Roman" w:cs="Times New Roman"/>
          <w:sz w:val="24"/>
          <w:szCs w:val="24"/>
          <w:highlight w:val="non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402"/>
        <w:gridCol w:w="1984"/>
        <w:gridCol w:w="1984"/>
        <w:gridCol w:w="1418"/>
      </w:tblGrid>
      <w:tr>
        <w:trPr>
          <w:trHeight w:val="936"/>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340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bottom w:val="single" w:color="000000" w:sz="5" w:space="0"/>
              <w:right w:val="single" w:color="000000" w:sz="5" w:space="0"/>
            </w:tcBorders>
            <w:tcMar>
              <w:left w:w="15" w:type="dxa"/>
              <w:top w:w="15" w:type="dxa"/>
              <w:right w:w="15" w:type="dxa"/>
              <w:bottom w:w="0" w:type="dxa"/>
            </w:tcMar>
            <w:tcW w:w="340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5" w:space="0"/>
              <w:right w:val="single" w:color="000000" w:sz="5" w:space="0"/>
            </w:tcBorders>
            <w:tcMar>
              <w:left w:w="15" w:type="dxa"/>
              <w:top w:w="15" w:type="dxa"/>
              <w:right w:w="15"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15" w:type="dxa"/>
              <w:top w:w="15" w:type="dxa"/>
              <w:right w:w="15" w:type="dxa"/>
              <w:bottom w:w="0" w:type="dxa"/>
            </w:tcMar>
            <w:tcW w:w="340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5" w:space="0"/>
              <w:right w:val="single" w:color="000000" w:sz="5" w:space="0"/>
            </w:tcBorders>
            <w:tcMar>
              <w:left w:w="15" w:type="dxa"/>
              <w:top w:w="15" w:type="dxa"/>
              <w:right w:w="15"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15" w:type="dxa"/>
              <w:top w:w="15" w:type="dxa"/>
              <w:right w:w="15" w:type="dxa"/>
              <w:bottom w:w="0" w:type="dxa"/>
            </w:tcMar>
            <w:tcW w:w="340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15" w:type="dxa"/>
              <w:top w:w="15" w:type="dxa"/>
              <w:right w:w="15"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15" w:type="dxa"/>
              <w:top w:w="15" w:type="dxa"/>
              <w:right w:w="15" w:type="dxa"/>
              <w:bottom w:w="0" w:type="dxa"/>
            </w:tcMar>
            <w:tcW w:w="340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5" w:space="0"/>
              <w:right w:val="single" w:color="000000" w:sz="5" w:space="0"/>
            </w:tcBorders>
            <w:tcMar>
              <w:left w:w="15" w:type="dxa"/>
              <w:top w:w="15" w:type="dxa"/>
              <w:right w:w="15"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bottom w:val="single" w:color="000000" w:sz="5" w:space="0"/>
              <w:right w:val="single" w:color="000000" w:sz="5" w:space="0"/>
            </w:tcBorders>
            <w:tcMar>
              <w:left w:w="15" w:type="dxa"/>
              <w:top w:w="15" w:type="dxa"/>
              <w:right w:w="15" w:type="dxa"/>
              <w:bottom w:w="0" w:type="dxa"/>
            </w:tcMar>
            <w:tcW w:w="340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5" w:space="0"/>
              <w:right w:val="single" w:color="000000" w:sz="5" w:space="0"/>
            </w:tcBorders>
            <w:tcMar>
              <w:left w:w="15" w:type="dxa"/>
              <w:top w:w="15" w:type="dxa"/>
              <w:right w:w="15"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5" w:space="0"/>
              <w:right w:val="single" w:color="000000" w:sz="5" w:space="0"/>
            </w:tcBorders>
            <w:tcMar>
              <w:left w:w="15" w:type="dxa"/>
              <w:top w:w="15" w:type="dxa"/>
              <w:right w:w="15" w:type="dxa"/>
              <w:bottom w:w="0" w:type="dxa"/>
            </w:tcMar>
            <w:tcW w:w="340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9%</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5" w:space="0"/>
              <w:right w:val="single" w:color="000000" w:sz="5" w:space="0"/>
            </w:tcBorders>
            <w:tcMar>
              <w:left w:w="15" w:type="dxa"/>
              <w:top w:w="15" w:type="dxa"/>
              <w:right w:w="15"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tcBorders>
              <w:bottom w:val="single" w:color="000000" w:sz="5" w:space="0"/>
              <w:right w:val="single" w:color="000000" w:sz="5" w:space="0"/>
            </w:tcBorders>
            <w:tcMar>
              <w:left w:w="15" w:type="dxa"/>
              <w:top w:w="15" w:type="dxa"/>
              <w:right w:w="15" w:type="dxa"/>
              <w:bottom w:w="0" w:type="dxa"/>
            </w:tcMar>
            <w:tcW w:w="340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17%</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5" w:space="0"/>
              <w:right w:val="single" w:color="000000" w:sz="5" w:space="0"/>
            </w:tcBorders>
            <w:tcMar>
              <w:left w:w="15" w:type="dxa"/>
              <w:top w:w="15" w:type="dxa"/>
              <w:right w:w="15"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15" w:type="dxa"/>
              <w:top w:w="15" w:type="dxa"/>
              <w:right w:w="15" w:type="dxa"/>
              <w:bottom w:w="0" w:type="dxa"/>
            </w:tcMar>
            <w:tcW w:w="340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 (g)</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59%</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15" w:type="dxa"/>
              <w:top w:w="15" w:type="dxa"/>
              <w:right w:w="15"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73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15" w:type="dxa"/>
              <w:top w:w="15" w:type="dxa"/>
              <w:right w:w="15" w:type="dxa"/>
              <w:bottom w:w="0" w:type="dxa"/>
            </w:tcMar>
            <w:tcW w:w="340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15" w:type="dxa"/>
              <w:top w:w="15" w:type="dxa"/>
              <w:right w:w="15"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50%</w:t>
            </w:r>
            <w:r/>
          </w:p>
        </w:tc>
      </w:tr>
    </w:tbl>
    <w:p>
      <w:pPr>
        <w:pBdr>
          <w:top w:val="none" w:color="000000" w:sz="4" w:space="0"/>
          <w:left w:val="none" w:color="000000" w:sz="4" w:space="0"/>
          <w:bottom w:val="none" w:color="000000" w:sz="4" w:space="0"/>
          <w:right w:val="none" w:color="000000" w:sz="4" w:space="0"/>
        </w:pBdr>
        <w:spacing w:line="274" w:lineRule="auto"/>
        <w:ind w:right="0" w:firstLine="0" w:left="0"/>
        <w:rPr>
          <w:rFonts w:ascii="Times New Roman" w:hAnsi="Times New Roman" w:eastAsia="Times New Roman" w:cs="Times New Roman"/>
          <w:sz w:val="24"/>
        </w:rPr>
      </w:pP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50%. </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Do đó, tỷ lệ hao mòn của công trình là 100%- 50% = 50%</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Xác định giá trị của công trình xây dựng trên đất:</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Công thức:</w:t>
      </w:r>
      <w:r>
        <w:rPr>
          <w:rFonts w:ascii="Times New Roman" w:hAnsi="Times New Roman" w:eastAsia="Times New Roman" w:cs="Times New Roman"/>
          <w:sz w:val="24"/>
        </w:rPr>
      </w:r>
      <w:r>
        <w:rPr>
          <w:rFonts w:ascii="Times New Roman" w:hAnsi="Times New Roman" w:eastAsia="Times New Roman" w:cs="Times New Roman"/>
          <w:sz w:val="24"/>
        </w:rPr>
      </w:r>
    </w:p>
    <w:tbl>
      <w:tblPr>
        <w:tblStyle w:val="1039"/>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Giá trị ước tính của 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Chi phí thay thế </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(Giá trị xây mới tài sản-đã bao gồm lợi nhuận của nhà sản xuất/nhà đầu tư)</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Tổng giá trị hao mòn </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71"/>
        <w:gridCol w:w="1275"/>
        <w:gridCol w:w="1134"/>
        <w:gridCol w:w="1465"/>
        <w:gridCol w:w="666"/>
        <w:gridCol w:w="1412"/>
        <w:gridCol w:w="1702"/>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Tài sản</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Diện tích sàn</w:t>
              <w:br/>
              <w:t xml:space="preserve">  (m²)</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Đơn giá xây dựng mới (đồng/m²)</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Chi phí thay thế (đồng)</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Tỷ lệ hao mòn </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Gía trị hao mòn </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Giá trị thẩm định tại thời điểm thẩm định giá (đồng)</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r>
      <w:tr>
        <w:trPr>
          <w:trHeight w:val="30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(A)</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1</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2</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(3) = (2) * (1)</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(4)</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(5)= (3)*(4)</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(6) = (3) - (5)</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r>
      <w:tr>
        <w:trPr>
          <w:trHeight w:val="300"/>
        </w:trPr>
        <w:tc>
          <w:tcPr>
            <w:tcBorders>
              <w:left w:val="single" w:color="000000" w:sz="8" w:space="0"/>
              <w:bottom w:val="single" w:color="000000" w:sz="8" w:space="0"/>
              <w:right w:val="single" w:color="000000" w:sz="8" w:space="0"/>
            </w:tcBorders>
            <w:tcMar>
              <w:left w:w="0" w:type="dxa"/>
              <w:top w:w="0" w:type="dxa"/>
              <w:right w:w="0" w:type="dxa"/>
              <w:bottom w:w="0" w:type="dxa"/>
            </w:tcMar>
            <w:tcW w:w="187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Nhà cấp 4</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tcBorders>
              <w:bottom w:val="single" w:color="000000" w:sz="8" w:space="0"/>
              <w:right w:val="single" w:color="000000" w:sz="8" w:space="0"/>
            </w:tcBorders>
            <w:tcMar>
              <w:left w:w="0" w:type="dxa"/>
              <w:top w:w="0" w:type="dxa"/>
              <w:right w:w="0" w:type="dxa"/>
              <w:bottom w:w="0" w:type="dxa"/>
            </w:tcMar>
            <w:tcW w:w="127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         40</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r>
            <w:r>
              <w:rPr>
                <w:rFonts w:ascii="Times New Roman" w:hAnsi="Times New Roman" w:eastAsia="Times New Roman" w:cs="Times New Roman"/>
                <w:b w:val="0"/>
                <w:bCs w:val="0"/>
                <w:i w:val="0"/>
                <w:iCs w:val="0"/>
                <w:color w:val="000000"/>
                <w:spacing w:val="3"/>
                <w:sz w:val="22"/>
                <w:szCs w:val="22"/>
                <w:highlight w:val="white"/>
              </w:rPr>
              <w:t xml:space="preserve">6.116.469</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tcBorders>
              <w:bottom w:val="single" w:color="000000" w:sz="8" w:space="0"/>
              <w:right w:val="single" w:color="000000" w:sz="8" w:space="0"/>
            </w:tcBorders>
            <w:tcMar>
              <w:left w:w="0" w:type="dxa"/>
              <w:top w:w="0" w:type="dxa"/>
              <w:right w:w="0" w:type="dxa"/>
              <w:bottom w:w="0" w:type="dxa"/>
            </w:tcMar>
            <w:tcW w:w="14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244.659.840</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tcBorders>
              <w:bottom w:val="single" w:color="000000" w:sz="8" w:space="0"/>
              <w:right w:val="single" w:color="000000" w:sz="8" w:space="0"/>
            </w:tcBorders>
            <w:tcMar>
              <w:left w:w="0" w:type="dxa"/>
              <w:top w:w="0" w:type="dxa"/>
              <w:right w:w="0" w:type="dxa"/>
              <w:bottom w:w="0" w:type="dxa"/>
            </w:tcMar>
            <w:tcW w:w="6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50%</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tcBorders>
              <w:bottom w:val="single" w:color="000000" w:sz="8" w:space="0"/>
              <w:right w:val="single" w:color="000000" w:sz="8" w:space="0"/>
            </w:tcBorders>
            <w:tcMar>
              <w:left w:w="0" w:type="dxa"/>
              <w:top w:w="0" w:type="dxa"/>
              <w:right w:w="0" w:type="dxa"/>
              <w:bottom w:w="0" w:type="dxa"/>
            </w:tcMar>
            <w:tcW w:w="141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122.329.920</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i w:val="0"/>
                <w:sz w:val="22"/>
                <w:szCs w:val="22"/>
              </w:rPr>
            </w:pPr>
            <w:r>
              <w:rPr>
                <w:rFonts w:ascii="Times New Roman" w:hAnsi="Times New Roman" w:eastAsia="Times New Roman" w:cs="Times New Roman"/>
                <w:b w:val="0"/>
                <w:bCs w:val="0"/>
                <w:i w:val="0"/>
                <w:iCs w:val="0"/>
                <w:color w:val="000000"/>
                <w:sz w:val="22"/>
                <w:szCs w:val="22"/>
              </w:rPr>
              <w:t xml:space="preserve">    </w:t>
            </w:r>
            <w:r>
              <w:rPr>
                <w:rFonts w:ascii="Times New Roman" w:hAnsi="Times New Roman" w:eastAsia="Times New Roman" w:cs="Times New Roman"/>
                <w:b w:val="0"/>
                <w:bCs w:val="0"/>
                <w:i w:val="0"/>
                <w:iCs w:val="0"/>
                <w:color w:val="000000"/>
                <w:sz w:val="22"/>
                <w:szCs w:val="22"/>
              </w:rPr>
              <w:t xml:space="preserve">122.329.920</w:t>
            </w:r>
            <w:r>
              <w:rPr>
                <w:rFonts w:ascii="Times New Roman" w:hAnsi="Times New Roman" w:eastAsia="Times New Roman" w:cs="Times New Roman"/>
                <w:b w:val="0"/>
                <w:bCs w:val="0"/>
                <w:i w:val="0"/>
                <w:sz w:val="22"/>
                <w:szCs w:val="22"/>
              </w:rPr>
            </w:r>
            <w:r>
              <w:rPr>
                <w:rFonts w:ascii="Times New Roman" w:hAnsi="Times New Roman" w:eastAsia="Times New Roman" w:cs="Times New Roman"/>
                <w:b w:val="0"/>
                <w:bCs w:val="0"/>
                <w:i w:val="0"/>
                <w:sz w:val="22"/>
                <w:szCs w:val="22"/>
              </w:rP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276" w:lineRule="auto"/>
        <w:ind/>
        <w:jc w:val="both"/>
        <w:rPr>
          <w:b/>
          <w:lang w:val="pt-BR"/>
        </w:rPr>
      </w:pPr>
      <w:r>
        <w:rPr>
          <w:b/>
          <w:lang w:val="pt-BR"/>
        </w:rPr>
        <w:t xml:space="preserve">4. 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27"/>
        <w:gridCol w:w="3012"/>
        <w:gridCol w:w="1388"/>
        <w:gridCol w:w="1437"/>
        <w:gridCol w:w="1262"/>
        <w:gridCol w:w="1990"/>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301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38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4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951"/>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7099" w:type="dxa"/>
            <w:vAlign w:val="center"/>
            <w:textDirection w:val="lrTb"/>
            <w:noWrap w:val="false"/>
          </w:tcPr>
          <w:p>
            <w:pPr>
              <w:pBdr/>
              <w:tabs>
                <w:tab w:val="left" w:leader="none" w:pos="7222"/>
              </w:tabs>
              <w:spacing w:after="0" w:before="0" w:line="36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 tờ bản đồ số: ./. có địa chỉ: Khu Vĩnh Hồng, Thị trấn Mạo Khê, huyện Đông Triều, tỉnh Quảng Ninh (nay là Phường Mạo Khê, tỉnh Quảng Ninh) theo Giấy chứng nhận quyền sử dụng đất  số: V 58</w:t>
            </w:r>
            <w:r>
              <w:rPr>
                <w:rFonts w:ascii="Times New Roman" w:hAnsi="Times New Roman" w:eastAsia="Times New Roman" w:cs="Times New Roman"/>
                <w:b/>
                <w:color w:val="000000"/>
                <w:sz w:val="24"/>
              </w:rPr>
              <w:t xml:space="preserve">2199, số vào sổ cấp GCN: 809QSDĐ/MK do Uỷ ban Nhân dân Huyện Đông Triều Tỉnh Quảng Ninh  cấp ngày 25/12/2002 cho Bà Đồng Thị Thu Phương</w:t>
            </w:r>
            <w:r>
              <w:rPr>
                <w:rFonts w:ascii="Times New Roman" w:hAnsi="Times New Roman" w:eastAsia="Times New Roman" w:cs="Times New Roman"/>
                <w:b/>
                <w:color w:val="000000"/>
                <w:sz w:val="24"/>
              </w:r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30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5" w:space="0"/>
              <w:right w:val="single" w:color="000000" w:sz="5" w:space="0"/>
            </w:tcBorders>
            <w:tcMar>
              <w:left w:w="15" w:type="dxa"/>
              <w:top w:w="15" w:type="dxa"/>
              <w:right w:w="15" w:type="dxa"/>
              <w:bottom w:w="0" w:type="dxa"/>
            </w:tcMar>
            <w:tcW w:w="138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347,00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4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38.500.000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13.359.500.000</w:t>
            </w:r>
            <w:r/>
          </w:p>
        </w:tc>
      </w:tr>
      <w:tr>
        <w:trPr>
          <w:trHeight w:val="31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30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3 tầng </w:t>
            </w:r>
            <w:r/>
          </w:p>
        </w:tc>
        <w:tc>
          <w:tcPr>
            <w:tcBorders>
              <w:bottom w:val="single" w:color="000000" w:sz="5" w:space="0"/>
              <w:right w:val="single" w:color="000000" w:sz="5" w:space="0"/>
            </w:tcBorders>
            <w:tcMar>
              <w:left w:w="15" w:type="dxa"/>
              <w:top w:w="15" w:type="dxa"/>
              <w:right w:w="15" w:type="dxa"/>
              <w:bottom w:w="0" w:type="dxa"/>
            </w:tcMar>
            <w:tcW w:w="138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360,00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4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7.934.760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2.285.210.880</w:t>
            </w:r>
            <w:r/>
          </w:p>
        </w:tc>
      </w:tr>
      <w:tr>
        <w:trPr>
          <w:trHeight w:val="67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15" w:type="dxa"/>
              <w:top w:w="15" w:type="dxa"/>
              <w:right w:w="15" w:type="dxa"/>
              <w:bottom w:w="0" w:type="dxa"/>
            </w:tcMar>
            <w:tcW w:w="30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cấp 4</w:t>
            </w:r>
            <w:r/>
          </w:p>
        </w:tc>
        <w:tc>
          <w:tcPr>
            <w:tcBorders>
              <w:bottom w:val="single" w:color="000000" w:sz="5" w:space="0"/>
              <w:right w:val="single" w:color="000000" w:sz="5" w:space="0"/>
            </w:tcBorders>
            <w:tcMar>
              <w:left w:w="15" w:type="dxa"/>
              <w:top w:w="15" w:type="dxa"/>
              <w:right w:w="15" w:type="dxa"/>
              <w:bottom w:w="0" w:type="dxa"/>
            </w:tcMar>
            <w:tcW w:w="138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40,00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4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6.116.496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122.329.920</w:t>
            </w:r>
            <w:r/>
          </w:p>
        </w:tc>
      </w:tr>
      <w:tr>
        <w:trPr>
          <w:trHeight w:val="31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3"/>
            <w:shd w:val="clear" w:color="ffffff" w:fill="ffffff"/>
            <w:tcBorders>
              <w:top w:val="single" w:color="000000" w:sz="5" w:space="0"/>
              <w:bottom w:val="single" w:color="000000" w:sz="5" w:space="0"/>
              <w:right w:val="single" w:color="000000" w:sz="4" w:space="0"/>
            </w:tcBorders>
            <w:tcMar>
              <w:left w:w="15" w:type="dxa"/>
              <w:top w:w="15" w:type="dxa"/>
              <w:right w:w="15" w:type="dxa"/>
              <w:bottom w:w="0" w:type="dxa"/>
            </w:tcMar>
            <w:tcW w:w="58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b/>
                <w:bCs/>
              </w:rPr>
            </w:pPr>
            <w:r>
              <w:rPr>
                <w:rFonts w:ascii="Times New Roman" w:hAnsi="Times New Roman" w:eastAsia="Times New Roman" w:cs="Times New Roman"/>
                <w:b/>
                <w:bCs/>
                <w:color w:val="000000"/>
                <w:sz w:val="24"/>
              </w:rPr>
              <w:t xml:space="preserve">15.767.040.800</w:t>
            </w:r>
            <w:r>
              <w:rPr>
                <w:b/>
                <w:bCs/>
              </w:rPr>
            </w:r>
            <w:r>
              <w:rPr>
                <w:b/>
                <w:bCs/>
              </w:rPr>
            </w:r>
          </w:p>
        </w:tc>
      </w:tr>
      <w:tr>
        <w:trPr>
          <w:trHeight w:val="339"/>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5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58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2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5" w:space="0"/>
              <w:right w:val="single" w:color="000000" w:sz="5" w:space="0"/>
            </w:tcBorders>
            <w:tcMar>
              <w:left w:w="15" w:type="dxa"/>
              <w:top w:w="15" w:type="dxa"/>
              <w:right w:w="15" w:type="dxa"/>
              <w:bottom w:w="0" w:type="dxa"/>
            </w:tcMar>
            <w:tcW w:w="1990"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15.767.000.000</w:t>
            </w:r>
            <w:r/>
          </w:p>
        </w:tc>
      </w:tr>
      <w:tr>
        <w:trPr>
          <w:trHeight w:val="309"/>
        </w:trPr>
        <w:tc>
          <w:tcPr>
            <w:gridSpan w:val="6"/>
            <w:shd w:val="clear" w:color="ffffff" w:fill="ffffff"/>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96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Mười lăm tỷ, bảy trăm sáu mươi bảy triệu đồng chẵn./.</w:t>
            </w: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color w:val="auto"/>
          <w:shd w:val="clear" w:color="auto" w:fill="ffffff"/>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w:t>
      </w:r>
      <w:r>
        <w:rPr>
          <w:color w:val="auto"/>
          <w:shd w:val="clear" w:color="auto" w:fill="ffffff"/>
          <w:lang w:val="pt-BR"/>
        </w:rPr>
        <w:t xml:space="preserve">theo </w:t>
      </w:r>
      <w:r>
        <w:rPr>
          <w:iCs/>
          <w:color w:val="auto"/>
          <w:lang w:val="pt-BR"/>
        </w:rPr>
        <w:t xml:space="preserve">Giấy chứng nhận quyền sử dụng </w:t>
      </w:r>
      <w:r>
        <w:rPr>
          <w:iCs/>
          <w:color w:val="auto"/>
          <w:lang w:val="pt-BR"/>
        </w:rPr>
        <w:t xml:space="preserve">đất  đã</w:t>
      </w:r>
      <w:r>
        <w:rPr>
          <w:iCs/>
          <w:color w:val="auto"/>
          <w:lang w:val="pt-BR"/>
        </w:rPr>
        <w:t xml:space="preserve"> cung cấp cho chúng tôi.</w:t>
      </w:r>
      <w:r>
        <w:rPr>
          <w:color w:val="auto"/>
          <w:shd w:val="clear" w:color="auto" w:fill="ffffff"/>
        </w:rPr>
      </w:r>
      <w:r>
        <w:rPr>
          <w:color w:val="auto"/>
          <w:shd w:val="clear" w:color="auto" w:fill="ffffff"/>
        </w:rPr>
      </w:r>
    </w:p>
    <w:p>
      <w:pPr>
        <w:pStyle w:val="1035"/>
        <w:numPr>
          <w:ilvl w:val="0"/>
          <w:numId w:val="5"/>
        </w:numPr>
        <w:pBdr/>
        <w:spacing w:after="120" w:before="120" w:line="288" w:lineRule="auto"/>
        <w:ind/>
        <w:jc w:val="both"/>
        <w:rPr>
          <w:color w:val="000000" w:themeColor="text1"/>
        </w:rPr>
      </w:pPr>
      <w:r>
        <w:rPr>
          <w:color w:val="auto"/>
          <w:lang w:val="vi-VN"/>
        </w:rPr>
        <w:t xml:space="preserve">Chúng tôi giả định rằng tà</w:t>
      </w:r>
      <w:r>
        <w:rPr>
          <w:color w:val="auto"/>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numPr>
          <w:ilvl w:val="0"/>
          <w:numId w:val="43"/>
        </w:numPr>
        <w:pBdr>
          <w:top w:val="none" w:color="000000" w:sz="4" w:space="0"/>
          <w:left w:val="none" w:color="000000" w:sz="4" w:space="0"/>
          <w:bottom w:val="none" w:color="000000" w:sz="4" w:space="0"/>
          <w:right w:val="none" w:color="000000" w:sz="4" w:space="0"/>
        </w:pBdr>
        <w:spacing w:after="120" w:before="120" w:line="341" w:lineRule="auto"/>
        <w:ind/>
        <w:jc w:val="both"/>
        <w:rPr>
          <w:color w:val="000000" w:themeColor="text1"/>
        </w:rPr>
      </w:pPr>
      <w:r>
        <w:rPr>
          <w:rFonts w:ascii="Times New Roman" w:hAnsi="Times New Roman" w:eastAsia="Times New Roman" w:cs="Times New Roman"/>
          <w:color w:val="000000" w:themeColor="text1"/>
          <w:sz w:val="24"/>
          <w:highlight w:val="white"/>
        </w:rPr>
        <w:t xml:space="preserve">Tại thời điểm khảo sát dưới sự hướng dẫn của khách hàng, CTXD gắn liền với đất là </w:t>
      </w:r>
      <w:r>
        <w:rPr>
          <w:rFonts w:ascii="Times New Roman" w:hAnsi="Times New Roman" w:eastAsia="Times New Roman" w:cs="Times New Roman"/>
          <w:color w:val="000000" w:themeColor="text1"/>
          <w:sz w:val="24"/>
        </w:rPr>
        <w:t xml:space="preserve">+ 01 nhà 3 tầng, diện tích 120m2/ sàn. Xây dựng năm 2024. Tổng diện tích sàn là 360m2 và  01 nhà cấp 4, diện tích xây dựng 40m2. Đã xây khoảng 15 năm. Hiện các  công trình chưa được chứng nhận</w:t>
      </w:r>
      <w:r>
        <w:rPr>
          <w:rFonts w:ascii="Times New Roman" w:hAnsi="Times New Roman" w:eastAsia="Times New Roman" w:cs="Times New Roman"/>
          <w:color w:val="000000" w:themeColor="text1"/>
          <w:sz w:val="24"/>
        </w:rPr>
        <w:t xml:space="preserve"> trên GCN số V 582199.</w:t>
      </w:r>
      <w:r>
        <w:rPr>
          <w:rFonts w:ascii="Times New Roman" w:hAnsi="Times New Roman" w:eastAsia="Times New Roman" w:cs="Times New Roman"/>
          <w:color w:val="000000" w:themeColor="text1"/>
          <w:sz w:val="24"/>
          <w:highlight w:val="white"/>
        </w:rPr>
        <w:t xml:space="preserve"> Đồng thời Tổ thẩm định cũng không được cun</w:t>
      </w:r>
      <w:r>
        <w:rPr>
          <w:rFonts w:ascii="Times New Roman" w:hAnsi="Times New Roman" w:eastAsia="Times New Roman" w:cs="Times New Roman"/>
          <w:color w:val="000000" w:themeColor="text1"/>
          <w:sz w:val="24"/>
          <w:highlight w:val="white"/>
        </w:rPr>
        <w:t xml:space="preserve">g cấp bất kỳ hồ sơ pháp lý nào liên quan đến công trình xây dựng trên. Theo đề nghị của Khách hàng/Ngân hàng, tổ thẩm định xác định giá trị công trình xây dựng theo hiện trạng thực tế với giả định thông số đo đạc được là chính xác, giá trị công trình xây d</w:t>
      </w:r>
      <w:r>
        <w:rPr>
          <w:rFonts w:ascii="Times New Roman" w:hAnsi="Times New Roman" w:eastAsia="Times New Roman" w:cs="Times New Roman"/>
          <w:color w:val="000000" w:themeColor="text1"/>
          <w:sz w:val="24"/>
          <w:highlight w:val="white"/>
        </w:rPr>
        <w:t xml:space="preserve">ựng chỉ mang tính chất tham khảo. Ngoài ra, Tổ thẩm định không có trách nhiệm xác minh chủ sở hữu công trình xây dựng trên. Kính đề nghị đơn vị sử dụng kết quả lưu ý.</w:t>
      </w:r>
      <w:r>
        <w:rPr>
          <w:color w:val="000000" w:themeColor="text1"/>
        </w:rPr>
      </w:r>
      <w:r>
        <w:rPr>
          <w:color w:val="000000" w:themeColor="text1"/>
        </w:rPr>
      </w:r>
    </w:p>
    <w:p>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5"/>
        <w:pBdr/>
        <w:tabs>
          <w:tab w:val="left" w:leader="none" w:pos="993"/>
        </w:tabs>
        <w:spacing w:after="120" w:before="120" w:line="288" w:lineRule="auto"/>
        <w:ind w:left="0"/>
        <w:jc w:val="both"/>
        <w:rPr>
          <w:lang w:val="pt-BR"/>
        </w:rPr>
      </w:pPr>
      <w:r>
        <w:rPr>
          <w:highlight w:val="none"/>
          <w:lang w:val="pt-BR" w:bidi="pt-BR"/>
        </w:rPr>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275/2026/0610/VFI-CT.53.A</w:t>
      </w:r>
      <w:r>
        <w:rPr>
          <w:color w:val="ff0000"/>
          <w:lang w:val="vi-VN"/>
        </w:rPr>
        <w:t xml:space="preserve"> </w:t>
      </w:r>
      <w:r>
        <w:rPr>
          <w:color w:val="000000" w:themeColor="text1"/>
        </w:rPr>
        <w:t xml:space="preserve">ngày 20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275/2026/0610/VFI-BC.53.A</w:t>
      </w:r>
      <w:r>
        <w:rPr>
          <w:i/>
          <w:lang w:val="pt-BR"/>
        </w:rPr>
        <w:t xml:space="preserve">  ngày </w:t>
      </w:r>
      <w:r>
        <w:rPr>
          <w:i/>
          <w:lang w:val="pt-BR"/>
        </w:rPr>
        <w:t xml:space="preserve">20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62832" cy="263763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24889" name=""/>
                              <pic:cNvPicPr>
                                <a:picLocks noChangeAspect="1"/>
                              </pic:cNvPicPr>
                              <pic:nvPr/>
                            </pic:nvPicPr>
                            <pic:blipFill rotWithShape="1">
                              <a:blip r:embed="rId18"/>
                              <a:stretch/>
                            </pic:blipFill>
                            <pic:spPr bwMode="auto">
                              <a:xfrm flipH="0" flipV="0">
                                <a:off x="0" y="0"/>
                                <a:ext cx="1662832" cy="26376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0.93pt;height:207.6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92119" cy="272565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03514" name=""/>
                              <pic:cNvPicPr>
                                <a:picLocks noChangeAspect="1"/>
                              </pic:cNvPicPr>
                              <pic:nvPr/>
                            </pic:nvPicPr>
                            <pic:blipFill rotWithShape="1">
                              <a:blip r:embed="rId19"/>
                              <a:stretch/>
                            </pic:blipFill>
                            <pic:spPr bwMode="auto">
                              <a:xfrm flipH="0" flipV="0">
                                <a:off x="0" y="0"/>
                                <a:ext cx="2292119" cy="2725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0.48pt;height:214.6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5840" cy="197481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12915" name=""/>
                              <pic:cNvPicPr>
                                <a:picLocks noChangeAspect="1"/>
                              </pic:cNvPicPr>
                              <pic:nvPr/>
                            </pic:nvPicPr>
                            <pic:blipFill rotWithShape="1">
                              <a:blip r:embed="rId20"/>
                              <a:stretch/>
                            </pic:blipFill>
                            <pic:spPr bwMode="auto">
                              <a:xfrm flipH="0" flipV="0">
                                <a:off x="0" y="0"/>
                                <a:ext cx="2635839" cy="19748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7.55pt;height:155.5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4143" cy="214810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45976" name=""/>
                              <pic:cNvPicPr>
                                <a:picLocks noChangeAspect="1"/>
                              </pic:cNvPicPr>
                              <pic:nvPr/>
                            </pic:nvPicPr>
                            <pic:blipFill rotWithShape="1">
                              <a:blip r:embed="rId21"/>
                              <a:stretch/>
                            </pic:blipFill>
                            <pic:spPr bwMode="auto">
                              <a:xfrm flipH="0" flipV="0">
                                <a:off x="0" y="0"/>
                                <a:ext cx="2864143" cy="21481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52pt;height:169.1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89310" cy="239198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1487" name=""/>
                              <pic:cNvPicPr>
                                <a:picLocks noChangeAspect="1"/>
                              </pic:cNvPicPr>
                              <pic:nvPr/>
                            </pic:nvPicPr>
                            <pic:blipFill rotWithShape="1">
                              <a:blip r:embed="rId22"/>
                              <a:stretch/>
                            </pic:blipFill>
                            <pic:spPr bwMode="auto">
                              <a:xfrm flipH="0" flipV="0">
                                <a:off x="0" y="0"/>
                                <a:ext cx="3189309" cy="23919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1.13pt;height:188.3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298055" cy="247354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13378" name=""/>
                              <pic:cNvPicPr>
                                <a:picLocks noChangeAspect="1"/>
                              </pic:cNvPicPr>
                              <pic:nvPr/>
                            </pic:nvPicPr>
                            <pic:blipFill rotWithShape="1">
                              <a:blip r:embed="rId23"/>
                              <a:stretch/>
                            </pic:blipFill>
                            <pic:spPr bwMode="auto">
                              <a:xfrm flipH="0" flipV="0">
                                <a:off x="0" y="0"/>
                                <a:ext cx="3298054" cy="24735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9.69pt;height:194.7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275/2026/0610/VFI-BC.53.A</w:t>
      </w:r>
      <w:r>
        <w:rPr>
          <w:i/>
          <w:lang w:val="pt-BR"/>
        </w:rPr>
        <w:t xml:space="preserve"> </w:t>
      </w:r>
      <w:r>
        <w:rPr>
          <w:i/>
          <w:lang w:val="pt-BR"/>
        </w:rPr>
        <w:t xml:space="preserve"> ngày 20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https://batdongsan.com.vn/ban-dat-duong-quoc-lo-18-phuong-kim-son/ban-nen-tai-trung-tam-do-thi-dong-trieu-quang-ninh-gia-chi-49-trieu-1m2-pr44556952</w:t>
            </w:r>
            <w:r>
              <w:rPr>
                <w:color w:val="000000" w:themeColor="text1"/>
                <w:sz w:val="22"/>
                <w:szCs w:val="22"/>
              </w:rPr>
              <w:br/>
              <w:t xml:space="preserve">0963249196</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Mạo Khê, tỉnh Quảng Ninh. Tài sản cách QL18 khoảng 200m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57226"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0572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98.2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9727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1972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9.2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https://batdongsan.com.vn/ban-dat-nen-du-an-duong-quoc-lo-18-phuong-kim-son/ban-68-trieu-m2-300m2-tai-18-dong-trieu-quang-ninh-pr43713922</w:t>
            </w:r>
            <w:r>
              <w:rPr>
                <w:color w:val="000000" w:themeColor="text1"/>
                <w:sz w:val="22"/>
                <w:szCs w:val="22"/>
              </w:rPr>
              <w:br/>
              <w:t xml:space="preserve">0968666818</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Mạo Khê, tỉnh Quảng Ninh. Tài sản cách QL18 khoảng 200m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2233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02233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95.4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4074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94074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9.0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https://www.facebook.com/share/p/1DkpuryXjC/</w:t>
            </w:r>
            <w:r>
              <w:rPr>
                <w:color w:val="000000" w:themeColor="text1"/>
                <w:sz w:val="22"/>
                <w:szCs w:val="22"/>
              </w:rPr>
              <w:br/>
            </w:r>
            <w:r>
              <w:rPr>
                <w:sz w:val="22"/>
                <w:szCs w:val="22"/>
              </w:rPr>
              <w:t xml:space="preserve">SĐT: </w:t>
            </w:r>
            <w:r>
              <w:rPr>
                <w:color w:val="000000" w:themeColor="text1"/>
                <w:sz w:val="22"/>
                <w:szCs w:val="22"/>
              </w:rPr>
              <w:t xml:space="preserve">0988989236</w:t>
            </w:r>
            <w:r>
              <w:rPr>
                <w:sz w:val="22"/>
                <w:szCs w:val="22"/>
              </w:rPr>
              <w:t xml:space="preserve"> </w:t>
            </w:r>
            <w:r>
              <w:rPr>
                <w:sz w:val="22"/>
                <w:szCs w:val="22"/>
              </w:rPr>
              <w:br/>
              <w:t xml:space="preserve">(Thành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(162m²)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Mạo Khê, tỉnh Quảng Ninh. Tài sản nằm tiếp giáp mặt đường QL18</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66297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666297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524.6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8661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78661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0.6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93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7859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0.6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F67ABE0"/>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2101BE06"/>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4BE92BEB"/>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5CD2E93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14ED184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285</cp:revision>
  <dcterms:created xsi:type="dcterms:W3CDTF">2025-09-15T09:58:00Z</dcterms:created>
  <dcterms:modified xsi:type="dcterms:W3CDTF">2026-04-24T07:49:41Z</dcterms:modified>
</cp:coreProperties>
</file>