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96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6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và Thương mại Thép Đông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591, tờ bản đồ số: 131, có địa chỉ tại Khu phố Cây Thông Ngoài</w:t>
                            </w:r>
                            <w:r>
                              <w:rPr>
                                <w:color w:val="000000"/>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và Thương mại Thép Đông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591, tờ bản đồ số: 131, có địa chỉ tại Khu phố Cây Thông Ngoài</w:t>
                      </w:r>
                      <w:r>
                        <w:rPr>
                          <w:color w:val="000000"/>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519"/>
        <w:gridCol w:w="2591"/>
        <w:gridCol w:w="5669"/>
      </w:tblGrid>
      <w:tr>
        <w:trPr>
          <w:trHeight w:val="1152"/>
        </w:trPr>
        <w:tc>
          <w:tcPr>
            <w:gridSpan w:val="2"/>
            <w:tcBorders/>
            <w:tcW w:w="154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275/2026/0658/VFI-CT.24.A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6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và Thương mại Thép Đông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275/2026/0658/VFI-HĐTĐ.24.A</w:t>
      </w:r>
      <w:r>
        <w:rPr>
          <w:spacing w:val="-4"/>
          <w:lang w:val="vi-VN"/>
        </w:rPr>
        <w:t xml:space="preserve"> ký ngày </w:t>
      </w:r>
      <w:r>
        <w:rPr>
          <w:color w:val="000000" w:themeColor="text1"/>
          <w:spacing w:val="-4"/>
        </w:rPr>
        <w:t xml:space="preserve">29 tháng 4 năm 2026</w:t>
      </w:r>
      <w:r>
        <w:rPr>
          <w:spacing w:val="-4"/>
          <w:lang w:val="vi-VN"/>
        </w:rPr>
        <w:t xml:space="preserve"> </w:t>
      </w:r>
      <w:r>
        <w:rPr>
          <w:spacing w:val="-4"/>
          <w:lang w:val="vi-VN"/>
        </w:rPr>
        <w:t xml:space="preserve">giữa </w:t>
      </w:r>
      <w:r>
        <w:rPr>
          <w:color w:val="000000" w:themeColor="text1"/>
          <w:spacing w:val="-4"/>
        </w:rPr>
        <w:t xml:space="preserve">Công ty Cổ phần Sản xuất và Thương mại Thép Đông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275/2026/0658/VFI-BC.24.A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pacing w:val="-8"/>
                <w:sz w:val="24"/>
              </w:rPr>
              <w:t xml:space="preserve">CÔNG TY CỔ PHẦN SẢN XUẤT VÀ THƯƠNG MẠI THÉP ĐÔNG DƯƠNG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0109097455</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36+38 Đường Phú Thịnh, Phường Sơn Tây, Thành Phố Hà Nội,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Bà Kiều Thị Thu Trang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591, tờ bản đồ số: 131, có địa chỉ tại Khu phố Cây Thông Ngoài</w:t>
      </w:r>
      <w:r>
        <w:rPr>
          <w:color w:val="000000" w:themeColor="text1"/>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186"/>
        <w:gridCol w:w="1276"/>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591, tờ bản đồ số: 131, có địa chỉ tại Khu phố Cây Thông Ngoài</w:t>
            </w:r>
            <w:r>
              <w:rPr>
                <w:b/>
                <w:bCs/>
                <w:color w:val="000000"/>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186" w:type="dxa"/>
            <w:vAlign w:val="center"/>
            <w:textDirection w:val="lrTb"/>
            <w:noWrap w:val="false"/>
          </w:tcPr>
          <w:p>
            <w:pPr>
              <w:pBdr/>
              <w:spacing w:after="40" w:before="40" w:line="288" w:lineRule="auto"/>
              <w:ind/>
              <w:jc w:val="both"/>
              <w:rPr>
                <w:b w:val="0"/>
                <w:bCs w:val="0"/>
              </w:rPr>
            </w:pPr>
            <w:r>
              <w:rPr>
                <w:b w:val="0"/>
                <w:bCs w:val="0"/>
              </w:rPr>
              <w:t xml:space="preserve">Giá trị quyền sử dụng đất</w:t>
            </w:r>
            <w:r>
              <w:rPr>
                <w:b w:val="0"/>
                <w:bCs w:val="0"/>
              </w:rPr>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2.283,9</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8.400.000</w:t>
            </w:r>
            <w:r/>
          </w:p>
        </w:tc>
        <w:tc>
          <w:tcPr>
            <w:shd w:val="clear" w:color="000000" w:fill="ffffff"/>
            <w:tcBorders/>
            <w:tcW w:w="2164" w:type="dxa"/>
            <w:vAlign w:val="center"/>
            <w:textDirection w:val="lrTb"/>
            <w:noWrap w:val="false"/>
          </w:tcPr>
          <w:p>
            <w:pPr>
              <w:pBdr/>
              <w:spacing w:after="40" w:before="40" w:line="288" w:lineRule="auto"/>
              <w:ind/>
              <w:jc w:val="center"/>
              <w:rPr>
                <w:b/>
                <w:bCs/>
                <w:color w:val="000000"/>
              </w:rPr>
            </w:pPr>
            <w:r>
              <w:t xml:space="preserve">19.184.760.000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19.184.760.000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19.185.000.000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 một trăm tám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w:t>
      </w:r>
      <w:r>
        <w:rPr>
          <w:rFonts w:eastAsia="Calibri"/>
          <w:b/>
          <w:spacing w:val="-4"/>
          <w:lang w:val="vi-VN"/>
        </w:rPr>
        <w:t xml:space="preserve">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417"/>
        <w:gridCol w:w="2268"/>
        <w:gridCol w:w="6378"/>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36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275/2026/0658/VFI-CT.24.A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046"/>
        <w:gridCol w:w="283"/>
        <w:gridCol w:w="7451"/>
        <w:gridCol w:w="202"/>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654" w:type="dxa"/>
            <w:vAlign w:val="center"/>
            <w:textDirection w:val="lrTb"/>
            <w:noWrap w:val="false"/>
          </w:tcPr>
          <w:p>
            <w:pPr>
              <w:pBdr/>
              <w:spacing w:after="60" w:before="60" w:line="276" w:lineRule="auto"/>
              <w:ind w:right="-197" w:firstLine="0" w:left="0"/>
              <w:jc w:val="left"/>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046"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CỔ PHẦN SẢN XUẤT VÀ THƯƠNG MẠI THÉP ĐÔNG DƯƠNG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0109097455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36+38 Đường Phú Thịnh, Phường Sơn Tây, Thành Phố Hà Nội,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Kiều Thị Thu Trang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phố Cây Thông Ngoài Cửa Dương đặc khu Phú Quốc tỉnh An Giang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10.248277777778, 103.97705555556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AA</w:t>
      </w:r>
      <w:r>
        <w:rPr>
          <w:bCs/>
          <w:color w:val="000000" w:themeColor="text1"/>
          <w:lang w:val="pt-BR"/>
        </w:rPr>
        <w:t xml:space="preserve">03592601 số vào sổ cấp GCN số CN 1498 tại thửa đất số: 591, tờ bản đồ số: 131, có địa chỉ tại Khu phố Cây Thông Ngoài Cửa Dương, đặc khu Phú Quốc, tỉnh An Giang do Chi nhánh văn phòng đăng ký đất đai đặc khu Phú Quốc cấp ngày 09/3/2026 cho ông Nguyễn Bá Đa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275/2026/0658/VFI-HĐTĐ.24.A ngày 29/04/2026 giữa Công ty Cổ phần Sản xuất và Thương mại Thép Đông Dương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Thị trường bất động sản Phú Quốc đang trải qua cuộc "thay máu" về tư duy phát triển. Không còn những cơn sóng đất nền phân lô hay dự án cam kết lợi nhuận ảo, địa ốc đảo Ngọc năm 2026 chọn cách đi chậm nhưng chắc, tập trung vào giá trị thực và vận hành lâu </w:t>
      </w:r>
      <w:r>
        <w:rPr>
          <w:color w:val="000000" w:themeColor="text1"/>
          <w:lang w:val="pt-BR"/>
        </w:rPr>
        <w:t xml:space="preserve">dài.</w:t>
      </w:r>
      <w:r>
        <w:rPr>
          <w:color w:val="000000" w:themeColor="text1"/>
          <w:lang w:val="pt-BR"/>
          <w14:ligatures w14:val="none"/>
        </w:rPr>
      </w:r>
      <w:r>
        <w:rPr>
          <w:color w:val="000000" w:themeColor="text1"/>
          <w:lang w:val="pt-BR"/>
          <w14:ligatures w14:val="none"/>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Sự sàng lọc mạnh mẽ này đang đẩy dòng tiền về những dự án có hạ tầng quy hoạch bài bản, pháp lý rõ ràng và khả năng đón khách du lịch ổn định quanh năm.</w:t>
      </w:r>
      <w:r>
        <w:rPr>
          <w:color w:val="000000" w:themeColor="text1"/>
          <w:lang w:val="pt-BR"/>
          <w14:ligatures w14:val="none"/>
        </w:rPr>
      </w:r>
      <w:r>
        <w:rPr>
          <w:color w:val="000000" w:themeColor="text1"/>
          <w:lang w:val="pt-BR"/>
          <w14:ligatures w14:val="none"/>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Sự đầu tư bài bản về hạ tầng giao thông kết hợp với hạ tầng du lịch nghỉ dưỡng sẵn có là lời giải cho bài toán thu hút du khách cao cấp, đặc biệt là nâng mức chi tiêu. Ông Nguyễn Văn Đính, Phó Chủ tịch Hiệp hội Bất động sản Việt Nam nhận định: Càng đầu tư </w:t>
      </w:r>
      <w:r>
        <w:rPr>
          <w:color w:val="000000" w:themeColor="text1"/>
          <w:lang w:val="pt-BR"/>
        </w:rPr>
        <w:t xml:space="preserve">vào chất lượng thì nội hàm giá trị càng cao. Hiện bình quân chi tiêu của khách du lịch ở Việt Nam chưa đến 100 USD/ngày, thấp hơn nhiều so với Singapore hay Thái Lan. Muốn giữ chân nhóm khách thượng lưu - những người sẵn sàng chi tiêu mạnh tay và ở lại lâu</w:t>
      </w:r>
      <w:r>
        <w:rPr>
          <w:color w:val="000000" w:themeColor="text1"/>
          <w:lang w:val="pt-BR"/>
        </w:rPr>
        <w:t xml:space="preserve"> hơn, Phú Quốc buộc phải có những công trình đẳng cấp. Những sản phẩm được kiến tạo phục vụ APEC chính là tài sản có giá trị khai thác lâu dài sau sự kiện.</w:t>
      </w:r>
      <w:r>
        <w:rPr>
          <w:color w:val="000000" w:themeColor="text1"/>
          <w:lang w:val="pt-BR"/>
          <w14:ligatures w14:val="none"/>
        </w:rPr>
      </w:r>
      <w:r>
        <w:rPr>
          <w:color w:val="000000" w:themeColor="text1"/>
          <w:lang w:val="pt-BR"/>
          <w14:ligatures w14:val="none"/>
        </w:rPr>
      </w:r>
    </w:p>
    <w:p>
      <w:pPr>
        <w:pStyle w:val="102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Theo ông Đính, nhà đầu tư BĐS thông minh hiện nay đang có xu hướng chọn các khu vực có hệ sinh thái hoàn chỉnh để hưởng lợi từ giá trị cộng hưởng này.</w:t>
      </w:r>
      <w:r>
        <w:rPr>
          <w:color w:val="000000" w:themeColor="text1"/>
          <w:lang w:val="pt-BR"/>
          <w14:ligatures w14:val="none"/>
        </w:rPr>
      </w:r>
      <w:r>
        <w:rPr>
          <w:color w:val="000000" w:themeColor="text1"/>
          <w:lang w:val="pt-BR"/>
          <w14:ligatures w14:val="none"/>
        </w:rPr>
      </w:r>
    </w:p>
    <w:p>
      <w:pPr>
        <w:pStyle w:val="1025"/>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Thực tế trên thị trường đang chứng minh rằng, Phú Quốc không còn là cuộc chơi của những nhà đầu tư ngắn hạn. Đây là kỷ nguyên của những "ông lớn" và sản phẩm gắn liền với hạ tầng đồng bộ, quy hoạch bài bản, pháp lý rõ ràng và có giá trị gia tăng cao. Việc </w:t>
      </w:r>
      <w:r>
        <w:rPr>
          <w:color w:val="000000" w:themeColor="text1"/>
          <w:lang w:val="pt-BR"/>
        </w:rPr>
        <w:t xml:space="preserve">nắm bắt cơ hội đầu tư sớm các dự án trọng điểm như The Sunset trong giai đoạn kiến thiết hạ tầng 2025-2027 chính là cách đón đầu chu kỳ tăng trưởng bền vững nhất của đảo Ngọc. Đó là khi mỗi mét vuông bất động sản đều được bảo chứng bởi sức hút du lịch toàn</w:t>
      </w:r>
      <w:r>
        <w:rPr>
          <w:color w:val="000000" w:themeColor="text1"/>
          <w:lang w:val="pt-BR"/>
        </w:rPr>
        <w:t xml:space="preserve"> cầu và những công trình hạ tầng mang tầm quốc tế.</w:t>
      </w:r>
      <w:r>
        <w:rPr>
          <w:color w:val="000000" w:themeColor="text1"/>
          <w:lang w:val="pt-BR"/>
          <w14:ligatures w14:val="none"/>
        </w:rPr>
      </w:r>
      <w:r>
        <w:rPr>
          <w:color w:val="000000" w:themeColor="text1"/>
          <w:lang w:val="pt-BR"/>
          <w14:ligatures w14:val="none"/>
        </w:rPr>
      </w:r>
    </w:p>
    <w:p>
      <w:pPr>
        <w:pBdr/>
        <w:tabs>
          <w:tab w:val="left" w:leader="none" w:pos="993"/>
        </w:tabs>
        <w:spacing w:after="120" w:before="120" w:line="276" w:lineRule="auto"/>
        <w:ind w:firstLine="0" w:left="360"/>
        <w:jc w:val="both"/>
        <w:rPr>
          <w:color w:val="000000" w:themeColor="text1"/>
          <w:highlight w:val="none"/>
          <w:lang w:val="pt-BR" w:bidi="pt-BR"/>
          <w14:ligatures w14:val="none"/>
        </w:rPr>
      </w:pPr>
      <w:r>
        <w:rPr>
          <w:color w:val="000000" w:themeColor="text1"/>
          <w:highlight w:val="none"/>
          <w:lang w:val="pt-BR" w:bidi="pt-BR"/>
        </w:rPr>
        <w:t xml:space="preserve">Nguồn:</w:t>
      </w:r>
      <w:r>
        <w:rPr>
          <w:i/>
          <w:iCs/>
          <w:color w:val="000000" w:themeColor="text1"/>
          <w:highlight w:val="none"/>
          <w:lang w:val="pt-BR" w:bidi="pt-BR"/>
        </w:rPr>
        <w:t xml:space="preserve">https://cafef.vn/bat-dong-san-phu-quoc-buoc-sang-chu-ki-tang-truong-an-tuong-188260416161956354.chn</w:t>
      </w:r>
      <w:r>
        <w:rPr>
          <w:color w:val="000000" w:themeColor="text1"/>
          <w:highlight w:val="none"/>
          <w:lang w:val="pt-BR" w:bidi="pt-BR"/>
          <w14:ligatures w14:val="none"/>
        </w:rPr>
      </w:r>
      <w:r>
        <w:rPr>
          <w:color w:val="000000" w:themeColor="text1"/>
          <w:highlight w:val="none"/>
          <w:lang w:val="pt-BR" w:bidi="pt-BR"/>
          <w14:ligatures w14:val="non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591, tờ bản đồ số: 131, có địa chỉ tại Khu phố Cây Thông Ngoài</w:t>
            </w:r>
            <w:r>
              <w:rPr>
                <w:b/>
                <w:bCs/>
                <w:color w:val="000000"/>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phố Cây Thông Ngoài Cửa Dương đặc khu Phú Quốc tỉnh An Giang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2.283,9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 (ONT): 250m2</w:t>
            </w:r>
            <w:r>
              <w:rPr>
                <w:color w:val="000000" w:themeColor="text1"/>
              </w:rPr>
            </w:r>
            <w:r>
              <w:rPr>
                <w:color w:val="000000" w:themeColor="text1"/>
              </w:rPr>
            </w:r>
          </w:p>
          <w:p>
            <w:pPr>
              <w:pBdr/>
              <w:spacing/>
              <w:ind/>
              <w:jc w:val="center"/>
              <w:rPr>
                <w:color w:val="000000"/>
              </w:rPr>
            </w:pPr>
            <w:r>
              <w:rPr>
                <w:color w:val="000000" w:themeColor="text1"/>
              </w:rPr>
              <w:t xml:space="preserve"> Đất trồng cây lâu năm (CLN): 2033,9m2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Đất ở tại nông thôn (ONT): Lâu dài</w:t>
            </w:r>
            <w:r>
              <w:rPr>
                <w:color w:val="000000" w:themeColor="text1"/>
              </w:rPr>
            </w:r>
            <w:r>
              <w:rPr>
                <w:color w:val="000000" w:themeColor="text1"/>
              </w:rPr>
            </w:r>
          </w:p>
          <w:p>
            <w:pPr>
              <w:pBdr/>
              <w:spacing/>
              <w:ind/>
              <w:jc w:val="center"/>
              <w:rPr>
                <w:color w:val="000000"/>
              </w:rPr>
            </w:pPr>
            <w:r>
              <w:rPr>
                <w:color w:val="000000" w:themeColor="text1"/>
              </w:rPr>
              <w:t xml:space="preserve"> Đất trồng cây lâu năm (CLN): Tháng 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abs>
                <w:tab w:val="left" w:leader="none" w:pos="462"/>
              </w:tabs>
              <w:spacing/>
              <w:ind/>
              <w:jc w:val="both"/>
              <w:rPr/>
            </w:pPr>
            <w:r>
              <w:rPr>
                <w:color w:val="000000"/>
              </w:rPr>
            </w:r>
            <w:r>
              <w:rPr>
                <w:color w:val="000000"/>
              </w:rPr>
              <w:t xml:space="preserve">Tại thời điểm thẩm định giá, Tổ thẩm định không thu thập được</w:t>
            </w:r>
            <w:r>
              <w:rPr>
                <w:color w:val="000000"/>
              </w:rPr>
            </w:r>
            <w:r/>
          </w:p>
          <w:p>
            <w:pPr>
              <w:pBdr/>
              <w:tabs>
                <w:tab w:val="left" w:leader="none" w:pos="462"/>
              </w:tabs>
              <w:spacing/>
              <w:ind/>
              <w:jc w:val="both"/>
              <w:rPr>
                <w:color w:val="000000"/>
              </w:rPr>
            </w:pPr>
            <w:r>
              <w:rPr>
                <w:color w:val="000000"/>
              </w:rPr>
              <w:t xml:space="preserve">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Cây Thông Ngoài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Cây Thông Ngoài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Bắc giáp đường Cây Thông Ngoài</w:t>
            </w:r>
            <w:r>
              <w:rPr>
                <w:highlight w:val="none"/>
              </w:rPr>
            </w:r>
            <w:r>
              <w:rPr>
                <w:highlight w:val="none"/>
              </w:rPr>
            </w:r>
          </w:p>
          <w:p>
            <w:pPr>
              <w:pBdr/>
              <w:spacing/>
              <w:ind/>
              <w:rPr>
                <w:highlight w:val="none"/>
              </w:rPr>
            </w:pPr>
            <w:r>
              <w:rPr>
                <w:highlight w:val="none"/>
              </w:rPr>
              <w:t xml:space="preserve">Hướng Tây Nam giáp ngõ be tông</w:t>
            </w:r>
            <w:r>
              <w:rPr>
                <w:highlight w:val="none"/>
              </w:rPr>
            </w:r>
            <w:r>
              <w:rPr>
                <w:highlight w:val="none"/>
              </w:rPr>
            </w:r>
          </w:p>
          <w:p>
            <w:pPr>
              <w:pBdr/>
              <w:spacing/>
              <w:ind/>
              <w:rPr>
                <w:color w:val="000000" w:themeColor="text1"/>
              </w:rPr>
            </w:pPr>
            <w:r>
              <w:rPr>
                <w:highlight w:val="none"/>
              </w:rPr>
              <w:t xml:space="preserve">Các hướng còn lại tiếp giáp bất động sản khác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10.248277777778</w:t>
            </w:r>
            <w:r>
              <w:rPr>
                <w:color w:val="000000"/>
              </w:rPr>
              <w:t xml:space="preserve">, </w:t>
            </w:r>
            <w:r>
              <w:rPr>
                <w:color w:val="000000"/>
              </w:rPr>
              <w:t xml:space="preserve">103.97705555556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
              <mc:AlternateContent>
                <mc:Choice Requires="wpg">
                  <w:drawing>
                    <wp:inline xmlns:wp="http://schemas.openxmlformats.org/drawingml/2006/wordprocessingDrawing" distT="0" distB="0" distL="0" distR="0">
                      <wp:extent cx="5456895" cy="28506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81730" name=""/>
                              <pic:cNvPicPr>
                                <a:picLocks noChangeAspect="1"/>
                              </pic:cNvPicPr>
                              <pic:nvPr/>
                            </pic:nvPicPr>
                            <pic:blipFill rotWithShape="1">
                              <a:blip r:embed="rId17"/>
                              <a:stretch/>
                            </pic:blipFill>
                            <pic:spPr bwMode="auto">
                              <a:xfrm flipH="0" flipV="0">
                                <a:off x="0" y="0"/>
                                <a:ext cx="5456894" cy="2850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24.46pt;mso-wrap-distance-left:0.00pt;mso-wrap-distance-top:0.00pt;mso-wrap-distance-right:0.00pt;mso-wrap-distance-bottom:0.00pt;z-index:1;" stroked="false">
                      <v:imagedata r:id="rId17" o:title=""/>
                      <o:lock v:ext="edit" rotation="t"/>
                    </v:shape>
                  </w:pict>
                </mc:Fallback>
              </mc:AlternateContent>
            </w:r>
            <w:r/>
            <w:r>
              <w:rPr>
                <w:color w:val="000000"/>
              </w:rPr>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2.283,9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2.283,9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17,04</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 và 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Công trình xây dựng trên đất là nhà 01 tầng đã hoàn thiện và đang sử dụng bình thường. Công trình xây dựng chư được chứng nhận trên GCN số </w:t>
            </w:r>
            <w:r>
              <w:rPr>
                <w:color w:val="000000"/>
              </w:rPr>
              <w:t xml:space="preserve">AA03592601</w:t>
            </w:r>
            <w:r>
              <w:rPr>
                <w:rFonts w:ascii="Times New Roman" w:hAnsi="Times New Roman" w:eastAsia="Times New Roman" w:cs="Times New Roman"/>
                <w:color w:val="000000"/>
                <w:sz w:val="24"/>
              </w:rPr>
              <w:t xml:space="preserve">. Do vậy, được sự đồng ý của Ngân hàng, khách hàng, Tổ thẩm định không xác định giá trị của công trình xây dự</w:t>
            </w:r>
            <w:r>
              <w:rPr>
                <w:rFonts w:ascii="Times New Roman" w:hAnsi="Times New Roman" w:eastAsia="Times New Roman" w:cs="Times New Roman"/>
                <w:color w:val="000000"/>
                <w:sz w:val="24"/>
              </w:rPr>
              <w:t xml:space="preserve">ng tuy nhiên vẫn coi công trình là phần không thể tách rời của tài sản thẩm định. Các bên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63"/>
        <w:gridCol w:w="1728"/>
        <w:gridCol w:w="1843"/>
        <w:gridCol w:w="1276"/>
        <w:gridCol w:w="1838"/>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728"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838"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728" w:type="dxa"/>
            <w:vAlign w:val="center"/>
            <w:textDirection w:val="lrTb"/>
            <w:noWrap w:val="false"/>
          </w:tcPr>
          <w:p>
            <w:pPr>
              <w:pBdr/>
              <w:spacing/>
              <w:ind/>
              <w:jc w:val="center"/>
              <w:rPr/>
            </w:pPr>
            <w:r>
              <w:t xml:space="preserve">Khu phố Cây Thông Ngoài Cửa Dương đặc khu Phú Quốc tỉnh An Giang ✔</w:t>
            </w:r>
            <w:r/>
          </w:p>
        </w:tc>
        <w:tc>
          <w:tcPr>
            <w:tcBorders/>
            <w:tcW w:w="1843" w:type="dxa"/>
            <w:vAlign w:val="center"/>
            <w:textDirection w:val="lrTb"/>
            <w:noWrap w:val="false"/>
          </w:tcPr>
          <w:p>
            <w:pPr>
              <w:pBdr/>
              <w:spacing/>
              <w:ind/>
              <w:jc w:val="center"/>
              <w:rPr/>
            </w:pPr>
            <w:r>
              <w:t xml:space="preserve">Khu phố Cây Thông Ngoài Cửa Dương đặc khu Phú Quốc tỉnh An Giang ✔</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728" w:type="dxa"/>
            <w:vAlign w:val="center"/>
            <w:textDirection w:val="lrTb"/>
            <w:noWrap w:val="false"/>
          </w:tcPr>
          <w:p>
            <w:pPr>
              <w:pBdr/>
              <w:spacing/>
              <w:ind/>
              <w:jc w:val="center"/>
              <w:rPr/>
            </w:pPr>
            <w:r>
              <w:t xml:space="preserve">Khu phố Cây Thông Ngoài Cửa Dương đặc khu Phú Quốc tỉnh An Giang ✔</w:t>
            </w:r>
            <w:r/>
          </w:p>
        </w:tc>
        <w:tc>
          <w:tcPr>
            <w:tcBorders/>
            <w:tcW w:w="1843" w:type="dxa"/>
            <w:vAlign w:val="center"/>
            <w:textDirection w:val="lrTb"/>
            <w:noWrap w:val="false"/>
          </w:tcPr>
          <w:p>
            <w:pPr>
              <w:pBdr/>
              <w:spacing/>
              <w:ind/>
              <w:jc w:val="center"/>
              <w:rPr/>
            </w:pPr>
            <w:r>
              <w:t xml:space="preserve">Khu phố Cây Thông Ngoài Cửa Dương đặc khu Phú Quốc tỉnh An Giang ✔</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728"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843" w:type="dxa"/>
            <w:vAlign w:val="center"/>
            <w:textDirection w:val="lrTb"/>
            <w:noWrap w:val="false"/>
          </w:tcPr>
          <w:p>
            <w:pPr>
              <w:pBdr/>
              <w:spacing/>
              <w:ind/>
              <w:jc w:val="center"/>
              <w:rPr/>
            </w:pPr>
            <w:r>
              <w:t xml:space="preserve">Giấy chứng nhận quyền sử dụng đất, quyền sở hữu tài sản gắn liền với đất</w:t>
            </w:r>
            <w:r>
              <w:t xml:space="preserve">✔</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728" w:type="dxa"/>
            <w:vAlign w:val="center"/>
            <w:textDirection w:val="lrTb"/>
            <w:noWrap w:val="false"/>
          </w:tcPr>
          <w:p>
            <w:pPr>
              <w:pBdr/>
              <w:spacing/>
              <w:ind/>
              <w:jc w:val="center"/>
              <w:rPr/>
            </w:pPr>
            <w:r>
              <w:t xml:space="preserve">Đất ở nông thôn, Đất trồng cây lâu năm ✔</w:t>
            </w:r>
            <w:r/>
          </w:p>
        </w:tc>
        <w:tc>
          <w:tcPr>
            <w:tcBorders/>
            <w:tcW w:w="1843" w:type="dxa"/>
            <w:vAlign w:val="center"/>
            <w:textDirection w:val="lrTb"/>
            <w:noWrap w:val="false"/>
          </w:tcPr>
          <w:p>
            <w:pPr>
              <w:pBdr/>
              <w:spacing/>
              <w:ind/>
              <w:jc w:val="center"/>
              <w:rPr/>
            </w:pPr>
            <w:r>
              <w:t xml:space="preserve">Đất ở nông thôn, Đất trồng cây lâu năm ✔</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728" w:type="dxa"/>
            <w:vAlign w:val="center"/>
            <w:textDirection w:val="lrTb"/>
            <w:noWrap w:val="false"/>
          </w:tcPr>
          <w:p>
            <w:pPr>
              <w:pBdr/>
              <w:spacing/>
              <w:ind/>
              <w:jc w:val="center"/>
              <w:rPr>
                <w:color w:val="000000" w:themeColor="text1"/>
              </w:rPr>
            </w:pPr>
            <w:r>
              <w:rPr>
                <w:color w:val="000000" w:themeColor="text1"/>
              </w:rPr>
              <w:t xml:space="preserve">Đất ở tại nông thôn (ONT): Lâu dài</w:t>
            </w:r>
            <w:r>
              <w:rPr>
                <w:color w:val="000000" w:themeColor="text1"/>
              </w:rPr>
            </w:r>
            <w:r>
              <w:rPr>
                <w:color w:val="000000" w:themeColor="text1"/>
              </w:rPr>
            </w:r>
          </w:p>
          <w:p>
            <w:pPr>
              <w:pBdr/>
              <w:spacing/>
              <w:ind/>
              <w:jc w:val="center"/>
              <w:rPr>
                <w:color w:val="000000"/>
              </w:rPr>
            </w:pPr>
            <w:r>
              <w:rPr>
                <w:color w:val="000000" w:themeColor="text1"/>
              </w:rPr>
              <w:t xml:space="preserve"> Đất trồng cây lâu năm (CLN): Tháng 10/2043</w:t>
            </w:r>
            <w:r>
              <w:rPr>
                <w:color w:val="000000"/>
              </w:rPr>
            </w:r>
            <w:r>
              <w:rPr>
                <w:color w:val="000000"/>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Đất ở tại nông thôn (ONT): Lâu dài</w:t>
            </w:r>
            <w:r>
              <w:rPr>
                <w:color w:val="000000" w:themeColor="text1"/>
              </w:rPr>
            </w:r>
            <w:r>
              <w:rPr>
                <w:color w:val="000000" w:themeColor="text1"/>
              </w:rPr>
            </w:r>
          </w:p>
          <w:p>
            <w:pPr>
              <w:pBdr/>
              <w:spacing/>
              <w:ind/>
              <w:jc w:val="center"/>
              <w:rPr>
                <w:color w:val="000000"/>
              </w:rPr>
            </w:pPr>
            <w:r>
              <w:rPr>
                <w:color w:val="000000" w:themeColor="text1"/>
              </w:rPr>
              <w:t xml:space="preserve"> Đất trồng cây lâu năm (CLN): Tháng 10/2043</w:t>
            </w:r>
            <w:r>
              <w:t xml:space="preserve">✔</w:t>
            </w:r>
            <w:r>
              <w:rPr>
                <w:color w:val="000000"/>
              </w:rPr>
            </w:r>
            <w:r>
              <w:rPr>
                <w:color w:val="000000"/>
              </w:rP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728" w:type="dxa"/>
            <w:vAlign w:val="center"/>
            <w:textDirection w:val="lrTb"/>
            <w:noWrap w:val="false"/>
          </w:tcPr>
          <w:p>
            <w:pPr>
              <w:pBdr/>
              <w:spacing/>
              <w:ind/>
              <w:jc w:val="center"/>
              <w:rPr/>
            </w:pPr>
            <w:r>
              <w:t xml:space="preserve">13,7 ✔</w:t>
            </w:r>
            <w:r/>
          </w:p>
        </w:tc>
        <w:tc>
          <w:tcPr>
            <w:tcBorders/>
            <w:tcW w:w="1843" w:type="dxa"/>
            <w:vAlign w:val="center"/>
            <w:textDirection w:val="lrTb"/>
            <w:noWrap w:val="false"/>
          </w:tcPr>
          <w:p>
            <w:pPr>
              <w:pBdr/>
              <w:spacing/>
              <w:ind/>
              <w:jc w:val="center"/>
              <w:rPr/>
            </w:pPr>
            <w:r>
              <w:t xml:space="preserve">10</w:t>
            </w:r>
            <w:r/>
          </w:p>
        </w:tc>
        <w:tc>
          <w:tcPr>
            <w:tcBorders/>
            <w:tcW w:w="1276" w:type="dxa"/>
            <w:vAlign w:val="center"/>
            <w:textDirection w:val="lrTb"/>
            <w:noWrap w:val="false"/>
          </w:tcPr>
          <w:p>
            <w:pPr>
              <w:pBdr/>
              <w:spacing/>
              <w:ind/>
              <w:jc w:val="center"/>
              <w:rPr/>
            </w:pPr>
            <w:r>
              <w:t xml:space="preserve">-3,7</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728" w:type="dxa"/>
            <w:vAlign w:val="center"/>
            <w:textDirection w:val="lrTb"/>
            <w:noWrap w:val="false"/>
          </w:tcPr>
          <w:p>
            <w:pPr>
              <w:pBdr/>
              <w:spacing/>
              <w:ind/>
              <w:jc w:val="center"/>
              <w:rPr/>
            </w:pPr>
            <w:r>
              <w:t xml:space="preserve">2.283,9</w:t>
            </w:r>
            <w:r/>
          </w:p>
        </w:tc>
        <w:tc>
          <w:tcPr>
            <w:tcBorders/>
            <w:tcW w:w="1843" w:type="dxa"/>
            <w:vAlign w:val="center"/>
            <w:textDirection w:val="lrTb"/>
            <w:noWrap w:val="false"/>
          </w:tcPr>
          <w:p>
            <w:pPr>
              <w:pBdr/>
              <w:spacing/>
              <w:ind/>
              <w:jc w:val="center"/>
              <w:rPr/>
            </w:pPr>
            <w:r>
              <w:t xml:space="preserve">2.283,9 ✔</w:t>
            </w:r>
            <w:r/>
          </w:p>
        </w:tc>
        <w:tc>
          <w:tcPr>
            <w:tcBorders/>
            <w:tcW w:w="1276"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Height w:val="306"/>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728" w:type="dxa"/>
            <w:vAlign w:val="center"/>
            <w:textDirection w:val="lrTb"/>
            <w:noWrap w:val="false"/>
          </w:tcPr>
          <w:p>
            <w:pPr>
              <w:pBdr/>
              <w:spacing/>
              <w:ind/>
              <w:jc w:val="center"/>
              <w:rPr/>
            </w:pPr>
            <w:r>
              <w:t xml:space="preserve">17,04</w:t>
            </w:r>
            <w:r/>
          </w:p>
        </w:tc>
        <w:tc>
          <w:tcPr>
            <w:tcBorders/>
            <w:tcW w:w="1843" w:type="dxa"/>
            <w:vAlign w:val="center"/>
            <w:textDirection w:val="lrTb"/>
            <w:noWrap w:val="false"/>
          </w:tcPr>
          <w:p>
            <w:pPr>
              <w:pBdr/>
              <w:spacing/>
              <w:ind/>
              <w:jc w:val="center"/>
              <w:rPr/>
            </w:pPr>
            <w:r>
              <w:t xml:space="preserve">17,04 ✔</w:t>
            </w:r>
            <w:r/>
          </w:p>
        </w:tc>
        <w:tc>
          <w:tcPr>
            <w:tcBorders/>
            <w:tcW w:w="1276"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728" w:type="dxa"/>
            <w:vAlign w:val="center"/>
            <w:textDirection w:val="lrTb"/>
            <w:noWrap w:val="false"/>
          </w:tcPr>
          <w:p>
            <w:pPr>
              <w:pBdr/>
              <w:spacing/>
              <w:ind/>
              <w:jc w:val="center"/>
              <w:rPr/>
            </w:pPr>
            <w:r>
              <w:t xml:space="preserve">Tiếp giáp 1 mặt tiền</w:t>
            </w:r>
            <w:r/>
          </w:p>
        </w:tc>
        <w:tc>
          <w:tcPr>
            <w:tcBorders/>
            <w:tcW w:w="1843" w:type="dxa"/>
            <w:vAlign w:val="center"/>
            <w:textDirection w:val="lrTb"/>
            <w:noWrap w:val="false"/>
          </w:tcPr>
          <w:p>
            <w:pPr>
              <w:pBdr/>
              <w:spacing/>
              <w:ind/>
              <w:jc w:val="center"/>
              <w:rPr/>
            </w:pPr>
            <w:r>
              <w:t xml:space="preserve">Tiếp giáp góc 1 mặt đường, phố + 1 mặt ngõ ✔</w:t>
            </w:r>
            <w:r/>
          </w:p>
        </w:tc>
        <w:tc>
          <w:tcPr>
            <w:tcBorders/>
            <w:tcW w:w="1276" w:type="dxa"/>
            <w:vAlign w:val="center"/>
            <w:textDirection w:val="lrTb"/>
            <w:noWrap w:val="false"/>
          </w:tcPr>
          <w:p>
            <w:pPr>
              <w:pBdr/>
              <w:spacing/>
              <w:ind/>
              <w:jc w:val="center"/>
              <w:rPr/>
            </w:pPr>
            <w:r>
              <w:t xml:space="preserve">Có</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728" w:type="dxa"/>
            <w:vAlign w:val="center"/>
            <w:textDirection w:val="lrTb"/>
            <w:noWrap w:val="false"/>
          </w:tcPr>
          <w:p>
            <w:pPr>
              <w:pBdr/>
              <w:spacing/>
              <w:ind/>
              <w:jc w:val="center"/>
              <w:rPr/>
            </w:pPr>
            <w:r>
              <w:t xml:space="preserve">Đa giác khác</w:t>
            </w:r>
            <w:r/>
          </w:p>
        </w:tc>
        <w:tc>
          <w:tcPr>
            <w:tcBorders/>
            <w:tcW w:w="1843" w:type="dxa"/>
            <w:vAlign w:val="center"/>
            <w:textDirection w:val="lrTb"/>
            <w:noWrap w:val="false"/>
          </w:tcPr>
          <w:p>
            <w:pPr>
              <w:pBdr/>
              <w:spacing/>
              <w:ind/>
              <w:jc w:val="center"/>
              <w:rPr/>
            </w:pPr>
            <w:r>
              <w:t xml:space="preserve">Đa giác khác ✔</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728" w:type="dxa"/>
            <w:vAlign w:val="center"/>
            <w:textDirection w:val="lrTb"/>
            <w:noWrap w:val="false"/>
          </w:tcPr>
          <w:p>
            <w:pPr>
              <w:pBdr/>
              <w:spacing/>
              <w:ind/>
              <w:jc w:val="center"/>
              <w:rPr/>
            </w:pPr>
            <w:r>
              <w:t xml:space="preserve">Đông Bắc </w:t>
            </w:r>
            <w:r/>
          </w:p>
        </w:tc>
        <w:tc>
          <w:tcPr>
            <w:tcBorders/>
            <w:tcW w:w="1843" w:type="dxa"/>
            <w:vAlign w:val="center"/>
            <w:textDirection w:val="lrTb"/>
            <w:noWrap w:val="false"/>
          </w:tcPr>
          <w:p>
            <w:pPr>
              <w:pBdr/>
              <w:spacing/>
              <w:ind/>
              <w:jc w:val="center"/>
              <w:rPr/>
            </w:pPr>
            <w:r>
              <w:t xml:space="preserve">Đông Bắc ✔</w:t>
            </w:r>
            <w:r/>
          </w:p>
        </w:tc>
        <w:tc>
          <w:tcPr>
            <w:tcBorders/>
            <w:tcW w:w="1276"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417"/>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417"/>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rFonts w:ascii="Times New Roman" w:hAnsi="Times New Roman" w:eastAsia="Times New Roman" w:cs="Times New Roman"/>
          <w:color w:val="000000"/>
          <w:sz w:val="24"/>
        </w:rPr>
        <w:t xml:space="preserve">Công trình xây dựng chư được chứng nhận trên GCN số </w:t>
      </w:r>
      <w:r>
        <w:rPr>
          <w:color w:val="000000"/>
        </w:rPr>
        <w:t xml:space="preserve">AA03592601</w:t>
      </w:r>
      <w:r>
        <w:rPr>
          <w:rFonts w:ascii="Times New Roman" w:hAnsi="Times New Roman" w:eastAsia="Times New Roman" w:cs="Times New Roman"/>
          <w:color w:val="000000"/>
          <w:sz w:val="24"/>
        </w:rPr>
        <w:t xml:space="preserve">. Do vậy, được sự đồng ý của Ngân hàng, khách hàng, Tổ thẩm định không xác định giá trị của công trình xây dự</w:t>
      </w:r>
      <w:r>
        <w:rPr>
          <w:rFonts w:ascii="Times New Roman" w:hAnsi="Times New Roman" w:eastAsia="Times New Roman" w:cs="Times New Roman"/>
          <w:color w:val="000000"/>
          <w:sz w:val="24"/>
        </w:rPr>
        <w:t xml:space="preserve">ng tuy nhiên vẫn coi công trình là phần không thể tách rời của tài sản thẩm định. Các bên sử dụng kết quả lưu ý!</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w:t>
            </w:r>
            <w:r>
              <w:rPr>
                <w:sz w:val="22"/>
                <w:szCs w:val="22"/>
              </w:rPr>
            </w:r>
            <w:r>
              <w:rPr>
                <w:sz w:val="22"/>
                <w:szCs w:val="22"/>
              </w:rP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https://www.facebook.com/groups/592946738028945/posts/2000964857227119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trục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0899939268</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0703819194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0981 834 147</w:t>
            </w:r>
            <w:r>
              <w:rPr>
                <w:sz w:val="22"/>
                <w:szCs w:val="22"/>
              </w:rPr>
              <w:br/>
            </w:r>
            <w:r>
              <w:rPr>
                <w:sz w:val="22"/>
                <w:szCs w:val="22"/>
              </w:rPr>
              <w:t xml:space="preserve">(</w:t>
            </w:r>
            <w:r>
              <w:rPr>
                <w:sz w:val="22"/>
                <w:szCs w:val="22"/>
              </w:rPr>
              <w:t xml:space="preserve">Phúc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Lâu dài</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t xml:space="preserve">Đất TCLN: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Lâu dài</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t xml:space="preserve">Đất TCLN: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Lâu dài</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t xml:space="preserve">Đất TCLN: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Lâu dài</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t xml:space="preserve">Đất TCLN: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0"/>
                <w:szCs w:val="20"/>
              </w:rPr>
            </w:pPr>
            <w:r>
              <w:rPr>
                <w:color w:val="000000" w:themeColor="text1"/>
                <w:sz w:val="22"/>
                <w:szCs w:val="22"/>
              </w:rPr>
              <w:t xml:space="preserve">6.375.000.000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64" w:lineRule="auto"/>
              <w:ind/>
              <w:jc w:val="center"/>
              <w:rPr>
                <w:color w:val="000000"/>
                <w:sz w:val="20"/>
                <w:szCs w:val="20"/>
              </w:rPr>
            </w:pPr>
            <w:r>
              <w:rPr>
                <w:color w:val="000000" w:themeColor="text1"/>
                <w:sz w:val="22"/>
                <w:szCs w:val="22"/>
              </w:rPr>
              <w:t xml:space="preserve">6.035.000.000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64" w:lineRule="auto"/>
              <w:ind/>
              <w:jc w:val="center"/>
              <w:rPr>
                <w:color w:val="000000"/>
                <w:sz w:val="20"/>
                <w:szCs w:val="20"/>
              </w:rPr>
            </w:pPr>
            <w:r>
              <w:rPr>
                <w:color w:val="000000" w:themeColor="text1"/>
                <w:sz w:val="22"/>
                <w:szCs w:val="22"/>
              </w:rPr>
              <w:t xml:space="preserve">5.850.000.000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 (250m²), Đất trồng cây lâu năm (2033.9m²)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shd w:val="clear" w:color="000000" w:fill="ffffff"/>
            <w:tcBorders/>
            <w:tcW w:w="1522" w:type="dxa"/>
            <w:vAlign w:val="center"/>
            <w:textDirection w:val="lrTb"/>
            <w:noWrap w:val="false"/>
          </w:tcPr>
          <w:p>
            <w:pPr>
              <w:pBdr/>
              <w:spacing w:line="264" w:lineRule="auto"/>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shd w:val="clear" w:color="000000" w:fill="ffffff"/>
            <w:tcBorders/>
            <w:tcW w:w="1522" w:type="dxa"/>
            <w:vAlign w:val="center"/>
            <w:textDirection w:val="lrTb"/>
            <w:noWrap w:val="false"/>
          </w:tcPr>
          <w:p>
            <w:pPr>
              <w:pBdr/>
              <w:spacing w:line="264" w:lineRule="auto"/>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c>
          <w:tcPr>
            <w:shd w:val="clear" w:color="000000" w:fill="ffffff"/>
            <w:tcBorders/>
            <w:tcW w:w="1522" w:type="dxa"/>
            <w:vAlign w:val="center"/>
            <w:textDirection w:val="lrTb"/>
            <w:noWrap w:val="false"/>
          </w:tcPr>
          <w:p>
            <w:pPr>
              <w:pBdr/>
              <w:spacing w:line="264" w:lineRule="auto"/>
              <w:ind/>
              <w:jc w:val="center"/>
              <w:rPr>
                <w:sz w:val="22"/>
                <w:szCs w:val="22"/>
              </w:rPr>
            </w:pPr>
            <w:r>
              <w:rPr>
                <w:color w:val="000000" w:themeColor="text1"/>
                <w:sz w:val="22"/>
                <w:szCs w:val="22"/>
              </w:rPr>
              <w:t xml:space="preserve">Xã Cửa Dương, Đặc khu Phú Quốc, tỉnh An Giang, tiếp giáp đường Cây Thông Ngoài.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11.383.929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11.969.457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11.933.905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2.283.9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504.2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490.2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-1.935.268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-1.795.419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-2.386.781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9.448.661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10.174.038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9.547.124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17,04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13,81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-569.196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359.084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358.017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8.879.465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10.533.122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9.905.141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716.034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8.879.465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10.533.122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10.621.175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-569.196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-1.196.946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-1.193.391</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8.310.269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9.336.176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9.427.784</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r>
            <w:r>
              <w:rPr>
                <w:b/>
                <w:bCs/>
                <w:color w:val="000000" w:themeColor="text1"/>
                <w:sz w:val="22"/>
                <w:szCs w:val="22"/>
              </w:rPr>
              <w:t xml:space="preserve">Tỷ lệ đất ở/trên tổng 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10,94%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84,46%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93%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40,8%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-3</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-569.196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-837.862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-358.017</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7.741.073</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8.498.314</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jc w:val="center"/>
              <w:rPr>
                <w:color w:val="000000" w:themeColor="text1"/>
                <w:sz w:val="22"/>
                <w:szCs w:val="22"/>
                <w14:ligatures w14:val="none"/>
              </w:rPr>
            </w:pPr>
            <w:r>
              <w:rPr>
                <w:color w:val="000000" w:themeColor="text1"/>
                <w:sz w:val="22"/>
                <w:szCs w:val="22"/>
              </w:rPr>
              <w:t xml:space="preserve">9.069.767</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64"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bCs/>
                <w:color w:val="000000" w:themeColor="text1"/>
                <w:sz w:val="22"/>
                <w:szCs w:val="22"/>
                <w14:ligatures w14:val="none"/>
              </w:rPr>
            </w:pPr>
            <w:r>
              <w:rPr>
                <w:b/>
                <w:bCs/>
                <w:color w:val="000000" w:themeColor="text1"/>
                <w:sz w:val="22"/>
                <w:szCs w:val="22"/>
              </w:rPr>
              <w:t xml:space="preserve">7.741.073</w:t>
            </w:r>
            <w:r>
              <w:rPr>
                <w:b/>
                <w:bCs/>
                <w:color w:val="000000" w:themeColor="text1"/>
                <w:sz w:val="22"/>
                <w:szCs w:val="22"/>
                <w14:ligatures w14:val="none"/>
              </w:rPr>
            </w:r>
            <w:r>
              <w:rPr>
                <w:b/>
                <w:bCs/>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bCs/>
                <w:color w:val="000000" w:themeColor="text1"/>
                <w:sz w:val="22"/>
                <w:szCs w:val="22"/>
                <w14:ligatures w14:val="none"/>
              </w:rPr>
            </w:pPr>
            <w:r>
              <w:rPr>
                <w:b/>
                <w:bCs/>
                <w:color w:val="000000" w:themeColor="text1"/>
                <w:sz w:val="22"/>
                <w:szCs w:val="22"/>
              </w:rPr>
              <w:t xml:space="preserve">8.498.314</w:t>
            </w:r>
            <w:r>
              <w:rPr>
                <w:b/>
                <w:bCs/>
                <w:color w:val="000000" w:themeColor="text1"/>
                <w:sz w:val="22"/>
                <w:szCs w:val="22"/>
                <w14:ligatures w14:val="none"/>
              </w:rPr>
            </w:r>
            <w:r>
              <w:rPr>
                <w:b/>
                <w:bCs/>
                <w:color w:val="000000" w:themeColor="text1"/>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bCs/>
                <w:color w:val="000000" w:themeColor="text1"/>
                <w:sz w:val="22"/>
                <w:szCs w:val="22"/>
                <w14:ligatures w14:val="none"/>
              </w:rPr>
            </w:pPr>
            <w:r>
              <w:rPr>
                <w:b/>
                <w:bCs/>
                <w:color w:val="000000" w:themeColor="text1"/>
                <w:sz w:val="22"/>
                <w:szCs w:val="22"/>
              </w:rPr>
              <w:t xml:space="preserve">9.069.767</w:t>
            </w:r>
            <w:r>
              <w:rPr>
                <w:b/>
                <w:bCs/>
                <w:color w:val="000000" w:themeColor="text1"/>
                <w:sz w:val="22"/>
                <w:szCs w:val="22"/>
                <w14:ligatures w14:val="none"/>
              </w:rPr>
            </w:r>
            <w:r>
              <w:rPr>
                <w:b/>
                <w:bCs/>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8.436.385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val="0"/>
                <w:bCs w:val="0"/>
                <w:color w:val="000000"/>
                <w:sz w:val="22"/>
                <w:szCs w:val="22"/>
                <w14:ligatures w14:val="none"/>
              </w:rPr>
            </w:pPr>
            <w:r>
              <w:rPr>
                <w:b w:val="0"/>
                <w:bCs w:val="0"/>
                <w:color w:val="000000"/>
                <w:sz w:val="22"/>
                <w:szCs w:val="22"/>
              </w:rPr>
              <w:t xml:space="preserve">-8,24%</w:t>
            </w:r>
            <w:r>
              <w:rPr>
                <w:b w:val="0"/>
                <w:bCs w:val="0"/>
                <w:color w:val="000000"/>
                <w:sz w:val="22"/>
                <w:szCs w:val="22"/>
                <w14:ligatures w14:val="none"/>
              </w:rPr>
            </w:r>
            <w:r>
              <w:rPr>
                <w:b w:val="0"/>
                <w:bCs w:val="0"/>
                <w:color w:val="000000"/>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val="0"/>
                <w:bCs w:val="0"/>
                <w:color w:val="000000"/>
                <w:sz w:val="22"/>
                <w:szCs w:val="22"/>
                <w14:ligatures w14:val="none"/>
              </w:rPr>
            </w:pPr>
            <w:r>
              <w:rPr>
                <w:b w:val="0"/>
                <w:bCs w:val="0"/>
                <w:color w:val="000000"/>
                <w:sz w:val="22"/>
                <w:szCs w:val="22"/>
              </w:rPr>
              <w:t xml:space="preserve">0,73%</w:t>
            </w:r>
            <w:r>
              <w:rPr>
                <w:b w:val="0"/>
                <w:bCs w:val="0"/>
                <w:color w:val="000000"/>
                <w:sz w:val="22"/>
                <w:szCs w:val="22"/>
                <w14:ligatures w14:val="none"/>
              </w:rPr>
            </w:r>
            <w:r>
              <w:rPr>
                <w:b w:val="0"/>
                <w:bCs w:val="0"/>
                <w:color w:val="000000"/>
                <w:sz w:val="22"/>
                <w:szCs w:val="22"/>
                <w14:ligatures w14: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jc w:val="center"/>
              <w:rPr>
                <w:b w:val="0"/>
                <w:bCs w:val="0"/>
                <w:color w:val="000000"/>
                <w:sz w:val="22"/>
                <w:szCs w:val="22"/>
                <w14:ligatures w14:val="none"/>
              </w:rPr>
            </w:pPr>
            <w:r>
              <w:rPr>
                <w:b w:val="0"/>
                <w:bCs w:val="0"/>
                <w:color w:val="000000"/>
                <w:sz w:val="22"/>
                <w:szCs w:val="22"/>
              </w:rPr>
              <w:t xml:space="preserve">7,51%</w:t>
            </w:r>
            <w:r>
              <w:rPr>
                <w:b w:val="0"/>
                <w:bCs w:val="0"/>
                <w:color w:val="000000"/>
                <w:sz w:val="22"/>
                <w:szCs w:val="22"/>
                <w14:ligatures w14:val="none"/>
              </w:rPr>
            </w:r>
            <w:r>
              <w:rPr>
                <w:b w:val="0"/>
                <w:bCs w:val="0"/>
                <w:color w:val="000000"/>
                <w:sz w:val="22"/>
                <w:szCs w:val="22"/>
                <w14:ligatures w14:val="none"/>
              </w:rPr>
            </w:r>
          </w:p>
        </w:tc>
      </w:tr>
      <w:tr>
        <w:trPr>
          <w:trHeight w:val="20"/>
        </w:trPr>
        <w:tc>
          <w:tcPr>
            <w:shd w:val="clear" w:color="000000" w:fill="ffffff"/>
            <w:tcBorders/>
            <w:tcW w:w="632"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64"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3.642.857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3.949.922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5.250.918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3.642.857</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3.231.754</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3.102.816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-8,24</w:t>
      </w:r>
      <w:r>
        <w:t xml:space="preserve">% đến</w:t>
      </w:r>
      <w:r>
        <w:t xml:space="preserve"> </w:t>
      </w:r>
      <w:r>
        <w:t xml:space="preserve"> </w:t>
      </w:r>
      <w:r>
        <w:t xml:space="preserve">7,51%,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7.741.072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35%</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2.709.376</w:t>
            </w:r>
            <w:r>
              <w:rPr>
                <w:color w:val="000000"/>
                <w14:ligatures w14:val="none"/>
              </w:rPr>
            </w:r>
            <w:r>
              <w:rPr>
                <w:color w:val="000000"/>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8.737.703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35%</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2.974.410</w:t>
            </w:r>
            <w:r>
              <w:rPr>
                <w:color w:val="000000"/>
                <w14:ligatures w14:val="none"/>
              </w:rPr>
            </w:r>
            <w:r>
              <w:rPr>
                <w:color w:val="000000"/>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8.831.089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30%</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14:ligatures w14:val="none"/>
              </w:rPr>
            </w:pPr>
            <w:r>
              <w:rPr>
                <w:color w:val="000000"/>
              </w:rPr>
              <w:t xml:space="preserve">2.720.930</w:t>
            </w:r>
            <w:r>
              <w:rPr>
                <w:color w:val="000000"/>
                <w14:ligatures w14:val="none"/>
              </w:rPr>
            </w:r>
            <w:r>
              <w:rPr>
                <w:color w:val="000000"/>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8.404.716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8.400.000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591, tờ bản đồ số: 131, có địa chỉ tại Khu phố Cây Thông Ngoài</w:t>
            </w:r>
            <w:r>
              <w:rPr>
                <w:b/>
                <w:bCs/>
                <w:color w:val="000000"/>
              </w:rPr>
              <w:t xml:space="preserve"> Cửa Dương, đặc khu Phú Quốc, tỉnh An Giang theo Giấy chứng nhận quyền sử dụng đất quyền sở hữu tài sản gắn liền với đất AA03592601 số vào sổ cấp GCN số CN 1498 do Chi nhánh văn phòng đăng ký đất đai đặc khu Phú Quốc cấp ngày 09/3/2026 cho ông Nguyễn Bá Đa</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Giá trị quyền sử dụng đất</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2.283,9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8.400.000</w:t>
            </w:r>
            <w:r/>
          </w:p>
        </w:tc>
        <w:tc>
          <w:tcPr>
            <w:shd w:val="clear" w:color="000000" w:fill="ffffff"/>
            <w:tcBorders/>
            <w:tcW w:w="1170" w:type="pct"/>
            <w:vAlign w:val="center"/>
            <w:textDirection w:val="lrTb"/>
            <w:noWrap w:val="false"/>
          </w:tcPr>
          <w:p>
            <w:pPr>
              <w:pBdr/>
              <w:spacing w:after="40" w:before="40" w:line="288" w:lineRule="auto"/>
              <w:ind/>
              <w:jc w:val="center"/>
              <w:rPr>
                <w:b/>
                <w:bCs/>
                <w:color w:val="000000"/>
              </w:rPr>
            </w:pPr>
            <w:r>
              <w:t xml:space="preserve">19.184.760.000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19.184.760.000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19.185.000.000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 một trăm tám lăm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firstLine="0" w:left="357"/>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275/2026/0658/VFI-CT.24.A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275/2026/0658/VFI-BC.24.A</w:t>
      </w:r>
      <w:r>
        <w:rPr>
          <w:i/>
          <w:lang w:val="pt-BR"/>
        </w:rPr>
        <w:t xml:space="preserve"> </w:t>
      </w:r>
      <w:r>
        <w:rPr>
          <w:i/>
          <w:lang w:val="pt-BR"/>
        </w:rPr>
        <w:t xml:space="preserve">ngày 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275/2026/0658/VFI-BC.24.A</w:t>
      </w:r>
      <w:r>
        <w:rPr>
          <w:i/>
          <w:lang w:val="pt-BR"/>
        </w:rPr>
        <w:t xml:space="preserve"> </w:t>
      </w:r>
      <w:r>
        <w:rPr>
          <w:i/>
          <w:lang w:val="pt-BR"/>
        </w:rPr>
        <w:t xml:space="preserve">ngày 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https://www.facebook.com/groups/592946738028945/posts/2000964857227119</w:t>
            </w:r>
            <w:r>
              <w:rPr>
                <w:color w:val="000000" w:themeColor="text1"/>
                <w:sz w:val="22"/>
                <w:szCs w:val="22"/>
              </w:rPr>
              <w:br/>
              <w:t xml:space="preserve">0899939268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Cửa Dương, Huyện Phú Quốc, Tỉnh Kiên Giang, đường Đường Cây Thông Ngoài, độ rộng đường trước mặt tài sản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7180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4718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2.1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4.4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0703819194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Cửa Dương, Huyện Phú Quốc, Tỉnh Kiên Giang, đường Đường Cây Thông Ngoài, độ rộng đường trước mặt tài sản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765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0765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2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trục tiếp</w:t>
            </w:r>
            <w:r>
              <w:rPr>
                <w:color w:val="000000" w:themeColor="text1"/>
                <w:sz w:val="22"/>
                <w:szCs w:val="22"/>
              </w:rPr>
              <w:br/>
            </w:r>
            <w:r>
              <w:rPr>
                <w:sz w:val="22"/>
                <w:szCs w:val="22"/>
              </w:rPr>
              <w:t xml:space="preserve">SĐT: </w:t>
            </w:r>
            <w:r>
              <w:rPr>
                <w:color w:val="000000" w:themeColor="text1"/>
                <w:sz w:val="22"/>
                <w:szCs w:val="22"/>
              </w:rPr>
              <w:t xml:space="preserve">0981 834 147</w:t>
            </w:r>
            <w:r>
              <w:rPr>
                <w:sz w:val="22"/>
                <w:szCs w:val="22"/>
              </w:rPr>
              <w:t xml:space="preserve"> </w:t>
            </w:r>
            <w:r>
              <w:rPr>
                <w:sz w:val="22"/>
                <w:szCs w:val="22"/>
              </w:rPr>
              <w:br/>
              <w:t xml:space="preserve">(Phúc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(490.2m²)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Cửa Dương, Huyện Phú Quốc, Tỉnh Kiên Giang, đường Đường Cây Thông NGoài, độ rộng đường trước mặt tài sản 10m, mặt tiền 13.81m, 10.261050803707137, 103.96010114968091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4175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1417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4.8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3227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8322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3.0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59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75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5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282</cp:revision>
  <dcterms:created xsi:type="dcterms:W3CDTF">2025-09-15T09:58:00Z</dcterms:created>
  <dcterms:modified xsi:type="dcterms:W3CDTF">2026-05-04T03:24:16Z</dcterms:modified>
</cp:coreProperties>
</file>