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016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016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275/2026/0618/VFI-CT.65.A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Đoàn Văn Hoàng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000000" w:themeColor="text1"/>
                              </w:rPr>
                            </w:pPr>
                            <w:r>
                              <w:rPr>
                                <w:b/>
                              </w:rPr>
                              <w:t xml:space="preserve">Tài sản thẩm </w:t>
                            </w:r>
                            <w:r>
                              <w:rPr>
                                <w:b/>
                              </w:rPr>
                              <w:t xml:space="preserve">định: </w:t>
                            </w:r>
                            <w:r>
                              <w:rPr>
                                <w:color w:val="000000"/>
                              </w:rPr>
                              <w:t xml:space="preserve">Quyền sử dụng đất tại thửa đất số: 100, tờ bản đồ số 87 có địa chỉ: Tổ 12C khu 2, Phường Hà Khánh, Thành phố Hạ Long, Quảng Ninh (</w:t>
                            </w:r>
                            <w:r>
                              <w:rPr>
                                <w:i/>
                                <w:iCs/>
                                <w:color w:val="000000"/>
                              </w:rPr>
                              <w:t xml:space="preserve">nay là phường Cao Xanh, tỉnh Quảng N</w:t>
                            </w:r>
                            <w:r>
                              <w:rPr>
                                <w:i/>
                                <w:iCs/>
                                <w:color w:val="000000"/>
                              </w:rPr>
                              <w:t xml:space="preserve">inh</w:t>
                            </w:r>
                            <w:r>
                              <w:rPr>
                                <w:color w:val="000000"/>
                              </w:rPr>
                              <w:t xml:space="preserve">) theo Giấy chứng nhận quyền sử dụng đất quyền sở hữu nhà ở và tài sản khác gắn liền với đất số: CO 221822, số vào sổ cấp GCN: CH 42065 do UBND thành phố Hạ Long cấp ngày 03/3/2020; Chủ sử dụng đất</w:t>
                            </w:r>
                            <w:r>
                              <w:rPr>
                                <w:color w:val="000000" w:themeColor="text1"/>
                              </w:rPr>
                              <w:t xml:space="preserve"> là </w:t>
                            </w:r>
                            <w:r>
                              <w:rPr>
                                <w:color w:val="000000" w:themeColor="text1"/>
                              </w:rPr>
                              <w:t xml:space="preserve">Ông Đoàn Văn Hoàng và bà Hồ Thị Thu</w:t>
                            </w:r>
                            <w:r>
                              <w:rPr>
                                <w:bCs/>
                                <w:i/>
                                <w:iCs/>
                                <w:color w:val="000000" w:themeColor="text1"/>
                              </w:rPr>
                              <w:t xml:space="preserve">.</w:t>
                            </w:r>
                            <w:r>
                              <w:rPr>
                                <w:bCs/>
                                <w:i/>
                                <w:iCs/>
                                <w:color w:val="000000" w:themeColor="text1"/>
                              </w:rPr>
                            </w:r>
                            <w:r>
                              <w:rPr>
                                <w:bCs/>
                                <w:i/>
                                <w:iCs/>
                                <w:color w:val="000000" w:themeColor="text1"/>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275/2026/0618/VFI-CT.65.A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Đoàn Văn Hoàng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000000" w:themeColor="text1"/>
                        </w:rPr>
                      </w:pPr>
                      <w:r>
                        <w:rPr>
                          <w:b/>
                        </w:rPr>
                        <w:t xml:space="preserve">Tài sản thẩm </w:t>
                      </w:r>
                      <w:r>
                        <w:rPr>
                          <w:b/>
                        </w:rPr>
                        <w:t xml:space="preserve">định: </w:t>
                      </w:r>
                      <w:r>
                        <w:rPr>
                          <w:color w:val="000000"/>
                        </w:rPr>
                        <w:t xml:space="preserve">Quyền sử dụng đất tại thửa đất số: 100, tờ bản đồ số 87 có địa chỉ: Tổ 12C khu 2, Phường Hà Khánh, Thành phố Hạ Long, Quảng Ninh (</w:t>
                      </w:r>
                      <w:r>
                        <w:rPr>
                          <w:i/>
                          <w:iCs/>
                          <w:color w:val="000000"/>
                        </w:rPr>
                        <w:t xml:space="preserve">nay là phường Cao Xanh, tỉnh Quảng N</w:t>
                      </w:r>
                      <w:r>
                        <w:rPr>
                          <w:i/>
                          <w:iCs/>
                          <w:color w:val="000000"/>
                        </w:rPr>
                        <w:t xml:space="preserve">inh</w:t>
                      </w:r>
                      <w:r>
                        <w:rPr>
                          <w:color w:val="000000"/>
                        </w:rPr>
                        <w:t xml:space="preserve">) theo Giấy chứng nhận quyền sử dụng đất quyền sở hữu nhà ở và tài sản khác gắn liền với đất số: CO 221822, số vào sổ cấp GCN: CH 42065 do UBND thành phố Hạ Long cấp ngày 03/3/2020; Chủ sử dụng đất</w:t>
                      </w:r>
                      <w:r>
                        <w:rPr>
                          <w:color w:val="000000" w:themeColor="text1"/>
                        </w:rPr>
                        <w:t xml:space="preserve"> là </w:t>
                      </w:r>
                      <w:r>
                        <w:rPr>
                          <w:color w:val="000000" w:themeColor="text1"/>
                        </w:rPr>
                        <w:t xml:space="preserve">Ông Đoàn Văn Hoàng và bà Hồ Thị Thu</w:t>
                      </w:r>
                      <w:r>
                        <w:rPr>
                          <w:bCs/>
                          <w:i/>
                          <w:iCs/>
                          <w:color w:val="000000" w:themeColor="text1"/>
                        </w:rPr>
                        <w:t xml:space="preserve">.</w:t>
                      </w:r>
                      <w:r>
                        <w:rPr>
                          <w:bCs/>
                          <w:i/>
                          <w:iCs/>
                          <w:color w:val="000000" w:themeColor="text1"/>
                        </w:rPr>
                      </w:r>
                      <w:r>
                        <w:rPr>
                          <w:bCs/>
                          <w:i/>
                          <w:iCs/>
                          <w:color w:val="000000" w:themeColor="text1"/>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21-24</w:t>
            </w:r>
            <w:r>
              <w:rPr>
                <w:b/>
                <w:bCs/>
              </w:rPr>
            </w:r>
            <w:r>
              <w:rPr>
                <w:b/>
                <w:bCs/>
              </w:rPr>
            </w:r>
          </w:p>
        </w:tc>
      </w:tr>
    </w:tbl>
    <w:tbl>
      <w:tblPr>
        <w:tblInd w:w="93" w:type="dxa"/>
        <w:tblW w:w="0" w:type="auto"/>
        <w:tblCellMar>
          <w:left w:w="10" w:type="dxa"/>
          <w:right w:w="10" w:type="dxa"/>
        </w:tblCellMar>
        <w:tblBorders/>
        <w:tblLook w:val="0000" w:firstRow="0" w:lastRow="0" w:firstColumn="0" w:lastColumn="0" w:noHBand="0" w:noVBand="0"/>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3: Pháp lý tài sản</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pPr>
              <w:pBdr/>
              <w:spacing w:after="120" w:before="100" w:beforeAutospacing="1"/>
              <w:ind/>
              <w:jc w:val="right"/>
              <w:rPr>
                <w:b/>
                <w:bCs/>
              </w:rPr>
            </w:pPr>
            <w:r>
              <w:rPr>
                <w:b/>
                <w:bCs/>
              </w:rPr>
              <w:t xml:space="preserve">25-26</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13" w:type="dxa"/>
        <w:tblBorders/>
        <w:tblLayout w:type="fixed"/>
        <w:tblLook w:val="04A0" w:firstRow="1" w:lastRow="0" w:firstColumn="1" w:lastColumn="0" w:noHBand="0" w:noVBand="1"/>
      </w:tblPr>
      <w:tblGrid>
        <w:gridCol w:w="29"/>
        <w:gridCol w:w="1559"/>
        <w:gridCol w:w="3260"/>
        <w:gridCol w:w="5066"/>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2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38"/>
        </w:trPr>
        <w:tc>
          <w:tcPr>
            <w:gridSpan w:val="2"/>
            <w:shd w:val="clear" w:color="auto" w:fill="auto"/>
            <w:tcBorders/>
            <w:tcMar>
              <w:left w:w="108" w:type="dxa"/>
              <w:top w:w="0" w:type="dxa"/>
              <w:right w:w="108" w:type="dxa"/>
              <w:bottom w:w="0" w:type="dxa"/>
            </w:tcMar>
            <w:tcW w:w="4819"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275/2026/0618/VFI-CT.65.A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6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21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Đoàn Văn Hoàng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275/2026/0618/VFI-HĐTĐ.65.A</w:t>
      </w:r>
      <w:r>
        <w:rPr>
          <w:spacing w:val="-4"/>
          <w:lang w:val="vi-VN"/>
        </w:rPr>
        <w:t xml:space="preserve"> ký ngày </w:t>
      </w:r>
      <w:r>
        <w:rPr>
          <w:color w:val="000000" w:themeColor="text1"/>
          <w:spacing w:val="-4"/>
        </w:rPr>
        <w:t xml:space="preserve">18 tháng 4 năm 2026</w:t>
      </w:r>
      <w:r>
        <w:rPr>
          <w:spacing w:val="-4"/>
          <w:lang w:val="vi-VN"/>
        </w:rPr>
        <w:t xml:space="preserve"> </w:t>
      </w:r>
      <w:r>
        <w:rPr>
          <w:spacing w:val="-4"/>
          <w:lang w:val="vi-VN"/>
        </w:rPr>
        <w:t xml:space="preserve">giữa </w:t>
      </w:r>
      <w:r>
        <w:rPr>
          <w:color w:val="000000" w:themeColor="text1"/>
          <w:spacing w:val="-4"/>
        </w:rPr>
        <w:t xml:space="preserve">Ông Đoàn Văn Hoàng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275/2026/0618/VFI-BC.65.A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t xml:space="preserve">Ông Đoàn Văn Hoàng</w:t>
            </w:r>
            <w:r/>
          </w:p>
        </w:tc>
      </w:tr>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022062001325</w:t>
            </w:r>
            <w:r/>
          </w:p>
        </w:tc>
      </w:tr>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Đồng Ý, Việt Dân, Thị xã Đông Triều, Quảng Ninh (</w:t>
            </w:r>
            <w:r>
              <w:rPr>
                <w:rFonts w:ascii="Times New Roman" w:hAnsi="Times New Roman" w:eastAsia="Times New Roman" w:cs="Times New Roman"/>
                <w:i/>
                <w:iCs/>
                <w:color w:val="000000"/>
                <w:sz w:val="24"/>
              </w:rPr>
              <w:t xml:space="preserve">nay là phường An Sinh, tỉnh Quảng Ninh)</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rPr>
            </w:pPr>
            <w:r>
              <w:rPr>
                <w:b/>
                <w:bCs/>
              </w:rPr>
            </w:r>
            <w:r>
              <w:rPr>
                <w:b/>
                <w:bCs/>
                <w:lang w:val="vi-VN"/>
              </w:rPr>
              <w:t xml:space="preserve">Chức vụ: </w:t>
            </w:r>
            <w:r>
              <w:rPr>
                <w:b/>
                <w:bCs/>
              </w:rPr>
              <w:t xml:space="preserve">Chủ tịch HĐQT kiêm Tổng Giám đốc</w:t>
            </w:r>
            <w:r>
              <w:rPr>
                <w:b/>
                <w:bCs/>
              </w:rPr>
            </w:r>
            <w:r>
              <w:rPr>
                <w:b/>
                <w:bCs/>
              </w:rPr>
            </w:r>
          </w:p>
        </w:tc>
      </w:tr>
    </w:tbl>
    <w:p>
      <w:pPr>
        <w:pBdr/>
        <w:spacing w:after="120" w:before="120" w:line="312" w:lineRule="auto"/>
        <w:ind/>
        <w:jc w:val="both"/>
        <w:rPr>
          <w:b/>
          <w:bCs/>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100, tờ bản đồ số 87 có địa chỉ: Tổ 12C khu 2, Phường Hà Khánh, Thành phố Hạ Long, Quảng Ninh (</w:t>
      </w:r>
      <w:r>
        <w:rPr>
          <w:i/>
          <w:iCs/>
          <w:color w:val="000000"/>
        </w:rPr>
        <w:t xml:space="preserve">nay là phường Cao Xanh, tỉnh Quảng N</w:t>
      </w:r>
      <w:r>
        <w:rPr>
          <w:i/>
          <w:iCs/>
          <w:color w:val="000000"/>
        </w:rPr>
        <w:t xml:space="preserve">inh</w:t>
      </w:r>
      <w:r>
        <w:rPr>
          <w:color w:val="000000"/>
        </w:rPr>
        <w:t xml:space="preserve">) theo Giấy chứng nhận quyền sử dụng đất quyền sở hữu nhà ở và tài sản khác gắn liền với đất số: CO 221822, số vào sổ cấp GCN: CH 42065 do UBND thành phố Hạ Long cấp ngày 03/3/2020; Chủ sử dụng đất</w:t>
      </w:r>
      <w:r>
        <w:rPr>
          <w:color w:val="000000" w:themeColor="text1"/>
        </w:rPr>
        <w:t xml:space="preserve"> là </w:t>
      </w:r>
      <w:r>
        <w:rPr>
          <w:color w:val="000000" w:themeColor="text1"/>
        </w:rPr>
        <w:t xml:space="preserve">Ông Đoàn Văn Hoàng và bà Hồ Thị Thu</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98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761"/>
        <w:gridCol w:w="1417"/>
        <w:gridCol w:w="2552"/>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6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5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29" w:type="dxa"/>
            <w:vAlign w:val="center"/>
            <w:textDirection w:val="lrTb"/>
            <w:noWrap w:val="false"/>
          </w:tcPr>
          <w:p>
            <w:pPr>
              <w:pBdr/>
              <w:spacing w:after="40" w:before="40" w:line="288" w:lineRule="auto"/>
              <w:ind/>
              <w:jc w:val="both"/>
              <w:rPr>
                <w:b/>
                <w:bCs/>
                <w:color w:val="000000" w:themeColor="text1"/>
              </w:rPr>
            </w:pPr>
            <w:r>
              <w:rPr>
                <w:color w:val="000000" w:themeColor="text1"/>
              </w:rPr>
            </w:r>
            <w:r>
              <w:rPr>
                <w:b/>
                <w:bCs/>
                <w:color w:val="000000" w:themeColor="text1"/>
              </w:rPr>
              <w:t xml:space="preserve">Quyền sử dụng đất tại thửa đất số: 100, tờ bản đồ số 87 có địa chỉ: Tổ 12C khu 2, Phường Hà Khánh, Thành phố Hạ Long, Quảng Ninh (</w:t>
            </w:r>
            <w:r>
              <w:rPr>
                <w:b/>
                <w:bCs/>
                <w:i/>
                <w:iCs/>
                <w:color w:val="000000" w:themeColor="text1"/>
              </w:rPr>
              <w:t xml:space="preserve">nay là phường Cao Xanh, tỉnh Quảng N</w:t>
            </w:r>
            <w:r>
              <w:rPr>
                <w:b/>
                <w:bCs/>
                <w:i/>
                <w:iCs/>
                <w:color w:val="000000" w:themeColor="text1"/>
              </w:rPr>
              <w:t xml:space="preserve">inh</w:t>
            </w:r>
            <w:r>
              <w:rPr>
                <w:b/>
                <w:bCs/>
                <w:color w:val="000000" w:themeColor="text1"/>
              </w:rPr>
              <w:t xml:space="preserve">) theo Giấy chứng nhận quyền sử dụng đất quyền sở hữu nhà ở và tài sản khác gắn liền với đất số: CO 221822, số vào sổ cấp GCN: CH 42065 do UBND thành phố Hạ Long cấp ngày 03/3/2020; Chủ sử dụng đất là </w:t>
            </w:r>
            <w:r>
              <w:rPr>
                <w:b/>
                <w:bCs/>
                <w:color w:val="000000" w:themeColor="text1"/>
              </w:rPr>
              <w:t xml:space="preserve">Ông Đoàn Văn Hoàng và bà Hồ Thị Thu</w:t>
            </w:r>
            <w:r>
              <w:rPr>
                <w:b/>
                <w:bCs/>
                <w:i/>
                <w:iCs/>
                <w:color w:val="000000" w:themeColor="text1"/>
              </w:rPr>
              <w:t xml:space="preserve">.</w:t>
            </w:r>
            <w:r>
              <w:rPr>
                <w:b/>
                <w:bCs/>
                <w:color w:val="000000" w:themeColor="text1"/>
              </w:rPr>
            </w:r>
            <w:r>
              <w:rPr>
                <w:b/>
                <w:bCs/>
                <w:color w:val="000000" w:themeColor="text1"/>
              </w:rPr>
            </w:r>
          </w:p>
        </w:tc>
        <w:tc>
          <w:tcPr>
            <w:shd w:val="clear" w:color="000000" w:fill="ffffff"/>
            <w:tcBorders/>
            <w:tcW w:w="2092"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761"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55,0</w:t>
            </w:r>
            <w:r>
              <w:rPr>
                <w:color w:val="000000"/>
              </w:rPr>
            </w:r>
            <w:r>
              <w:rPr>
                <w:color w:val="000000"/>
              </w:rPr>
            </w:r>
          </w:p>
        </w:tc>
        <w:tc>
          <w:tcPr>
            <w:shd w:val="clear" w:color="000000" w:fill="ffffff"/>
            <w:tcBorders/>
            <w:tcW w:w="2551" w:type="dxa"/>
            <w:vAlign w:val="center"/>
            <w:textDirection w:val="lrTb"/>
            <w:noWrap w:val="false"/>
          </w:tcPr>
          <w:p>
            <w:pPr>
              <w:pBdr/>
              <w:spacing w:after="40" w:before="40" w:line="288" w:lineRule="auto"/>
              <w:ind/>
              <w:jc w:val="center"/>
              <w:rPr/>
            </w:pPr>
            <w:r>
              <w:rPr>
                <w:color w:val="000000" w:themeColor="text1"/>
              </w:rPr>
              <w:t xml:space="preserve">24.353.000</w:t>
            </w:r>
            <w:r/>
          </w:p>
        </w:tc>
        <w:tc>
          <w:tcPr>
            <w:shd w:val="clear" w:color="000000" w:fill="ffffff"/>
            <w:tcBorders/>
            <w:tcW w:w="2092" w:type="dxa"/>
            <w:vAlign w:val="center"/>
            <w:textDirection w:val="lrTb"/>
            <w:noWrap w:val="false"/>
          </w:tcPr>
          <w:p>
            <w:pPr>
              <w:pBdr/>
              <w:spacing w:after="40" w:before="40" w:line="288" w:lineRule="auto"/>
              <w:ind/>
              <w:jc w:val="right"/>
              <w:rPr/>
            </w:pPr>
            <w:r>
              <w:rPr>
                <w:color w:val="000000" w:themeColor="text1"/>
              </w:rPr>
              <w:t xml:space="preserve">1.339.415.000</w:t>
            </w:r>
            <w:r/>
          </w:p>
        </w:tc>
      </w:tr>
      <w:tr>
        <w:trPr>
          <w:trHeight w:val="20"/>
        </w:trPr>
        <w:tc>
          <w:tcPr>
            <w:shd w:val="clear" w:color="000000" w:fill="ffffff"/>
            <w:tcBorders/>
            <w:tcW w:w="675"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761" w:type="dxa"/>
            <w:vAlign w:val="center"/>
            <w:vMerge w:val="restart"/>
            <w:textDirection w:val="lrTb"/>
            <w:noWrap w:val="false"/>
          </w:tcPr>
          <w:p>
            <w:pPr>
              <w:pBdr/>
              <w:spacing w:after="40" w:before="40" w:line="288" w:lineRule="auto"/>
              <w:ind/>
              <w:rPr>
                <w:b w:val="0"/>
                <w:bCs w:val="0"/>
              </w:rPr>
            </w:pPr>
            <w:r>
              <w:rPr>
                <w:b w:val="0"/>
                <w:bCs w:val="0"/>
              </w:rPr>
              <w:t xml:space="preserve">Đất trồng cây hàng năm</w:t>
            </w:r>
            <w:r>
              <w:rPr>
                <w:b w:val="0"/>
                <w:bCs w:val="0"/>
              </w:rPr>
            </w:r>
            <w:r>
              <w:rPr>
                <w:b w:val="0"/>
                <w:bCs w:val="0"/>
              </w:rPr>
            </w:r>
          </w:p>
        </w:tc>
        <w:tc>
          <w:tcPr>
            <w:tcBorders/>
            <w:tcW w:w="1417"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36,5</w:t>
            </w:r>
            <w:r>
              <w:rPr>
                <w:color w:val="000000" w:themeColor="text1"/>
              </w:rPr>
            </w:r>
            <w:r>
              <w:rPr>
                <w:color w:val="000000" w:themeColor="text1"/>
              </w:rPr>
            </w:r>
          </w:p>
        </w:tc>
        <w:tc>
          <w:tcPr>
            <w:shd w:val="clear" w:color="000000" w:fill="ffffff"/>
            <w:tcBorders/>
            <w:tcW w:w="2551"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85.000</w:t>
            </w:r>
            <w:r>
              <w:rPr>
                <w:color w:val="000000" w:themeColor="text1"/>
              </w:rPr>
            </w:r>
            <w:r>
              <w:rPr>
                <w:color w:val="000000" w:themeColor="text1"/>
              </w:rPr>
            </w:r>
          </w:p>
        </w:tc>
        <w:tc>
          <w:tcPr>
            <w:shd w:val="clear" w:color="000000" w:fill="ffffff"/>
            <w:tcBorders/>
            <w:tcW w:w="2092" w:type="dxa"/>
            <w:vAlign w:val="center"/>
            <w:vMerge w:val="restart"/>
            <w:textDirection w:val="lrTb"/>
            <w:noWrap w:val="false"/>
          </w:tcPr>
          <w:p>
            <w:pPr>
              <w:pBdr/>
              <w:spacing w:after="40" w:before="40" w:line="288" w:lineRule="auto"/>
              <w:ind/>
              <w:jc w:val="right"/>
              <w:rPr>
                <w:color w:val="000000" w:themeColor="text1"/>
              </w:rPr>
            </w:pPr>
            <w:r>
              <w:rPr>
                <w:color w:val="000000" w:themeColor="text1"/>
              </w:rPr>
              <w:t xml:space="preserve">3.102.500</w:t>
            </w:r>
            <w:r>
              <w:rPr>
                <w:color w:val="000000" w:themeColor="text1"/>
              </w:rPr>
            </w:r>
            <w:r>
              <w:rPr>
                <w:color w:val="000000" w:themeColor="text1"/>
              </w:rPr>
            </w:r>
          </w:p>
        </w:tc>
      </w:tr>
      <w:tr>
        <w:trPr>
          <w:trHeight w:val="20"/>
        </w:trPr>
        <w:tc>
          <w:tcPr>
            <w:gridSpan w:val="4"/>
            <w:tcBorders/>
            <w:tcW w:w="740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2" w:type="dxa"/>
            <w:vAlign w:val="center"/>
            <w:textDirection w:val="lrTb"/>
            <w:noWrap/>
          </w:tcPr>
          <w:p>
            <w:pPr>
              <w:pBdr/>
              <w:spacing w:after="40" w:before="40" w:line="288" w:lineRule="auto"/>
              <w:ind/>
              <w:jc w:val="right"/>
              <w:rPr>
                <w:b/>
                <w:bCs/>
                <w:color w:val="000000"/>
              </w:rPr>
            </w:pPr>
            <w:r>
              <w:rPr>
                <w:b/>
                <w:bCs/>
              </w:rPr>
              <w:t xml:space="preserve">1.342.517.5</w:t>
            </w:r>
            <w:r>
              <w:rPr>
                <w:b/>
                <w:bCs/>
              </w:rPr>
              <w:t xml:space="preserve">0</w:t>
            </w:r>
            <w:r>
              <w:rPr>
                <w:b/>
                <w:bCs/>
              </w:rPr>
              <w:t xml:space="preserve">0</w:t>
            </w:r>
            <w:r>
              <w:rPr>
                <w:b/>
                <w:bCs/>
                <w:color w:val="000000"/>
              </w:rPr>
            </w:r>
            <w:r>
              <w:rPr>
                <w:b/>
                <w:bCs/>
                <w:color w:val="000000"/>
              </w:rPr>
            </w:r>
          </w:p>
        </w:tc>
      </w:tr>
      <w:tr>
        <w:trPr>
          <w:trHeight w:val="20"/>
        </w:trPr>
        <w:tc>
          <w:tcPr>
            <w:gridSpan w:val="4"/>
            <w:tcBorders/>
            <w:tcW w:w="740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2" w:type="dxa"/>
            <w:vAlign w:val="center"/>
            <w:textDirection w:val="lrTb"/>
            <w:noWrap/>
          </w:tcPr>
          <w:p>
            <w:pPr>
              <w:pBdr/>
              <w:spacing w:after="40" w:before="40" w:line="288" w:lineRule="auto"/>
              <w:ind/>
              <w:jc w:val="right"/>
              <w:rPr>
                <w:b/>
                <w:bCs/>
                <w:color w:val="000000"/>
              </w:rPr>
            </w:pPr>
            <w:r>
              <w:rPr>
                <w:b/>
                <w:bCs/>
                <w:color w:val="000000"/>
              </w:rPr>
              <w:t xml:space="preserve">1.343.000.000</w:t>
            </w:r>
            <w:r>
              <w:rPr>
                <w:b/>
                <w:bCs/>
                <w:color w:val="000000"/>
              </w:rPr>
            </w:r>
            <w:r>
              <w:rPr>
                <w:b/>
                <w:bCs/>
                <w:color w:val="000000"/>
              </w:rPr>
            </w:r>
          </w:p>
        </w:tc>
      </w:tr>
      <w:tr>
        <w:trPr>
          <w:trHeight w:val="20"/>
        </w:trPr>
        <w:tc>
          <w:tcPr>
            <w:gridSpan w:val="5"/>
            <w:tcBorders/>
            <w:tcW w:w="949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ba trăm bốn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05" w:type="dxa"/>
        <w:tblBorders/>
        <w:tblLayout w:type="fixed"/>
        <w:tblLook w:val="04A0" w:firstRow="1" w:lastRow="0" w:firstColumn="1" w:lastColumn="0" w:noHBand="0" w:noVBand="1"/>
      </w:tblPr>
      <w:tblGrid>
        <w:gridCol w:w="29"/>
        <w:gridCol w:w="1701"/>
        <w:gridCol w:w="3543"/>
        <w:gridCol w:w="4632"/>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7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10"/>
        </w:trPr>
        <w:tc>
          <w:tcPr>
            <w:gridSpan w:val="2"/>
            <w:shd w:val="clear" w:color="auto" w:fill="auto"/>
            <w:tcBorders/>
            <w:tcMar>
              <w:left w:w="108" w:type="dxa"/>
              <w:top w:w="0" w:type="dxa"/>
              <w:right w:w="108" w:type="dxa"/>
              <w:bottom w:w="0" w:type="dxa"/>
            </w:tcMar>
            <w:tcW w:w="5244"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275/2026/0618/VFI-BC.65.A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63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21 tháng 4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275/2026/0618/VFI-CT.65.A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Đoàn Văn Hoàng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022062001325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bCs/>
                <w:i/>
                <w:sz w:val="24"/>
              </w:rPr>
            </w:pPr>
            <w:r>
              <w:rPr>
                <w:rFonts w:ascii="Times New Roman" w:hAnsi="Times New Roman" w:eastAsia="Times New Roman" w:cs="Times New Roman"/>
                <w:color w:val="000000"/>
                <w:sz w:val="24"/>
              </w:rPr>
              <w:t xml:space="preserve">Đồng Ý, Việt Dân, Thị xã Đông Triều, Quảng Ninh (</w:t>
            </w:r>
            <w:r>
              <w:rPr>
                <w:rFonts w:ascii="Times New Roman" w:hAnsi="Times New Roman" w:eastAsia="Times New Roman" w:cs="Times New Roman"/>
                <w:i/>
                <w:iCs/>
                <w:color w:val="000000"/>
                <w:sz w:val="24"/>
              </w:rPr>
              <w:t xml:space="preserve">nay là phường An Sinh, tỉnh Quảng Ninh)</w:t>
            </w:r>
            <w:r>
              <w:rPr>
                <w:rFonts w:ascii="Times New Roman" w:hAnsi="Times New Roman" w:eastAsia="Times New Roman" w:cs="Times New Roman"/>
                <w:bCs/>
                <w:i/>
                <w:sz w:val="24"/>
              </w:rPr>
            </w:r>
            <w:r>
              <w:rPr>
                <w:rFonts w:ascii="Times New Roman" w:hAnsi="Times New Roman" w:eastAsia="Times New Roman" w:cs="Times New Roman"/>
                <w:bCs/>
                <w:i/>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r>
            <w:r>
              <w:rPr>
                <w:color w:val="000000"/>
              </w:rPr>
              <w:t xml:space="preserve">Quyền sử dụng đất tại thửa đất số: 100, tờ bản đồ số 87 có địa chỉ: Tổ 12C khu 2, Phường Hà Khánh, Thành phố Hạ Long, Quảng Ninh (</w:t>
            </w:r>
            <w:r>
              <w:rPr>
                <w:i/>
                <w:iCs/>
                <w:color w:val="000000"/>
              </w:rPr>
              <w:t xml:space="preserve">nay là phường Cao Xanh, tỉnh Quảng N</w:t>
            </w:r>
            <w:r>
              <w:rPr>
                <w:i/>
                <w:iCs/>
                <w:color w:val="000000"/>
              </w:rPr>
              <w:t xml:space="preserve">inh</w:t>
            </w:r>
            <w:r>
              <w:rPr>
                <w:color w:val="000000"/>
              </w:rPr>
              <w:t xml:space="preserve">) theo Giấy chứng nhận quyền sử dụng đất quyền sở hữu nhà ở và tài sản khác gắn liền với đất số: CO 221822, số vào s</w:t>
            </w:r>
            <w:r>
              <w:rPr>
                <w:color w:val="000000" w:themeColor="text1"/>
              </w:rPr>
              <w:t xml:space="preserve">ổ cấp GCN: CH 42065 do UBND thành phố Hạ Long cấp ngày 03/3/2020; Chủ sử dụng đất là </w:t>
            </w:r>
            <w:r>
              <w:rPr>
                <w:color w:val="000000" w:themeColor="text1"/>
              </w:rPr>
              <w:t xml:space="preserve">Ông Đoàn Văn Hoàng và bà Hồ Thị Thu</w:t>
            </w:r>
            <w:r>
              <w:rPr>
                <w:bCs/>
                <w:i/>
                <w:iCs/>
                <w:color w:val="000000" w:themeColor="text1"/>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Cao Xanh, tỉnh Quảng N</w:t>
            </w:r>
            <w:r>
              <w:rPr>
                <w:bCs/>
                <w:color w:val="000000" w:themeColor="text1"/>
                <w:lang w:val="pt-BR"/>
              </w:rPr>
              <w:t xml:space="preserve">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20.974388888889, 107.10155555556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r>
      <w:r>
        <w:rPr>
          <w:color w:val="000000"/>
        </w:rPr>
        <w:t xml:space="preserve">Giấy chứng nhận quyền sử dụng đất quyền sở hữu nhà ở và tài sản khác gắn liền với đất số: CO 221822, số vào sổ cấp GCN: CH 42065 do UBND thành phố Hạ Long cấp ngày 03/3/2020; Chủ sử dụng </w:t>
      </w:r>
      <w:r>
        <w:rPr>
          <w:color w:val="000000" w:themeColor="text1"/>
        </w:rPr>
        <w:t xml:space="preserve">đất là </w:t>
      </w:r>
      <w:r>
        <w:rPr>
          <w:color w:val="000000" w:themeColor="text1"/>
        </w:rPr>
        <w:t xml:space="preserve">Ông Đoàn Văn Hoàng và bà Hồ Thị Thu</w:t>
      </w:r>
      <w:r>
        <w:rPr>
          <w:bCs/>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275/2026/0618/VFI-HĐTĐ.65.A ngày 18/4/2026 giữa ông Đoàn Văn Hoàng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Thị trường bất động sản Quảng Ninh g</w:t>
      </w:r>
      <w:r>
        <w:rPr>
          <w:shd w:val="clear" w:color="auto" w:fill="ffffff"/>
        </w:rPr>
        <w:t xml:space="preserve">iai đoạn 2026 - 2030 được đặc trưng bởi một bức tranh tổng thể với sự dịch chuyển dòng tiền rõ rệt từ Hạ Long trung tâm sang các “vệ tinh” tiềm năng, cùng ba phân khúc chính đang “hút” vốn mạnh mẽ: BĐS nghỉ dưỡng cao cấp, BĐS công nghiệp &amp; logistics và đất</w:t>
      </w:r>
      <w:r>
        <w:rPr>
          <w:shd w:val="clear" w:color="auto" w:fill="ffffff"/>
        </w:rPr>
        <w:t xml:space="preserve"> nền quy hoạch ven các tuyến huyết mạch mới. Cụ thể, dòng vốn không còn tập trung cục bộ mà đang lan tỏa, tạo ra nhiều “cực” tăng trưởng mới. Để minh họa rõ hơn, hãy cùng xem xét các phân khúc và chỉ số nổi bật:</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Quảng Ninh sở hữu một “bộ tứ” lợi thế hiếm c</w:t>
      </w:r>
      <w:r>
        <w:rPr>
          <w:shd w:val="clear" w:color="auto" w:fill="ffffff"/>
        </w:rPr>
        <w:t xml:space="preserve">ó: Vịnh Di sản Thiên nhiên Thế giới Hạ Long, vị trí cửa ngõ phía Bắc giáp Trung Quốc, nguồn tài nguyên than đá dồi dào (nền tảng công nghiệp) và bờ biển dài với nhiều cảnh quan đa dạng (Bãi Cháy, Vân Đồn, Cô Tô…). Sự kết hợp giữa du lịch, công nghiệp và th</w:t>
      </w:r>
      <w:r>
        <w:rPr>
          <w:shd w:val="clear" w:color="auto" w:fill="ffffff"/>
        </w:rPr>
        <w:t xml:space="preserve">ương mại biên mậu tạo ra nền kinh tế đa chiều, giảm thiểu rủi ro phụ thuộc vào một ngành duy nhất, từ đó tạo niềm tin vững chắc cho dòng vốn dài hạn.</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Lợi thế địa lý - kinh tế không thể thay thế</w:t>
      </w:r>
      <w:r>
        <w:rPr>
          <w:b/>
          <w:bCs/>
        </w:rPr>
      </w:r>
      <w:r>
        <w:rPr>
          <w:b/>
          <w:bCs/>
        </w:rPr>
      </w:r>
    </w:p>
    <w:p>
      <w:pPr>
        <w:pBdr/>
        <w:tabs>
          <w:tab w:val="left" w:leader="none" w:pos="180"/>
        </w:tabs>
        <w:spacing w:after="120" w:before="120" w:line="276" w:lineRule="auto"/>
        <w:ind w:right="0" w:firstLine="283" w:left="0"/>
        <w:jc w:val="both"/>
        <w:rPr/>
      </w:pPr>
      <w:r>
        <w:rPr>
          <w:shd w:val="clear" w:color="auto" w:fill="ffffff"/>
        </w:rPr>
        <w:t xml:space="preserve">Quảng Ninh sở hữu một “bộ tứ” lợi thế hiếm có: Vịnh Di sản Thi</w:t>
      </w:r>
      <w:r>
        <w:rPr>
          <w:shd w:val="clear" w:color="auto" w:fill="ffffff"/>
        </w:rPr>
        <w:t xml:space="preserve">ên nhiên Thế giới Hạ Long, vị trí cửa ngõ phía Bắc giáp Trung Quốc, nguồn tài nguyên than đá dồi dào (nền tảng công nghiệp) và bờ biển dài với nhiều cảnh quan đa dạng (Bãi Cháy, Vân Đồn, Cô Tô…). Sự kết hợp giữa du lịch, công nghiệp và thương mại biên mậu </w:t>
      </w:r>
      <w:r>
        <w:rPr>
          <w:shd w:val="clear" w:color="auto" w:fill="ffffff"/>
        </w:rPr>
        <w:t xml:space="preserve">tạo ra nền kinh tế đa chiều, giảm thiểu rủi ro phụ thuộc vào một ngành duy nhất, từ đó tạo niềm tin vững chắc cho dòng vốn dài hạn.</w:t>
      </w:r>
      <w:r>
        <w:rPr>
          <w:bCs/>
          <w:i/>
          <w:lang w:val="pt-BR"/>
        </w:rPr>
      </w:r>
      <w:r/>
    </w:p>
    <w:p>
      <w:pPr>
        <w:pBdr/>
        <w:tabs>
          <w:tab w:val="left" w:leader="none" w:pos="180"/>
        </w:tabs>
        <w:spacing w:after="120" w:before="120" w:line="276" w:lineRule="auto"/>
        <w:ind w:right="0" w:firstLine="283" w:left="0"/>
        <w:jc w:val="both"/>
        <w:rPr/>
      </w:pPr>
      <w:r>
        <w:rPr>
          <w:b/>
          <w:bCs/>
          <w:shd w:val="clear" w:color="auto" w:fill="ffffff"/>
        </w:rPr>
        <w:t xml:space="preserve">Chính sách thu hú</w:t>
      </w:r>
      <w:r>
        <w:rPr>
          <w:b/>
          <w:bCs/>
          <w:shd w:val="clear" w:color="auto" w:fill="ffffff"/>
        </w:rPr>
        <w:t xml:space="preserve">t từ địa phương</w:t>
      </w:r>
      <w:r>
        <w:rPr>
          <w:shd w:val="clear" w:color="auto" w:fill="ffffff"/>
        </w:rPr>
      </w:r>
      <w:r/>
    </w:p>
    <w:p>
      <w:pPr>
        <w:pBdr/>
        <w:tabs>
          <w:tab w:val="left" w:leader="none" w:pos="180"/>
        </w:tabs>
        <w:spacing w:after="120" w:before="120" w:line="276" w:lineRule="auto"/>
        <w:ind w:right="0" w:firstLine="283" w:left="0"/>
        <w:jc w:val="both"/>
        <w:rPr/>
      </w:pPr>
      <w:r>
        <w:rPr>
          <w:shd w:val="clear" w:color="auto" w:fill="ffffff"/>
        </w:rPr>
        <w:t xml:space="preserve">Tỉnh Quảng Ninh nổi tiếng với tư duy đổi mới và cơ chế “mở cửa” đặc biệt để thu hút đầu tư:</w:t>
      </w:r>
      <w:r/>
    </w:p>
    <w:p>
      <w:pPr>
        <w:pBdr/>
        <w:tabs>
          <w:tab w:val="left" w:leader="none" w:pos="180"/>
        </w:tabs>
        <w:spacing w:after="120" w:before="120" w:line="276" w:lineRule="auto"/>
        <w:ind w:right="0" w:firstLine="283" w:left="0"/>
        <w:jc w:val="both"/>
        <w:rPr/>
      </w:pPr>
      <w:r>
        <w:rPr>
          <w:shd w:val="clear" w:color="auto" w:fill="ffffff"/>
        </w:rPr>
        <w:t xml:space="preserve">•</w:t>
        <w:tab/>
        <w:t xml:space="preserve">Khu kinh tế Vân Đồn: Được hưởng các chính sách ưu đãi cao nhất về thuế (thuế thu nhập doanh nghiệp, thuế nhập khẩu), quy chế quản lý đặc thù.</w:t>
      </w:r>
      <w:r>
        <w:rPr>
          <w:shd w:val="clear" w:color="auto" w:fill="ffffff"/>
        </w:rPr>
      </w:r>
      <w:r/>
    </w:p>
    <w:p>
      <w:pPr>
        <w:pBdr/>
        <w:tabs>
          <w:tab w:val="left" w:leader="none" w:pos="180"/>
        </w:tabs>
        <w:spacing w:after="120" w:before="120" w:line="276" w:lineRule="auto"/>
        <w:ind w:right="0" w:firstLine="283" w:left="0"/>
        <w:jc w:val="both"/>
        <w:rPr/>
      </w:pPr>
      <w:r>
        <w:rPr>
          <w:shd w:val="clear" w:color="auto" w:fill="ffffff"/>
        </w:rPr>
        <w:t xml:space="preserve">•</w:t>
        <w:tab/>
        <w:t xml:space="preserve">T</w:t>
      </w:r>
      <w:r>
        <w:rPr>
          <w:shd w:val="clear" w:color="auto" w:fill="ffffff"/>
        </w:rPr>
        <w:t xml:space="preserve">hủ tục hành chính thông thoáng: Việc cấp phép, giải quyết thủ tục đầu tư được đẩy nhanh, tạo điều kiện tối đa cho nhà đầu tư.</w:t>
      </w:r>
      <w:r/>
    </w:p>
    <w:p>
      <w:pPr>
        <w:pBdr/>
        <w:tabs>
          <w:tab w:val="left" w:leader="none" w:pos="180"/>
        </w:tabs>
        <w:spacing w:after="120" w:before="120" w:line="276" w:lineRule="auto"/>
        <w:ind w:right="0" w:firstLine="283" w:left="0"/>
        <w:jc w:val="both"/>
        <w:rPr/>
      </w:pPr>
      <w:r>
        <w:rPr>
          <w:shd w:val="clear" w:color="auto" w:fill="ffffff"/>
        </w:rPr>
        <w:t xml:space="preserve">•</w:t>
        <w:tab/>
        <w:t xml:space="preserve">Chính sách thu hút nhân tài và cư dân: Nhiều chính sách hỗ trợ về nhà ở, an sinh xã hội nhằm thu hút người dân đến sinh sống và</w:t>
      </w:r>
      <w:r>
        <w:rPr>
          <w:shd w:val="clear" w:color="auto" w:fill="ffffff"/>
        </w:rPr>
        <w:t xml:space="preserve"> làm việc, tạo nền tảng cho thị trường BĐS nhà ở thực.</w:t>
      </w:r>
      <w:r/>
    </w:p>
    <w:p>
      <w:pPr>
        <w:pBdr/>
        <w:tabs>
          <w:tab w:val="left" w:leader="none" w:pos="180"/>
        </w:tabs>
        <w:spacing w:after="120" w:before="120" w:line="276" w:lineRule="auto"/>
        <w:ind w:right="0" w:firstLine="283" w:left="0"/>
        <w:jc w:val="both"/>
        <w:rPr/>
      </w:pPr>
      <w:r>
        <w:rPr>
          <w:shd w:val="clear" w:color="auto" w:fill="ffffff"/>
        </w:rPr>
      </w:r>
      <w:r>
        <w:rPr>
          <w:b/>
          <w:bCs/>
          <w:shd w:val="clear" w:color="auto" w:fill="ffffff"/>
        </w:rPr>
        <w:t xml:space="preserve">Sự hiện diện của các "ông lớn" và dòng vốn FDI chất lượng</w:t>
      </w:r>
      <w:r>
        <w:rPr>
          <w:shd w:val="clear" w:color="auto" w:fill="ffffff"/>
        </w:rPr>
      </w:r>
      <w:r/>
    </w:p>
    <w:p>
      <w:pPr>
        <w:pBdr/>
        <w:tabs>
          <w:tab w:val="left" w:leader="none" w:pos="180"/>
        </w:tabs>
        <w:spacing w:after="120" w:before="120" w:line="276" w:lineRule="auto"/>
        <w:ind w:right="0" w:firstLine="283" w:left="0"/>
        <w:jc w:val="both"/>
        <w:rPr/>
      </w:pPr>
      <w:r>
        <w:rPr>
          <w:shd w:val="clear" w:color="auto" w:fill="ffffff"/>
        </w:rPr>
        <w:t xml:space="preserve">Sự xuất hiện của các tập đoàn kinh tế tư nhân hàng đầu như Vingroup, Sun Group, BIM Group, hay các nhà đầu tư nước ngoài lớn đóng vai trò như “</w:t>
      </w:r>
      <w:r>
        <w:rPr>
          <w:shd w:val="clear" w:color="auto" w:fill="ffffff"/>
        </w:rPr>
        <w:t xml:space="preserve">chất xúc tác” mạnh mẽ. Họ không chỉ bơm vốn mà còn mang theo tiêu chuẩn phát triển, quy hoạch bài bản và uy tín, từ đó thu hút dòng tiền “đi sau” từ các nhà đầu tư cá nhân và tổ chức khác, nâng tầm toàn bộ thị trường.</w:t>
      </w:r>
      <w:r/>
    </w:p>
    <w:p>
      <w:pPr>
        <w:pBdr/>
        <w:tabs>
          <w:tab w:val="left" w:leader="none" w:pos="180"/>
        </w:tabs>
        <w:spacing w:after="120" w:before="120" w:line="276" w:lineRule="auto"/>
        <w:ind w:right="0" w:firstLine="283" w:left="0"/>
        <w:jc w:val="both"/>
        <w:rPr/>
      </w:pPr>
      <w:r>
        <w:rPr>
          <w:shd w:val="clear" w:color="auto" w:fill="ffffff"/>
        </w:rPr>
      </w:r>
      <w:r>
        <w:rPr>
          <w:b/>
          <w:bCs/>
          <w:shd w:val="clear" w:color="auto" w:fill="ffffff"/>
        </w:rPr>
        <w:t xml:space="preserve">Quy hoạch bài bản và tầm nhìn dài hạn</w:t>
      </w:r>
      <w:r>
        <w:rPr>
          <w:shd w:val="clear" w:color="auto" w:fill="ffffff"/>
        </w:rPr>
      </w:r>
      <w:r/>
    </w:p>
    <w:p>
      <w:pPr>
        <w:pBdr/>
        <w:tabs>
          <w:tab w:val="left" w:leader="none" w:pos="180"/>
        </w:tabs>
        <w:spacing w:after="120" w:before="120" w:line="276" w:lineRule="auto"/>
        <w:ind w:right="0" w:firstLine="283" w:left="0"/>
        <w:jc w:val="both"/>
        <w:rPr/>
      </w:pPr>
      <w:r>
        <w:rPr>
          <w:shd w:val="clear" w:color="auto" w:fill="ffffff"/>
        </w:rPr>
      </w:r>
      <w:r>
        <w:rPr>
          <w:shd w:val="clear" w:color="auto" w:fill="ffffff"/>
        </w:rPr>
        <w:t xml:space="preserve">Quảng Ninh không phát triển một cách tự phát. Tỉnh có định hướng rõ ràng: xây dựng thành phố Hạ Long thông minh, phát triển Khu kinh tế Vân Đồn thành trung tâm du lịch, dịch vụ cao cấp và hình thành hành lang kinh tế ven biển. Quy hoạch khu chức năng rõ rà</w:t>
      </w:r>
      <w:r>
        <w:rPr>
          <w:shd w:val="clear" w:color="auto" w:fill="ffffff"/>
        </w:rPr>
        <w:t xml:space="preserve">ng (khu công nghiệp, du lịch, đô thị) giúp nhà đầu tư dễ dàng định vị và yên tâm về tính pháp lý, tránh được rủi ro quy hoạch treo, đảm bảo dòng tiền được sử dụng đúng mục đích và hiệu quả.</w:t>
      </w:r>
      <w:r>
        <w:rPr>
          <w:shd w:val="clear" w:color="auto" w:fill="ffffff"/>
        </w:rPr>
      </w:r>
      <w:r/>
    </w:p>
    <w:p>
      <w:pPr>
        <w:pBdr/>
        <w:tabs>
          <w:tab w:val="left" w:leader="none" w:pos="180"/>
        </w:tabs>
        <w:spacing w:after="120" w:before="120" w:line="276" w:lineRule="auto"/>
        <w:ind w:right="0" w:firstLine="0" w:left="0"/>
        <w:jc w:val="center"/>
        <w:rPr/>
      </w:pPr>
      <w:r>
        <w:rPr>
          <w:i/>
          <w:iCs/>
          <w:shd w:val="clear" w:color="auto" w:fill="ffffff"/>
        </w:rPr>
        <w:t xml:space="preserve">(Nguồn tham khảo:</w:t>
      </w:r>
      <w:r>
        <w:rPr>
          <w:shd w:val="clear" w:color="auto" w:fill="ffffff"/>
        </w:rPr>
        <w:t xml:space="preserve"> </w:t>
      </w:r>
      <w:r>
        <w:rPr>
          <w:i/>
          <w:iCs/>
          <w:shd w:val="clear" w:color="auto" w:fill="ffffff"/>
        </w:rPr>
        <w:t xml:space="preserve">https://market.</w:t>
      </w:r>
      <w:r>
        <w:rPr>
          <w:i/>
          <w:iCs/>
          <w:shd w:val="clear" w:color="auto" w:fill="ffffff"/>
        </w:rPr>
        <w:t xml:space="preserve">vinhomes</w:t>
      </w:r>
      <w:r>
        <w:rPr>
          <w:i/>
          <w:iCs/>
          <w:shd w:val="clear" w:color="auto" w:fill="ffffff"/>
        </w:rPr>
        <w:t xml:space="preserve">.vn/blog/du-an-bat-dong-san-tai-quang-ninh)</w:t>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r>
            <w:r>
              <w:rPr>
                <w:b/>
                <w:bCs/>
                <w:color w:val="000000" w:themeColor="text1"/>
              </w:rPr>
              <w:t xml:space="preserve">Quyền sử dụng đất tại thửa đất số: 100, tờ bản đồ số 87 có địa chỉ: Tổ 12C khu 2, Phường Hà Khánh, Thành phố Hạ Long, Quảng Ninh (</w:t>
            </w:r>
            <w:r>
              <w:rPr>
                <w:b/>
                <w:bCs/>
                <w:i/>
                <w:iCs/>
                <w:color w:val="000000" w:themeColor="text1"/>
              </w:rPr>
              <w:t xml:space="preserve">nay là phường Cao Xanh, tỉnh Quảng N</w:t>
            </w:r>
            <w:r>
              <w:rPr>
                <w:b/>
                <w:bCs/>
                <w:i/>
                <w:iCs/>
                <w:color w:val="000000" w:themeColor="text1"/>
              </w:rPr>
              <w:t xml:space="preserve">inh</w:t>
            </w:r>
            <w:r>
              <w:rPr>
                <w:b/>
                <w:bCs/>
                <w:color w:val="000000" w:themeColor="text1"/>
              </w:rPr>
              <w:t xml:space="preserve">) theo Giấy chứng nhận quyền sử dụng đất quyền sở hữu nhà ở và tài sản khác gắn liền với đất số: CO 221822, số vào sổ cấp GCN: CH 42065 do UBND thành phố Hạ Long cấp ngày 03/3/2020; Chủ sử dụng đất là </w:t>
            </w:r>
            <w:r>
              <w:rPr>
                <w:b/>
                <w:bCs/>
                <w:color w:val="000000" w:themeColor="text1"/>
              </w:rPr>
              <w:t xml:space="preserve">Ông Đoàn Văn Hoàng và bà Hồ Thị Thu</w:t>
            </w:r>
            <w:r>
              <w:rPr>
                <w:b/>
                <w:bCs/>
                <w:i/>
                <w:i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Tổ 12C khu 2, Phường Hà Khánh, Thành phố Hạ Long, Quảng Ninh </w:t>
            </w:r>
            <w:r>
              <w:rPr>
                <w:rFonts w:ascii="Times New Roman" w:hAnsi="Times New Roman" w:eastAsia="Times New Roman" w:cs="Times New Roman"/>
                <w:i/>
                <w:iCs/>
                <w:color w:val="000000"/>
                <w:sz w:val="24"/>
              </w:rPr>
              <w:t xml:space="preserve">(nay là phường Cao Xanh, tỉnh Quảng Ninh</w:t>
            </w: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rFonts w:ascii="Times New Roman" w:hAnsi="Times New Roman" w:eastAsia="Times New Roman" w:cs="Times New Roman"/>
                <w:color w:val="000000"/>
                <w:sz w:val="24"/>
                <w:szCs w:val="24"/>
              </w:rPr>
            </w:pPr>
            <w:r>
              <w:rPr>
                <w:color w:val="000000" w:themeColor="text1"/>
              </w:rPr>
            </w:r>
            <w:r>
              <w:rPr>
                <w:rFonts w:ascii="Times New Roman" w:hAnsi="Times New Roman" w:eastAsia="Times New Roman" w:cs="Times New Roman"/>
                <w:color w:val="000000"/>
                <w:sz w:val="24"/>
              </w:rPr>
              <w:t xml:space="preserve">Đất ở: 55m²; </w:t>
            </w:r>
            <w:r>
              <w:rPr>
                <w:rFonts w:ascii="Times New Roman" w:hAnsi="Times New Roman" w:eastAsia="Times New Roman" w:cs="Times New Roman"/>
                <w:color w:val="000000"/>
                <w:sz w:val="24"/>
              </w:rPr>
              <w:t xml:space="preserve">Đất HNK: 36,5m²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rFonts w:ascii="Times New Roman" w:hAnsi="Times New Roman" w:eastAsia="Times New Roman" w:cs="Times New Roman"/>
                <w:color w:val="000000"/>
                <w:sz w:val="24"/>
                <w:szCs w:val="24"/>
              </w:rPr>
            </w:pPr>
            <w:r>
              <w:rPr>
                <w:color w:val="000000" w:themeColor="text1"/>
              </w:rPr>
            </w:r>
            <w:r>
              <w:rPr>
                <w:rFonts w:ascii="Times New Roman" w:hAnsi="Times New Roman" w:eastAsia="Times New Roman" w:cs="Times New Roman"/>
                <w:color w:val="000000"/>
                <w:sz w:val="24"/>
              </w:rPr>
              <w:t xml:space="preserve">Đất ở: Lâu dài; </w:t>
            </w:r>
            <w:r>
              <w:rPr>
                <w:rFonts w:ascii="Times New Roman" w:hAnsi="Times New Roman" w:eastAsia="Times New Roman" w:cs="Times New Roman"/>
                <w:color w:val="000000"/>
                <w:sz w:val="24"/>
              </w:rPr>
              <w:t xml:space="preserve">Đất HNK: Đến tháng 4/2069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Công nhận quyền sử dụng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3,3</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mặt đường ngõ, cách đường Lao Động khoảng 100m.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Tây Nam: Tiếp giáp với đường;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 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20.974388888889</w:t>
            </w:r>
            <w:r>
              <w:rPr>
                <w:color w:val="000000"/>
              </w:rPr>
              <w:t xml:space="preserve">, </w:t>
            </w:r>
            <w:r>
              <w:rPr>
                <w:color w:val="000000"/>
              </w:rPr>
              <w:t xml:space="preserve">107.10155555556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28320" cy="3053011"/>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28319" cy="30530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43pt;height:240.3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20,35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Khu vực tập trung dâm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ở (</w:t>
      </w:r>
      <w:r>
        <w:rPr>
          <w:b/>
          <w:i/>
          <w:iCs/>
          <w:lang w:val="pt-BR"/>
        </w:rPr>
        <w:t xml:space="preserve">Phần diện tích 55m</w:t>
      </w:r>
      <w:r>
        <w:rPr>
          <w:b/>
          <w:i/>
          <w:iCs/>
          <w:vertAlign w:val="superscript"/>
          <w:lang w:val="pt-BR"/>
        </w:rPr>
        <w:t xml:space="preserve">2</w:t>
      </w:r>
      <w:r>
        <w:rPr>
          <w:b/>
          <w:lang w:val="pt-BR"/>
        </w:rPr>
        <w:t xml:space="preserve">)</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Hà Khánh, Thành phố Hạ Long, Tỉnh Quảng Ninh </w:t>
            </w:r>
            <w:r>
              <w:rPr>
                <w:rFonts w:ascii="Times New Roman" w:hAnsi="Times New Roman" w:eastAsia="Times New Roman" w:cs="Times New Roman"/>
                <w:color w:val="000000"/>
                <w:sz w:val="24"/>
              </w:rPr>
              <w:t xml:space="preserve">(</w:t>
            </w:r>
            <w:r>
              <w:rPr>
                <w:rFonts w:ascii="Times New Roman" w:hAnsi="Times New Roman" w:eastAsia="Times New Roman" w:cs="Times New Roman"/>
                <w:i/>
                <w:iCs/>
                <w:color w:val="000000"/>
                <w:sz w:val="24"/>
              </w:rPr>
              <w:t xml:space="preserve">nay là phường Cao Xanh,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w:t>
            </w:r>
            <w:r>
              <w:rPr>
                <w:rFonts w:ascii="Times New Roman" w:hAnsi="Times New Roman" w:eastAsia="Times New Roman" w:cs="Times New Roman"/>
                <w:color w:val="000000"/>
                <w:sz w:val="24"/>
              </w:rPr>
              <w:t xml:space="preserve">Cao Xanh,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w:t>
            </w:r>
            <w:r>
              <w:rPr>
                <w:rFonts w:ascii="Times New Roman" w:hAnsi="Times New Roman" w:eastAsia="Times New Roman" w:cs="Times New Roman"/>
                <w:color w:val="000000"/>
                <w:sz w:val="24"/>
              </w:rPr>
              <w:t xml:space="preserve">Cao Xanh,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w:t>
            </w:r>
            <w:r>
              <w:rPr>
                <w:rFonts w:ascii="Times New Roman" w:hAnsi="Times New Roman" w:eastAsia="Times New Roman" w:cs="Times New Roman"/>
                <w:color w:val="000000"/>
                <w:sz w:val="24"/>
              </w:rPr>
              <w:t xml:space="preserve">Cao Xanh, tỉnh Quảng Ninh</w:t>
            </w:r>
            <w:r>
              <w:rPr>
                <w:sz w:val="22"/>
                <w:szCs w:val="22"/>
              </w:rPr>
            </w:r>
            <w:r>
              <w:rPr>
                <w:sz w:val="22"/>
                <w:szCs w:val="22"/>
              </w:rPr>
            </w:r>
          </w:p>
        </w:tc>
      </w:tr>
      <w:tr>
        <w:trPr>
          <w:trHeight w:val="163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https://alonhadat.com.vn/ban-6-o-dat-phan-lo-lang-cong-an-ha-khanh-duong-o-to-so-do-gia-chi-1-9-ti-18021560.html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0962.951636</w:t>
            </w:r>
            <w:r>
              <w:rPr>
                <w:sz w:val="22"/>
                <w:szCs w:val="22"/>
              </w:rPr>
              <w:t xml:space="preserve"> </w:t>
            </w:r>
            <w:r>
              <w:rPr>
                <w:sz w:val="22"/>
                <w:szCs w:val="22"/>
              </w:rPr>
              <w:br/>
              <w:t xml:space="preserve">(</w:t>
            </w:r>
            <w:r>
              <w:rPr>
                <w:sz w:val="22"/>
                <w:szCs w:val="22"/>
              </w:rPr>
              <w:t xml:space="preserve">Hải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0962.951636</w:t>
            </w:r>
            <w:r>
              <w:rPr>
                <w:sz w:val="22"/>
                <w:szCs w:val="22"/>
              </w:rPr>
              <w:br/>
            </w:r>
            <w:r>
              <w:rPr>
                <w:sz w:val="22"/>
                <w:szCs w:val="22"/>
              </w:rPr>
              <w:t xml:space="preserve">(</w:t>
            </w:r>
            <w:r>
              <w:rPr>
                <w:sz w:val="22"/>
                <w:szCs w:val="22"/>
              </w:rPr>
              <w:t xml:space="preserve">Hải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highlight w:val="yellow"/>
              </w:rPr>
            </w:r>
            <w:r>
              <w:rPr>
                <w:color w:val="000000" w:themeColor="text1"/>
                <w:sz w:val="22"/>
                <w:szCs w:val="22"/>
              </w:rPr>
              <w:t xml:space="preserve">0905.442661</w:t>
            </w:r>
            <w:r>
              <w:rPr>
                <w:sz w:val="22"/>
                <w:szCs w:val="22"/>
              </w:rPr>
              <w:t xml:space="preserve"> </w:t>
            </w:r>
            <w:r>
              <w:rPr>
                <w:sz w:val="22"/>
                <w:szCs w:val="22"/>
              </w:rPr>
            </w:r>
            <w:r>
              <w:rPr>
                <w:sz w:val="22"/>
                <w:szCs w:val="22"/>
              </w:rPr>
            </w:r>
          </w:p>
          <w:p>
            <w:pPr>
              <w:pBdr/>
              <w:spacing/>
              <w:ind/>
              <w:jc w:val="center"/>
              <w:rPr>
                <w:sz w:val="22"/>
                <w:szCs w:val="22"/>
                <w:highlight w:val="yellow"/>
              </w:rPr>
            </w:pPr>
            <w:r>
              <w:rPr>
                <w:sz w:val="22"/>
                <w:szCs w:val="22"/>
              </w:rPr>
            </w:r>
            <w:r>
              <w:rPr>
                <w:sz w:val="22"/>
                <w:szCs w:val="22"/>
              </w:rPr>
              <w:t xml:space="preserve">(Lê Vân</w:t>
            </w:r>
            <w:r>
              <w:rPr>
                <w:sz w:val="22"/>
                <w:szCs w:val="22"/>
              </w:rPr>
              <w:t xml:space="preserve">)</w:t>
            </w:r>
            <w:r>
              <w:rPr>
                <w:sz w:val="22"/>
                <w:szCs w:val="22"/>
                <w:highlight w:val="yellow"/>
              </w:rPr>
            </w:r>
            <w:r>
              <w:rPr>
                <w:sz w:val="22"/>
                <w:szCs w:val="22"/>
                <w:highlight w:val="yellow"/>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12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Hà Khánh, Thành phố Hạ Long, Tỉnh Quảng Ninh </w:t>
            </w:r>
            <w:r>
              <w:rPr>
                <w:rFonts w:ascii="Times New Roman" w:hAnsi="Times New Roman" w:eastAsia="Times New Roman" w:cs="Times New Roman"/>
                <w:color w:val="000000"/>
                <w:sz w:val="24"/>
              </w:rPr>
              <w:t xml:space="preserve">(</w:t>
            </w:r>
            <w:r>
              <w:rPr>
                <w:rFonts w:ascii="Times New Roman" w:hAnsi="Times New Roman" w:eastAsia="Times New Roman" w:cs="Times New Roman"/>
                <w:i/>
                <w:iCs/>
                <w:color w:val="000000"/>
                <w:sz w:val="24"/>
              </w:rPr>
              <w:t xml:space="preserve">nay là phường Cao Xanh, tỉnh Quảng Ninh</w:t>
            </w:r>
            <w:r>
              <w:rPr>
                <w:rFonts w:ascii="Times New Roman" w:hAnsi="Times New Roman" w:eastAsia="Times New Roman" w:cs="Times New Roman"/>
                <w:color w:val="000000"/>
                <w:sz w:val="24"/>
              </w:rPr>
              <w:t xml:space="preserve">)</w:t>
            </w:r>
            <w:r>
              <w:rPr>
                <w:color w:val="000000" w:themeColor="text1"/>
                <w:sz w:val="22"/>
                <w:szCs w:val="22"/>
              </w:rPr>
              <w:t xml:space="preserve">,  cách đường Lao động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Phường </w:t>
            </w:r>
            <w:r>
              <w:rPr>
                <w:rFonts w:ascii="Times New Roman" w:hAnsi="Times New Roman" w:eastAsia="Times New Roman" w:cs="Times New Roman"/>
                <w:color w:val="000000"/>
                <w:sz w:val="24"/>
              </w:rPr>
              <w:t xml:space="preserve">Cao Xanh, tỉnh Quảng Ninh</w:t>
            </w:r>
            <w:r>
              <w:rPr>
                <w:color w:val="000000" w:themeColor="text1"/>
                <w:sz w:val="22"/>
                <w:szCs w:val="22"/>
              </w:rPr>
              <w:t xml:space="preserve">, </w:t>
            </w:r>
            <w:r>
              <w:rPr>
                <w:color w:val="000000" w:themeColor="text1"/>
                <w:sz w:val="22"/>
                <w:szCs w:val="22"/>
              </w:rPr>
              <w:t xml:space="preserve">cách đường Lao động khoảng</w:t>
            </w:r>
            <w:r>
              <w:rPr>
                <w:color w:val="000000" w:themeColor="text1"/>
                <w:sz w:val="22"/>
                <w:szCs w:val="22"/>
              </w:rPr>
              <w:t xml:space="preserve"> 50m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Phường </w:t>
            </w:r>
            <w:r>
              <w:rPr>
                <w:rFonts w:ascii="Times New Roman" w:hAnsi="Times New Roman" w:eastAsia="Times New Roman" w:cs="Times New Roman"/>
                <w:color w:val="000000"/>
                <w:sz w:val="24"/>
              </w:rPr>
              <w:t xml:space="preserve">Cao Xanh, tỉnh Quảng Ninh</w:t>
            </w:r>
            <w:r>
              <w:rPr>
                <w:color w:val="000000" w:themeColor="text1"/>
                <w:sz w:val="22"/>
                <w:szCs w:val="22"/>
              </w:rPr>
              <w:t xml:space="preserve">, </w:t>
            </w:r>
            <w:r>
              <w:rPr>
                <w:color w:val="000000" w:themeColor="text1"/>
                <w:sz w:val="22"/>
                <w:szCs w:val="22"/>
              </w:rPr>
              <w:t xml:space="preserve">cách đường Lao động khoảng</w:t>
            </w:r>
            <w:r>
              <w:rPr>
                <w:color w:val="000000" w:themeColor="text1"/>
                <w:sz w:val="22"/>
                <w:szCs w:val="22"/>
              </w:rPr>
              <w:t xml:space="preserve"> 50m</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Phường </w:t>
            </w:r>
            <w:r>
              <w:rPr>
                <w:rFonts w:ascii="Times New Roman" w:hAnsi="Times New Roman" w:eastAsia="Times New Roman" w:cs="Times New Roman"/>
                <w:color w:val="000000"/>
                <w:sz w:val="24"/>
              </w:rPr>
              <w:t xml:space="preserve">Cao Xanh, tỉnh Quảng Ninh</w:t>
            </w:r>
            <w:r>
              <w:rPr>
                <w:color w:val="000000" w:themeColor="text1"/>
                <w:sz w:val="22"/>
                <w:szCs w:val="22"/>
              </w:rPr>
              <w:t xml:space="preserve">, </w:t>
            </w:r>
            <w:r>
              <w:rPr>
                <w:color w:val="000000" w:themeColor="text1"/>
                <w:sz w:val="22"/>
                <w:szCs w:val="22"/>
              </w:rPr>
              <w:t xml:space="preserve">cách đường Lao động khoảng</w:t>
            </w:r>
            <w:r>
              <w:rPr>
                <w:color w:val="000000" w:themeColor="text1"/>
                <w:sz w:val="22"/>
                <w:szCs w:val="22"/>
              </w:rPr>
              <w:t xml:space="preserve"> 8</w:t>
            </w:r>
            <w:r>
              <w:rPr>
                <w:color w:val="000000" w:themeColor="text1"/>
                <w:sz w:val="22"/>
                <w:szCs w:val="22"/>
              </w:rPr>
              <w:t xml:space="preserve">0m</w:t>
            </w:r>
            <w:r>
              <w:rPr>
                <w:color w:val="000000" w:themeColor="text1"/>
                <w:sz w:val="22"/>
                <w:szCs w:val="22"/>
              </w:rPr>
            </w:r>
            <w:r>
              <w:rPr>
                <w:color w:val="000000" w:themeColor="text1"/>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ở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1.677.000.000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1.677.000.000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1.720.000.000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2.150.000.000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25.370.651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25.443.787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24.741.082</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ở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1.677.000.000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25.370.651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25.443.787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24.741.082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25.370.651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25.443.787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24.741.082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Hà Khánh, Thành phố Hạ Long, Tỉnh Quảng Ninh </w:t>
            </w:r>
            <w:r>
              <w:rPr>
                <w:rFonts w:ascii="Times New Roman" w:hAnsi="Times New Roman" w:eastAsia="Times New Roman" w:cs="Times New Roman"/>
                <w:color w:val="000000"/>
                <w:sz w:val="24"/>
              </w:rPr>
              <w:t xml:space="preserve">(</w:t>
            </w:r>
            <w:r>
              <w:rPr>
                <w:rFonts w:ascii="Times New Roman" w:hAnsi="Times New Roman" w:eastAsia="Times New Roman" w:cs="Times New Roman"/>
                <w:i/>
                <w:iCs/>
                <w:color w:val="000000"/>
                <w:sz w:val="24"/>
              </w:rPr>
              <w:t xml:space="preserve">nay là phường Cao Xanh, tỉnh Quảng Ninh</w:t>
            </w:r>
            <w:r>
              <w:rPr>
                <w:rFonts w:ascii="Times New Roman" w:hAnsi="Times New Roman" w:eastAsia="Times New Roman" w:cs="Times New Roman"/>
                <w:color w:val="000000"/>
                <w:sz w:val="24"/>
              </w:rPr>
              <w:t xml:space="preserve">)</w:t>
            </w:r>
            <w:r>
              <w:rPr>
                <w:color w:val="000000" w:themeColor="text1"/>
                <w:sz w:val="22"/>
                <w:szCs w:val="22"/>
              </w:rPr>
              <w:t xml:space="preserve">,  cách đường Lao động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Phường </w:t>
            </w:r>
            <w:r>
              <w:rPr>
                <w:rFonts w:ascii="Times New Roman" w:hAnsi="Times New Roman" w:eastAsia="Times New Roman" w:cs="Times New Roman"/>
                <w:color w:val="000000"/>
                <w:sz w:val="24"/>
              </w:rPr>
              <w:t xml:space="preserve">Cao Xanh, tỉnh Quảng Ninh</w:t>
            </w:r>
            <w:r>
              <w:rPr>
                <w:color w:val="000000" w:themeColor="text1"/>
                <w:sz w:val="22"/>
                <w:szCs w:val="22"/>
              </w:rPr>
              <w:t xml:space="preserve">, </w:t>
            </w:r>
            <w:r>
              <w:rPr>
                <w:color w:val="000000" w:themeColor="text1"/>
                <w:sz w:val="22"/>
                <w:szCs w:val="22"/>
              </w:rPr>
              <w:t xml:space="preserve">cách đường Lao động khoảng</w:t>
            </w:r>
            <w:r>
              <w:rPr>
                <w:color w:val="000000" w:themeColor="text1"/>
                <w:sz w:val="22"/>
                <w:szCs w:val="22"/>
              </w:rPr>
              <w:t xml:space="preserve"> 50m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Phường </w:t>
            </w:r>
            <w:r>
              <w:rPr>
                <w:rFonts w:ascii="Times New Roman" w:hAnsi="Times New Roman" w:eastAsia="Times New Roman" w:cs="Times New Roman"/>
                <w:color w:val="000000"/>
                <w:sz w:val="24"/>
              </w:rPr>
              <w:t xml:space="preserve">Cao Xanh, tỉnh Quảng Ninh</w:t>
            </w:r>
            <w:r>
              <w:rPr>
                <w:color w:val="000000" w:themeColor="text1"/>
                <w:sz w:val="22"/>
                <w:szCs w:val="22"/>
              </w:rPr>
              <w:t xml:space="preserve">, </w:t>
            </w:r>
            <w:r>
              <w:rPr>
                <w:color w:val="000000" w:themeColor="text1"/>
                <w:sz w:val="22"/>
                <w:szCs w:val="22"/>
              </w:rPr>
              <w:t xml:space="preserve">cách đường Lao động khoảng</w:t>
            </w:r>
            <w:r>
              <w:rPr>
                <w:color w:val="000000" w:themeColor="text1"/>
                <w:sz w:val="22"/>
                <w:szCs w:val="22"/>
              </w:rPr>
              <w:t xml:space="preserve"> 50m</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Phường </w:t>
            </w:r>
            <w:r>
              <w:rPr>
                <w:rFonts w:ascii="Times New Roman" w:hAnsi="Times New Roman" w:eastAsia="Times New Roman" w:cs="Times New Roman"/>
                <w:color w:val="000000"/>
                <w:sz w:val="24"/>
              </w:rPr>
              <w:t xml:space="preserve">Cao Xanh, tỉnh Quảng Ninh</w:t>
            </w:r>
            <w:r>
              <w:rPr>
                <w:color w:val="000000" w:themeColor="text1"/>
                <w:sz w:val="22"/>
                <w:szCs w:val="22"/>
              </w:rPr>
              <w:t xml:space="preserve">, </w:t>
            </w:r>
            <w:r>
              <w:rPr>
                <w:color w:val="000000" w:themeColor="text1"/>
                <w:sz w:val="22"/>
                <w:szCs w:val="22"/>
              </w:rPr>
              <w:t xml:space="preserve">cách đường Lao động khoảng</w:t>
            </w:r>
            <w:r>
              <w:rPr>
                <w:color w:val="000000" w:themeColor="text1"/>
                <w:sz w:val="22"/>
                <w:szCs w:val="22"/>
              </w:rPr>
              <w:t xml:space="preserve"> 8</w:t>
            </w:r>
            <w:r>
              <w:rPr>
                <w:color w:val="000000" w:themeColor="text1"/>
                <w:sz w:val="22"/>
                <w:szCs w:val="22"/>
              </w:rPr>
              <w:t xml:space="preserve">0m</w:t>
            </w:r>
            <w:r>
              <w:rPr>
                <w:color w:val="000000" w:themeColor="text1"/>
                <w:sz w:val="22"/>
                <w:szCs w:val="22"/>
              </w:rPr>
            </w:r>
            <w:r>
              <w:rPr>
                <w:color w:val="000000" w:themeColor="text1"/>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-754.438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24.618.382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24.689.349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24.741.082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-754.438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23.866.113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23.934.911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24.741.082</w:t>
            </w:r>
            <w:r>
              <w:rPr>
                <w:color w:val="000000"/>
                <w:sz w:val="22"/>
                <w:szCs w:val="22"/>
              </w:rPr>
            </w:r>
            <w:r>
              <w:rPr>
                <w:color w:val="000000"/>
                <w:sz w:val="22"/>
                <w:szCs w:val="22"/>
              </w:rPr>
            </w:r>
          </w:p>
        </w:tc>
      </w:tr>
      <w:tr>
        <w:trPr>
          <w:trHeight w:val="483"/>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ở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754.438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1.222.670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24.618.382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24.689.349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25.963.752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-754.438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-733.602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23.866.113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23.934.911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25.230.150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23.866.113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23.934.911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25.230.150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24.343.725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3.009.076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3.017.752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1.956.272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1.504.538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1.508.876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489.068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1,68</w:t>
      </w:r>
      <w:r>
        <w:t xml:space="preserve">% đến</w:t>
      </w:r>
      <w:r>
        <w:t xml:space="preserve"> </w:t>
      </w:r>
      <w:r>
        <w:t xml:space="preserve"> </w:t>
      </w:r>
      <w:r>
        <w:t xml:space="preserve">3,</w:t>
      </w:r>
      <w:r>
        <w:t xml:space="preserve">64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23.866.113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7.875.817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23.934.911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7.898.521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25.230.150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8.578.251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24.352.589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24.353.000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24.353.000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bCs/>
        </w:rPr>
      </w:pPr>
      <w:r>
        <w:rPr>
          <w:b/>
          <w:bCs/>
        </w:rPr>
        <w:t xml:space="preserve">Xác định đơn giá quyền sử dụng đất cây hàng năm (</w:t>
      </w:r>
      <w:r>
        <w:rPr>
          <w:b/>
          <w:bCs/>
          <w:i/>
          <w:iCs/>
        </w:rPr>
        <w:t xml:space="preserve">Phần diện tích 36,5m</w:t>
      </w:r>
      <w:r>
        <w:rPr>
          <w:b/>
          <w:bCs/>
          <w:i/>
          <w:iCs/>
          <w:vertAlign w:val="superscript"/>
        </w:rPr>
        <w:t xml:space="preserve">2</w:t>
      </w:r>
      <w:r>
        <w:rPr>
          <w:b/>
          <w:bCs/>
          <w:i/>
          <w:iCs/>
        </w:rPr>
        <w:t xml:space="preserve">):</w:t>
      </w:r>
      <w:r>
        <w:rPr>
          <w:b/>
          <w:bCs/>
        </w:rPr>
      </w:r>
      <w:r>
        <w:rPr>
          <w:b/>
          <w:bCs/>
        </w:rPr>
      </w:r>
    </w:p>
    <w:p>
      <w:pPr>
        <w:pBdr/>
        <w:spacing w:after="120" w:before="120" w:line="276" w:lineRule="auto"/>
        <w:ind w:right="0" w:firstLine="283" w:left="0"/>
        <w:jc w:val="both"/>
        <w:rPr>
          <w:b/>
          <w:bCs/>
          <w:highlight w:val="none"/>
        </w:rPr>
      </w:pPr>
      <w:r>
        <w:rPr>
          <w:b/>
          <w:bCs/>
          <w:highlight w:val="none"/>
        </w:rPr>
      </w:r>
      <w:r>
        <w:rPr>
          <w:rFonts w:ascii="Times New Roman" w:hAnsi="Times New Roman" w:eastAsia="Times New Roman" w:cs="Times New Roman"/>
          <w:color w:val="000000"/>
          <w:sz w:val="24"/>
        </w:rPr>
        <w:t xml:space="preserve">Tại thời điểm thẩm định giá, Tổ thẩm định đã thu thập thông tin, tuy nhiên, thông tin giao dịch đất cây lâu năm tại khu vực tài sản thẩm định giá là hạn chế. Do đó, theo đề nghị của khách hàng/Ngân hàng, Tổ thẩm định xác định đơn giá đất ở theo gi</w:t>
      </w:r>
      <w:r>
        <w:rPr>
          <w:rFonts w:ascii="Times New Roman" w:hAnsi="Times New Roman" w:eastAsia="Times New Roman" w:cs="Times New Roman"/>
          <w:color w:val="000000"/>
          <w:sz w:val="24"/>
        </w:rPr>
        <w:t xml:space="preserve">á trị thị trường; và xác định đơn giá  đất trồng cây hàng năm the</w:t>
      </w:r>
      <w:r>
        <w:rPr>
          <w:rFonts w:ascii="Times New Roman" w:hAnsi="Times New Roman" w:eastAsia="Times New Roman" w:cs="Times New Roman"/>
          <w:color w:val="000000"/>
          <w:sz w:val="24"/>
          <w:highlight w:val="white"/>
        </w:rPr>
        <w:t xml:space="preserve">o đơn giá UBND ban hành tại thời điểm thẩm định giá. </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rFonts w:ascii="Times New Roman" w:hAnsi="Times New Roman" w:cs="Times New Roman"/>
          <w:b w:val="0"/>
          <w:bCs w:val="0"/>
          <w:szCs w:val="24"/>
        </w:rPr>
      </w:pPr>
      <w:r>
        <w:rPr>
          <w:rFonts w:ascii="Times New Roman" w:hAnsi="Times New Roman" w:eastAsia="Times New Roman" w:cs="Times New Roman"/>
          <w:b w:val="0"/>
          <w:bCs w:val="0"/>
          <w:sz w:val="24"/>
          <w:szCs w:val="24"/>
          <w:highlight w:val="none"/>
        </w:rPr>
        <w:t xml:space="preserve">Căn cứ Nghị quyết số</w:t>
      </w:r>
      <w:r>
        <w:rPr>
          <w:rFonts w:ascii="Times New Roman" w:hAnsi="Times New Roman" w:eastAsia="Times New Roman" w:cs="Times New Roman"/>
          <w:b w:val="0"/>
          <w:bCs w:val="0"/>
          <w:color w:val="000000"/>
          <w:sz w:val="24"/>
          <w:szCs w:val="24"/>
          <w:highlight w:val="none"/>
        </w:rPr>
        <w:t xml:space="preserve"> </w:t>
      </w:r>
      <w:r>
        <w:rPr>
          <w:rFonts w:ascii="Times New Roman" w:hAnsi="Times New Roman" w:eastAsia="Times New Roman" w:cs="Times New Roman"/>
          <w:b w:val="0"/>
          <w:bCs w:val="0"/>
          <w:color w:val="000000"/>
          <w:sz w:val="24"/>
          <w:szCs w:val="24"/>
          <w:highlight w:val="white"/>
        </w:rPr>
        <w:t xml:space="preserve">100/2025/NQ-HĐND</w:t>
      </w:r>
      <w:r>
        <w:rPr>
          <w:rFonts w:ascii="Times New Roman" w:hAnsi="Times New Roman" w:eastAsia="Times New Roman" w:cs="Times New Roman"/>
          <w:b w:val="0"/>
          <w:bCs w:val="0"/>
          <w:sz w:val="24"/>
          <w:szCs w:val="24"/>
          <w:highlight w:val="none"/>
        </w:rPr>
        <w:t xml:space="preserve"> ngày 16 tháng 12 năm 2025 </w:t>
      </w:r>
      <w:r>
        <w:rPr>
          <w:rFonts w:ascii="Times New Roman" w:hAnsi="Times New Roman" w:eastAsia="Times New Roman" w:cs="Times New Roman"/>
          <w:b w:val="0"/>
          <w:bCs w:val="0"/>
          <w:color w:val="000000"/>
          <w:sz w:val="24"/>
          <w:szCs w:val="24"/>
          <w:highlight w:val="white"/>
        </w:rPr>
        <w:t xml:space="preserve">của Hội đồng nhân dân tỉnh Quảng Ninh về quy định bản giá đất lần đầu áp dụng từ ngày 01 tháng 01 năm 2026 trên địa bàn tỉnh Quảng Ninh. Tại Phụ lục số 04: Bảng giá đất nông nghiệp: </w:t>
      </w:r>
      <w:r>
        <w:rPr>
          <w:rFonts w:ascii="Times New Roman" w:hAnsi="Times New Roman" w:eastAsia="Times New Roman" w:cs="Times New Roman"/>
          <w:b w:val="0"/>
          <w:bCs w:val="0"/>
          <w:color w:val="000000"/>
          <w:sz w:val="24"/>
          <w:szCs w:val="24"/>
          <w:highlight w:val="white"/>
        </w:rPr>
        <w:t xml:space="preserve">Giá đất trồng cây hàng năm bao gồm đất trồng lúa và đất trồng cây hàng năm khác</w:t>
      </w:r>
      <w:r>
        <w:rPr>
          <w:rFonts w:ascii="Times New Roman" w:hAnsi="Times New Roman" w:eastAsia="Times New Roman" w:cs="Times New Roman"/>
          <w:b w:val="0"/>
          <w:bCs w:val="0"/>
          <w:color w:val="000000"/>
          <w:sz w:val="24"/>
          <w:szCs w:val="24"/>
          <w:highlight w:val="white"/>
        </w:rPr>
        <w:t xml:space="preserve"> - Phường Cao Xanh</w:t>
      </w:r>
      <w:r>
        <w:rPr>
          <w:rFonts w:ascii="Times New Roman" w:hAnsi="Times New Roman" w:eastAsia="Times New Roman" w:cs="Times New Roman"/>
          <w:b w:val="0"/>
          <w:bCs w:val="0"/>
          <w:color w:val="000000"/>
          <w:sz w:val="24"/>
          <w:szCs w:val="24"/>
          <w:highlight w:val="white"/>
        </w:rPr>
        <w:t xml:space="preserve"> là: </w:t>
      </w:r>
      <w:r>
        <w:rPr>
          <w:rFonts w:ascii="Times New Roman" w:hAnsi="Times New Roman" w:eastAsia="Times New Roman" w:cs="Times New Roman"/>
          <w:b/>
          <w:bCs/>
          <w:color w:val="000000"/>
          <w:sz w:val="24"/>
          <w:szCs w:val="24"/>
          <w:highlight w:val="white"/>
        </w:rPr>
        <w:t xml:space="preserve">85.000 đồng/m²</w:t>
      </w:r>
      <w:r>
        <w:rPr>
          <w:rFonts w:ascii="Times New Roman" w:hAnsi="Times New Roman" w:cs="Times New Roman"/>
          <w:b w:val="0"/>
          <w:bCs w:val="0"/>
          <w:szCs w:val="24"/>
        </w:rPr>
      </w:r>
      <w:r>
        <w:rPr>
          <w:rFonts w:ascii="Times New Roman" w:hAnsi="Times New Roman" w:cs="Times New Roman"/>
          <w:b w:val="0"/>
          <w:bCs w:val="0"/>
          <w:szCs w:val="24"/>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p>
      <w:pPr>
        <w:pStyle w:val="1027"/>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27"/>
        <w:pBdr/>
        <w:tabs>
          <w:tab w:val="left" w:leader="none" w:pos="993"/>
        </w:tabs>
        <w:spacing w:after="120" w:before="120" w:line="276" w:lineRule="auto"/>
        <w:ind w:left="0"/>
        <w:jc w:val="both"/>
        <w:rPr>
          <w:highlight w:val="none"/>
        </w:rPr>
      </w:pPr>
      <w:r>
        <w:rPr>
          <w:highlight w:val="none"/>
        </w:rPr>
      </w:r>
      <w:r>
        <w:rPr>
          <w:highlight w:val="none"/>
        </w:rPr>
      </w:r>
      <w:r>
        <w:rPr>
          <w:highlight w:val="none"/>
        </w:rPr>
      </w:r>
    </w:p>
    <w:tbl>
      <w:tblPr>
        <w:tblW w:w="498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761"/>
        <w:gridCol w:w="1417"/>
        <w:gridCol w:w="2552"/>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6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5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29" w:type="dxa"/>
            <w:vAlign w:val="center"/>
            <w:textDirection w:val="lrTb"/>
            <w:noWrap w:val="false"/>
          </w:tcPr>
          <w:p>
            <w:pPr>
              <w:pBdr/>
              <w:spacing w:after="40" w:before="40" w:line="288" w:lineRule="auto"/>
              <w:ind/>
              <w:jc w:val="both"/>
              <w:rPr>
                <w:b/>
                <w:bCs/>
                <w:color w:val="000000" w:themeColor="text1"/>
              </w:rPr>
            </w:pPr>
            <w:r>
              <w:rPr>
                <w:color w:val="000000"/>
              </w:rPr>
            </w:r>
            <w:r>
              <w:rPr>
                <w:b/>
                <w:bCs/>
                <w:color w:val="000000"/>
              </w:rPr>
              <w:t xml:space="preserve">Quyền sử dụng đất tại thửa đất số: 100, tờ bản đồ số 87 có địa chỉ: Tổ 12C khu 2, Phường Hà Khánh, Thành phố Hạ Long, Quảng Ninh (</w:t>
            </w:r>
            <w:r>
              <w:rPr>
                <w:b/>
                <w:bCs/>
                <w:i/>
                <w:iCs/>
                <w:color w:val="000000"/>
              </w:rPr>
              <w:t xml:space="preserve">nay là phường Cao Xanh, tỉnh Quảng N</w:t>
            </w:r>
            <w:r>
              <w:rPr>
                <w:b/>
                <w:bCs/>
                <w:i/>
                <w:iCs/>
                <w:color w:val="000000"/>
              </w:rPr>
              <w:t xml:space="preserve">inh</w:t>
            </w:r>
            <w:r>
              <w:rPr>
                <w:b/>
                <w:bCs/>
                <w:color w:val="000000"/>
              </w:rPr>
              <w:t xml:space="preserve">) theo Giấy chứng nhận quyền sử dụng đất quyền sở hữu nhà ở và tài sản khác gắn liền với đất số: CO 221822, số vào sổ cấp GCN: CH 42065 do UBND thành phố Hạ Long cấp ngày 03/3/2020; Chủ sử dụng đấ</w:t>
            </w:r>
            <w:r>
              <w:rPr>
                <w:b/>
                <w:bCs/>
                <w:color w:val="000000" w:themeColor="text1"/>
              </w:rPr>
              <w:t xml:space="preserve">t là </w:t>
            </w:r>
            <w:r>
              <w:rPr>
                <w:b/>
                <w:bCs/>
                <w:color w:val="000000" w:themeColor="text1"/>
              </w:rPr>
              <w:t xml:space="preserve">Ông Đoàn Văn Hoàng và bà Hồ Thị Thu</w:t>
            </w:r>
            <w:r>
              <w:rPr>
                <w:b/>
                <w:bCs/>
                <w:i/>
                <w:iCs/>
                <w:color w:val="000000" w:themeColor="text1"/>
              </w:rPr>
              <w:t xml:space="preserve">.</w:t>
            </w:r>
            <w:r>
              <w:rPr>
                <w:b/>
                <w:bCs/>
                <w:color w:val="000000" w:themeColor="text1"/>
              </w:rPr>
            </w:r>
            <w:r>
              <w:rPr>
                <w:b/>
                <w:bCs/>
                <w:color w:val="000000" w:themeColor="text1"/>
              </w:rPr>
            </w:r>
          </w:p>
        </w:tc>
        <w:tc>
          <w:tcPr>
            <w:shd w:val="clear" w:color="000000" w:fill="ffffff"/>
            <w:tcBorders/>
            <w:tcW w:w="209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761"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55,0</w:t>
            </w:r>
            <w:r>
              <w:rPr>
                <w:color w:val="000000"/>
              </w:rPr>
            </w:r>
            <w:r>
              <w:rPr>
                <w:color w:val="000000"/>
              </w:rPr>
            </w:r>
          </w:p>
        </w:tc>
        <w:tc>
          <w:tcPr>
            <w:shd w:val="clear" w:color="000000" w:fill="ffffff"/>
            <w:tcBorders/>
            <w:tcW w:w="2551" w:type="dxa"/>
            <w:vAlign w:val="center"/>
            <w:textDirection w:val="lrTb"/>
            <w:noWrap w:val="false"/>
          </w:tcPr>
          <w:p>
            <w:pPr>
              <w:pBdr/>
              <w:spacing w:after="40" w:before="40" w:line="288" w:lineRule="auto"/>
              <w:ind/>
              <w:jc w:val="center"/>
              <w:rPr/>
            </w:pPr>
            <w:r>
              <w:rPr>
                <w:color w:val="000000" w:themeColor="text1"/>
              </w:rPr>
              <w:t xml:space="preserve">24.353.000</w:t>
            </w:r>
            <w:r/>
          </w:p>
        </w:tc>
        <w:tc>
          <w:tcPr>
            <w:shd w:val="clear" w:color="000000" w:fill="ffffff"/>
            <w:tcBorders/>
            <w:tcW w:w="2092" w:type="dxa"/>
            <w:vAlign w:val="center"/>
            <w:textDirection w:val="lrTb"/>
            <w:noWrap w:val="false"/>
          </w:tcPr>
          <w:p>
            <w:pPr>
              <w:pBdr/>
              <w:spacing w:after="40" w:before="40" w:line="288" w:lineRule="auto"/>
              <w:ind/>
              <w:jc w:val="right"/>
              <w:rPr/>
            </w:pPr>
            <w:r>
              <w:rPr>
                <w:color w:val="000000" w:themeColor="text1"/>
              </w:rPr>
              <w:t xml:space="preserve">1.339.415.000</w:t>
            </w:r>
            <w:r/>
          </w:p>
        </w:tc>
      </w:tr>
      <w:tr>
        <w:trPr>
          <w:trHeight w:val="20"/>
        </w:trPr>
        <w:tc>
          <w:tcPr>
            <w:shd w:val="clear" w:color="000000" w:fill="ffffff"/>
            <w:tcBorders/>
            <w:tcW w:w="675"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761" w:type="dxa"/>
            <w:vAlign w:val="center"/>
            <w:vMerge w:val="restart"/>
            <w:textDirection w:val="lrTb"/>
            <w:noWrap w:val="false"/>
          </w:tcPr>
          <w:p>
            <w:pPr>
              <w:pBdr/>
              <w:spacing w:after="40" w:before="40" w:line="288" w:lineRule="auto"/>
              <w:ind/>
              <w:rPr>
                <w:b w:val="0"/>
                <w:bCs w:val="0"/>
              </w:rPr>
            </w:pPr>
            <w:r>
              <w:rPr>
                <w:b w:val="0"/>
                <w:bCs w:val="0"/>
              </w:rPr>
              <w:t xml:space="preserve">Đất trồng cây hàng năm</w:t>
            </w:r>
            <w:r>
              <w:rPr>
                <w:b w:val="0"/>
                <w:bCs w:val="0"/>
              </w:rPr>
            </w:r>
            <w:r>
              <w:rPr>
                <w:b w:val="0"/>
                <w:bCs w:val="0"/>
              </w:rPr>
            </w:r>
          </w:p>
        </w:tc>
        <w:tc>
          <w:tcPr>
            <w:tcBorders/>
            <w:tcW w:w="1417"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36,5</w:t>
            </w:r>
            <w:r>
              <w:rPr>
                <w:color w:val="000000" w:themeColor="text1"/>
              </w:rPr>
            </w:r>
            <w:r>
              <w:rPr>
                <w:color w:val="000000" w:themeColor="text1"/>
              </w:rPr>
            </w:r>
          </w:p>
        </w:tc>
        <w:tc>
          <w:tcPr>
            <w:shd w:val="clear" w:color="000000" w:fill="ffffff"/>
            <w:tcBorders/>
            <w:tcW w:w="2551"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85.000</w:t>
            </w:r>
            <w:r>
              <w:rPr>
                <w:color w:val="000000" w:themeColor="text1"/>
              </w:rPr>
            </w:r>
            <w:r>
              <w:rPr>
                <w:color w:val="000000" w:themeColor="text1"/>
              </w:rPr>
            </w:r>
          </w:p>
        </w:tc>
        <w:tc>
          <w:tcPr>
            <w:shd w:val="clear" w:color="000000" w:fill="ffffff"/>
            <w:tcBorders/>
            <w:tcW w:w="2092" w:type="dxa"/>
            <w:vAlign w:val="center"/>
            <w:vMerge w:val="restart"/>
            <w:textDirection w:val="lrTb"/>
            <w:noWrap w:val="false"/>
          </w:tcPr>
          <w:p>
            <w:pPr>
              <w:pBdr/>
              <w:spacing w:after="40" w:before="40" w:line="288" w:lineRule="auto"/>
              <w:ind/>
              <w:jc w:val="right"/>
              <w:rPr>
                <w:color w:val="000000" w:themeColor="text1"/>
              </w:rPr>
            </w:pPr>
            <w:r>
              <w:rPr>
                <w:color w:val="000000" w:themeColor="text1"/>
              </w:rPr>
              <w:t xml:space="preserve">3.102.500</w:t>
            </w:r>
            <w:r>
              <w:rPr>
                <w:color w:val="000000" w:themeColor="text1"/>
              </w:rPr>
            </w:r>
            <w:r>
              <w:rPr>
                <w:color w:val="000000" w:themeColor="text1"/>
              </w:rPr>
            </w:r>
          </w:p>
        </w:tc>
      </w:tr>
      <w:tr>
        <w:trPr>
          <w:trHeight w:val="20"/>
        </w:trPr>
        <w:tc>
          <w:tcPr>
            <w:gridSpan w:val="4"/>
            <w:tcBorders/>
            <w:tcW w:w="740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2" w:type="dxa"/>
            <w:vAlign w:val="center"/>
            <w:textDirection w:val="lrTb"/>
            <w:noWrap/>
          </w:tcPr>
          <w:p>
            <w:pPr>
              <w:pBdr/>
              <w:spacing w:after="40" w:before="40" w:line="288" w:lineRule="auto"/>
              <w:ind/>
              <w:jc w:val="right"/>
              <w:rPr>
                <w:b/>
                <w:bCs/>
                <w:color w:val="000000"/>
              </w:rPr>
            </w:pPr>
            <w:r>
              <w:rPr>
                <w:b/>
                <w:bCs/>
              </w:rPr>
              <w:t xml:space="preserve">1.342.517.50</w:t>
            </w:r>
            <w:r>
              <w:rPr>
                <w:b/>
                <w:bCs/>
              </w:rPr>
              <w:t xml:space="preserve">0</w:t>
            </w:r>
            <w:r>
              <w:rPr>
                <w:b/>
                <w:bCs/>
                <w:color w:val="000000"/>
              </w:rPr>
            </w:r>
            <w:r>
              <w:rPr>
                <w:b/>
                <w:bCs/>
                <w:color w:val="000000"/>
              </w:rPr>
            </w:r>
          </w:p>
        </w:tc>
      </w:tr>
      <w:tr>
        <w:trPr>
          <w:trHeight w:val="20"/>
        </w:trPr>
        <w:tc>
          <w:tcPr>
            <w:gridSpan w:val="4"/>
            <w:tcBorders/>
            <w:tcW w:w="740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2" w:type="dxa"/>
            <w:vAlign w:val="center"/>
            <w:textDirection w:val="lrTb"/>
            <w:noWrap/>
          </w:tcPr>
          <w:p>
            <w:pPr>
              <w:pBdr/>
              <w:spacing w:after="40" w:before="40" w:line="288" w:lineRule="auto"/>
              <w:ind/>
              <w:jc w:val="right"/>
              <w:rPr>
                <w:b/>
                <w:bCs/>
                <w:color w:val="000000"/>
              </w:rPr>
            </w:pPr>
            <w:r>
              <w:rPr>
                <w:b/>
                <w:bCs/>
                <w:color w:val="000000"/>
              </w:rPr>
              <w:t xml:space="preserve">1.343.000.000</w:t>
            </w:r>
            <w:r>
              <w:rPr>
                <w:b/>
                <w:bCs/>
                <w:color w:val="000000"/>
              </w:rPr>
            </w:r>
            <w:r>
              <w:rPr>
                <w:b/>
                <w:bCs/>
                <w:color w:val="000000"/>
              </w:rPr>
            </w:r>
          </w:p>
        </w:tc>
      </w:tr>
      <w:tr>
        <w:trPr>
          <w:trHeight w:val="20"/>
        </w:trPr>
        <w:tc>
          <w:tcPr>
            <w:gridSpan w:val="5"/>
            <w:tcBorders/>
            <w:tcW w:w="949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ba trăm bốn mươi ba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highlight w:val="none"/>
          <w:lang w:val="vi-VN"/>
        </w:rPr>
        <w:br w:type="page" w:clear="all"/>
      </w:r>
      <w:r>
        <w:rPr>
          <w:lang w:val="pt-BR"/>
        </w:rPr>
      </w:r>
      <w:r>
        <w:rPr>
          <w:lang w:val="pt-BR"/>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275/2026/0618/VFI-CT.65.A</w:t>
      </w:r>
      <w:r>
        <w:rPr>
          <w:color w:val="ff0000"/>
          <w:lang w:val="vi-VN"/>
        </w:rPr>
        <w:t xml:space="preserve"> </w:t>
      </w:r>
      <w:r>
        <w:rPr>
          <w:color w:val="000000" w:themeColor="text1"/>
        </w:rPr>
        <w:t xml:space="preserve">ngày 21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bCs/>
          <w:u w:val="single"/>
          <w:lang w:val="vi-VN"/>
        </w:rPr>
      </w:pPr>
      <w:r>
        <w:rPr>
          <w:b/>
          <w:u w:val="single"/>
          <w:lang w:val="vi-VN"/>
        </w:rPr>
      </w:r>
      <w:r>
        <w:rPr>
          <w:b/>
          <w:bCs/>
          <w:u w:val="single"/>
          <w:lang w:val="vi-VN"/>
        </w:rPr>
      </w:r>
      <w:r>
        <w:rPr>
          <w:b/>
          <w:bCs/>
          <w:u w:val="single"/>
          <w:lang w:val="vi-VN"/>
        </w:rPr>
      </w:r>
    </w:p>
    <w:p>
      <w:pPr>
        <w:pBdr/>
        <w:spacing w:after="200" w:line="276" w:lineRule="auto"/>
        <w:ind/>
        <w:jc w:val="center"/>
        <w:rPr>
          <w:b/>
          <w:bCs/>
          <w:u w:val="single"/>
          <w:lang w:val="vi-VN"/>
        </w:rPr>
      </w:pPr>
      <w:r>
        <w:rPr>
          <w:b/>
          <w:bCs/>
          <w:u w:val="single"/>
          <w:lang w:val="vi-VN"/>
        </w:rPr>
      </w:r>
      <w:r>
        <w:rPr>
          <w:b/>
          <w:bCs/>
          <w:u w:val="single"/>
          <w:lang w:val="vi-VN"/>
        </w:rPr>
      </w:r>
      <w:r>
        <w:rPr>
          <w:b/>
          <w:bCs/>
          <w:u w:val="single"/>
          <w:lang w:val="vi-VN"/>
        </w:rPr>
      </w:r>
    </w:p>
    <w:p>
      <w:pPr>
        <w:pBdr/>
        <w:spacing w:after="200" w:line="276" w:lineRule="auto"/>
        <w:ind/>
        <w:jc w:val="center"/>
        <w:rPr>
          <w:b/>
          <w:bCs/>
          <w:u w:val="single"/>
          <w:lang w:val="vi-VN"/>
        </w:rPr>
      </w:pPr>
      <w:r>
        <w:rPr>
          <w:b/>
          <w:u w:val="single"/>
          <w:lang w:val="vi-VN"/>
        </w:rPr>
      </w:r>
      <w:r>
        <w:rPr>
          <w:b/>
          <w:bCs/>
          <w:u w:val="single"/>
          <w:lang w:val="vi-VN"/>
        </w:rPr>
      </w:r>
      <w:r>
        <w:rPr>
          <w:b/>
          <w:bCs/>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275/2026/0618/VFI-BC.65.A</w:t>
      </w:r>
      <w:r>
        <w:rPr>
          <w:i/>
          <w:lang w:val="pt-BR"/>
        </w:rPr>
        <w:t xml:space="preserve"> </w:t>
      </w:r>
      <w:r>
        <w:rPr>
          <w:i/>
          <w:lang w:val="pt-BR"/>
        </w:rPr>
        <w:t xml:space="preserve">ngày 21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97885" cy="23169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55132" name=""/>
                              <pic:cNvPicPr>
                                <a:picLocks noChangeAspect="1"/>
                              </pic:cNvPicPr>
                              <pic:nvPr/>
                            </pic:nvPicPr>
                            <pic:blipFill rotWithShape="1">
                              <a:blip r:embed="rId18"/>
                              <a:stretch/>
                            </pic:blipFill>
                            <pic:spPr bwMode="auto">
                              <a:xfrm flipH="0" flipV="0">
                                <a:off x="0" y="0"/>
                                <a:ext cx="1497884" cy="23169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7.94pt;height:182.4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66055" cy="244698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29194" name=""/>
                              <pic:cNvPicPr>
                                <a:picLocks noChangeAspect="1"/>
                              </pic:cNvPicPr>
                              <pic:nvPr/>
                            </pic:nvPicPr>
                            <pic:blipFill rotWithShape="1">
                              <a:blip r:embed="rId19"/>
                              <a:stretch/>
                            </pic:blipFill>
                            <pic:spPr bwMode="auto">
                              <a:xfrm flipH="0" flipV="0">
                                <a:off x="0" y="0"/>
                                <a:ext cx="3266055" cy="24469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7.17pt;height:192.6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6675" cy="221000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66089" name=""/>
                              <pic:cNvPicPr>
                                <a:picLocks noChangeAspect="1"/>
                              </pic:cNvPicPr>
                              <pic:nvPr/>
                            </pic:nvPicPr>
                            <pic:blipFill rotWithShape="1">
                              <a:blip r:embed="rId20"/>
                              <a:stretch/>
                            </pic:blipFill>
                            <pic:spPr bwMode="auto">
                              <a:xfrm flipH="0" flipV="0">
                                <a:off x="0" y="0"/>
                                <a:ext cx="2946674" cy="22100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2.02pt;height:174.0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6309" cy="221723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77383" name=""/>
                              <pic:cNvPicPr>
                                <a:picLocks noChangeAspect="1"/>
                              </pic:cNvPicPr>
                              <pic:nvPr/>
                            </pic:nvPicPr>
                            <pic:blipFill rotWithShape="1">
                              <a:blip r:embed="rId21"/>
                              <a:stretch/>
                            </pic:blipFill>
                            <pic:spPr bwMode="auto">
                              <a:xfrm flipH="0" flipV="0">
                                <a:off x="0" y="0"/>
                                <a:ext cx="2956309" cy="22172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78pt;height:174.5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3229" cy="222759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65968" name=""/>
                              <pic:cNvPicPr>
                                <a:picLocks noChangeAspect="1"/>
                              </pic:cNvPicPr>
                              <pic:nvPr/>
                            </pic:nvPicPr>
                            <pic:blipFill rotWithShape="1">
                              <a:blip r:embed="rId22"/>
                              <a:stretch/>
                            </pic:blipFill>
                            <pic:spPr bwMode="auto">
                              <a:xfrm flipH="0" flipV="0">
                                <a:off x="0" y="0"/>
                                <a:ext cx="2973228" cy="22275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4.11pt;height:175.4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74249" cy="223068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19691" name=""/>
                              <pic:cNvPicPr>
                                <a:picLocks noChangeAspect="1"/>
                              </pic:cNvPicPr>
                              <pic:nvPr/>
                            </pic:nvPicPr>
                            <pic:blipFill rotWithShape="1">
                              <a:blip r:embed="rId23"/>
                              <a:stretch/>
                            </pic:blipFill>
                            <pic:spPr bwMode="auto">
                              <a:xfrm flipH="0" flipV="0">
                                <a:off x="0" y="0"/>
                                <a:ext cx="2974249" cy="22306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4.19pt;height:175.6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275/2026/0618/VFI-BC.65.A</w:t>
      </w:r>
      <w:r>
        <w:rPr>
          <w:i/>
          <w:lang w:val="pt-BR"/>
        </w:rPr>
        <w:t xml:space="preserve"> ngày </w:t>
      </w:r>
      <w:r>
        <w:rPr>
          <w:i/>
          <w:lang w:val="pt-BR"/>
        </w:rPr>
        <w:t xml:space="preserve">21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https://alonhadat.com.vn/ban-6-o-dat-phan-lo-lang-cong-an-ha-khanh-duong-o-to-so-do-gia-chi-1-9-ti-18021560.html</w:t>
            </w:r>
            <w:r>
              <w:rPr>
                <w:color w:val="000000" w:themeColor="text1"/>
                <w:sz w:val="22"/>
                <w:szCs w:val="22"/>
              </w:rPr>
              <w:br/>
              <w:t xml:space="preserve">0962.951636</w:t>
            </w:r>
            <w:r>
              <w:rPr>
                <w:sz w:val="22"/>
                <w:szCs w:val="22"/>
              </w:rPr>
              <w:t xml:space="preserve"> </w:t>
            </w:r>
            <w:r>
              <w:rPr>
                <w:sz w:val="22"/>
                <w:szCs w:val="22"/>
              </w:rPr>
              <w:br/>
              <w:t xml:space="preserve">(Hải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1.677.000.000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4/2026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Cao Xanh, tỉnh Quảng Ninh</w:t>
            </w:r>
            <w:r>
              <w:rPr>
                <w:rFonts w:ascii="Times New Roman" w:hAnsi="Times New Roman" w:eastAsia="Times New Roman" w:cs="Times New Roman"/>
                <w:color w:val="000000"/>
                <w:sz w:val="22"/>
              </w:rPr>
              <w:t xml:space="preserve">, cách đường Lao động khoảng 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4040" cy="340306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474039" cy="3403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1.03pt;height:267.96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54640" cy="22410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654639" cy="22410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9.03pt;height:176.4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81305" cy="2241010"/>
                      <wp:effectExtent l="0" t="0" r="0" b="0"/>
                      <wp:docPr id="14" name=""/>
                      <wp:cNvGraphicFramePr/>
                      <a:graphic xmlns:a="http://schemas.openxmlformats.org/drawingml/2006/main">
                        <a:graphicData uri="http://schemas.openxmlformats.org/drawingml/2006/picture">
                          <pic:pic xmlns:pic="http://schemas.openxmlformats.org/drawingml/2006/picture">
                            <pic:nvPicPr>
                              <pic:cNvPr id="671650176" name="" descr=""/>
                              <pic:cNvPicPr/>
                              <pic:nvPr/>
                            </pic:nvPicPr>
                            <pic:blipFill rotWithShape="1">
                              <a:blip r:embed="rId26"/>
                              <a:stretch/>
                            </pic:blipFill>
                            <pic:spPr bwMode="auto">
                              <a:xfrm flipH="0" flipV="0">
                                <a:off x="0" y="0"/>
                                <a:ext cx="2781304" cy="22410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9.00pt;height:176.4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0962.951636</w:t>
            </w:r>
            <w:r>
              <w:rPr>
                <w:sz w:val="22"/>
                <w:szCs w:val="22"/>
              </w:rPr>
              <w:t xml:space="preserve"> </w:t>
            </w:r>
            <w:r>
              <w:rPr>
                <w:sz w:val="22"/>
                <w:szCs w:val="22"/>
              </w:rPr>
              <w:t xml:space="preserve">(Hải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04/2026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Cao Xanh, tỉnh Quảng Ninh</w:t>
            </w:r>
            <w:r>
              <w:rPr>
                <w:rFonts w:ascii="Times New Roman" w:hAnsi="Times New Roman" w:eastAsia="Times New Roman" w:cs="Times New Roman"/>
                <w:color w:val="000000"/>
                <w:sz w:val="22"/>
              </w:rPr>
              <w:t xml:space="preserve">, cách đường Lao động khoảng 50m</w:t>
            </w:r>
            <w:r>
              <w:rPr>
                <w:sz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45015" cy="3079538"/>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845014" cy="30795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5.28pt;height:242.4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92278" cy="3143462"/>
                      <wp:effectExtent l="0" t="0" r="0" b="0"/>
                      <wp:docPr id="16" name=""/>
                      <wp:cNvGraphicFramePr/>
                      <a:graphic xmlns:a="http://schemas.openxmlformats.org/drawingml/2006/main">
                        <a:graphicData uri="http://schemas.openxmlformats.org/drawingml/2006/picture">
                          <pic:pic xmlns:pic="http://schemas.openxmlformats.org/drawingml/2006/picture">
                            <pic:nvPicPr>
                              <pic:cNvPr id="1098416070" name="" descr=""/>
                              <pic:cNvPicPr/>
                              <pic:nvPr/>
                            </pic:nvPicPr>
                            <pic:blipFill rotWithShape="1">
                              <a:blip r:embed="rId28"/>
                              <a:stretch/>
                            </pic:blipFill>
                            <pic:spPr bwMode="auto">
                              <a:xfrm rot="0" flipH="0" flipV="0">
                                <a:off x="0" y="0"/>
                                <a:ext cx="1692278" cy="314346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3.25pt;height:247.52pt;mso-wrap-distance-left:0.00pt;mso-wrap-distance-top:0.00pt;mso-wrap-distance-right:0.00pt;mso-wrap-distance-bottom:0.00pt;rotation:0;z-index:1;" stroked="false">
                      <v:imagedata r:id="rId28"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879601" cy="3143462"/>
                      <wp:effectExtent l="0" t="0" r="0" b="0"/>
                      <wp:docPr id="17" name=""/>
                      <wp:cNvGraphicFramePr/>
                      <a:graphic xmlns:a="http://schemas.openxmlformats.org/drawingml/2006/main">
                        <a:graphicData uri="http://schemas.openxmlformats.org/drawingml/2006/picture">
                          <pic:pic xmlns:pic="http://schemas.openxmlformats.org/drawingml/2006/picture">
                            <pic:nvPicPr>
                              <pic:cNvPr id="1798314307" name="" descr=""/>
                              <pic:cNvPicPr/>
                              <pic:nvPr/>
                            </pic:nvPicPr>
                            <pic:blipFill rotWithShape="1">
                              <a:blip r:embed="rId29"/>
                              <a:stretch/>
                            </pic:blipFill>
                            <pic:spPr bwMode="auto">
                              <a:xfrm rot="0" flipH="0" flipV="0">
                                <a:off x="0" y="0"/>
                                <a:ext cx="1879601" cy="314346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8.00pt;height:247.52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271"/>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sz w:val="16"/>
                <w:szCs w:val="16"/>
              </w:rPr>
            </w:pPr>
            <w:r>
              <w:rPr>
                <w:b/>
                <w:bCs/>
                <w:sz w:val="16"/>
                <w:szCs w:val="16"/>
              </w:rPr>
            </w:r>
            <w:r>
              <w:rPr>
                <w:b/>
                <w:bCs/>
                <w:sz w:val="16"/>
                <w:szCs w:val="16"/>
              </w:rPr>
            </w:r>
            <w:r>
              <w:rPr>
                <w:b/>
                <w:bCs/>
                <w:sz w:val="16"/>
                <w:szCs w:val="16"/>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0905.442661</w:t>
            </w:r>
            <w:r>
              <w:rPr>
                <w:sz w:val="22"/>
                <w:szCs w:val="22"/>
              </w:rPr>
              <w:t xml:space="preserve"> </w:t>
            </w:r>
            <w:r>
              <w:rPr>
                <w:sz w:val="22"/>
                <w:szCs w:val="22"/>
              </w:rPr>
              <w:t xml:space="preserve">(Lê 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4/2026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Cao Xanh, tỉnh Quảng Ninh</w:t>
            </w:r>
            <w:r>
              <w:rPr>
                <w:rFonts w:ascii="Times New Roman" w:hAnsi="Times New Roman" w:eastAsia="Times New Roman" w:cs="Times New Roman"/>
                <w:color w:val="000000"/>
                <w:sz w:val="22"/>
              </w:rPr>
              <w:t xml:space="preserve">, cách đường Lao động khoảng 80m</w:t>
            </w:r>
            <w:r/>
          </w:p>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73565" cy="3069691"/>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673564" cy="30696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1.78pt;height:241.71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84377" cy="3069691"/>
                      <wp:effectExtent l="0" t="0" r="0" b="0"/>
                      <wp:docPr id="19" name=""/>
                      <wp:cNvGraphicFramePr/>
                      <a:graphic xmlns:a="http://schemas.openxmlformats.org/drawingml/2006/main">
                        <a:graphicData uri="http://schemas.openxmlformats.org/drawingml/2006/picture">
                          <pic:pic xmlns:pic="http://schemas.openxmlformats.org/drawingml/2006/picture">
                            <pic:nvPicPr>
                              <pic:cNvPr id="828992515" name="" descr=""/>
                              <pic:cNvPicPr/>
                              <pic:nvPr/>
                            </pic:nvPicPr>
                            <pic:blipFill rotWithShape="1">
                              <a:blip r:embed="rId31"/>
                              <a:stretch/>
                            </pic:blipFill>
                            <pic:spPr bwMode="auto">
                              <a:xfrm flipH="0" flipV="0">
                                <a:off x="0" y="0"/>
                                <a:ext cx="1984376" cy="30696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6.25pt;height:241.7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4827" cy="3069691"/>
                      <wp:effectExtent l="0" t="0" r="0" b="0"/>
                      <wp:docPr id="20" name=""/>
                      <wp:cNvGraphicFramePr/>
                      <a:graphic xmlns:a="http://schemas.openxmlformats.org/drawingml/2006/main">
                        <a:graphicData uri="http://schemas.openxmlformats.org/drawingml/2006/picture">
                          <pic:pic xmlns:pic="http://schemas.openxmlformats.org/drawingml/2006/picture">
                            <pic:nvPicPr>
                              <pic:cNvPr id="148112052" name="" descr=""/>
                              <pic:cNvPicPr/>
                              <pic:nvPr/>
                            </pic:nvPicPr>
                            <pic:blipFill rotWithShape="1">
                              <a:blip r:embed="rId32"/>
                              <a:stretch/>
                            </pic:blipFill>
                            <pic:spPr bwMode="auto">
                              <a:xfrm rot="0" flipH="0" flipV="0">
                                <a:off x="0" y="0"/>
                                <a:ext cx="1774826" cy="30696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9.75pt;height:241.71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sz w:val="6"/>
                <w:szCs w:val="6"/>
              </w:rPr>
            </w:pPr>
            <w:r>
              <w:rPr>
                <w:sz w:val="6"/>
                <w:szCs w:val="6"/>
              </w:rPr>
            </w:r>
            <w:r>
              <w:rPr>
                <w:sz w:val="6"/>
                <w:szCs w:val="6"/>
              </w:rPr>
            </w:r>
            <w:r>
              <w:rPr>
                <w:sz w:val="6"/>
                <w:szCs w:val="6"/>
              </w:rPr>
            </w:r>
          </w:p>
          <w:p>
            <w:pPr>
              <w:pBdr/>
              <w:spacing/>
              <w:ind/>
              <w:jc w:val="center"/>
              <w:rPr/>
            </w:pPr>
            <w:r/>
            <w:r/>
          </w:p>
          <w:p>
            <w:pPr>
              <w:pBdr/>
              <w:spacing/>
              <w:ind/>
              <w:jc w:val="center"/>
              <w:rPr/>
            </w:pPr>
            <w:r>
              <w:t xml:space="preserve">Nguyễn Thị Hồng Phúc</w:t>
            </w:r>
            <w:r/>
          </w:p>
        </w:tc>
      </w:tr>
    </w:tbl>
    <w:p>
      <w:pPr>
        <w:pBdr/>
        <w:spacing/>
        <w:ind/>
        <w:jc w:val="center"/>
        <w:rPr>
          <w:b/>
          <w:bCs/>
          <w:highlight w:val="none"/>
        </w:rPr>
      </w:pPr>
      <w:r>
        <w:rPr>
          <w:b/>
          <w:bCs/>
          <w:u w:val="single"/>
        </w:rPr>
        <w:t xml:space="preserve">PHỤ LỤC 03</w:t>
      </w:r>
      <w:r>
        <w:rPr>
          <w:b/>
          <w:bCs/>
          <w:u w:val="none"/>
        </w:rPr>
        <w:t xml:space="preserve">:</w:t>
      </w:r>
      <w:r>
        <w:rPr>
          <w:b/>
          <w:bCs/>
        </w:rPr>
        <w:t xml:space="preserve"> PHÁP LÝ TÀI SẢN</w:t>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mc:AlternateContent>
          <mc:Choice Requires="wpg">
            <w:drawing>
              <wp:inline xmlns:wp="http://schemas.openxmlformats.org/drawingml/2006/wordprocessingDrawing" distT="0" distB="0" distL="0" distR="0">
                <wp:extent cx="5800987" cy="822146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2495" name=""/>
                        <pic:cNvPicPr>
                          <a:picLocks noChangeAspect="1"/>
                        </pic:cNvPicPr>
                        <pic:nvPr/>
                      </pic:nvPicPr>
                      <pic:blipFill rotWithShape="1">
                        <a:blip r:embed="rId33"/>
                        <a:stretch/>
                      </pic:blipFill>
                      <pic:spPr bwMode="auto">
                        <a:xfrm flipH="0" flipV="0">
                          <a:off x="0" y="0"/>
                          <a:ext cx="5800987" cy="82214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56.77pt;height:647.36pt;mso-wrap-distance-left:0.00pt;mso-wrap-distance-top:0.00pt;mso-wrap-distance-right:0.00pt;mso-wrap-distance-bottom:0.00pt;z-index:1;" stroked="false">
                <v:imagedata r:id="rId33" o:title=""/>
                <o:lock v:ext="edit" rotation="t"/>
              </v:shape>
            </w:pict>
          </mc:Fallback>
        </mc:AlternateContent>
      </w:r>
      <w:r>
        <w:rPr>
          <w:b/>
          <w:bCs/>
          <w:highlight w:val="none"/>
        </w:rPr>
      </w:r>
      <w:r>
        <w:rPr>
          <w:b/>
          <w:bCs/>
          <w:highlight w:val="none"/>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highlight w:val="none"/>
        </w:rPr>
      </w:pPr>
      <w:r>
        <w:rPr>
          <w:b/>
          <w:bCs/>
          <w:highlight w:val="none"/>
        </w:rPr>
      </w:r>
      <w:r>
        <mc:AlternateContent>
          <mc:Choice Requires="wpg">
            <w:drawing>
              <wp:inline xmlns:wp="http://schemas.openxmlformats.org/drawingml/2006/wordprocessingDrawing" distT="0" distB="0" distL="0" distR="0">
                <wp:extent cx="5958227" cy="802932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94055" name=""/>
                        <pic:cNvPicPr>
                          <a:picLocks noChangeAspect="1"/>
                        </pic:cNvPicPr>
                        <pic:nvPr/>
                      </pic:nvPicPr>
                      <pic:blipFill rotWithShape="1">
                        <a:blip r:embed="rId34"/>
                        <a:stretch/>
                      </pic:blipFill>
                      <pic:spPr bwMode="auto">
                        <a:xfrm flipH="0" flipV="0">
                          <a:off x="0" y="0"/>
                          <a:ext cx="5958226" cy="80293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69.15pt;height:632.23pt;mso-wrap-distance-left:0.00pt;mso-wrap-distance-top:0.00pt;mso-wrap-distance-right:0.00pt;mso-wrap-distance-bottom:0.00pt;z-index:1;" stroked="false">
                <v:imagedata r:id="rId34" o:title=""/>
                <o:lock v:ext="edit" rotation="t"/>
              </v:shape>
            </w:pict>
          </mc:Fallback>
        </mc:AlternateContent>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highlight w:val="none"/>
        </w:rPr>
      </w:r>
      <w:r>
        <mc:AlternateContent>
          <mc:Choice Requires="wpg">
            <w:drawing>
              <wp:inline xmlns:wp="http://schemas.openxmlformats.org/drawingml/2006/wordprocessingDrawing" distT="0" distB="0" distL="0" distR="0">
                <wp:extent cx="6048375" cy="8615574"/>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99757" name=""/>
                        <pic:cNvPicPr>
                          <a:picLocks noChangeAspect="1"/>
                        </pic:cNvPicPr>
                        <pic:nvPr/>
                      </pic:nvPicPr>
                      <pic:blipFill rotWithShape="1">
                        <a:blip r:embed="rId35"/>
                        <a:stretch/>
                      </pic:blipFill>
                      <pic:spPr bwMode="auto">
                        <a:xfrm>
                          <a:off x="0" y="0"/>
                          <a:ext cx="6048374" cy="8615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78.39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9C80E9D"/>
    <w:lvl w:ilvl="0">
      <w:isLgl w:val="false"/>
      <w:lvlJc w:val="left"/>
      <w:lvlText w:val="·"/>
      <w:numFmt w:val="bullet"/>
      <w:pPr>
        <w:pBdr/>
        <w:spacing/>
        <w:ind w:hanging="360" w:left="992"/>
      </w:pPr>
      <w:rPr>
        <w:rFonts w:ascii="Symbol" w:hAnsi="Symbol" w:eastAsia="Symbol" w:cs="Symbol"/>
      </w:rPr>
      <w:start w:val="1"/>
      <w:suff w:val="tab"/>
    </w:lvl>
    <w:lvl w:ilvl="1">
      <w:isLgl w:val="false"/>
      <w:lvlJc w:val="left"/>
      <w:lvlText w:val="o"/>
      <w:numFmt w:val="bullet"/>
      <w:pPr>
        <w:pBdr/>
        <w:spacing/>
        <w:ind w:hanging="360" w:left="1712"/>
      </w:pPr>
      <w:rPr>
        <w:rFonts w:hint="default" w:ascii="Courier New" w:hAnsi="Courier New" w:eastAsia="Courier New" w:cs="Courier New"/>
      </w:rPr>
      <w:start w:val="1"/>
      <w:suff w:val="tab"/>
    </w:lvl>
    <w:lvl w:ilvl="2">
      <w:isLgl w:val="false"/>
      <w:lvlJc w:val="left"/>
      <w:lvlText w:val="§"/>
      <w:numFmt w:val="bullet"/>
      <w:pPr>
        <w:pBdr/>
        <w:spacing/>
        <w:ind w:hanging="360" w:left="2432"/>
      </w:pPr>
      <w:rPr>
        <w:rFonts w:hint="default" w:ascii="Wingdings" w:hAnsi="Wingdings" w:eastAsia="Wingdings" w:cs="Wingdings"/>
      </w:rPr>
      <w:start w:val="1"/>
      <w:suff w:val="tab"/>
    </w:lvl>
    <w:lvl w:ilvl="3">
      <w:isLgl w:val="false"/>
      <w:lvlJc w:val="left"/>
      <w:lvlText w:val="·"/>
      <w:numFmt w:val="bullet"/>
      <w:pPr>
        <w:pBdr/>
        <w:spacing/>
        <w:ind w:hanging="360" w:left="3152"/>
      </w:pPr>
      <w:rPr>
        <w:rFonts w:hint="default" w:ascii="Symbol" w:hAnsi="Symbol" w:eastAsia="Symbol" w:cs="Symbol"/>
      </w:rPr>
      <w:start w:val="1"/>
      <w:suff w:val="tab"/>
    </w:lvl>
    <w:lvl w:ilvl="4">
      <w:isLgl w:val="false"/>
      <w:lvlJc w:val="left"/>
      <w:lvlText w:val="o"/>
      <w:numFmt w:val="bullet"/>
      <w:pPr>
        <w:pBdr/>
        <w:spacing/>
        <w:ind w:hanging="360" w:left="3872"/>
      </w:pPr>
      <w:rPr>
        <w:rFonts w:hint="default" w:ascii="Courier New" w:hAnsi="Courier New" w:eastAsia="Courier New" w:cs="Courier New"/>
      </w:rPr>
      <w:start w:val="1"/>
      <w:suff w:val="tab"/>
    </w:lvl>
    <w:lvl w:ilvl="5">
      <w:isLgl w:val="false"/>
      <w:lvlJc w:val="left"/>
      <w:lvlText w:val="§"/>
      <w:numFmt w:val="bullet"/>
      <w:pPr>
        <w:pBdr/>
        <w:spacing/>
        <w:ind w:hanging="360" w:left="4592"/>
      </w:pPr>
      <w:rPr>
        <w:rFonts w:hint="default" w:ascii="Wingdings" w:hAnsi="Wingdings" w:eastAsia="Wingdings" w:cs="Wingdings"/>
      </w:rPr>
      <w:start w:val="1"/>
      <w:suff w:val="tab"/>
    </w:lvl>
    <w:lvl w:ilvl="6">
      <w:isLgl w:val="false"/>
      <w:lvlJc w:val="left"/>
      <w:lvlText w:val="·"/>
      <w:numFmt w:val="bullet"/>
      <w:pPr>
        <w:pBdr/>
        <w:spacing/>
        <w:ind w:hanging="360" w:left="5312"/>
      </w:pPr>
      <w:rPr>
        <w:rFonts w:hint="default" w:ascii="Symbol" w:hAnsi="Symbol" w:eastAsia="Symbol" w:cs="Symbol"/>
      </w:rPr>
      <w:start w:val="1"/>
      <w:suff w:val="tab"/>
    </w:lvl>
    <w:lvl w:ilvl="7">
      <w:isLgl w:val="false"/>
      <w:lvlJc w:val="left"/>
      <w:lvlText w:val="o"/>
      <w:numFmt w:val="bullet"/>
      <w:pPr>
        <w:pBdr/>
        <w:spacing/>
        <w:ind w:hanging="360" w:left="6032"/>
      </w:pPr>
      <w:rPr>
        <w:rFonts w:hint="default" w:ascii="Courier New" w:hAnsi="Courier New" w:eastAsia="Courier New" w:cs="Courier New"/>
      </w:rPr>
      <w:start w:val="1"/>
      <w:suff w:val="tab"/>
    </w:lvl>
    <w:lvl w:ilvl="8">
      <w:isLgl w:val="false"/>
      <w:lvlJc w:val="left"/>
      <w:lvlText w:val="§"/>
      <w:numFmt w:val="bullet"/>
      <w:pPr>
        <w:pBdr/>
        <w:spacing/>
        <w:ind w:hanging="360" w:left="6752"/>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285</cp:revision>
  <dcterms:created xsi:type="dcterms:W3CDTF">2025-09-15T09:58:00Z</dcterms:created>
  <dcterms:modified xsi:type="dcterms:W3CDTF">2026-04-23T04:47:21Z</dcterms:modified>
</cp:coreProperties>
</file>