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275/2026/0657/VFI-CT.65.A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KIẾN TRÚC </w:t>
                            </w:r>
                            <w:r>
                              <w:rPr>
                                <w:rFonts w:ascii="Times New Roman Bold" w:hAnsi="Times New Roman Bold"/>
                                <w:b/>
                                <w:color w:val="000000" w:themeColor="text1"/>
                                <w:lang w:val="pt-BR"/>
                              </w:rPr>
                              <w:t xml:space="preserve">XÂY DỰNG IHOME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826 tờ bản đồ số: 50 có địa chỉ: Tổ 7 phường Ỷ La thành phố Tuyên Quang, tỉnh Tuyên Quang t</w:t>
                            </w:r>
                            <w:r>
                              <w:rPr>
                                <w:color w:val="000000"/>
                              </w:rPr>
                              <w:t xml:space="preserve">h</w:t>
                            </w:r>
                            <w:r>
                              <w:rPr>
                                <w:color w:val="000000"/>
                              </w:rPr>
                              <w:t xml:space="preserve">eo Giấy chứng nhận quyền sử dụng đất quyền sở hữu nhà ở và tài sản khác gắn liền với đất số: DE 180176, số vào sổ cấp GCN: CN 03503 do Chi nhánh văn phòng đăng ký đất đai thành phố Tuyên Quang cấp ngày 16/04/2024 cho Ông Nguyễn Viết Nhiên và Bà Hồ Thị Lan.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275/2026/0657/VFI-CT.65.A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CỔ PHẦN KIẾN TRÚC </w:t>
                      </w:r>
                      <w:r>
                        <w:rPr>
                          <w:rFonts w:ascii="Times New Roman Bold" w:hAnsi="Times New Roman Bold"/>
                          <w:b/>
                          <w:color w:val="000000" w:themeColor="text1"/>
                          <w:lang w:val="pt-BR"/>
                        </w:rPr>
                        <w:t xml:space="preserve">XÂY DỰNG IHOME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826 tờ bản đồ số: 50 có địa chỉ: Tổ 7 phường Ỷ La thành phố Tuyên Quang, tỉnh Tuyên Quang t</w:t>
                      </w:r>
                      <w:r>
                        <w:rPr>
                          <w:color w:val="000000"/>
                        </w:rPr>
                        <w:t xml:space="preserve">h</w:t>
                      </w:r>
                      <w:r>
                        <w:rPr>
                          <w:color w:val="000000"/>
                        </w:rPr>
                        <w:t xml:space="preserve">eo Giấy chứng nhận quyền sử dụng đất quyền sở hữu nhà ở và tài sản khác gắn liền với đất số: DE 180176, số vào sổ cấp GCN: CN 03503 do Chi nhánh văn phòng đăng ký đất đai thành phố Tuyên Quang cấp ngày 16/04/2024 cho Ông Nguyễn Viết Nhiên và Bà Hồ Thị Lan.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tbl>
      <w:tblPr>
        <w:tblInd w:w="93" w:type="dxa"/>
        <w:tblW w:w="0" w:type="auto"/>
        <w:tblCellMar>
          <w:left w:w="10" w:type="dxa"/>
          <w:right w:w="10" w:type="dxa"/>
        </w:tblCellMar>
        <w:tblBorders/>
        <w:tblLook w:val="0000" w:firstRow="0" w:lastRow="0" w:firstColumn="0" w:lastColumn="0" w:noHBand="0" w:noVBand="0"/>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3: Pháp lý tài sản và biên bản khảo sát</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pPr>
              <w:pBdr/>
              <w:spacing w:after="120" w:before="100" w:beforeAutospacing="1"/>
              <w:ind/>
              <w:jc w:val="right"/>
              <w:rPr>
                <w:b/>
                <w:bCs/>
              </w:rPr>
            </w:pPr>
            <w:r>
              <w:rPr>
                <w:b/>
                <w:bCs/>
              </w:rPr>
              <w:t xml:space="preserve">27-29</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63" w:type="dxa"/>
        <w:tblBorders/>
        <w:tblLayout w:type="fixed"/>
        <w:tblLook w:val="04A0" w:firstRow="1" w:lastRow="0" w:firstColumn="1" w:lastColumn="0" w:noHBand="0" w:noVBand="1"/>
      </w:tblPr>
      <w:tblGrid>
        <w:gridCol w:w="29"/>
        <w:gridCol w:w="1559"/>
        <w:gridCol w:w="3402"/>
        <w:gridCol w:w="507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7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8"/>
        </w:trPr>
        <w:tc>
          <w:tcPr>
            <w:gridSpan w:val="2"/>
            <w:shd w:val="clear" w:color="auto" w:fill="auto"/>
            <w:tcBorders/>
            <w:tcMar>
              <w:left w:w="108" w:type="dxa"/>
              <w:top w:w="0" w:type="dxa"/>
              <w:right w:w="108" w:type="dxa"/>
              <w:bottom w:w="0" w:type="dxa"/>
            </w:tcMar>
            <w:tcW w:w="4961"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275/2026/0657/VFI-CT.65.A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7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KIẾN TRÚC XÂY DỰNG IHOME</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275/2026/0657/VFI-HĐTĐ.65.A</w:t>
      </w:r>
      <w:r>
        <w:rPr>
          <w:spacing w:val="-4"/>
          <w:lang w:val="vi-VN"/>
        </w:rPr>
        <w:t xml:space="preserve"> ký ngày </w:t>
      </w:r>
      <w:r>
        <w:rPr>
          <w:color w:val="000000" w:themeColor="text1"/>
          <w:spacing w:val="-4"/>
        </w:rPr>
        <w:t xml:space="preserve">28 tháng 4 năm 2026</w:t>
      </w:r>
      <w:r>
        <w:rPr>
          <w:spacing w:val="-4"/>
          <w:lang w:val="vi-VN"/>
        </w:rPr>
        <w:t xml:space="preserve"> </w:t>
      </w:r>
      <w:r>
        <w:rPr>
          <w:spacing w:val="-4"/>
          <w:lang w:val="vi-VN"/>
        </w:rPr>
        <w:t xml:space="preserve">giữa </w:t>
      </w:r>
      <w:r>
        <w:rPr>
          <w:color w:val="000000" w:themeColor="text1"/>
          <w:spacing w:val="-4"/>
        </w:rPr>
        <w:t xml:space="preserve">CÔNG TY CỔ PHẦN KIẾN TRÚC XÂY DỰNG IHOME</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275/2026/0657/VFI-BC.65.A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430"/>
        <w:gridCol w:w="433"/>
        <w:gridCol w:w="6662"/>
      </w:tblGrid>
      <w:tr>
        <w:trPr>
          <w:trHeight w:val="20"/>
        </w:trPr>
        <w:tc>
          <w:tcPr>
            <w:shd w:val="clear" w:color="auto" w:fill="auto"/>
            <w:tcBorders/>
            <w:tcW w:w="2430"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33"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662" w:type="dxa"/>
            <w:vAlign w:val="center"/>
            <w:textDirection w:val="lrTb"/>
            <w:noWrap w:val="false"/>
          </w:tcPr>
          <w:p>
            <w:pPr>
              <w:pBdr/>
              <w:spacing/>
              <w:ind/>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pacing w:val="-4"/>
                <w:sz w:val="24"/>
                <w:szCs w:val="24"/>
              </w:rPr>
              <w:t xml:space="preserve">CÔNG TY CỔ PHẦN KIẾN TRÚC XÂY DỰNG IHOME</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33"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662"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0106474578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33"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662"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 Ông Nguyễn Viết Hào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430" w:type="dxa"/>
            <w:vAlign w:val="center"/>
            <w:vMerge w:val="restart"/>
            <w:textDirection w:val="lrTb"/>
            <w:noWrap w:val="false"/>
          </w:tcPr>
          <w:p>
            <w:pPr>
              <w:pBdr/>
              <w:tabs>
                <w:tab w:val="center" w:leader="none" w:pos="1107"/>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Chức vụ</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33"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662"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430" w:type="dxa"/>
            <w:vAlign w:val="center"/>
            <w:textDirection w:val="lrTb"/>
            <w:noWrap w:val="false"/>
          </w:tcPr>
          <w:p>
            <w:pPr>
              <w:pBdr/>
              <w:tabs>
                <w:tab w:val="center" w:leader="none" w:pos="1107"/>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eastAsia="Times New Roman" w:cs="Times New Roman"/>
                <w:bCs/>
                <w:color w:val="000000" w:themeColor="text1"/>
                <w:sz w:val="24"/>
                <w:szCs w:val="24"/>
                <w:lang w:val="pt-BR"/>
              </w:rPr>
              <w:tab/>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33"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662"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Tầng 9 - Khối văn phòng, Tòa Nhà Hồ Gươm Plaza, Số 102 Trần Phú, Phường Hà Đông,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826 tờ bản đồ số: 50 có địa chỉ: Tổ 7 phường Ỷ La thành phố Tuyên Quang, tỉnh Tuyên Quang t</w:t>
      </w:r>
      <w:r>
        <w:rPr>
          <w:color w:val="000000" w:themeColor="text1"/>
        </w:rPr>
        <w:t xml:space="preserve">heo 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69"/>
        <w:gridCol w:w="251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1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826 tờ bản đồ số: 50 có địa chỉ: Tổ 7 phường Ỷ La thành phố Tuyên Quang, tỉnh Tuyên Quang t</w:t>
            </w:r>
            <w:r>
              <w:rPr>
                <w:color w:val="000000"/>
              </w:rPr>
              <w:t xml:space="preserve">heo 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86,9</w:t>
            </w:r>
            <w:r>
              <w:rPr>
                <w:color w:val="000000"/>
              </w:rPr>
            </w:r>
            <w:r>
              <w:rPr>
                <w:color w:val="000000"/>
              </w:rPr>
            </w:r>
          </w:p>
        </w:tc>
        <w:tc>
          <w:tcPr>
            <w:shd w:val="clear" w:color="000000" w:fill="ffffff"/>
            <w:tcBorders/>
            <w:tcW w:w="2514" w:type="dxa"/>
            <w:vAlign w:val="center"/>
            <w:textDirection w:val="lrTb"/>
            <w:noWrap w:val="false"/>
          </w:tcPr>
          <w:p>
            <w:pPr>
              <w:pBdr/>
              <w:spacing w:after="40" w:before="40" w:line="288" w:lineRule="auto"/>
              <w:ind/>
              <w:jc w:val="center"/>
              <w:rPr/>
            </w:pPr>
            <w:r>
              <w:rPr>
                <w:color w:val="000000" w:themeColor="text1"/>
              </w:rPr>
              <w:t xml:space="preserve">24.691.372</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2.145.680.236</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74,6</w:t>
            </w:r>
            <w:r>
              <w:rPr>
                <w:color w:val="000000"/>
              </w:rPr>
            </w:r>
            <w:r>
              <w:rPr>
                <w:color w:val="000000"/>
              </w:rPr>
            </w:r>
          </w:p>
        </w:tc>
        <w:tc>
          <w:tcPr>
            <w:shd w:val="clear" w:color="000000" w:fill="ffffff"/>
            <w:tcBorders/>
            <w:tcW w:w="2514" w:type="dxa"/>
            <w:vAlign w:val="center"/>
            <w:textDirection w:val="lrTb"/>
            <w:noWrap w:val="false"/>
          </w:tcPr>
          <w:p>
            <w:pPr>
              <w:pBdr/>
              <w:spacing w:after="40" w:before="40" w:line="288" w:lineRule="auto"/>
              <w:ind/>
              <w:jc w:val="center"/>
              <w:rPr/>
            </w:pPr>
            <w:r>
              <w:rPr>
                <w:color w:val="000000" w:themeColor="text1"/>
              </w:rPr>
              <w:t xml:space="preserve">246.914</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18.419.764</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2.164.100.000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2.164.000.000</w:t>
            </w:r>
            <w:r>
              <w:rPr>
                <w:b/>
                <w:bCs/>
                <w:color w:val="000000"/>
              </w:rPr>
            </w:r>
            <w:r>
              <w:rPr>
                <w:b/>
                <w:bCs/>
                <w:color w:val="000000"/>
              </w:rPr>
            </w:r>
          </w:p>
        </w:tc>
      </w:tr>
      <w:tr>
        <w:trPr>
          <w:trHeight w:val="407"/>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bốn triệu</w:t>
            </w:r>
            <w:r>
              <w:rPr>
                <w:b/>
                <w:bCs/>
                <w:i/>
                <w:iCs/>
                <w:color w:val="000000"/>
              </w:rPr>
              <w:t xml:space="preserve"> đồng./.)</w:t>
            </w:r>
            <w:r>
              <w:rPr>
                <w:b/>
                <w:bCs/>
                <w:i/>
                <w:iCs/>
                <w:color w:val="000000"/>
              </w:rPr>
            </w:r>
            <w:r>
              <w:rPr>
                <w:b/>
                <w:bCs/>
                <w:i/>
                <w:iCs/>
                <w:color w:val="000000"/>
              </w:rPr>
            </w:r>
          </w:p>
        </w:tc>
      </w:tr>
    </w:tbl>
    <w:p>
      <w:pPr>
        <w:pBdr/>
        <w:spacing w:after="120" w:before="120" w:line="312" w:lineRule="auto"/>
        <w:ind w:right="0" w:firstLine="0" w:left="90"/>
        <w:jc w:val="both"/>
        <w:rPr>
          <w:b w:val="0"/>
          <w:bCs w:val="0"/>
        </w:rPr>
      </w:pPr>
      <w:r>
        <w:rPr>
          <w:b/>
          <w:bCs/>
          <w:i/>
          <w:iCs/>
          <w:highlight w:val="none"/>
          <w:lang w:val="vi-VN"/>
        </w:rPr>
        <w:t xml:space="preserve">Ghi chú: </w:t>
      </w:r>
      <w:r>
        <w:rPr>
          <w:b w:val="0"/>
          <w:bCs w:val="0"/>
          <w:highlight w:val="white"/>
          <w:lang w:val="vi-VN"/>
        </w:rPr>
        <w:t xml:space="preserve">Đơn giá đấ</w:t>
      </w:r>
      <w:r>
        <w:rPr>
          <w:b w:val="0"/>
          <w:bCs w:val="0"/>
          <w:highlight w:val="white"/>
          <w:lang w:val="vi-VN"/>
        </w:rPr>
        <w:t xml:space="preserve">t</w:t>
      </w:r>
      <w:r>
        <w:rPr>
          <w:b w:val="0"/>
          <w:bCs w:val="0"/>
          <w:highlight w:val="none"/>
          <w:lang w:val="vi-VN"/>
        </w:rPr>
        <w:t xml:space="preserve"> ở và đơn giá đất trồng cây lâu năm chỉ sử dụng cho tài sản này và tại chứng thư này, không tham chiếu với các tài sản khác</w:t>
      </w:r>
      <w:r>
        <w:rPr>
          <w:b w:val="0"/>
          <w:bCs w:val="0"/>
        </w:rPr>
        <w:t xml:space="preserve">.</w:t>
      </w:r>
      <w:r>
        <w:rPr>
          <w:b w:val="0"/>
          <w:bCs w:val="0"/>
        </w:rPr>
      </w:r>
      <w:r>
        <w:rPr>
          <w:b w:val="0"/>
          <w:bCs w:val="0"/>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80" w:type="dxa"/>
        <w:tblBorders/>
        <w:tblLayout w:type="fixed"/>
        <w:tblLook w:val="04A0" w:firstRow="1" w:lastRow="0" w:firstColumn="1" w:lastColumn="0" w:noHBand="0" w:noVBand="1"/>
      </w:tblPr>
      <w:tblGrid>
        <w:gridCol w:w="29"/>
        <w:gridCol w:w="1559"/>
        <w:gridCol w:w="2976"/>
        <w:gridCol w:w="541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9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6"/>
        </w:trPr>
        <w:tc>
          <w:tcPr>
            <w:gridSpan w:val="2"/>
            <w:shd w:val="clear" w:color="auto" w:fill="auto"/>
            <w:tcBorders/>
            <w:tcMar>
              <w:left w:w="108" w:type="dxa"/>
              <w:top w:w="0" w:type="dxa"/>
              <w:right w:w="108" w:type="dxa"/>
              <w:bottom w:w="0" w:type="dxa"/>
            </w:tcMar>
            <w:tcW w:w="4535"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275/2026/0657/VFI-BC.65.A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6"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275/2026/0657/VFI-CT.65.A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CÔNG TY CỔ PHẦN KIẾN TRÚC XÂY DỰNG IHOME</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0106474578</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highlight w:val="white"/>
              </w:rPr>
              <w:t xml:space="preserve">Đại diện</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Ông Nguyễn Viết Hào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left" w:leader="none" w:pos="1107"/>
              </w:tabs>
              <w:spacing w:after="40" w:before="40"/>
              <w:ind w:right="0" w:firstLine="0" w:left="0"/>
              <w:jc w:val="both"/>
              <w:rPr/>
            </w:pPr>
            <w:r>
              <w:rPr>
                <w:rFonts w:ascii="Times New Roman" w:hAnsi="Times New Roman" w:eastAsia="Times New Roman" w:cs="Times New Roman"/>
                <w:color w:val="000000"/>
                <w:sz w:val="24"/>
                <w:highlight w:val="white"/>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left" w:leader="none" w:pos="1107"/>
              </w:tabs>
              <w:spacing w:after="40" w:before="40"/>
              <w:ind w:right="0" w:firstLine="0" w:left="0"/>
              <w:jc w:val="both"/>
              <w:rPr/>
            </w:pPr>
            <w:r>
              <w:rPr>
                <w:rFonts w:ascii="Times New Roman" w:hAnsi="Times New Roman" w:eastAsia="Times New Roman" w:cs="Times New Roman"/>
                <w:color w:val="000000"/>
                <w:sz w:val="24"/>
              </w:rPr>
              <w:t xml:space="preserve">Địa chỉ</w:t>
              <w:tab/>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Tầng 9 - Khối văn phòng, Tòa Nhà Hồ Gươm Plaza, Số 102 Trần Phú, Phường Hà Đông, Thành phố Hà Nội, Việt Nam.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826 tờ bản đồ số: 50 có địa chỉ: Tổ 7 phường Ỷ La thành phố Tuyên Quang, tỉnh Tuyên Quang t</w:t>
            </w:r>
            <w:r>
              <w:rPr>
                <w:bCs/>
                <w:color w:val="000000" w:themeColor="text1"/>
                <w:lang w:val="pt-BR"/>
              </w:rPr>
              <w:t xml:space="preserve">heo 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7 phường Ỷ La thành phố Tuyên Quang tỉnh Tuyên Quang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21.818083333333, 105.18402777778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1"/>
        </w:numPr>
        <w:pBdr/>
        <w:spacing w:after="120" w:before="120" w:line="276" w:lineRule="auto"/>
        <w:ind/>
        <w:jc w:val="both"/>
        <w:rPr>
          <w:bCs/>
          <w:color w:val="000000" w:themeColor="text1"/>
          <w:spacing w:val="-4"/>
          <w:highlight w:val="none"/>
        </w:rPr>
      </w:pPr>
      <w:r>
        <w:rPr>
          <w:bCs/>
          <w:color w:val="000000" w:themeColor="text1"/>
          <w:spacing w:val="-4"/>
          <w:highlight w:val="non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highlight w:val="none"/>
          <w:lang w:val="pt-BR"/>
        </w:rPr>
      </w:r>
      <w:r>
        <w:rPr>
          <w:bCs/>
          <w:color w:val="000000" w:themeColor="text1"/>
          <w:spacing w:val="-4"/>
          <w:highlight w:val="none"/>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275/2026/0657/VFI-HĐTĐ.65.A ngày 28/04/2026 giữa CÔNG TY CỔ PHẦN KIẾN TRÚC XÂY DỰNG IHOME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180"/>
        </w:tabs>
        <w:spacing w:after="120" w:before="120" w:line="276" w:lineRule="auto"/>
        <w:ind/>
        <w:jc w:val="both"/>
        <w:rPr>
          <w:iCs/>
        </w:rPr>
      </w:pPr>
      <w:r>
        <w:rPr>
          <w:lang w:val="pt-BR"/>
        </w:rPr>
        <w:tab/>
      </w:r>
      <w:r>
        <w:rPr>
          <w:shd w:val="clear" w:color="auto" w:fill="ffffff"/>
        </w:rPr>
        <w:t xml:space="preserve">Bất Động Sản Tuyên Quang được xem là “miền đất hứa” vừa được đánh thức trong 3 năm trở lại đây. Tỉnh đang có sự đầu tư và phát triển đồng bộ về hạ tầng giao thông, du l</w:t>
      </w:r>
      <w:r>
        <w:rPr>
          <w:shd w:val="clear" w:color="auto" w:fill="ffffff"/>
        </w:rPr>
        <w:t xml:space="preserve">ịch và các khu công nghiệp, khu dân cư.</w:t>
      </w:r>
      <w:r>
        <w:rPr>
          <w:iCs/>
        </w:rPr>
      </w:r>
      <w:r>
        <w:rPr>
          <w:iCs/>
        </w:rPr>
      </w:r>
    </w:p>
    <w:p>
      <w:pPr>
        <w:pBdr/>
        <w:tabs>
          <w:tab w:val="left" w:leader="none" w:pos="426"/>
        </w:tabs>
        <w:spacing w:after="120" w:before="120" w:line="276" w:lineRule="auto"/>
        <w:ind/>
        <w:jc w:val="both"/>
        <w:rPr/>
      </w:pPr>
      <w:r>
        <w:rPr>
          <w:shd w:val="clear" w:color="auto" w:fill="ffffff"/>
        </w:rPr>
        <w:t xml:space="preserve">Không những thế, nhờ xu hướng chuyển dịch đầu tư bất động sản vùng ven đô thị, Tuyên Quang đang bắt đầu nhận được sự đầu tư từ những tập đoàn lớn – mở đường cho sự phát triển của thị trường bất động sản trong những n</w:t>
      </w:r>
      <w:r>
        <w:rPr>
          <w:shd w:val="clear" w:color="auto" w:fill="ffffff"/>
        </w:rPr>
        <w:t xml:space="preserve">ăm tới.</w:t>
      </w:r>
      <w:r/>
    </w:p>
    <w:p>
      <w:pPr>
        <w:pStyle w:val="1039"/>
        <w:numPr>
          <w:ilvl w:val="0"/>
          <w:numId w:val="41"/>
        </w:numPr>
        <w:pBdr/>
        <w:tabs>
          <w:tab w:val="left" w:leader="none" w:pos="426"/>
        </w:tabs>
        <w:spacing w:after="120" w:before="120" w:line="276" w:lineRule="auto"/>
        <w:ind w:right="0"/>
        <w:jc w:val="both"/>
        <w:rPr/>
      </w:pPr>
      <w:r>
        <w:rPr>
          <w:shd w:val="clear" w:color="auto" w:fill="ffffff"/>
        </w:rPr>
        <w:t xml:space="preserve">Hạ tầng giao thông đang hoàn thiện</w:t>
      </w:r>
      <w:r>
        <w:rPr>
          <w:bCs/>
          <w:i/>
          <w:lang w:val="pt-BR"/>
        </w:rPr>
      </w:r>
      <w:r/>
    </w:p>
    <w:p>
      <w:pPr>
        <w:pBdr/>
        <w:tabs>
          <w:tab w:val="left" w:leader="none" w:pos="180"/>
        </w:tabs>
        <w:spacing w:after="120" w:before="120" w:line="276" w:lineRule="auto"/>
        <w:ind/>
        <w:jc w:val="both"/>
        <w:rPr/>
      </w:pPr>
      <w:r>
        <w:rPr>
          <w:shd w:val="clear" w:color="auto" w:fill="ffffff"/>
        </w:rPr>
        <w:t xml:space="preserve">Tỉnh Tuyên Quang trong những năm gần đây đã tập trung phát triển và hoàn thiện nhiều công trình hạ tầng giao thông quan trọng, giúp tăng khả năng kết nối đến các khu vực trung tâm như Hà Nội, Bắc Ninh, Thái Nguyên</w:t>
      </w:r>
      <w:r>
        <w:rPr>
          <w:shd w:val="clear" w:color="auto" w:fill="ffffff"/>
        </w:rPr>
        <w:t xml:space="preserve">,…. Điển hình là 32 dự án được đầu tư giai đoạn 2021 – 2025 với tổng chi phí gần 12.000 tỷ đồng:</w:t>
      </w:r>
      <w:r>
        <w:rPr>
          <w:bCs/>
          <w:i/>
          <w:lang w:val="pt-BR"/>
        </w:rPr>
      </w:r>
      <w:r/>
    </w:p>
    <w:p>
      <w:pPr>
        <w:pBdr/>
        <w:tabs>
          <w:tab w:val="left" w:leader="none" w:pos="180"/>
        </w:tabs>
        <w:spacing w:after="120" w:before="120" w:line="276" w:lineRule="auto"/>
        <w:ind/>
        <w:jc w:val="both"/>
        <w:rPr/>
      </w:pPr>
      <w:r>
        <w:rPr>
          <w:shd w:val="clear" w:color="auto" w:fill="ffffff"/>
        </w:rPr>
        <w:t xml:space="preserve">•</w:t>
        <w:tab/>
        <w:t xml:space="preserve">Cao tốc Tuyên Quang – Phú Thọ nối cao tốc Nội Bài – Lào Cai.</w:t>
      </w:r>
      <w:r>
        <w:rPr>
          <w:bCs/>
          <w:i/>
          <w:lang w:val="pt-BR"/>
        </w:rPr>
      </w:r>
      <w:r/>
    </w:p>
    <w:p>
      <w:pPr>
        <w:pBdr/>
        <w:tabs>
          <w:tab w:val="left" w:leader="none" w:pos="180"/>
        </w:tabs>
        <w:spacing w:after="120" w:before="120" w:line="276" w:lineRule="auto"/>
        <w:ind/>
        <w:jc w:val="both"/>
        <w:rPr/>
      </w:pPr>
      <w:r>
        <w:rPr>
          <w:shd w:val="clear" w:color="auto" w:fill="ffffff"/>
        </w:rPr>
        <w:t xml:space="preserve">•</w:t>
        <w:tab/>
        <w:t xml:space="preserve">Bốn cây cầu lớn trên địa bàn tỉnh: Xuân Vân, Minh Xuân – Tràng Đà, Cầu qua sông Lô Km 71, Cầu </w:t>
      </w:r>
      <w:r>
        <w:rPr>
          <w:shd w:val="clear" w:color="auto" w:fill="ffffff"/>
        </w:rPr>
        <w:t xml:space="preserve">và tuyến đường tránh thị trấn Sơn Dương.</w:t>
      </w:r>
      <w:r>
        <w:rPr>
          <w:bCs/>
          <w:i/>
          <w:lang w:val="pt-BR"/>
        </w:rPr>
      </w:r>
      <w:r/>
    </w:p>
    <w:p>
      <w:pPr>
        <w:pBdr/>
        <w:tabs>
          <w:tab w:val="left" w:leader="none" w:pos="180"/>
        </w:tabs>
        <w:spacing w:after="120" w:before="120" w:line="276" w:lineRule="auto"/>
        <w:ind/>
        <w:jc w:val="both"/>
        <w:rPr/>
      </w:pPr>
      <w:r>
        <w:rPr>
          <w:shd w:val="clear" w:color="auto" w:fill="ffffff"/>
        </w:rPr>
        <w:t xml:space="preserve">•</w:t>
        <w:tab/>
        <w:t xml:space="preserve">Các tuyến đường trung tâm thành phố Tuyên Quang (TP Tuyên Quang – Hà Giang, TP Tuyên Quang – Khu du lịch suối khoáng Mỹ Lâm).</w:t>
      </w:r>
      <w:r>
        <w:rPr>
          <w:shd w:val="clear" w:color="auto" w:fill="ffffff"/>
        </w:rPr>
      </w:r>
      <w:r/>
    </w:p>
    <w:p>
      <w:pPr>
        <w:pBdr/>
        <w:tabs>
          <w:tab w:val="left" w:leader="none" w:pos="180"/>
        </w:tabs>
        <w:spacing w:after="120" w:before="120" w:line="276" w:lineRule="auto"/>
        <w:ind/>
        <w:jc w:val="both"/>
        <w:rPr/>
      </w:pPr>
      <w:r>
        <w:rPr>
          <w:shd w:val="clear" w:color="auto" w:fill="ffffff"/>
        </w:rPr>
        <w:t xml:space="preserve">•</w:t>
        <w:tab/>
        <w:t xml:space="preserve">Cải tạo và nâng cấp đường tỉnh ĐT 185.</w:t>
      </w:r>
      <w:r/>
    </w:p>
    <w:p>
      <w:pPr>
        <w:pBdr/>
        <w:tabs>
          <w:tab w:val="left" w:leader="none" w:pos="180"/>
        </w:tabs>
        <w:spacing w:after="120" w:before="120" w:line="276" w:lineRule="auto"/>
        <w:ind/>
        <w:jc w:val="both"/>
        <w:rPr/>
      </w:pPr>
      <w:r>
        <w:rPr>
          <w:shd w:val="clear" w:color="auto" w:fill="ffffff"/>
        </w:rPr>
        <w:t xml:space="preserve">•</w:t>
        <w:tab/>
        <w:t xml:space="preserve">Bê tông hóa các đường giao thông nông thôn, </w:t>
      </w:r>
      <w:r>
        <w:rPr>
          <w:shd w:val="clear" w:color="auto" w:fill="ffffff"/>
        </w:rPr>
        <w:t xml:space="preserve">cầu nhỏ.</w:t>
      </w:r>
      <w:r/>
    </w:p>
    <w:p>
      <w:pPr>
        <w:pBdr/>
        <w:tabs>
          <w:tab w:val="left" w:leader="none" w:pos="180"/>
        </w:tabs>
        <w:spacing w:after="120" w:before="120" w:line="276" w:lineRule="auto"/>
        <w:ind/>
        <w:jc w:val="both"/>
        <w:rPr/>
      </w:pPr>
      <w:r>
        <w:rPr>
          <w:shd w:val="clear" w:color="auto" w:fill="ffffff"/>
        </w:rPr>
        <w:t xml:space="preserve">Tỉnh Tuyên Quang đang có 7 tuyến quốc lộ, 3 tuyến đường tỉnh, tạo thành trục giao thông chính cho tỉnh. Hệ thống giao thông tại đây vẫn chủ yếu là đường bộ cấp thấp, không có tuyến đường hàng không và đường sắt nên vẫn còn nhiều hạn chế cho việc p</w:t>
      </w:r>
      <w:r>
        <w:rPr>
          <w:shd w:val="clear" w:color="auto" w:fill="ffffff"/>
        </w:rPr>
        <w:t xml:space="preserve">hát triển kinh tế, du lịch bất động sản, công nghiệp.</w:t>
      </w:r>
      <w:r/>
    </w:p>
    <w:p>
      <w:pPr>
        <w:pBdr/>
        <w:tabs>
          <w:tab w:val="left" w:leader="none" w:pos="180"/>
        </w:tabs>
        <w:spacing w:after="120" w:before="120" w:line="276" w:lineRule="auto"/>
        <w:ind/>
        <w:jc w:val="both"/>
        <w:rPr/>
      </w:pPr>
      <w:r>
        <w:rPr>
          <w:shd w:val="clear" w:color="auto" w:fill="ffffff"/>
        </w:rPr>
        <w:t xml:space="preserve">32 dự án giao thông mới được đầu tư giai đoạn 2021 – 2025 mang theo kỳ vọng sẽ giải quyết những hạn chế về hạ tầng và thúc đẩy hiệu quả tiềm lực kinh tế – xã hội của Tuyên Quang. Đồng thời, thu hút sự q</w:t>
      </w:r>
      <w:r>
        <w:rPr>
          <w:shd w:val="clear" w:color="auto" w:fill="ffffff"/>
        </w:rPr>
        <w:t xml:space="preserve">uan tâm của nhiều doanh nghiệp đầu tư vào các dự án bất động sản, tạo đà phát triển cho nền công nghiệp và du lịch tỉnh nhà.</w:t>
      </w:r>
      <w:r/>
    </w:p>
    <w:p>
      <w:pPr>
        <w:pStyle w:val="1039"/>
        <w:numPr>
          <w:ilvl w:val="0"/>
          <w:numId w:val="40"/>
        </w:numPr>
        <w:pBdr/>
        <w:tabs>
          <w:tab w:val="left" w:leader="none" w:pos="180"/>
        </w:tabs>
        <w:spacing w:after="120" w:before="120" w:line="276" w:lineRule="auto"/>
        <w:ind/>
        <w:jc w:val="both"/>
        <w:rPr/>
      </w:pPr>
      <w:r>
        <w:rPr>
          <w:shd w:val="clear" w:color="auto" w:fill="ffffff"/>
        </w:rPr>
        <w:t xml:space="preserve">Ngành du lịch đang được đẩy mạnh</w:t>
      </w:r>
      <w:r/>
    </w:p>
    <w:p>
      <w:pPr>
        <w:pBdr/>
        <w:tabs>
          <w:tab w:val="left" w:leader="none" w:pos="180"/>
        </w:tabs>
        <w:spacing w:after="120" w:before="120" w:line="276" w:lineRule="auto"/>
        <w:ind/>
        <w:jc w:val="both"/>
        <w:rPr/>
      </w:pPr>
      <w:r>
        <w:rPr>
          <w:shd w:val="clear" w:color="auto" w:fill="ffffff"/>
        </w:rPr>
        <w:t xml:space="preserve">Ngành du lịch tại Tuyên Quang được ví như “công chúa ngủ trong rừng” bởi có rất nhiều cảnh quan ho</w:t>
      </w:r>
      <w:r>
        <w:rPr>
          <w:shd w:val="clear" w:color="auto" w:fill="ffffff"/>
        </w:rPr>
        <w:t xml:space="preserve">ang sơ, các điểm di tích nổi tiếng, hệ thống suối khoáng và hồ sinh thái phong phú chưa được “đánh thức” tiềm năng.</w:t>
      </w:r>
      <w:r/>
    </w:p>
    <w:p>
      <w:pPr>
        <w:pBdr/>
        <w:tabs>
          <w:tab w:val="left" w:leader="none" w:pos="180"/>
        </w:tabs>
        <w:spacing w:after="120" w:before="120" w:line="276" w:lineRule="auto"/>
        <w:ind/>
        <w:jc w:val="both"/>
        <w:rPr/>
      </w:pPr>
      <w:r>
        <w:rPr>
          <w:shd w:val="clear" w:color="auto" w:fill="ffffff"/>
        </w:rPr>
        <w:t xml:space="preserve">Trong vài năm trở lại đây, ngành du lịch Tuyên Quang mới được xem là ngành kinh tế trọng điểm và đưa vào khai thác, quy hoạch và đẩy mạnh qu</w:t>
      </w:r>
      <w:r>
        <w:rPr>
          <w:shd w:val="clear" w:color="auto" w:fill="ffffff"/>
        </w:rPr>
        <w:t xml:space="preserve">ảng bá. Đến nay, tỉnh đã hoàn thành quy hoạch tổng thể 3 khu du lịch nổi tiếng với nhiều bất động sản nghỉ dưỡng từ trung cấp đến cao cấp:</w:t>
        <w:br/>
        <w:t xml:space="preserve">•</w:t>
        <w:tab/>
        <w:t xml:space="preserve">Khu du lịch suối khoáng Mỹ Lâm.</w:t>
      </w:r>
      <w:r/>
    </w:p>
    <w:p>
      <w:pPr>
        <w:pBdr/>
        <w:tabs>
          <w:tab w:val="left" w:leader="none" w:pos="180"/>
        </w:tabs>
        <w:spacing w:after="120" w:before="120" w:line="276" w:lineRule="auto"/>
        <w:ind/>
        <w:jc w:val="both"/>
        <w:rPr/>
      </w:pPr>
      <w:r>
        <w:rPr>
          <w:shd w:val="clear" w:color="auto" w:fill="ffffff"/>
        </w:rPr>
        <w:t xml:space="preserve">•</w:t>
        <w:tab/>
        <w:t xml:space="preserve">Khu du lịch lịch sử, văn hóa và sinh thái Quốc gia Tân Trào.</w:t>
      </w:r>
      <w:r/>
    </w:p>
    <w:p>
      <w:pPr>
        <w:pBdr/>
        <w:tabs>
          <w:tab w:val="left" w:leader="none" w:pos="180"/>
        </w:tabs>
        <w:spacing w:after="120" w:before="120" w:line="276" w:lineRule="auto"/>
        <w:ind/>
        <w:jc w:val="both"/>
        <w:rPr/>
      </w:pPr>
      <w:r>
        <w:rPr>
          <w:shd w:val="clear" w:color="auto" w:fill="ffffff"/>
        </w:rPr>
        <w:t xml:space="preserve">•</w:t>
        <w:tab/>
        <w:t xml:space="preserve">Khu du lịch sinh t</w:t>
      </w:r>
      <w:r>
        <w:rPr>
          <w:shd w:val="clear" w:color="auto" w:fill="ffffff"/>
        </w:rPr>
        <w:t xml:space="preserve">hái Na Hang.</w:t>
      </w:r>
      <w:r/>
    </w:p>
    <w:p>
      <w:pPr>
        <w:pBdr/>
        <w:tabs>
          <w:tab w:val="left" w:leader="none" w:pos="180"/>
        </w:tabs>
        <w:spacing w:after="120" w:before="120" w:line="276" w:lineRule="auto"/>
        <w:ind/>
        <w:jc w:val="both"/>
        <w:rPr/>
      </w:pPr>
      <w:r>
        <w:rPr>
          <w:shd w:val="clear" w:color="auto" w:fill="ffffff"/>
        </w:rPr>
        <w:t xml:space="preserve">Tuyên Quang đã có nhiều nhà đầu tư chiến lược thực hiện các dự án du lịch và đầu tư cơ sở hạ tầng cao cấp, phát triển nhanh chóng các khu du lịch sinh thái và nghỉ dưỡng. Hiện tỉnh vẫn đang kêu gọi nhiều nguồn đầu tư nhằm xây dựng các sản phẩm</w:t>
      </w:r>
      <w:r>
        <w:rPr>
          <w:shd w:val="clear" w:color="auto" w:fill="ffffff"/>
        </w:rPr>
        <w:t xml:space="preserve"> du lịch nổi bật và tăng tính đột phá cho ngành du lịch.</w:t>
      </w:r>
      <w:r/>
    </w:p>
    <w:p>
      <w:pPr>
        <w:pStyle w:val="1039"/>
        <w:numPr>
          <w:ilvl w:val="0"/>
          <w:numId w:val="42"/>
        </w:numPr>
        <w:pBdr/>
        <w:tabs>
          <w:tab w:val="left" w:leader="none" w:pos="180"/>
        </w:tabs>
        <w:spacing w:after="120" w:before="120" w:line="276" w:lineRule="auto"/>
        <w:ind/>
        <w:jc w:val="both"/>
        <w:rPr/>
      </w:pPr>
      <w:r>
        <w:rPr>
          <w:shd w:val="clear" w:color="auto" w:fill="ffffff"/>
        </w:rPr>
        <w:t xml:space="preserve">Sự phát triển của các khu đô thị, khu dân cư</w:t>
      </w:r>
      <w:r/>
    </w:p>
    <w:p>
      <w:pPr>
        <w:pBdr/>
        <w:tabs>
          <w:tab w:val="left" w:leader="none" w:pos="180"/>
        </w:tabs>
        <w:spacing w:after="120" w:before="120" w:line="276" w:lineRule="auto"/>
        <w:ind/>
        <w:jc w:val="both"/>
        <w:rPr/>
      </w:pPr>
      <w:r>
        <w:rPr>
          <w:shd w:val="clear" w:color="auto" w:fill="ffffff"/>
        </w:rPr>
        <w:t xml:space="preserve">Trong giai đoạn 2021 – 2025, Sở xây dựng tỉnh Tuyên Quang đã kêu gọi đầu tư hơn 30 dự án khu đô thị, khu dân cư tại các huyện, thành phố. Hiện tại, đã có </w:t>
      </w:r>
      <w:r>
        <w:rPr>
          <w:shd w:val="clear" w:color="auto" w:fill="ffffff"/>
        </w:rPr>
        <w:t xml:space="preserve">một loạt khu đô thị, khu dân cư mới hình thành như: Khu đô thị An Phú, Tân Phát, Việt Mỹ Hưng và khu nhà ở thương mại Vincom Shophouse. Bên cạnh đó, năm 2022, bất động sản Tuyên Quang còn đón thêm nhiều dự án mới như: Khu đô thị Kim Phú, Khu đô thị sinh th</w:t>
      </w:r>
      <w:r>
        <w:rPr>
          <w:shd w:val="clear" w:color="auto" w:fill="ffffff"/>
        </w:rPr>
        <w:t xml:space="preserve">ái Phú Lâm, Khu đô thị sinh thái và dịch vụ thương mại Tình Húc,… (Thông tin dự án sẽ được 101home.vn chia sẻ ở phần tiếp theo).</w:t>
      </w:r>
      <w:r/>
    </w:p>
    <w:p>
      <w:pPr>
        <w:pBdr/>
        <w:tabs>
          <w:tab w:val="left" w:leader="none" w:pos="180"/>
        </w:tabs>
        <w:spacing w:after="120" w:before="120" w:line="276" w:lineRule="auto"/>
        <w:ind/>
        <w:jc w:val="both"/>
        <w:rPr/>
      </w:pPr>
      <w:r>
        <w:rPr>
          <w:shd w:val="clear" w:color="auto" w:fill="ffffff"/>
        </w:rPr>
        <w:t xml:space="preserve">Ngoài ra, tỉnh cũng vừa được Thủ tướng đồng ý mở rộng một số khu công nghiệp. Qua đó thúc đẩy phát triển khu đô thị, khu dân cư</w:t>
      </w:r>
      <w:r>
        <w:rPr>
          <w:shd w:val="clear" w:color="auto" w:fill="ffffff"/>
        </w:rPr>
        <w:t xml:space="preserve">, hình thành nhiều phân khúc khác nhau cho thị trường bất động sản cũng như đem lại nhiều lựa chọn và cơ hội cho nhà đầu tư.</w:t>
      </w:r>
      <w:r/>
    </w:p>
    <w:p>
      <w:pPr>
        <w:pBdr/>
        <w:tabs>
          <w:tab w:val="left" w:leader="none" w:pos="180"/>
        </w:tabs>
        <w:spacing w:after="120" w:before="120" w:line="276" w:lineRule="auto"/>
        <w:ind/>
        <w:jc w:val="both"/>
        <w:rPr/>
      </w:pPr>
      <w:r>
        <w:rPr>
          <w:shd w:val="clear" w:color="auto" w:fill="ffffff"/>
        </w:rPr>
        <w:t xml:space="preserve">Là trung tâm kinh tế, văn hóa, chính trị của tỉnh nên Thành phố Tuyên Quang đã và đang thu hút rất nhiều nhà đầu tư bất động sản lớ</w:t>
      </w:r>
      <w:r>
        <w:rPr>
          <w:shd w:val="clear" w:color="auto" w:fill="ffffff"/>
        </w:rPr>
        <w:t xml:space="preserve">n nhỏ.</w:t>
      </w:r>
      <w:r/>
    </w:p>
    <w:p>
      <w:pPr>
        <w:pBdr/>
        <w:tabs>
          <w:tab w:val="left" w:leader="none" w:pos="180"/>
        </w:tabs>
        <w:spacing w:after="120" w:before="120" w:line="276" w:lineRule="auto"/>
        <w:ind/>
        <w:jc w:val="both"/>
        <w:rPr/>
      </w:pPr>
      <w:r>
        <w:rPr>
          <w:shd w:val="clear" w:color="auto" w:fill="ffffff"/>
        </w:rPr>
        <w:t xml:space="preserve">Không những thế, nơi đây còn gắn liền với nhiều di tích, danh thắng và lễ hội cổ truyền như: Thành Cổ, Đền Hạ, Hội đua thuyền trên Sông Lô, Lễ hội Đền Hạ, Lễ hội rằm Trung Thu, Suối nước khoáng Mỹ Lâm… thu hút khá đông khách du lịch đến thăm quan và</w:t>
      </w:r>
      <w:r>
        <w:rPr>
          <w:shd w:val="clear" w:color="auto" w:fill="ffffff"/>
        </w:rPr>
        <w:t xml:space="preserve"> trải nghiệm.</w:t>
      </w:r>
      <w:r/>
    </w:p>
    <w:p>
      <w:pPr>
        <w:pBdr/>
        <w:tabs>
          <w:tab w:val="left" w:leader="none" w:pos="180"/>
          <w:tab w:val="left" w:leader="none" w:pos="8686"/>
        </w:tabs>
        <w:spacing w:after="120" w:before="120" w:line="276" w:lineRule="auto"/>
        <w:ind/>
        <w:jc w:val="both"/>
        <w:rPr/>
      </w:pPr>
      <w:r>
        <w:rPr>
          <w:shd w:val="clear" w:color="auto" w:fill="ffffff"/>
        </w:rPr>
        <w:t xml:space="preserve">Với nhiều tiềm năng về du lịch cũng như sự hoàn thiện của cơ sở hạ tầng, giao thông và sự ổn định về kinh tế, Tp Tuyên Quang hiện là khu vực tiềm năng nhất cho ngành bất động sản.</w:t>
      </w:r>
      <w:r>
        <w:tab/>
      </w:r>
      <w:r/>
    </w:p>
    <w:p>
      <w:pPr>
        <w:pBdr/>
        <w:tabs>
          <w:tab w:val="left" w:leader="none" w:pos="180"/>
        </w:tabs>
        <w:spacing w:after="120" w:before="120" w:line="276" w:lineRule="auto"/>
        <w:ind/>
        <w:jc w:val="center"/>
        <w:rPr>
          <w:bCs/>
          <w:i/>
        </w:rPr>
      </w:pPr>
      <w:r>
        <w:rPr>
          <w:i/>
          <w:iCs/>
          <w:shd w:val="clear" w:color="auto" w:fill="ffffff"/>
        </w:rPr>
        <w:t xml:space="preserve">https://101home.vn/co-nen-mua-dau-tu-bat-dong-san-tuyen-quang/</w:t>
      </w:r>
      <w:r>
        <w:rPr>
          <w:bCs/>
          <w:i/>
        </w:rPr>
      </w:r>
      <w:r>
        <w:rPr>
          <w:bCs/>
          <w:i/>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826 tờ bản đồ số: 50 có địa chỉ: Tổ 7 phường Ỷ La thành phố Tuyên Quang, tỉnh Tuyên Quang t</w:t>
            </w:r>
            <w:r>
              <w:rPr>
                <w:b/>
                <w:bCs/>
                <w:color w:val="000000"/>
              </w:rPr>
              <w:t xml:space="preserve">heo 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7 phường Ỷ La thành phố Tuyên Quang tỉnh Tuyên Quang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68,9</w:t>
            </w:r>
            <w:r>
              <w:rPr>
                <w:color w:val="000000"/>
              </w:rPr>
              <w:t xml:space="preserve">m²</w:t>
            </w:r>
            <w:r>
              <w:rPr>
                <w:color w:val="000000" w:themeColor="text1"/>
              </w:rPr>
              <w:t xml:space="preserve">; Đất trồng cây lâu năm 74,6</w:t>
            </w:r>
            <w:r>
              <w:rPr>
                <w:color w:val="000000"/>
              </w:rPr>
              <w:t xml:space="preserve">m²</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lâu dài; </w:t>
            </w:r>
            <w:r>
              <w:rPr>
                <w:rFonts w:ascii="Times New Roman" w:hAnsi="Times New Roman" w:eastAsia="Times New Roman" w:cs="Times New Roman"/>
                <w:color w:val="000000"/>
                <w:sz w:val="24"/>
              </w:rPr>
              <w:t xml:space="preserve">Đất trồng cây lâu năm: Sử dụng đến ngày 30/6/2056.</w:t>
            </w:r>
            <w:r>
              <w:rPr>
                <w:rFonts w:ascii="Times New Roman" w:hAnsi="Times New Roman" w:eastAsia="Times New Roman" w:cs="Times New Roman"/>
                <w:sz w:val="24"/>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Công nhận QSDĐ như giao đất có thu tiền sử dụng đất: 56,9</w:t>
            </w:r>
            <w:r>
              <w:rPr>
                <w:color w:val="000000"/>
              </w:rPr>
              <w:t xml:space="preserve">m²</w:t>
            </w:r>
            <w:r>
              <w:rPr>
                <w:color w:val="000000"/>
                <w:highlight w:val="none"/>
              </w:rPr>
            </w:r>
            <w:r>
              <w:rPr>
                <w:color w:val="000000"/>
                <w:highlight w:val="none"/>
              </w:rPr>
            </w:r>
          </w:p>
          <w:p>
            <w:pPr>
              <w:pBdr/>
              <w:spacing/>
              <w:ind/>
              <w:jc w:val="both"/>
              <w:rPr>
                <w:rFonts w:ascii="Times New Roman" w:hAnsi="Times New Roman" w:eastAsia="Times New Roman" w:cs="Times New Roman"/>
                <w:color w:val="000000"/>
                <w:sz w:val="24"/>
                <w:szCs w:val="24"/>
                <w:highlight w:val="none"/>
              </w:rPr>
            </w:pPr>
            <w:r>
              <w:rPr>
                <w:color w:val="000000"/>
                <w:highlight w:val="none"/>
              </w:rPr>
            </w:r>
            <w:r>
              <w:rPr>
                <w:rFonts w:ascii="Times New Roman" w:hAnsi="Times New Roman" w:eastAsia="Times New Roman" w:cs="Times New Roman"/>
                <w:color w:val="000000"/>
                <w:sz w:val="24"/>
              </w:rPr>
              <w:t xml:space="preserve">Nhận chuyển nhượng đất được </w:t>
            </w:r>
            <w:r>
              <w:rPr>
                <w:color w:val="000000"/>
                <w:highlight w:val="none"/>
              </w:rPr>
              <w:t xml:space="preserve">công nhận QSDĐ như giao đất có thu tiền sử dụng đất: 30</w:t>
            </w:r>
            <w:r>
              <w:rPr>
                <w:color w:val="000000"/>
              </w:rPr>
              <w:t xml:space="preserve">m²</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ind/>
              <w:jc w:val="both"/>
              <w:rPr>
                <w:color w:val="00000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Nhận chuyển nhượng đất được </w:t>
            </w:r>
            <w:r>
              <w:rPr>
                <w:color w:val="000000"/>
                <w:highlight w:val="none"/>
              </w:rPr>
              <w:t xml:space="preserve">công nhận QSDĐ như giao đất không thu tiền sử dụng đất: 74,6</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Khoảng 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Khoảng 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tiếp giáp đường Gom, cách đường Trường Chinh khoảng 450m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Nam: tiếp giáp với đường</w:t>
              <w:br/>
              <w:t xml:space="preserve">Hướng khác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21.818083333333</w:t>
            </w:r>
            <w:r>
              <w:rPr>
                <w:color w:val="000000"/>
              </w:rPr>
              <w:t xml:space="preserve">, </w:t>
            </w:r>
            <w:r>
              <w:rPr>
                <w:color w:val="000000"/>
              </w:rPr>
              <w:t xml:space="preserve">105.18402777778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4189" cy="26886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87967" name=""/>
                              <pic:cNvPicPr>
                                <a:picLocks noChangeAspect="1"/>
                              </pic:cNvPicPr>
                              <pic:nvPr/>
                            </pic:nvPicPr>
                            <pic:blipFill rotWithShape="1">
                              <a:blip r:embed="rId17"/>
                              <a:stretch/>
                            </pic:blipFill>
                            <pic:spPr bwMode="auto">
                              <a:xfrm flipH="0" flipV="0">
                                <a:off x="0" y="0"/>
                                <a:ext cx="5454189" cy="2688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46pt;height:211.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32,3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Hạ tầng cấp điện, nước,… đầy đủ</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Phù hợp để ở và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highlight w:val="white"/>
              </w:rPr>
              <w:t xml:space="preserve">Tại thời điểm khảo sát, CTXD gắn liền với đất gồm môt nhà 02 tầng, diện tích xây dựng khoảng 50m²: một nhà 01 tầng, diện tích xây dựng khoảng 25m². Công trình trên đất hoàn thiện năm 2020. CTXD tại thời điểm khảo sát chưa được chứng nhận trên Giấy chứng nh</w:t>
            </w:r>
            <w:r>
              <w:rPr>
                <w:rFonts w:ascii="Times New Roman" w:hAnsi="Times New Roman" w:eastAsia="Times New Roman" w:cs="Times New Roman"/>
                <w:color w:val="000000"/>
                <w:sz w:val="24"/>
                <w:highlight w:val="white"/>
              </w:rPr>
              <w:t xml:space="preserve">ận quyền sử dụng đất quyền sở hữu nhà ở và tài sản khác gắn liền với đất số DE 180176. Do vậy, theo đề nghị của Ngân hàng/Khách hàng, Tổ thẩm định không xác định giá trị của công trình xây dựng vào tổng giá trị, nhưng vẫn coi đó là phần không thể tách rời </w:t>
            </w:r>
            <w:r>
              <w:rPr>
                <w:rFonts w:ascii="Times New Roman" w:hAnsi="Times New Roman" w:eastAsia="Times New Roman" w:cs="Times New Roman"/>
                <w:color w:val="000000"/>
                <w:sz w:val="24"/>
                <w:highlight w:val="white"/>
              </w:rPr>
              <w:t xml:space="preserve">của tài sản thẩm định. Kính đề nghị đơn vị sử dụng kết quả lưu ý.</w:t>
            </w:r>
            <w:r>
              <w:rPr>
                <w:sz w:val="22"/>
              </w:rPr>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highlight w:val="white"/>
        </w:rPr>
        <w:t xml:space="preserve">Tại thời điểm khảo sát, CTXD gắn liền với đất gồm môt nhà 02 tầng, diện tích xây dựng khoảng 50m²; một nhà 01 tầng, diện tích xây dựng khoảng 25m². Công trình trên đất hoàn thiện năm 2020. CTXD tại thời điểm khảo sát chưa được chứng nhận trên Giấy chứng nh</w:t>
      </w:r>
      <w:r>
        <w:rPr>
          <w:rFonts w:ascii="Times New Roman" w:hAnsi="Times New Roman" w:eastAsia="Times New Roman" w:cs="Times New Roman"/>
          <w:color w:val="000000"/>
          <w:sz w:val="24"/>
          <w:highlight w:val="white"/>
        </w:rPr>
        <w:t xml:space="preserve">ận quyền sử dụng đất quyền sở hữu nhà ở và tài sản khác gắn liền với đất số DE 180176. Do vậy, theo đề nghị của Ngân hàng/Khách hàng, Tổ thẩm định không xác định giá trị của công trình xây dựng vào tổng giá trị, nhưng vẫn coi đó là phần không thể tách rời </w:t>
      </w:r>
      <w:r>
        <w:rPr>
          <w:rFonts w:ascii="Times New Roman" w:hAnsi="Times New Roman" w:eastAsia="Times New Roman" w:cs="Times New Roman"/>
          <w:color w:val="000000"/>
          <w:sz w:val="24"/>
          <w:highlight w:val="white"/>
        </w:rPr>
        <w:t xml:space="preserve">của tài sản thẩm định. Kính đề nghị đơn vị sử dụng kết quả lưu ý.</w:t>
      </w:r>
      <w:r>
        <w:rPr>
          <w:lang w:val="de-DE"/>
        </w:rPr>
      </w:r>
      <w:r>
        <w:rPr>
          <w:lang w:val="de-DE"/>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Ỷ La, Thành phố Tuyên Quang, Tỉnh Tuyên Quang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Tân Hà, Thành phố Tuyên Quang, Tỉnh Tuyên Quang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Ỷ La, Thành phố Tuyên Quang, Tỉnh Tuyên Quang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Ỷ La, Thành phố Tuyên Quang, Tỉnh Tuyên Quang</w:t>
            </w:r>
            <w:r>
              <w:rPr>
                <w:sz w:val="22"/>
                <w:szCs w:val="22"/>
              </w:rPr>
            </w:r>
            <w:r>
              <w:rPr>
                <w:sz w:val="22"/>
                <w:szCs w:val="22"/>
              </w:rPr>
            </w:r>
          </w:p>
        </w:tc>
      </w:tr>
      <w:tr>
        <w:trPr>
          <w:trHeight w:val="16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https://www.facebook.com/share/p/1AqKBzTMpn/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https://www.facebook.com/groups/1749880982068592/permalink/3025864534470224/?rdid=eVkSsF2Rx9mQh1vW#</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0815260000</w:t>
            </w:r>
            <w:r>
              <w:rPr>
                <w:sz w:val="22"/>
                <w:szCs w:val="22"/>
              </w:rPr>
              <w:t xml:space="preserve"> </w:t>
            </w:r>
            <w:r>
              <w:rPr>
                <w:sz w:val="22"/>
                <w:szCs w:val="22"/>
              </w:rPr>
              <w:br/>
              <w:t xml:space="preserve">(</w:t>
            </w:r>
            <w:r>
              <w:rPr>
                <w:sz w:val="22"/>
                <w:szCs w:val="22"/>
              </w:rPr>
              <w:t xml:space="preserve">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0337819628</w:t>
            </w:r>
            <w:r>
              <w:rPr>
                <w:sz w:val="22"/>
                <w:szCs w:val="22"/>
              </w:rPr>
              <w:br/>
            </w:r>
            <w:r>
              <w:rPr>
                <w:sz w:val="22"/>
                <w:szCs w:val="22"/>
              </w:rPr>
              <w:t xml:space="preserve">(</w:t>
            </w:r>
            <w:r>
              <w:rPr>
                <w:sz w:val="22"/>
                <w:szCs w:val="22"/>
              </w:rPr>
              <w:t xml:space="preserve">Hương Sen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0866116269</w:t>
            </w:r>
            <w:r>
              <w:rPr>
                <w:sz w:val="22"/>
                <w:szCs w:val="22"/>
              </w:rPr>
              <w:br/>
            </w:r>
            <w:r>
              <w:rPr>
                <w:sz w:val="22"/>
                <w:szCs w:val="22"/>
              </w:rPr>
              <w:t xml:space="preserve">(</w:t>
            </w:r>
            <w:r>
              <w:rPr>
                <w:sz w:val="22"/>
                <w:szCs w:val="22"/>
              </w:rPr>
              <w:t xml:space="preserve">Phương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dich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dich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dich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(86,9m²), Đất trồng cây lâu năm (74,6m²)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themeColor="text1"/>
                <w:sz w:val="22"/>
                <w:szCs w:val="22"/>
              </w:rPr>
              <w:t xml:space="preserve">(40m²)</w:t>
            </w:r>
            <w:r>
              <w:rPr>
                <w:color w:val="000000" w:themeColor="text1"/>
                <w:sz w:val="22"/>
                <w:szCs w:val="22"/>
              </w:rPr>
              <w:t xml:space="preserve">,Đất trồng cây lâu năm </w:t>
            </w:r>
            <w:r>
              <w:rPr>
                <w:color w:val="000000" w:themeColor="text1"/>
                <w:sz w:val="22"/>
                <w:szCs w:val="22"/>
              </w:rPr>
              <w:t xml:space="preserve">(93m²)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themeColor="text1"/>
                <w:sz w:val="22"/>
                <w:szCs w:val="22"/>
              </w:rPr>
              <w:t xml:space="preserve">(100m²)</w:t>
            </w:r>
            <w:r>
              <w:rPr>
                <w:color w:val="000000" w:themeColor="text1"/>
                <w:sz w:val="22"/>
                <w:szCs w:val="22"/>
              </w:rPr>
              <w:t xml:space="preserve">,Đất trồng cây lâu năm </w:t>
            </w:r>
            <w:r>
              <w:rPr>
                <w:color w:val="000000" w:themeColor="text1"/>
                <w:sz w:val="22"/>
                <w:szCs w:val="22"/>
              </w:rPr>
              <w:t xml:space="preserve">(38m²)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themeColor="text1"/>
                <w:sz w:val="22"/>
                <w:szCs w:val="22"/>
              </w:rPr>
              <w:t xml:space="preserve">(50m²)</w:t>
            </w:r>
            <w:r>
              <w:rPr>
                <w:color w:val="000000" w:themeColor="text1"/>
                <w:sz w:val="22"/>
                <w:szCs w:val="22"/>
              </w:rPr>
              <w:t xml:space="preserve">,Đất trồng cây lâu năm </w:t>
            </w:r>
            <w:r>
              <w:rPr>
                <w:color w:val="000000" w:themeColor="text1"/>
                <w:sz w:val="22"/>
                <w:szCs w:val="22"/>
              </w:rPr>
              <w:t xml:space="preserve">(83,9m²)</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tại đô thị: Lâu dài, Đất trồng cây lâu năm: Có thời hạn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tại đô thị: Lâu dài, Đất trồng cây lâu năm: Có thời hạn</w:t>
            </w:r>
            <w:r>
              <w:rPr>
                <w:rFonts w:ascii="Times New Roman" w:hAnsi="Times New Roman" w:cs="Times New Roman"/>
                <w:color w:val="000000" w:themeColor="text1"/>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tại đô thị: Lâu dài, Đất trồng cây lâu năm: Có thời hạn</w:t>
            </w:r>
            <w:r>
              <w:rPr>
                <w:rFonts w:ascii="Times New Roman" w:hAnsi="Times New Roman" w:cs="Times New Roman"/>
                <w:color w:val="000000" w:themeColor="text1"/>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Đất ở tại đô thị: Lâu dài, Đất trồng cây lâu năm: Có thời hạn</w:t>
            </w:r>
            <w:r>
              <w:rPr>
                <w:rFonts w:ascii="Times New Roman" w:hAnsi="Times New Roman" w:cs="Times New Roman"/>
                <w:color w:val="000000" w:themeColor="text1"/>
                <w:sz w:val="22"/>
                <w:szCs w:val="22"/>
                <w:highlight w:val="white"/>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Ỷ La, Thành phố Tuyên Quang, Tỉnh Tuyên Quang (nay là phường Minh Xuân, tỉnh Tuyên Quang)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Tân Hà, Thành phố Tuyên Quang, Tỉnh Tuyên Quang </w:t>
            </w:r>
            <w:r>
              <w:rPr>
                <w:color w:val="000000" w:themeColor="text1"/>
                <w:sz w:val="22"/>
                <w:szCs w:val="22"/>
              </w:rPr>
              <w:t xml:space="preserve">(nay là phường Minh Xuân, tỉnh Tuyên Quang)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Ỷ La, Thành phố Tuyên Quang, Tỉnh Tuyên Quang </w:t>
            </w:r>
            <w:r>
              <w:rPr>
                <w:color w:val="000000" w:themeColor="text1"/>
                <w:sz w:val="22"/>
                <w:szCs w:val="22"/>
              </w:rPr>
              <w:t xml:space="preserve">(nay là phường Minh Xuân, tỉnh Tuyên Quang)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Ỷ La, Thành phố Tuyên Quang, Tỉnh Tuyên Quang </w:t>
            </w:r>
            <w:r>
              <w:rPr>
                <w:color w:val="000000" w:themeColor="text1"/>
                <w:sz w:val="22"/>
                <w:szCs w:val="22"/>
              </w:rPr>
              <w:t xml:space="preserve">(nay là phường Minh Xuân, tỉnh Tuyên Quang)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17.593.985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14.787.155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17.593.985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14.787.155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14.787.155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-295.743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14.491.412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133,9</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-1.759.399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-1.478.716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15.834.586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13.012.696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5,02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4,54</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-1.231.579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591.486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14.603.007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13.604.182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-879.699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-739.358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13723.308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12.864.824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Tỷ lệ đất ở/ tổng diện tích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879.699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739.358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14.603.007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13.604.182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14.603.007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13.604.182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13.402.396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4.750.376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3.844.661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2.990.978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1.182.973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1,51</w:t>
      </w:r>
      <w:r>
        <w:t xml:space="preserve">% đến</w:t>
      </w:r>
      <w:r>
        <w:t xml:space="preserve"> </w:t>
      </w:r>
      <w:r>
        <w:t xml:space="preserve"> </w:t>
      </w:r>
      <w:r>
        <w:t xml:space="preserve">10,46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themeColor="text1"/>
                <w:sz w:val="22"/>
                <w:szCs w:val="22"/>
              </w:rPr>
              <w:t xml:space="preserve">14.603.007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4.868.643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3.999.600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themeColor="text1"/>
                <w:sz w:val="22"/>
                <w:szCs w:val="22"/>
              </w:rPr>
              <w:t xml:space="preserve">13.604.182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4.534.274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13.402.516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13.400.000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bCs/>
        </w:rPr>
      </w:pPr>
      <w:r>
        <w:rPr>
          <w:b/>
          <w:bCs/>
        </w:rPr>
        <w:t xml:space="preserve">Xác định </w:t>
      </w:r>
      <w:r>
        <w:rPr>
          <w:rFonts w:ascii="Times New Roman" w:hAnsi="Times New Roman" w:eastAsia="Times New Roman" w:cs="Times New Roman"/>
          <w:b/>
          <w:color w:val="000000"/>
          <w:sz w:val="24"/>
        </w:rPr>
        <w:t xml:space="preserve">đơn giá đất ở và đất trồng cây lâu năm:</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w:t>
      </w:r>
      <w:r>
        <w:rPr>
          <w:rFonts w:ascii="Times New Roman" w:hAnsi="Times New Roman" w:eastAsia="Times New Roman" w:cs="Times New Roman"/>
          <w:color w:val="000000"/>
          <w:sz w:val="24"/>
        </w:rPr>
        <w:t xml:space="preserve"> đất ở theo tỉ lệ giữa giá đất trồng cây lâu năm với đất ở theo bảng giá UBND.</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Nghị quyết số </w:t>
      </w:r>
      <w:r>
        <w:rPr>
          <w:rFonts w:ascii="Times New Roman" w:hAnsi="Times New Roman" w:eastAsia="Times New Roman" w:cs="Times New Roman"/>
          <w:color w:val="000000"/>
          <w:sz w:val="24"/>
          <w:highlight w:val="none"/>
        </w:rPr>
        <w:t xml:space="preserve">41</w:t>
      </w:r>
      <w:r>
        <w:rPr>
          <w:rFonts w:ascii="Times New Roman" w:hAnsi="Times New Roman" w:eastAsia="Times New Roman" w:cs="Times New Roman"/>
          <w:color w:val="000000"/>
          <w:sz w:val="24"/>
          <w:highlight w:val="white"/>
        </w:rPr>
        <w:t xml:space="preserve">/2025/NQ-HĐND</w:t>
      </w:r>
      <w:r>
        <w:rPr>
          <w:rFonts w:ascii="Times New Roman" w:hAnsi="Times New Roman" w:eastAsia="Times New Roman" w:cs="Times New Roman"/>
          <w:color w:val="000000"/>
          <w:sz w:val="24"/>
        </w:rPr>
        <w:t xml:space="preserve">, ngày 29/12/2025 của UBND tỉnh Tuyên Quang về việc quy định tiêu chí cụ thể để xác định vị trí đối với từng loại đất, số lượng vị trí đất trong bảng giá đất và quyết định bảng giá đất trên địa bàn tỉnh Tuyên Quang </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tại trục đường gom quốc lộ 2 đoạn tránh thành phố: Đường gom qua địa bàn phường Ỷ La cũ  vị trí 1 có đơn giá là: </w:t>
      </w:r>
      <w:r>
        <w:rPr>
          <w:rFonts w:ascii="Times New Roman" w:hAnsi="Times New Roman" w:eastAsia="Times New Roman" w:cs="Times New Roman"/>
          <w:b/>
          <w:color w:val="000000"/>
          <w:sz w:val="24"/>
        </w:rPr>
        <w:t xml:space="preserve">7.000.000 đồng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tại phường Minh Xuân: </w:t>
      </w:r>
      <w:r>
        <w:rPr>
          <w:rFonts w:ascii="Times New Roman" w:hAnsi="Times New Roman" w:eastAsia="Times New Roman" w:cs="Times New Roman"/>
          <w:b/>
          <w:color w:val="000000"/>
          <w:sz w:val="24"/>
        </w:rPr>
        <w:t xml:space="preserve">70.000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10"/>
          <w:tab w:val="left" w:leader="none" w:pos="851"/>
        </w:tabs>
        <w:spacing w:after="120" w:before="120"/>
        <w:ind w:right="0" w:firstLine="0" w:left="450"/>
        <w:jc w:val="both"/>
        <w:rPr/>
      </w:pPr>
      <w:r>
        <w:rPr>
          <w:rFonts w:ascii="Times New Roman" w:hAnsi="Times New Roman" w:eastAsia="Times New Roman" w:cs="Times New Roman"/>
          <w:color w:val="000000"/>
          <w:sz w:val="24"/>
        </w:rPr>
        <w:tab/>
        <w:tab/>
        <w:t xml:space="preserve">86,9*X + 74,6*Y = 13.400.000 * 161,5</w:t>
      </w:r>
      <w:r/>
    </w:p>
    <w:p>
      <w:pPr>
        <w:pBdr/>
        <w:tabs>
          <w:tab w:val="left" w:leader="none" w:pos="426"/>
          <w:tab w:val="left" w:leader="none" w:pos="810"/>
          <w:tab w:val="left" w:leader="none" w:pos="851"/>
        </w:tabs>
        <w:spacing w:after="40" w:before="40" w:line="288" w:lineRule="auto"/>
        <w:ind w:right="0" w:firstLine="0" w:left="810"/>
        <w:jc w:val="left"/>
        <w:rPr>
          <w:b/>
          <w:bCs/>
          <w:color w:val="000000"/>
        </w:rPr>
      </w:pPr>
      <w:r>
        <w:rPr>
          <w:rFonts w:ascii="Times New Roman" w:hAnsi="Times New Roman" w:eastAsia="Times New Roman" w:cs="Times New Roman"/>
          <w:color w:val="000000"/>
          <w:sz w:val="24"/>
        </w:rPr>
        <w:t xml:space="preserve">86,9*X + 74,6*Y = </w:t>
      </w:r>
      <w:r>
        <w:t xml:space="preserve">2.164.100.000</w:t>
      </w:r>
      <w:r>
        <w:rPr>
          <w:rFonts w:ascii="Times New Roman" w:hAnsi="Times New Roman" w:eastAsia="Times New Roman" w:cs="Times New Roman"/>
          <w:color w:val="000000"/>
          <w:sz w:val="20"/>
          <w:vertAlign w:val="superscript"/>
        </w:rPr>
        <w:t xml:space="preserve">(1)</w:t>
      </w:r>
      <w:r>
        <w:rPr>
          <w:b/>
          <w:bCs/>
          <w:color w:val="000000"/>
        </w:rPr>
      </w:r>
      <w:r>
        <w:rPr>
          <w:b/>
          <w:bCs/>
          <w:color w:val="000000"/>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7.000.000/70.000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/Y = 100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24.691.372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246.914 đồng/m</w:t>
      </w:r>
      <w:r>
        <w:rPr>
          <w:rFonts w:ascii="Times New Roman" w:hAnsi="Times New Roman" w:eastAsia="Times New Roman" w:cs="Times New Roman"/>
          <w:b/>
          <w:color w:val="000000"/>
          <w:sz w:val="20"/>
          <w:vertAlign w:val="superscript"/>
        </w:rPr>
        <w:t xml:space="preserve">2</w:t>
      </w:r>
      <w:r/>
    </w:p>
    <w:p>
      <w:pPr>
        <w:pStyle w:val="1039"/>
        <w:numPr>
          <w:ilvl w:val="0"/>
          <w:numId w:val="45"/>
        </w:numPr>
        <w:pBdr/>
        <w:spacing w:after="120" w:before="120" w:line="312" w:lineRule="auto"/>
        <w:ind w:right="0" w:firstLine="90" w:left="0"/>
        <w:jc w:val="both"/>
        <w:rPr>
          <w:b w:val="0"/>
          <w:bCs w:val="0"/>
        </w:rPr>
      </w:pPr>
      <w:r>
        <w:rPr>
          <w:b w:val="0"/>
          <w:bCs w:val="0"/>
          <w:highlight w:val="white"/>
          <w:lang w:val="vi-VN"/>
        </w:rPr>
        <w:t xml:space="preserve">Đơn giá đấ</w:t>
      </w:r>
      <w:r>
        <w:rPr>
          <w:b w:val="0"/>
          <w:bCs w:val="0"/>
          <w:highlight w:val="white"/>
          <w:lang w:val="vi-VN"/>
        </w:rPr>
        <w:t xml:space="preserve">t</w:t>
      </w:r>
      <w:r>
        <w:rPr>
          <w:b w:val="0"/>
          <w:bCs w:val="0"/>
          <w:highlight w:val="none"/>
          <w:lang w:val="vi-VN"/>
        </w:rPr>
        <w:t xml:space="preserve"> ở và đơn giá đất trồng cây lâu năm chỉ sử dụng cho tài sản này và tại chứng thư này, không tham chiếu với các tài sản khác</w:t>
      </w:r>
      <w:r>
        <w:rPr>
          <w:b w:val="0"/>
          <w:bCs w:val="0"/>
        </w:rPr>
        <w:t xml:space="preserve">.</w:t>
      </w:r>
      <w:r>
        <w:rPr>
          <w:b w:val="0"/>
          <w:bCs w:val="0"/>
        </w:rPr>
      </w:r>
      <w:r>
        <w:rPr>
          <w:b w:val="0"/>
          <w:bCs w:val="0"/>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826 tờ bản đồ số: 50 có địa chỉ: Tổ 7 phường Ỷ La thành phố Tuyên Quang, tỉnh Tuyên Quang t</w:t>
            </w:r>
            <w:r>
              <w:rPr>
                <w:color w:val="000000"/>
              </w:rPr>
              <w:t xml:space="preserve">heo Giấy chứng nhận quyền sử dụng đất quyền sở hữu nhà ở và tài sản khác gắn liền với đất số:DE 180176, số vào sổ cấp GCN: CN 03503 do Chi nhánh văn phòng đăng ký đất đai thành phố Tuyên Quang cấp ngày 16/04/2024 cho Ông Nguyễn Viết Nhiên và Bà Hồ Thị Lan.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86,9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24.691.372</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2.145.680.236</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74,6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246.914</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18.419.764</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2.164.100.000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2.164.000.000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sáu mươi bốn triệu 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highlight w:val="white"/>
        </w:rPr>
        <w:t xml:space="preserve">Tại thời điểm khảo sát, CTXD gắn liền với đất gồm môt nhà 02 tầng, diện tích xây dựng khoảng 50m²: một nhà 01 tầng, diện tích xây dựng khoảng 25m². Công trình trên đất hoàn thiện năm 2020. CTXD tại thời điểm khảo sát chưa được chứng nhận trên Giấy chứng nh</w:t>
      </w:r>
      <w:r>
        <w:rPr>
          <w:rFonts w:ascii="Times New Roman" w:hAnsi="Times New Roman" w:eastAsia="Times New Roman" w:cs="Times New Roman"/>
          <w:color w:val="000000"/>
          <w:sz w:val="24"/>
          <w:highlight w:val="white"/>
        </w:rPr>
        <w:t xml:space="preserve">ận quyền sử dụng đất quyền sở hữu nhà ở và tài sản khác gắn liền với đất số DE 180176. Do vậy, theo đề nghị của Ngân hàng/Khách hàng, Tổ thẩm định không xác định giá trị của công trình xây dựng vào tổng giá trị, nhưng vẫn coi đó là phần không thể tách rời </w:t>
      </w:r>
      <w:r>
        <w:rPr>
          <w:rFonts w:ascii="Times New Roman" w:hAnsi="Times New Roman" w:eastAsia="Times New Roman" w:cs="Times New Roman"/>
          <w:color w:val="000000"/>
          <w:sz w:val="24"/>
          <w:highlight w:val="white"/>
        </w:rPr>
        <w:t xml:space="preserve">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3"/>
        </w:numPr>
        <w:pBdr/>
        <w:tabs>
          <w:tab w:val="left" w:leader="none" w:pos="993"/>
        </w:tabs>
        <w:spacing w:after="120" w:before="120" w:line="288" w:lineRule="auto"/>
        <w:ind/>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lang w:val="vi-VN" w:bidi="vi-VN"/>
        </w:rPr>
      </w:r>
      <w:r>
        <w:rPr>
          <w:rFonts w:ascii="Times New Roman" w:hAnsi="Times New Roman" w:eastAsia="Times New Roman" w:cs="Times New Roman"/>
          <w:color w:val="000000" w:themeColor="text1"/>
          <w:spacing w:val="3"/>
          <w:sz w:val="24"/>
          <w:szCs w:val="24"/>
          <w:highlight w:val="white"/>
        </w:rPr>
        <w:t xml:space="preserve">Đơn giá đất ở và đơn giá đất trồng cây lâu năm chỉ sử dụng cho tài sản này và tại chứng thư này, không tham chiếu với các tài sản khác</w:t>
      </w:r>
      <w:r>
        <w:rPr>
          <w:rFonts w:ascii="Times New Roman" w:hAnsi="Times New Roman" w:eastAsia="Times New Roman" w:cs="Times New Roman"/>
          <w:color w:val="000000" w:themeColor="text1"/>
          <w:sz w:val="24"/>
          <w:szCs w:val="24"/>
          <w:highlight w:val="none"/>
          <w:lang w:val="vi-VN" w:bidi="vi-VN"/>
        </w:rPr>
        <w:t xml:space="preserve">.</w:t>
      </w:r>
      <w:r>
        <w:rPr>
          <w:rFonts w:ascii="Times New Roman" w:hAnsi="Times New Roman" w:eastAsia="Times New Roman" w:cs="Times New Roman"/>
          <w:color w:val="000000" w:themeColor="text1"/>
          <w:sz w:val="24"/>
          <w:szCs w:val="24"/>
          <w:highlight w:val="white"/>
          <w:lang w:val="vi-VN"/>
        </w:rPr>
      </w:r>
      <w:r>
        <w:rPr>
          <w:rFonts w:ascii="Times New Roman" w:hAnsi="Times New Roman" w:cs="Times New Roman"/>
          <w:color w:val="000000" w:themeColor="text1"/>
          <w:sz w:val="24"/>
          <w:szCs w:val="24"/>
          <w:highlight w:val="white"/>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275/2026/0657/VFI-CT.65.A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275/2026/0657/VFI-BC.65.A ngày</w:t>
      </w:r>
      <w:r>
        <w:rPr>
          <w:i/>
          <w:lang w:val="pt-BR"/>
        </w:rPr>
        <w:t xml:space="preserve">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9522" cy="21671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9797" name=""/>
                              <pic:cNvPicPr>
                                <a:picLocks noChangeAspect="1"/>
                              </pic:cNvPicPr>
                              <pic:nvPr/>
                            </pic:nvPicPr>
                            <pic:blipFill rotWithShape="1">
                              <a:blip r:embed="rId18"/>
                              <a:stretch/>
                            </pic:blipFill>
                            <pic:spPr bwMode="auto">
                              <a:xfrm flipH="0" flipV="0">
                                <a:off x="0" y="0"/>
                                <a:ext cx="2889522" cy="2167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7.52pt;height:170.6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64582" cy="28861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16053" name=""/>
                              <pic:cNvPicPr>
                                <a:picLocks noChangeAspect="1"/>
                              </pic:cNvPicPr>
                              <pic:nvPr/>
                            </pic:nvPicPr>
                            <pic:blipFill rotWithShape="1">
                              <a:blip r:embed="rId19"/>
                              <a:stretch/>
                            </pic:blipFill>
                            <pic:spPr bwMode="auto">
                              <a:xfrm rot="16199969" flipH="0" flipV="0">
                                <a:off x="0" y="0"/>
                                <a:ext cx="2164581" cy="28861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0.44pt;height:227.25pt;mso-wrap-distance-left:0.00pt;mso-wrap-distance-top:0.00pt;mso-wrap-distance-right:0.00pt;mso-wrap-distance-bottom:0.00pt;rotation:269;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3875" cy="215540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81403" name=""/>
                              <pic:cNvPicPr>
                                <a:picLocks noChangeAspect="1"/>
                              </pic:cNvPicPr>
                              <pic:nvPr/>
                            </pic:nvPicPr>
                            <pic:blipFill rotWithShape="1">
                              <a:blip r:embed="rId20"/>
                              <a:stretch/>
                            </pic:blipFill>
                            <pic:spPr bwMode="auto">
                              <a:xfrm rot="0" flipH="0" flipV="0">
                                <a:off x="0" y="0"/>
                                <a:ext cx="2873874" cy="2155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29pt;height:169.72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3375" cy="21400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30940" name=""/>
                              <pic:cNvPicPr>
                                <a:picLocks noChangeAspect="1"/>
                              </pic:cNvPicPr>
                              <pic:nvPr/>
                            </pic:nvPicPr>
                            <pic:blipFill rotWithShape="1">
                              <a:blip r:embed="rId21"/>
                              <a:stretch/>
                            </pic:blipFill>
                            <pic:spPr bwMode="auto">
                              <a:xfrm flipH="0" flipV="0">
                                <a:off x="0" y="0"/>
                                <a:ext cx="2853375" cy="2140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68pt;height:168.5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985" cy="21562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2215" name=""/>
                              <pic:cNvPicPr>
                                <a:picLocks noChangeAspect="1"/>
                              </pic:cNvPicPr>
                              <pic:nvPr/>
                            </pic:nvPicPr>
                            <pic:blipFill rotWithShape="1">
                              <a:blip r:embed="rId22"/>
                              <a:stretch/>
                            </pic:blipFill>
                            <pic:spPr bwMode="auto">
                              <a:xfrm flipH="0" flipV="0">
                                <a:off x="0" y="0"/>
                                <a:ext cx="2874983" cy="2156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8pt;height:169.7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1982" cy="21614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0505" name=""/>
                              <pic:cNvPicPr>
                                <a:picLocks noChangeAspect="1"/>
                              </pic:cNvPicPr>
                              <pic:nvPr/>
                            </pic:nvPicPr>
                            <pic:blipFill rotWithShape="1">
                              <a:blip r:embed="rId23"/>
                              <a:stretch/>
                            </pic:blipFill>
                            <pic:spPr bwMode="auto">
                              <a:xfrm flipH="0" flipV="0">
                                <a:off x="0" y="0"/>
                                <a:ext cx="2881982" cy="21614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93pt;height:170.2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275/2026/0657/VFI-BC.65.A</w:t>
      </w:r>
      <w:r>
        <w:rPr>
          <w:i/>
          <w:lang w:val="pt-BR"/>
        </w:rPr>
        <w:t xml:space="preserve"> ngày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https://www.facebook.com/share/p/1AqKBzTMpn/</w:t>
            </w:r>
            <w:r>
              <w:rPr>
                <w:color w:val="000000" w:themeColor="text1"/>
                <w:sz w:val="22"/>
                <w:szCs w:val="22"/>
              </w:rPr>
              <w:br/>
              <w:t xml:space="preserve">0815260000</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dich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 (40m²),Đất trồng cây lâu năm (93m²)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Đất ở tại đô thị: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Tân Hà, Thành phố Tuyên Quang, Tỉnh Tuyên Quang (nay là phường Minh Xuân, tỉnh Tuyên Quang)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35915" cy="3464171"/>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235914" cy="34641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2.28pt;height:272.7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12015" cy="515019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rot="5399976" flipH="0" flipV="0">
                                <a:off x="0" y="0"/>
                                <a:ext cx="2912014" cy="51501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29pt;height:405.53pt;mso-wrap-distance-left:0.00pt;mso-wrap-distance-top:0.00pt;mso-wrap-distance-right:0.00pt;mso-wrap-distance-bottom:0.00pt;rotation:89;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931"/>
        <w:gridCol w:w="505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0337819628</w:t>
            </w:r>
            <w:r>
              <w:rPr>
                <w:sz w:val="22"/>
                <w:szCs w:val="22"/>
              </w:rPr>
              <w:t xml:space="preserve"> </w:t>
            </w:r>
            <w:r>
              <w:rPr>
                <w:sz w:val="22"/>
                <w:szCs w:val="22"/>
              </w:rPr>
              <w:t xml:space="preserve">(Hương Sen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dich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 (100m²),Đất trồng cây lâu năm (38m²)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Đất ở tại đô thị: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Ỷ La, Thành phố Tuyên Quang, Tỉnh Tuyên Quang (nay là phường Minh Xuân, tỉnh Tuyên Quang)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138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519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12679858" name="" descr=""/>
                              <pic:cNvPicPr/>
                              <pic:nvPr/>
                            </pic:nvPicPr>
                            <pic:blipFill rotWithShape="1">
                              <a:blip r:embed="rId27"/>
                              <a:stretch/>
                            </pic:blipFill>
                            <pic:spPr bwMode="auto">
                              <a:xfrm rot="0" flipH="0" flipV="0">
                                <a:off x="0" y="0"/>
                                <a:ext cx="197519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5.53pt;height:250.00pt;mso-wrap-distance-left:0.00pt;mso-wrap-distance-top:0.00pt;mso-wrap-distance-right:0.00pt;mso-wrap-distance-bottom:0.00pt;rotation:0;z-index:1;" stroked="false">
                      <v:imagedata r:id="rId27"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01646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49034473" name="" descr=""/>
                              <pic:cNvPicPr/>
                              <pic:nvPr/>
                            </pic:nvPicPr>
                            <pic:blipFill rotWithShape="1">
                              <a:blip r:embed="rId28"/>
                              <a:stretch/>
                            </pic:blipFill>
                            <pic:spPr bwMode="auto">
                              <a:xfrm rot="0" flipH="0" flipV="0">
                                <a:off x="0" y="0"/>
                                <a:ext cx="20164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8.78pt;height:250.0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sz w:val="2"/>
                <w:szCs w:val="2"/>
              </w:rPr>
            </w:pPr>
            <w:r>
              <w:rPr>
                <w:b/>
                <w:bCs/>
                <w:sz w:val="2"/>
                <w:szCs w:val="2"/>
              </w:rPr>
            </w:r>
            <w:r>
              <w:rPr>
                <w:b/>
                <w:bCs/>
                <w:sz w:val="2"/>
                <w:szCs w:val="2"/>
              </w:rPr>
            </w:r>
            <w:r>
              <w:rPr>
                <w:b/>
                <w:bCs/>
                <w:sz w:val="2"/>
                <w:szCs w:val="2"/>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https://www.facebook.com/groups/1749880982068592/permalink/3025864534470224/?rdid=eVkSsF2Rx9mQh1vW#</w:t>
            </w:r>
            <w:r>
              <w:rPr>
                <w:color w:val="000000" w:themeColor="text1"/>
                <w:sz w:val="22"/>
                <w:szCs w:val="22"/>
              </w:rPr>
              <w:br/>
            </w:r>
            <w:r>
              <w:rPr>
                <w:sz w:val="22"/>
                <w:szCs w:val="22"/>
              </w:rPr>
              <w:t xml:space="preserve">SĐT: </w:t>
            </w:r>
            <w:r>
              <w:rPr>
                <w:color w:val="000000" w:themeColor="text1"/>
                <w:sz w:val="22"/>
                <w:szCs w:val="22"/>
              </w:rPr>
              <w:t xml:space="preserve">0866116269</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dich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 (50m²),Đất trồng cây lâu năm (83,9m²)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Đất ở tại đô thị: Lâu dài, 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Ỷ La, Thành phố Tuyên Quang, Tỉnh Tuyên Quang (nay là phường Minh Xuân, tỉnh Tuyên Quang)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16490" cy="365034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216489" cy="36503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4.53pt;height:287.4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6302" cy="36503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146301" cy="36503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9.00pt;height:287.4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28990" cy="27172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81606129" name="" descr=""/>
                              <pic:cNvPicPr/>
                              <pic:nvPr/>
                            </pic:nvPicPr>
                            <pic:blipFill rotWithShape="1">
                              <a:blip r:embed="rId31"/>
                              <a:stretch/>
                            </pic:blipFill>
                            <pic:spPr bwMode="auto">
                              <a:xfrm rot="0" flipH="0" flipV="0">
                                <a:off x="0" y="0"/>
                                <a:ext cx="4428990" cy="2717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8.74pt;height:213.96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12"/>
                <w:szCs w:val="12"/>
              </w:rPr>
            </w:pPr>
            <w:r>
              <w:rPr>
                <w:color w:val="000000"/>
                <w:sz w:val="22"/>
                <w:szCs w:val="22"/>
              </w:rPr>
            </w:r>
            <w:r>
              <w:rPr>
                <w:color w:val="000000"/>
                <w:sz w:val="22"/>
                <w:szCs w:val="22"/>
              </w:rPr>
              <w:t xml:space="preserve"> </w:t>
            </w:r>
            <w:r>
              <w:rPr>
                <w:color w:val="000000"/>
                <w:sz w:val="22"/>
                <w:szCs w:val="22"/>
              </w:rPr>
              <w:t xml:space="preserve"> </w:t>
            </w:r>
            <w:r>
              <w:rPr>
                <w:color w:val="000000"/>
                <w:sz w:val="12"/>
                <w:szCs w:val="12"/>
              </w:rPr>
            </w:r>
            <w:r>
              <w:rPr>
                <w:color w:val="000000"/>
                <w:sz w:val="12"/>
                <w:szCs w:val="1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28990" cy="24003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89210887" name="" descr=""/>
                              <pic:cNvPicPr/>
                              <pic:nvPr/>
                            </pic:nvPicPr>
                            <pic:blipFill rotWithShape="1">
                              <a:blip r:embed="rId32"/>
                              <a:stretch/>
                            </pic:blipFill>
                            <pic:spPr bwMode="auto">
                              <a:xfrm flipH="0" flipV="0">
                                <a:off x="0" y="0"/>
                                <a:ext cx="4428990" cy="24003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48.74pt;height:189.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left"/>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iCs/>
          <w:lang w:val="pt-BR"/>
        </w:rPr>
      </w:pPr>
      <w:r>
        <w:rPr>
          <w:b/>
          <w:bCs/>
          <w:iCs/>
          <w:u w:val="single"/>
          <w:lang w:val="pt-BR"/>
        </w:rPr>
        <w:t xml:space="preserve">PHỤ LỤC 3</w:t>
      </w:r>
      <w:r>
        <w:rPr>
          <w:b/>
          <w:bCs/>
          <w:iCs/>
          <w:lang w:val="pt-BR"/>
        </w:rPr>
        <w:t xml:space="preserve">: PHÁP LÝ TÀI SẢN VÀ BIÊN BẢN KHẢO SÁT</w:t>
      </w:r>
      <w:r>
        <w:rPr>
          <w:iCs/>
          <w:lang w:val="pt-BR"/>
        </w:rPr>
        <w:t xml:space="preserve"> </w:t>
      </w:r>
      <w:r>
        <w:rPr>
          <w:iCs/>
          <w:lang w:val="pt-BR"/>
        </w:rPr>
      </w:r>
      <w:r>
        <w:rPr>
          <w:iCs/>
          <w:lang w:val="pt-BR"/>
        </w:rPr>
      </w:r>
    </w:p>
    <w:p>
      <w:pPr>
        <w:pBdr/>
        <w:spacing w:after="200" w:line="276" w:lineRule="auto"/>
        <w:ind/>
        <w:jc w:val="center"/>
        <w:rPr>
          <w:highlight w:val="none"/>
        </w:rPr>
      </w:pPr>
      <w:r>
        <w:rPr>
          <w:iCs/>
          <w:lang w:val="pt-BR"/>
        </w:rPr>
      </w:r>
      <w:r>
        <mc:AlternateContent>
          <mc:Choice Requires="wpg">
            <w:drawing>
              <wp:inline xmlns:wp="http://schemas.openxmlformats.org/drawingml/2006/wordprocessingDrawing" distT="0" distB="0" distL="0" distR="0">
                <wp:extent cx="6048375" cy="847443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67059" name=""/>
                        <pic:cNvPicPr>
                          <a:picLocks noChangeAspect="1"/>
                        </pic:cNvPicPr>
                        <pic:nvPr/>
                      </pic:nvPicPr>
                      <pic:blipFill rotWithShape="1">
                        <a:blip r:embed="rId33"/>
                        <a:stretch/>
                      </pic:blipFill>
                      <pic:spPr bwMode="auto">
                        <a:xfrm>
                          <a:off x="0" y="0"/>
                          <a:ext cx="6048374" cy="8474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67.28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left"/>
        <w:rPr>
          <w:highlight w:val="none"/>
        </w:rPr>
      </w:pPr>
      <w:r>
        <w:rPr>
          <w:highlight w:val="none"/>
        </w:rPr>
      </w:r>
      <w:r>
        <w:rPr>
          <w:highlight w:val="none"/>
        </w:rPr>
      </w:r>
      <w:r>
        <w:rPr>
          <w:highlight w:val="none"/>
        </w:rPr>
      </w:r>
    </w:p>
    <w:p>
      <w:pPr>
        <w:pBdr/>
        <w:spacing w:after="200" w:line="276" w:lineRule="auto"/>
        <w:ind/>
        <w:jc w:val="center"/>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4098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83275" name=""/>
                        <pic:cNvPicPr>
                          <a:picLocks noChangeAspect="1"/>
                        </pic:cNvPicPr>
                        <pic:nvPr/>
                      </pic:nvPicPr>
                      <pic:blipFill rotWithShape="1">
                        <a:blip r:embed="rId34"/>
                        <a:stretch/>
                      </pic:blipFill>
                      <pic:spPr bwMode="auto">
                        <a:xfrm>
                          <a:off x="0" y="0"/>
                          <a:ext cx="6048374" cy="8409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62.19pt;mso-wrap-distance-left:0.00pt;mso-wrap-distance-top:0.00pt;mso-wrap-distance-right:0.00pt;mso-wrap-distance-bottom:0.00pt;z-index:1;" stroked="false">
                <v:imagedata r:id="rId34" o:title=""/>
                <o:lock v:ext="edit" rotation="t"/>
              </v:shape>
            </w:pict>
          </mc:Fallback>
        </mc:AlternateContent>
      </w:r>
      <w:r>
        <w:rPr>
          <w:lang w:val="pt-BR"/>
        </w:rPr>
      </w:r>
      <w:r>
        <w:rPr>
          <w:highlight w:val="none"/>
          <w:lang w:val="pt-BR" w:bidi="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sz w:val="20"/>
          <w:szCs w:val="20"/>
          <w:lang w:val="pt-BR"/>
        </w:rPr>
      </w:pPr>
      <w:r>
        <w:rPr>
          <w:sz w:val="20"/>
          <w:szCs w:val="20"/>
          <w:lang w:val="pt-BR"/>
        </w:rPr>
      </w:r>
      <w:r>
        <w:rPr>
          <w:sz w:val="20"/>
          <w:szCs w:val="20"/>
          <w:lang w:val="pt-BR"/>
        </w:rPr>
      </w:r>
      <w:r>
        <w:rPr>
          <w:sz w:val="20"/>
          <w:szCs w:val="20"/>
          <w:lang w:val="pt-BR"/>
        </w:rPr>
      </w:r>
    </w:p>
    <w:p>
      <w:pPr>
        <w:pBdr/>
        <w:spacing w:after="200" w:line="276" w:lineRule="auto"/>
        <w:ind/>
        <w:jc w:val="center"/>
        <w:rPr>
          <w:lang w:val="pt-BR"/>
        </w:rPr>
      </w:pPr>
      <w:r>
        <w:rPr>
          <w:highlight w:val="none"/>
          <w:lang w:val="pt-BR" w:bidi="pt-BR"/>
        </w:rPr>
      </w:r>
      <w:r>
        <mc:AlternateContent>
          <mc:Choice Requires="wpg">
            <w:drawing>
              <wp:inline xmlns:wp="http://schemas.openxmlformats.org/drawingml/2006/wordprocessingDrawing" distT="0" distB="0" distL="0" distR="0">
                <wp:extent cx="6048375" cy="86521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98029" name=""/>
                        <pic:cNvPicPr>
                          <a:picLocks noChangeAspect="1"/>
                        </pic:cNvPicPr>
                        <pic:nvPr/>
                      </pic:nvPicPr>
                      <pic:blipFill rotWithShape="1">
                        <a:blip r:embed="rId35"/>
                        <a:stretch/>
                      </pic:blipFill>
                      <pic:spPr bwMode="auto">
                        <a:xfrm>
                          <a:off x="0" y="0"/>
                          <a:ext cx="6048374" cy="8652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81.27pt;mso-wrap-distance-left:0.00pt;mso-wrap-distance-top:0.00pt;mso-wrap-distance-right:0.00pt;mso-wrap-distance-bottom:0.00pt;z-index:1;" stroked="false">
                <v:imagedata r:id="rId35" o:title=""/>
                <o:lock v:ext="edit" rotation="t"/>
              </v:shape>
            </w:pict>
          </mc:Fallback>
        </mc:AlternateContent>
      </w:r>
      <w:r>
        <w:rPr>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AF818D6"/>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3EFAB31"/>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3745A2C"/>
    <w:lvl w:ilvl="0">
      <w:isLgl w:val="false"/>
      <w:lvlJc w:val="left"/>
      <w:lvlText w:val="¨"/>
      <w:numFmt w:val="bullet"/>
      <w:pPr>
        <w:pBdr/>
        <w:spacing/>
        <w:ind w:hanging="360" w:left="1069"/>
      </w:pPr>
      <w:rPr>
        <w:rFonts w:ascii="Symbol" w:hAnsi="Symbol" w:eastAsia="Symbol" w:cs="Symbo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abstractNum w:abstractNumId="40">
    <w:nsid w:val="5674ED8F"/>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E03EA8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8B7D850"/>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78B7D850"/>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282</cp:revision>
  <dcterms:created xsi:type="dcterms:W3CDTF">2025-09-15T09:58:00Z</dcterms:created>
  <dcterms:modified xsi:type="dcterms:W3CDTF">2026-04-29T10:09:43Z</dcterms:modified>
</cp:coreProperties>
</file>