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285160</wp:posOffset>
                </wp:positionH>
                <wp:positionV relativeFrom="paragraph">
                  <wp:posOffset>114545</wp:posOffset>
                </wp:positionV>
                <wp:extent cx="5467350" cy="399595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9595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275/2026/0692/VFI-CT.53.A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XUẤT NHẬP KHẨU SẢN XUẤT VÀ THƯƠNG MẠI THÉP THÀNH PHÁT</w:t>
                            </w:r>
                            <w:r>
                              <w:rPr>
                                <w:rFonts w:ascii="Times New Roman Bold" w:hAnsi="Times New Roman Bold"/>
                                <w:b/>
                                <w:lang w:val="pt-BR"/>
                              </w:rPr>
                            </w:r>
                            <w:r>
                              <w:rPr>
                                <w:rFonts w:ascii="Times New Roman Bold" w:hAnsi="Times New Roman Bold"/>
                                <w:b/>
                                <w:lang w:val="pt-BR"/>
                              </w:rPr>
                            </w:r>
                          </w:p>
                          <w:p>
                            <w:pPr>
                              <w:pBdr/>
                              <w:spacing w:after="0" w:before="0" w:line="360" w:lineRule="auto"/>
                              <w:ind/>
                              <w:jc w:val="both"/>
                              <w:rPr>
                                <w:bCs/>
                                <w:i/>
                              </w:rPr>
                            </w:pPr>
                            <w:r>
                              <w:rPr>
                                <w:b/>
                              </w:rPr>
                              <w:t xml:space="preserve">Tài sản thẩm </w:t>
                            </w:r>
                            <w:r>
                              <w:rPr>
                                <w:b/>
                              </w:rPr>
                              <w:t xml:space="preserve">định:</w:t>
                            </w:r>
                            <w:r>
                              <w:rPr>
                                <w:b w:val="0"/>
                                <w:bCs w:val="0"/>
                              </w:rPr>
                              <w:t xml:space="preserve"> </w:t>
                            </w:r>
                            <w:r>
                              <w:rPr>
                                <w:rFonts w:ascii="Times New Roman" w:hAnsi="Times New Roman" w:eastAsia="Times New Roman" w:cs="Times New Roman"/>
                                <w:b w:val="0"/>
                                <w:bCs w:val="0"/>
                                <w:color w:val="000000"/>
                                <w:sz w:val="24"/>
                              </w:rPr>
                              <w:t xml:space="preserve">Quyền sử dụng đất tại thửa đất số: 562, tờ bản đồ số 20 có địa chỉ: Lô đất số 14, Khu dịch vụ Nhà ở Cụm công nghiệp Phùng Xá, xã Phùng Xá, huyện Thạch Thất, Thành phố Hà Nội (Nay là xã Tây Phương, Thành phố Hà Nội) theo Giấy chứng nhận quyền sử dụng đất, </w:t>
                            </w:r>
                            <w:r>
                              <w:rPr>
                                <w:rFonts w:ascii="Times New Roman" w:hAnsi="Times New Roman" w:eastAsia="Times New Roman" w:cs="Times New Roman"/>
                                <w:b w:val="0"/>
                                <w:bCs w:val="0"/>
                                <w:color w:val="000000"/>
                                <w:sz w:val="24"/>
                              </w:rPr>
                              <w:t xml:space="preserve">quyền sở hữu nhà ở và tài sản khác gắn liền với đất  số: DH 680382, số vào sổ cấp GCN: CS-TTH 28334 do Sở Tài nguyên và Môi trường Thành phố Hà Nội cấp ngày 19/12/2022; Chủ sử dụng đất là Ông Nguyễn Đình Hợp và Bà Đỗ Thị Thanh Tuyền </w:t>
                            </w:r>
                            <w:r>
                              <w:rPr>
                                <w:rFonts w:ascii="Times New Roman" w:hAnsi="Times New Roman" w:eastAsia="Times New Roman" w:cs="Times New Roman"/>
                                <w:b w:val="0"/>
                                <w:bCs w:val="0"/>
                                <w:i/>
                                <w:iCs/>
                                <w:color w:val="000000"/>
                                <w:sz w:val="24"/>
                              </w:rPr>
                              <w:t xml:space="preserve">(cập nhật ngày 15/5/20</w:t>
                            </w:r>
                            <w:r>
                              <w:rPr>
                                <w:rFonts w:ascii="Times New Roman" w:hAnsi="Times New Roman" w:eastAsia="Times New Roman" w:cs="Times New Roman"/>
                                <w:b w:val="0"/>
                                <w:bCs w:val="0"/>
                                <w:i/>
                                <w:iCs/>
                                <w:color w:val="000000"/>
                                <w:sz w:val="24"/>
                              </w:rPr>
                              <w:t xml:space="preserve">25)</w:t>
                            </w:r>
                            <w:r>
                              <w:rPr>
                                <w:i/>
                                <w:iCs/>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22.45pt;mso-position-horizontal:absolute;mso-position-vertical-relative:text;margin-top:9.02pt;mso-position-vertical:absolute;width:430.50pt;height:314.64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275/2026/0692/VFI-CT.53.A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XUẤT NHẬP KHẨU SẢN XUẤT VÀ THƯƠNG MẠI THÉP THÀNH PHÁT</w:t>
                      </w:r>
                      <w:r>
                        <w:rPr>
                          <w:rFonts w:ascii="Times New Roman Bold" w:hAnsi="Times New Roman Bold"/>
                          <w:b/>
                          <w:lang w:val="pt-BR"/>
                        </w:rPr>
                      </w:r>
                      <w:r>
                        <w:rPr>
                          <w:rFonts w:ascii="Times New Roman Bold" w:hAnsi="Times New Roman Bold"/>
                          <w:b/>
                          <w:lang w:val="pt-BR"/>
                        </w:rPr>
                      </w:r>
                    </w:p>
                    <w:p>
                      <w:pPr>
                        <w:pBdr/>
                        <w:spacing w:after="0" w:before="0" w:line="360" w:lineRule="auto"/>
                        <w:ind/>
                        <w:jc w:val="both"/>
                        <w:rPr>
                          <w:bCs/>
                          <w:i/>
                        </w:rPr>
                      </w:pPr>
                      <w:r>
                        <w:rPr>
                          <w:b/>
                        </w:rPr>
                        <w:t xml:space="preserve">Tài sản thẩm </w:t>
                      </w:r>
                      <w:r>
                        <w:rPr>
                          <w:b/>
                        </w:rPr>
                        <w:t xml:space="preserve">định:</w:t>
                      </w:r>
                      <w:r>
                        <w:rPr>
                          <w:b w:val="0"/>
                          <w:bCs w:val="0"/>
                        </w:rPr>
                        <w:t xml:space="preserve"> </w:t>
                      </w:r>
                      <w:r>
                        <w:rPr>
                          <w:rFonts w:ascii="Times New Roman" w:hAnsi="Times New Roman" w:eastAsia="Times New Roman" w:cs="Times New Roman"/>
                          <w:b w:val="0"/>
                          <w:bCs w:val="0"/>
                          <w:color w:val="000000"/>
                          <w:sz w:val="24"/>
                        </w:rPr>
                        <w:t xml:space="preserve">Quyền sử dụng đất tại thửa đất số: 562, tờ bản đồ số 20 có địa chỉ: Lô đất số 14, Khu dịch vụ Nhà ở Cụm công nghiệp Phùng Xá, xã Phùng Xá, huyện Thạch Thất, Thành phố Hà Nội (Nay là xã Tây Phương, Thành phố Hà Nội) theo Giấy chứng nhận quyền sử dụng đất, </w:t>
                      </w:r>
                      <w:r>
                        <w:rPr>
                          <w:rFonts w:ascii="Times New Roman" w:hAnsi="Times New Roman" w:eastAsia="Times New Roman" w:cs="Times New Roman"/>
                          <w:b w:val="0"/>
                          <w:bCs w:val="0"/>
                          <w:color w:val="000000"/>
                          <w:sz w:val="24"/>
                        </w:rPr>
                        <w:t xml:space="preserve">quyền sở hữu nhà ở và tài sản khác gắn liền với đất  số: DH 680382, số vào sổ cấp GCN: CS-TTH 28334 do Sở Tài nguyên và Môi trường Thành phố Hà Nội cấp ngày 19/12/2022; Chủ sử dụng đất là Ông Nguyễn Đình Hợp và Bà Đỗ Thị Thanh Tuyền </w:t>
                      </w:r>
                      <w:r>
                        <w:rPr>
                          <w:rFonts w:ascii="Times New Roman" w:hAnsi="Times New Roman" w:eastAsia="Times New Roman" w:cs="Times New Roman"/>
                          <w:b w:val="0"/>
                          <w:bCs w:val="0"/>
                          <w:i/>
                          <w:iCs/>
                          <w:color w:val="000000"/>
                          <w:sz w:val="24"/>
                        </w:rPr>
                        <w:t xml:space="preserve">(cập nhật ngày 15/5/20</w:t>
                      </w:r>
                      <w:r>
                        <w:rPr>
                          <w:rFonts w:ascii="Times New Roman" w:hAnsi="Times New Roman" w:eastAsia="Times New Roman" w:cs="Times New Roman"/>
                          <w:b w:val="0"/>
                          <w:bCs w:val="0"/>
                          <w:i/>
                          <w:iCs/>
                          <w:color w:val="000000"/>
                          <w:sz w:val="24"/>
                        </w:rPr>
                        <w:t xml:space="preserve">25)</w:t>
                      </w:r>
                      <w:r>
                        <w:rPr>
                          <w:i/>
                          <w:iCs/>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t xml:space="preserve">           18-30</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13" w:type="dxa"/>
        <w:tblBorders/>
        <w:tblLayout w:type="fixed"/>
        <w:tblLook w:val="04A0" w:firstRow="1" w:lastRow="0" w:firstColumn="1" w:lastColumn="0" w:noHBand="0" w:noVBand="1"/>
      </w:tblPr>
      <w:tblGrid>
        <w:gridCol w:w="607"/>
        <w:gridCol w:w="981"/>
        <w:gridCol w:w="8626"/>
      </w:tblGrid>
      <w:tr>
        <w:trPr>
          <w:trHeight w:val="1420"/>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62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600"/>
        </w:trPr>
        <w:tc>
          <w:tcPr>
            <w:gridSpan w:val="2"/>
            <w:shd w:val="clear" w:color="auto" w:fill="auto"/>
            <w:tcBorders/>
            <w:tcMar>
              <w:left w:w="108" w:type="dxa"/>
              <w:top w:w="0" w:type="dxa"/>
              <w:right w:w="108" w:type="dxa"/>
              <w:bottom w:w="0" w:type="dxa"/>
            </w:tcMar>
            <w:tcW w:w="960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275/2026/0692/VFI-BC.53.A                                      </w:t>
            </w: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07 tháng 5 năm 2026</w:t>
            </w:r>
            <w:r>
              <w:rPr>
                <w:color w:val="000000" w:themeColor="text1"/>
                <w:sz w:val="24"/>
                <w:szCs w:val="24"/>
              </w:rPr>
            </w:r>
            <w:r>
              <w:rPr>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XUẤT NHẬP KHẨU SẢN XUẤT VÀ THƯƠNG MẠI THÉP THÀNH PHÁT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275/2026/0692/VFI-HĐTĐ.53.A</w:t>
      </w:r>
      <w:r>
        <w:rPr>
          <w:spacing w:val="-4"/>
          <w:lang w:val="vi-VN"/>
        </w:rPr>
        <w:t xml:space="preserve"> ký ngày 03 tháng 5 năm 2026</w:t>
      </w:r>
      <w:r>
        <w:rPr>
          <w:spacing w:val="-4"/>
          <w:lang w:val="vi-VN"/>
        </w:rPr>
        <w:t xml:space="preserve"> </w:t>
      </w:r>
      <w:r>
        <w:rPr>
          <w:spacing w:val="-4"/>
          <w:lang w:val="vi-VN"/>
        </w:rPr>
        <w:t xml:space="preserve">giữa</w:t>
      </w:r>
      <w:r>
        <w:rPr>
          <w:spacing w:val="-4"/>
          <w:lang w:val="vi-VN"/>
        </w:rPr>
        <w:t xml:space="preserve"> </w:t>
      </w:r>
      <w:r>
        <w:rPr>
          <w:color w:val="000000" w:themeColor="text1"/>
          <w:spacing w:val="-4"/>
        </w:rPr>
        <w:t xml:space="preserve">CÔNG TY CỔ PHẦN XUẤT NHẬP KHẨU SẢN XUẤT VÀ THƯƠNG MẠI THÉP THÀNH PHÁT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275/2026/0692/VFI-BC.53.A</w:t>
      </w:r>
      <w:r>
        <w:rPr>
          <w:spacing w:val="-2"/>
          <w:lang w:val="pt-BR"/>
        </w:rPr>
        <w:t xml:space="preserve"> </w:t>
      </w:r>
      <w:r>
        <w:rPr>
          <w:spacing w:val="-2"/>
          <w:lang w:val="pt-BR"/>
        </w:rPr>
        <w:t xml:space="preserve">ngày 07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line="276" w:lineRule="auto"/>
              <w:ind/>
              <w:jc w:val="both"/>
              <w:rPr>
                <w:rFonts w:ascii="Times New Roman" w:hAnsi="Times New Roman" w:cs="Times New Roman"/>
                <w:b/>
                <w:bCs/>
                <w:sz w:val="26"/>
                <w:szCs w:val="26"/>
              </w:rPr>
            </w:pPr>
            <w:r>
              <w:rPr>
                <w:b/>
                <w:bCs/>
              </w:rPr>
            </w:r>
            <w:r>
              <w:rPr>
                <w:rFonts w:ascii="Times New Roman" w:hAnsi="Times New Roman" w:eastAsia="Times New Roman" w:cs="Times New Roman"/>
                <w:b/>
                <w:bCs/>
                <w:color w:val="081b3a"/>
                <w:spacing w:val="3"/>
                <w:sz w:val="24"/>
                <w:szCs w:val="24"/>
                <w:highlight w:val="white"/>
              </w:rPr>
              <w:t xml:space="preserve">CÔNG TY CỔ PHẦN XUẤT NHẬP KHẨU SẢN XUẤT VÀ THƯƠNG MẠI THÉP THÀNH PHÁT</w:t>
            </w:r>
            <w:r>
              <w:rPr>
                <w:rFonts w:ascii="Times New Roman" w:hAnsi="Times New Roman" w:cs="Times New Roman"/>
                <w:b/>
                <w:bCs/>
                <w:sz w:val="26"/>
                <w:szCs w:val="26"/>
              </w:rPr>
            </w:r>
            <w:r>
              <w:rPr>
                <w:rFonts w:ascii="Times New Roman" w:hAnsi="Times New Roman" w:cs="Times New Roman"/>
                <w:b/>
                <w:bCs/>
                <w:sz w:val="26"/>
                <w:szCs w:val="26"/>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r>
            <w:r>
              <w:rPr>
                <w:color w:val="000000" w:themeColor="text1"/>
                <w:lang w:val="vi-VN"/>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pPr>
            <w:r>
              <w:rPr>
                <w:color w:val="000000" w:themeColor="text1"/>
                <w:lang w:val="vi-VN"/>
              </w:rPr>
              <w:t xml:space="preserve">Đường 419, Thôn Vĩnh Lộc 1, xã Tây Phương, Thành phố Hà Nội</w:t>
            </w:r>
            <w:r/>
          </w:p>
        </w:tc>
      </w:tr>
      <w:tr>
        <w:trPr>
          <w:trHeight w:val="0"/>
        </w:trPr>
        <w:tc>
          <w:tcPr>
            <w:shd w:val="clear" w:color="auto" w:fill="auto"/>
            <w:tcBorders/>
            <w:tcW w:w="1109" w:type="pct"/>
            <w:vAlign w:val="center"/>
            <w:textDirection w:val="lrTb"/>
            <w:noWrap w:val="false"/>
          </w:tcPr>
          <w:p>
            <w:pPr>
              <w:pBdr/>
              <w:tabs>
                <w:tab w:val="center" w:leader="none" w:pos="948"/>
              </w:tabs>
              <w:spacing w:after="40" w:before="40" w:line="276" w:lineRule="auto"/>
              <w:ind/>
              <w:jc w:val="both"/>
              <w:rPr>
                <w:bCs/>
                <w:color w:val="000000" w:themeColor="text1"/>
                <w:lang w:val="pt-BR"/>
              </w:rPr>
            </w:pPr>
            <w:r>
              <w:rPr>
                <w:bCs/>
                <w:color w:val="000000" w:themeColor="text1"/>
                <w:lang w:val="pt-BR"/>
              </w:rPr>
            </w:r>
            <w:r>
              <w:rPr>
                <w:color w:val="000000" w:themeColor="text1"/>
                <w:lang w:val="vi-VN"/>
              </w:rPr>
              <w:t xml:space="preserve">Mã số thuế</w:t>
            </w:r>
            <w:r>
              <w:rPr>
                <w:bCs/>
                <w:color w:val="000000" w:themeColor="text1"/>
                <w:lang w:val="pt-BR"/>
              </w:rPr>
              <w:tab/>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lang w:val="vi-VN"/>
              </w:rPr>
              <w:t xml:space="preserve">0109946684</w:t>
            </w:r>
            <w:r>
              <w:rPr>
                <w:color w:val="ff0000"/>
                <w:lang w:val="pt-BR"/>
              </w:rPr>
            </w:r>
            <w:r>
              <w:rPr>
                <w:color w:val="ff0000"/>
                <w:lang w:val="pt-BR"/>
              </w:rPr>
            </w:r>
          </w:p>
        </w:tc>
      </w:tr>
      <w:tr>
        <w:trPr>
          <w:trHeight w:val="20"/>
        </w:trPr>
        <w:tc>
          <w:tcPr>
            <w:shd w:val="clear" w:color="ffffff" w:fill="ffffff"/>
            <w:tcBorders/>
            <w:tcW w:w="1109" w:type="pct"/>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r>
            <w:r>
              <w:rPr>
                <w:color w:val="000000" w:themeColor="text1"/>
                <w:lang w:val="vi-VN"/>
              </w:rPr>
              <w:t xml:space="preserve">Điện thoạ</w:t>
            </w:r>
            <w:r>
              <w:rPr>
                <w:bCs/>
                <w:color w:val="000000" w:themeColor="text1"/>
                <w:lang w:val="pt-BR"/>
              </w:rPr>
              <w:t xml:space="preserve">i</w:t>
            </w:r>
            <w:r>
              <w:rPr>
                <w:bCs/>
                <w:color w:val="000000" w:themeColor="text1"/>
                <w:lang w:val="pt-BR"/>
              </w:rPr>
            </w:r>
            <w:r>
              <w:rPr>
                <w:bCs/>
                <w:color w:val="000000" w:themeColor="text1"/>
                <w:lang w:val="pt-BR"/>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3643" w:type="pct"/>
            <w:vAlign w:val="center"/>
            <w:vMerge w:val="restart"/>
            <w:textDirection w:val="lrTb"/>
            <w:noWrap w:val="false"/>
          </w:tcPr>
          <w:p>
            <w:pPr>
              <w:pBdr/>
              <w:spacing w:after="40" w:before="40" w:line="276" w:lineRule="auto"/>
              <w:ind/>
              <w:jc w:val="both"/>
              <w:rPr>
                <w:color w:val="000000" w:themeColor="text1"/>
                <w:lang w:val="vi-VN"/>
              </w:rPr>
            </w:pPr>
            <w:r>
              <w:rPr>
                <w:color w:val="000000" w:themeColor="text1"/>
                <w:lang w:val="vi-VN"/>
              </w:rPr>
            </w:r>
            <w:r>
              <w:rPr>
                <w:color w:val="000000" w:themeColor="text1"/>
                <w:lang w:val="vi-VN"/>
              </w:rPr>
              <w:t xml:space="preserve">0986248263 </w:t>
            </w:r>
            <w:r>
              <w:rPr>
                <w:color w:val="000000" w:themeColor="text1"/>
                <w:lang w:val="vi-VN"/>
              </w:rPr>
            </w:r>
            <w:r>
              <w:rPr>
                <w:color w:val="000000" w:themeColor="text1"/>
                <w:lang w:val="vi-VN"/>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r>
            <w:r>
              <w:rPr>
                <w:color w:val="000000" w:themeColor="text1"/>
                <w:lang w:val="vi-VN"/>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
                <w:bCs/>
                <w:color w:val="000000" w:themeColor="text1"/>
              </w:rPr>
            </w:pPr>
            <w:r>
              <w:rPr>
                <w:b/>
                <w:bCs/>
                <w:color w:val="000000"/>
                <w:lang w:val="pt-BR"/>
              </w:rPr>
              <w:t xml:space="preserve">:</w:t>
            </w:r>
            <w:r>
              <w:rPr>
                <w:b/>
                <w:bCs/>
                <w:color w:val="000000" w:themeColor="text1"/>
              </w:rPr>
            </w:r>
            <w:r>
              <w:rPr>
                <w:b/>
                <w:bCs/>
                <w:color w:val="000000" w:themeColor="text1"/>
              </w:rPr>
            </w:r>
          </w:p>
        </w:tc>
        <w:tc>
          <w:tcPr>
            <w:tcBorders/>
            <w:tcW w:w="3643" w:type="pct"/>
            <w:vAlign w:val="center"/>
            <w:textDirection w:val="lrTb"/>
            <w:noWrap w:val="false"/>
          </w:tcPr>
          <w:p>
            <w:pPr>
              <w:pBdr/>
              <w:spacing w:after="40" w:before="40" w:line="276" w:lineRule="auto"/>
              <w:ind/>
              <w:jc w:val="both"/>
              <w:rPr>
                <w:b/>
                <w:bCs/>
                <w:color w:val="ff0000"/>
              </w:rPr>
            </w:pPr>
            <w:r>
              <w:rPr>
                <w:b/>
                <w:bCs/>
                <w:color w:val="000000" w:themeColor="text1"/>
                <w:lang w:val="vi-VN"/>
              </w:rPr>
            </w:r>
            <w:r>
              <w:rPr>
                <w:b/>
                <w:bCs/>
                <w:color w:val="000000" w:themeColor="text1"/>
                <w:lang w:val="vi-VN"/>
              </w:rPr>
              <w:t xml:space="preserve">Đỗ Thị Thanh Tuyền         Chức vụ: Giám đốc </w:t>
            </w:r>
            <w:r>
              <w:rPr>
                <w:b/>
                <w:bCs/>
                <w:color w:val="ff0000"/>
              </w:rPr>
            </w:r>
            <w:r>
              <w:rPr>
                <w:b/>
                <w:bCs/>
                <w:color w:val="ff0000"/>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0" w:before="0" w:line="312" w:lineRule="auto"/>
        <w:ind/>
        <w:jc w:val="both"/>
        <w:rPr>
          <w:rFonts w:ascii="Times New Roman" w:hAnsi="Times New Roman" w:eastAsia="Times New Roman" w:cs="Times New Roman"/>
          <w:b w:val="0"/>
          <w:bCs w:val="0"/>
          <w:color w:val="000000"/>
          <w:sz w:val="24"/>
          <w:szCs w:val="24"/>
          <w:highlight w:val="none"/>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562, tờ bản đồ số 20 có địa chỉ: Lô đất số 14, Khu dịch vụ Nhà ở Cụm công nghiệp Phùng Xá, xã Phùng Xá, huyện Thạch Thất, Thành phố Hà Nội ( Nay là xã Tây Phương, Thành phố Hà Nội) theo Giấy chứng nhận quyền sử dụng đất, </w:t>
      </w:r>
      <w:r>
        <w:rPr>
          <w:rFonts w:ascii="Times New Roman" w:hAnsi="Times New Roman" w:eastAsia="Times New Roman" w:cs="Times New Roman"/>
          <w:b w:val="0"/>
          <w:bCs w:val="0"/>
          <w:color w:val="000000"/>
          <w:sz w:val="24"/>
        </w:rPr>
        <w:t xml:space="preserve">quyền sở hữu nhà ở và tài sản khác gắn liền với đất  số: DH 680382, số vào sổ cấp GCN: CS-TTH 28334 do Sở Tài nguyên và Môi trường Thành phố Hà Nội  cấp ngày 19/12/2022; Chủ sử dụng đất là Ông Nguyễn Đình Hợp và Bà Đỗ Thị Thanh Tuyền (cập nhật ngày 15/5/20</w:t>
      </w:r>
      <w:r>
        <w:rPr>
          <w:rFonts w:ascii="Times New Roman" w:hAnsi="Times New Roman" w:eastAsia="Times New Roman" w:cs="Times New Roman"/>
          <w:b w:val="0"/>
          <w:bCs w:val="0"/>
          <w:color w:val="000000"/>
          <w:sz w:val="24"/>
        </w:rPr>
        <w:t xml:space="preserve">25)</w:t>
      </w:r>
      <w:r>
        <w:rPr>
          <w:rFonts w:ascii="Times New Roman" w:hAnsi="Times New Roman" w:eastAsia="Times New Roman" w:cs="Times New Roman"/>
          <w:sz w:val="24"/>
        </w:rPr>
      </w:r>
      <w:r>
        <w:rPr>
          <w:rFonts w:ascii="Times New Roman" w:hAnsi="Times New Roman" w:eastAsia="Times New Roman" w:cs="Times New Roman"/>
          <w:b w:val="0"/>
          <w:bCs w:val="0"/>
          <w:color w:val="000000"/>
          <w:sz w:val="24"/>
          <w:szCs w:val="24"/>
          <w:highlight w:val="none"/>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044"/>
        <w:gridCol w:w="1559"/>
        <w:gridCol w:w="1805"/>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4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0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79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b/>
                <w:bCs/>
                <w:sz w:val="24"/>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t xml:space="preserve">Quyền sử dụng đất tại thửa đất số: 562, tờ bản đồ số 20 có địa chỉ: Lô đất số 14, Khu dịch vụ Nhà ở Cụm công nghiệp Phùng Xá, xã Phùng Xá, huyện Thạch Thất, Thành phố Hà Nội (Nay là xã Tây Phương, Thành phố Hà Nội) theo Giấy chứng nhận quyền sử dụng đất, </w:t>
            </w:r>
            <w:r>
              <w:rPr>
                <w:rFonts w:ascii="Times New Roman" w:hAnsi="Times New Roman" w:eastAsia="Times New Roman" w:cs="Times New Roman"/>
                <w:b/>
                <w:bCs/>
                <w:color w:val="000000"/>
                <w:sz w:val="24"/>
              </w:rPr>
              <w:t xml:space="preserve">quyền sở hữu nhà ở và tài sản khác gắn liền với đất  số: DH 680382, số vào sổ cấp GCN: CS-TTH 28334 do Sở Tài nguyên và Môi trường Thành phố Hà Nội  cấp ngày 19/12/2022; Chủ sử dụng đất là Ông Nguyễn Đình Hợp và Bà Đỗ Thị Thanh Tuyền (cập nhật ngày 15/5/20</w:t>
            </w:r>
            <w:r>
              <w:rPr>
                <w:rFonts w:ascii="Times New Roman" w:hAnsi="Times New Roman" w:eastAsia="Times New Roman" w:cs="Times New Roman"/>
                <w:b/>
                <w:bCs/>
                <w:color w:val="000000"/>
                <w:sz w:val="24"/>
              </w:rPr>
              <w:t xml:space="preserve">25)</w:t>
            </w:r>
            <w:r>
              <w:rPr>
                <w:rFonts w:ascii="Times New Roman" w:hAnsi="Times New Roman" w:eastAsia="Times New Roman" w:cs="Times New Roman"/>
                <w:b/>
                <w:bCs/>
                <w:sz w:val="24"/>
              </w:rPr>
            </w:r>
            <w:r>
              <w:rPr>
                <w:rFonts w:ascii="Times New Roman" w:hAnsi="Times New Roman" w:eastAsia="Times New Roman" w:cs="Times New Roman"/>
                <w:b/>
                <w:bCs/>
                <w:sz w:val="24"/>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044" w:type="dxa"/>
            <w:vAlign w:val="center"/>
            <w:textDirection w:val="lrTb"/>
            <w:noWrap w:val="false"/>
          </w:tcPr>
          <w:p>
            <w:pPr>
              <w:pBdr/>
              <w:spacing w:after="40" w:before="40" w:line="288" w:lineRule="auto"/>
              <w:ind/>
              <w:rPr>
                <w:b w:val="0"/>
                <w:bCs w:val="0"/>
              </w:rPr>
            </w:pPr>
            <w:r>
              <w:rPr>
                <w:b w:val="0"/>
                <w:bCs w:val="0"/>
              </w:rPr>
              <w:t xml:space="preserve">Quyền sử dụng đất cơ sở sản xuất phi nông nghiệp</w:t>
            </w:r>
            <w:r>
              <w:rPr>
                <w:b w:val="0"/>
                <w:bCs w:val="0"/>
              </w:rPr>
            </w:r>
            <w:r>
              <w:rPr>
                <w:b w:val="0"/>
                <w:bCs w:val="0"/>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142,6</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100.000.000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14.260.000.000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14.260.000.000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bốn tỷ, hai trăm sáu mươi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Ind w:w="-114" w:type="dxa"/>
        <w:tblW w:w="5134" w:type="pct"/>
        <w:tblBorders/>
        <w:tblLayout w:type="fixed"/>
        <w:tblLook w:val="01E0" w:firstRow="1" w:lastRow="1" w:firstColumn="1" w:lastColumn="1" w:noHBand="0" w:noVBand="0"/>
      </w:tblPr>
      <w:tblGrid>
        <w:gridCol w:w="4677"/>
        <w:gridCol w:w="5102"/>
      </w:tblGrid>
      <w:tr>
        <w:trPr>
          <w:trHeight w:val="20"/>
        </w:trPr>
        <w:tc>
          <w:tcPr>
            <w:tcBorders/>
            <w:tcW w:w="467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114" w:type="dxa"/>
        <w:tblBorders/>
        <w:tblLayout w:type="fixed"/>
        <w:tblLook w:val="04A0" w:firstRow="1" w:lastRow="0" w:firstColumn="1" w:lastColumn="0" w:noHBand="0" w:noVBand="1"/>
      </w:tblPr>
      <w:tblGrid>
        <w:gridCol w:w="600"/>
        <w:gridCol w:w="1129"/>
        <w:gridCol w:w="8385"/>
      </w:tblGrid>
      <w:tr>
        <w:trPr>
          <w:trHeight w:val="1443"/>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38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554"/>
        </w:trPr>
        <w:tc>
          <w:tcPr>
            <w:gridSpan w:val="2"/>
            <w:shd w:val="clear" w:color="auto" w:fill="auto"/>
            <w:tcBorders/>
            <w:tcMar>
              <w:left w:w="108" w:type="dxa"/>
              <w:top w:w="0" w:type="dxa"/>
              <w:right w:w="108" w:type="dxa"/>
              <w:bottom w:w="0" w:type="dxa"/>
            </w:tcMar>
            <w:tcW w:w="9514"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275/2026/0692/VFI-BC.53.A                               </w:t>
            </w: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07 tháng 5 năm 2026</w:t>
            </w:r>
            <w:r>
              <w:rPr>
                <w:color w:val="000000" w:themeColor="text1"/>
                <w:sz w:val="24"/>
                <w:szCs w:val="24"/>
              </w:rPr>
            </w:r>
            <w:r>
              <w:rPr>
                <w:color w:val="000000" w:themeColor="text1"/>
                <w:sz w:val="24"/>
                <w:szCs w:val="24"/>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275/2026/0692/VFI-CT.53.A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07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color w:val="auto"/>
        </w:rPr>
      </w:pPr>
      <w:r>
        <w:rPr>
          <w:b/>
          <w:bCs/>
          <w:lang w:val="pt-BR"/>
        </w:rPr>
        <w:t xml:space="preserve">1</w:t>
      </w:r>
      <w:r>
        <w:rPr>
          <w:b/>
          <w:bCs/>
          <w:lang w:val="pt-BR"/>
        </w:rPr>
        <w:t xml:space="preserve">. Thông tin cơ bả</w:t>
      </w:r>
      <w:r>
        <w:rPr>
          <w:b/>
          <w:bCs/>
          <w:color w:val="auto"/>
          <w:lang w:val="pt-BR"/>
        </w:rPr>
        <w:t xml:space="preserve">n về cuộc thẩm định giá:</w:t>
      </w:r>
      <w:r>
        <w:rPr>
          <w:b/>
          <w:bCs/>
          <w:color w:val="auto"/>
        </w:rPr>
      </w:r>
      <w:r>
        <w:rPr>
          <w:b/>
          <w:bCs/>
          <w:color w:val="auto"/>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auto"/>
              </w:rPr>
            </w:pPr>
            <w:r>
              <w:rPr>
                <w:bCs/>
                <w:color w:val="auto"/>
                <w:lang w:val="pt-BR"/>
              </w:rPr>
              <w:t xml:space="preserve">Tên khách hàng</w:t>
            </w:r>
            <w:r>
              <w:rPr>
                <w:bCs/>
                <w:color w:val="auto"/>
              </w:rPr>
            </w:r>
            <w:r>
              <w:rPr>
                <w:bCs/>
                <w:color w:val="auto"/>
              </w:rPr>
            </w:r>
          </w:p>
        </w:tc>
        <w:tc>
          <w:tcPr>
            <w:tcBorders/>
            <w:tcW w:w="284" w:type="dxa"/>
            <w:vAlign w:val="center"/>
            <w:textDirection w:val="lrTb"/>
            <w:noWrap w:val="false"/>
          </w:tcPr>
          <w:p>
            <w:pPr>
              <w:pBdr/>
              <w:spacing w:after="40" w:before="40" w:line="276" w:lineRule="auto"/>
              <w:ind/>
              <w:jc w:val="center"/>
              <w:rPr>
                <w:bCs/>
                <w:color w:val="auto"/>
              </w:rPr>
            </w:pPr>
            <w:r>
              <w:rPr>
                <w:bCs/>
                <w:color w:val="auto"/>
                <w:lang w:val="pt-BR"/>
              </w:rPr>
              <w:t xml:space="preserve">:</w:t>
            </w:r>
            <w:r>
              <w:rPr>
                <w:bCs/>
                <w:color w:val="auto"/>
              </w:rPr>
            </w:r>
            <w:r>
              <w:rPr>
                <w:bCs/>
                <w:color w:val="auto"/>
              </w:rPr>
            </w:r>
          </w:p>
        </w:tc>
        <w:tc>
          <w:tcPr>
            <w:tcBorders/>
            <w:tcW w:w="6945" w:type="dxa"/>
            <w:vAlign w:val="center"/>
            <w:textDirection w:val="lrTb"/>
            <w:noWrap w:val="false"/>
          </w:tcPr>
          <w:p>
            <w:pPr>
              <w:pBdr/>
              <w:spacing w:line="276" w:lineRule="auto"/>
              <w:ind/>
              <w:jc w:val="left"/>
              <w:rPr>
                <w:rFonts w:ascii="Times New Roman" w:hAnsi="Times New Roman" w:cs="Times New Roman"/>
                <w:b/>
                <w:bCs/>
                <w:color w:val="auto"/>
                <w:sz w:val="26"/>
                <w:szCs w:val="26"/>
              </w:rPr>
            </w:pPr>
            <w:r>
              <w:rPr>
                <w:b/>
                <w:bCs/>
                <w:color w:val="auto"/>
              </w:rPr>
            </w:r>
            <w:r>
              <w:rPr>
                <w:rFonts w:ascii="Times New Roman" w:hAnsi="Times New Roman" w:eastAsia="Times New Roman" w:cs="Times New Roman"/>
                <w:b/>
                <w:bCs/>
                <w:color w:val="auto"/>
                <w:spacing w:val="3"/>
                <w:sz w:val="24"/>
                <w:szCs w:val="24"/>
                <w:highlight w:val="white"/>
              </w:rPr>
              <w:t xml:space="preserve">CÔNG TY CỔ PHẦN XUẤT NHẬP KHẨU SẢN XUẤT VÀ THƯƠNG MẠI THÉP THÀNH PHÁT</w:t>
            </w:r>
            <w:r>
              <w:rPr>
                <w:rFonts w:ascii="Times New Roman" w:hAnsi="Times New Roman" w:cs="Times New Roman"/>
                <w:b/>
                <w:bCs/>
                <w:color w:val="auto"/>
                <w:sz w:val="26"/>
                <w:szCs w:val="26"/>
              </w:rPr>
            </w:r>
            <w:r>
              <w:rPr>
                <w:rFonts w:ascii="Times New Roman" w:hAnsi="Times New Roman" w:cs="Times New Roman"/>
                <w:b/>
                <w:bCs/>
                <w:color w:val="auto"/>
                <w:sz w:val="26"/>
                <w:szCs w:val="26"/>
              </w:rPr>
            </w:r>
          </w:p>
        </w:tc>
      </w:tr>
      <w:tr>
        <w:trPr>
          <w:trHeight w:val="20"/>
        </w:trPr>
        <w:tc>
          <w:tcPr>
            <w:tcBorders/>
            <w:tcW w:w="2518" w:type="dxa"/>
            <w:vAlign w:val="center"/>
            <w:textDirection w:val="lrTb"/>
            <w:noWrap w:val="false"/>
          </w:tcPr>
          <w:p>
            <w:pPr>
              <w:pBdr/>
              <w:spacing w:after="40" w:before="40" w:line="276" w:lineRule="auto"/>
              <w:ind/>
              <w:jc w:val="both"/>
              <w:rPr>
                <w:bCs/>
                <w:color w:val="auto"/>
              </w:rPr>
            </w:pPr>
            <w:r>
              <w:rPr>
                <w:bCs/>
                <w:color w:val="auto"/>
                <w:lang w:val="pt-BR"/>
              </w:rPr>
            </w:r>
            <w:r>
              <w:rPr>
                <w:color w:val="auto"/>
                <w:lang w:val="vi-VN"/>
              </w:rPr>
              <w:t xml:space="preserve">Địa chỉ</w:t>
            </w:r>
            <w:r>
              <w:rPr>
                <w:bCs/>
                <w:color w:val="auto"/>
              </w:rPr>
            </w:r>
            <w:r>
              <w:rPr>
                <w:bCs/>
                <w:color w:val="auto"/>
              </w:rPr>
            </w:r>
          </w:p>
        </w:tc>
        <w:tc>
          <w:tcPr>
            <w:tcBorders/>
            <w:tcW w:w="284" w:type="dxa"/>
            <w:vAlign w:val="center"/>
            <w:textDirection w:val="lrTb"/>
            <w:noWrap w:val="false"/>
          </w:tcPr>
          <w:p>
            <w:pPr>
              <w:pBdr/>
              <w:spacing w:after="40" w:before="40" w:line="276" w:lineRule="auto"/>
              <w:ind/>
              <w:jc w:val="center"/>
              <w:rPr>
                <w:bCs/>
                <w:color w:val="auto"/>
              </w:rPr>
            </w:pPr>
            <w:r>
              <w:rPr>
                <w:bCs/>
                <w:color w:val="auto"/>
                <w:lang w:val="pt-BR"/>
              </w:rPr>
              <w:t xml:space="preserve">:</w:t>
            </w:r>
            <w:r>
              <w:rPr>
                <w:bCs/>
                <w:color w:val="auto"/>
              </w:rPr>
            </w:r>
            <w:r>
              <w:rPr>
                <w:bCs/>
                <w:color w:val="auto"/>
              </w:rPr>
            </w:r>
          </w:p>
        </w:tc>
        <w:tc>
          <w:tcPr>
            <w:tcBorders/>
            <w:tcW w:w="6945" w:type="dxa"/>
            <w:vAlign w:val="center"/>
            <w:textDirection w:val="lrTb"/>
            <w:noWrap w:val="false"/>
          </w:tcPr>
          <w:p>
            <w:pPr>
              <w:pBdr/>
              <w:spacing w:after="40" w:before="40" w:line="276" w:lineRule="auto"/>
              <w:ind/>
              <w:jc w:val="both"/>
              <w:rPr>
                <w:color w:val="auto"/>
              </w:rPr>
            </w:pPr>
            <w:r>
              <w:rPr>
                <w:color w:val="auto"/>
                <w:lang w:val="vi-VN"/>
              </w:rPr>
              <w:t xml:space="preserve">Đường 419, Thôn Vĩnh Lộc 1, xã Tây Phương, Thành phố Hà Nội</w:t>
            </w:r>
            <w:r>
              <w:rPr>
                <w:color w:val="auto"/>
              </w:rPr>
            </w:r>
            <w:r>
              <w:rPr>
                <w:color w:val="auto"/>
              </w:rPr>
            </w:r>
          </w:p>
        </w:tc>
      </w:tr>
      <w:tr>
        <w:trPr>
          <w:trHeight w:val="20"/>
        </w:trPr>
        <w:tc>
          <w:tcPr>
            <w:tcBorders/>
            <w:tcW w:w="2518" w:type="dxa"/>
            <w:vAlign w:val="center"/>
            <w:textDirection w:val="lrTb"/>
            <w:noWrap w:val="false"/>
          </w:tcPr>
          <w:p>
            <w:pPr>
              <w:pBdr/>
              <w:tabs>
                <w:tab w:val="center" w:leader="none" w:pos="948"/>
              </w:tabs>
              <w:spacing w:after="40" w:before="40" w:line="276" w:lineRule="auto"/>
              <w:ind/>
              <w:jc w:val="both"/>
              <w:rPr>
                <w:bCs/>
                <w:color w:val="auto"/>
              </w:rPr>
            </w:pPr>
            <w:r>
              <w:rPr>
                <w:bCs/>
                <w:color w:val="auto"/>
                <w:lang w:val="pt-BR"/>
              </w:rPr>
            </w:r>
            <w:r>
              <w:rPr>
                <w:color w:val="auto"/>
                <w:lang w:val="vi-VN"/>
              </w:rPr>
              <w:t xml:space="preserve">Mã số thuế</w:t>
            </w:r>
            <w:r>
              <w:rPr>
                <w:bCs/>
                <w:color w:val="auto"/>
                <w:lang w:val="pt-BR"/>
              </w:rPr>
              <w:tab/>
            </w:r>
            <w:r>
              <w:rPr>
                <w:bCs/>
                <w:color w:val="auto"/>
              </w:rPr>
            </w:r>
            <w:r>
              <w:rPr>
                <w:bCs/>
                <w:color w:val="auto"/>
              </w:rPr>
            </w:r>
          </w:p>
        </w:tc>
        <w:tc>
          <w:tcPr>
            <w:tcBorders/>
            <w:tcW w:w="284" w:type="dxa"/>
            <w:vAlign w:val="center"/>
            <w:textDirection w:val="lrTb"/>
            <w:noWrap w:val="false"/>
          </w:tcPr>
          <w:p>
            <w:pPr>
              <w:pBdr/>
              <w:spacing w:after="40" w:before="40" w:line="276" w:lineRule="auto"/>
              <w:ind/>
              <w:jc w:val="center"/>
              <w:rPr>
                <w:bCs/>
                <w:color w:val="auto"/>
              </w:rPr>
            </w:pPr>
            <w:r>
              <w:rPr>
                <w:bCs/>
                <w:color w:val="auto"/>
                <w:lang w:val="pt-BR"/>
              </w:rPr>
              <w:t xml:space="preserve">:</w:t>
            </w:r>
            <w:r>
              <w:rPr>
                <w:bCs/>
                <w:color w:val="auto"/>
              </w:rPr>
            </w:r>
            <w:r>
              <w:rPr>
                <w:bCs/>
                <w:color w:val="auto"/>
              </w:rPr>
            </w:r>
          </w:p>
        </w:tc>
        <w:tc>
          <w:tcPr>
            <w:tcBorders/>
            <w:tcW w:w="6945" w:type="dxa"/>
            <w:vAlign w:val="center"/>
            <w:textDirection w:val="lrTb"/>
            <w:noWrap w:val="false"/>
          </w:tcPr>
          <w:p>
            <w:pPr>
              <w:pBdr/>
              <w:spacing w:after="40" w:before="40" w:line="276" w:lineRule="auto"/>
              <w:ind/>
              <w:jc w:val="both"/>
              <w:rPr>
                <w:color w:val="auto"/>
              </w:rPr>
            </w:pPr>
            <w:r>
              <w:rPr>
                <w:color w:val="auto"/>
                <w:lang w:val="vi-VN"/>
              </w:rPr>
            </w:r>
            <w:r>
              <w:rPr>
                <w:color w:val="auto"/>
                <w:lang w:val="vi-VN"/>
              </w:rPr>
              <w:t xml:space="preserve">0109946684</w:t>
            </w:r>
            <w:r>
              <w:rPr>
                <w:color w:val="auto"/>
              </w:rPr>
            </w:r>
            <w:r>
              <w:rPr>
                <w:color w:val="auto"/>
              </w:rPr>
            </w:r>
          </w:p>
        </w:tc>
      </w:tr>
      <w:tr>
        <w:trPr>
          <w:trHeight w:val="20"/>
        </w:trPr>
        <w:tc>
          <w:tcPr>
            <w:tcBorders/>
            <w:tcW w:w="2518" w:type="dxa"/>
            <w:vAlign w:val="center"/>
            <w:vMerge w:val="restart"/>
            <w:textDirection w:val="lrTb"/>
            <w:noWrap w:val="false"/>
          </w:tcPr>
          <w:p>
            <w:pPr>
              <w:pBdr/>
              <w:spacing w:after="40" w:before="40" w:line="276" w:lineRule="auto"/>
              <w:ind/>
              <w:jc w:val="both"/>
              <w:rPr>
                <w:bCs/>
                <w:color w:val="auto"/>
              </w:rPr>
            </w:pPr>
            <w:r>
              <w:rPr>
                <w:bCs/>
                <w:color w:val="auto"/>
                <w:lang w:val="pt-BR"/>
              </w:rPr>
            </w:r>
            <w:r>
              <w:rPr>
                <w:color w:val="auto"/>
                <w:lang w:val="vi-VN"/>
              </w:rPr>
              <w:t xml:space="preserve">Điện thoạ</w:t>
            </w:r>
            <w:r>
              <w:rPr>
                <w:bCs/>
                <w:color w:val="auto"/>
                <w:lang w:val="pt-BR"/>
              </w:rPr>
              <w:t xml:space="preserve">i</w:t>
            </w:r>
            <w:r>
              <w:rPr>
                <w:bCs/>
                <w:color w:val="auto"/>
              </w:rPr>
            </w:r>
            <w:r>
              <w:rPr>
                <w:bCs/>
                <w:color w:val="auto"/>
              </w:rPr>
            </w:r>
          </w:p>
        </w:tc>
        <w:tc>
          <w:tcPr>
            <w:tcBorders/>
            <w:tcW w:w="284" w:type="dxa"/>
            <w:vAlign w:val="center"/>
            <w:vMerge w:val="restart"/>
            <w:textDirection w:val="lrTb"/>
            <w:noWrap w:val="false"/>
          </w:tcPr>
          <w:p>
            <w:pPr>
              <w:pBdr/>
              <w:spacing w:after="40" w:before="40" w:line="276" w:lineRule="auto"/>
              <w:ind/>
              <w:jc w:val="center"/>
              <w:rPr>
                <w:bCs/>
                <w:color w:val="auto"/>
              </w:rPr>
            </w:pPr>
            <w:r>
              <w:rPr>
                <w:bCs/>
                <w:color w:val="auto"/>
                <w:lang w:val="pt-BR"/>
              </w:rPr>
            </w:r>
            <w:r>
              <w:rPr>
                <w:bCs/>
                <w:color w:val="auto"/>
              </w:rPr>
            </w:r>
            <w:r>
              <w:rPr>
                <w:bCs/>
                <w:color w:val="auto"/>
              </w:rPr>
            </w:r>
          </w:p>
        </w:tc>
        <w:tc>
          <w:tcPr>
            <w:tcBorders/>
            <w:tcW w:w="6945" w:type="dxa"/>
            <w:vAlign w:val="center"/>
            <w:vMerge w:val="restart"/>
            <w:textDirection w:val="lrTb"/>
            <w:noWrap w:val="false"/>
          </w:tcPr>
          <w:p>
            <w:pPr>
              <w:pBdr/>
              <w:spacing w:after="40" w:before="40" w:line="276" w:lineRule="auto"/>
              <w:ind/>
              <w:jc w:val="both"/>
              <w:rPr>
                <w:color w:val="auto"/>
              </w:rPr>
            </w:pPr>
            <w:r>
              <w:rPr>
                <w:color w:val="auto"/>
                <w:lang w:val="vi-VN"/>
              </w:rPr>
            </w:r>
            <w:r>
              <w:rPr>
                <w:color w:val="auto"/>
                <w:lang w:val="vi-VN"/>
              </w:rPr>
              <w:t xml:space="preserve">0986248263 </w:t>
            </w:r>
            <w:r>
              <w:rPr>
                <w:color w:val="auto"/>
              </w:rPr>
            </w:r>
            <w:r>
              <w:rPr>
                <w:color w:val="auto"/>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r>
            <w:r>
              <w:rPr>
                <w:color w:val="000000" w:themeColor="text1"/>
                <w:lang w:val="vi-VN"/>
              </w:rPr>
              <w:t xml:space="preserve">Đại diện</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
                <w:bCs/>
                <w:color w:val="000000" w:themeColor="text1"/>
              </w:rPr>
            </w:pPr>
            <w:r>
              <w:rPr>
                <w:b/>
                <w:bCs/>
                <w:color w:val="000000"/>
                <w:lang w:val="pt-BR"/>
              </w:rPr>
              <w:t xml:space="preserve">:</w:t>
            </w:r>
            <w:r>
              <w:rPr>
                <w:b/>
                <w:bCs/>
                <w:color w:val="000000" w:themeColor="text1"/>
              </w:rPr>
            </w:r>
            <w:r>
              <w:rPr>
                <w:b/>
                <w:bCs/>
                <w:color w:val="000000" w:themeColor="text1"/>
              </w:rPr>
            </w:r>
          </w:p>
        </w:tc>
        <w:tc>
          <w:tcPr>
            <w:tcBorders/>
            <w:tcW w:w="6945" w:type="dxa"/>
            <w:vAlign w:val="center"/>
            <w:textDirection w:val="lrTb"/>
            <w:noWrap w:val="false"/>
          </w:tcPr>
          <w:p>
            <w:pPr>
              <w:pBdr/>
              <w:spacing w:after="40" w:before="40" w:line="276" w:lineRule="auto"/>
              <w:ind/>
              <w:jc w:val="both"/>
              <w:rPr>
                <w:b/>
                <w:bCs/>
                <w:color w:val="ff0000"/>
              </w:rPr>
            </w:pPr>
            <w:r>
              <w:rPr>
                <w:b/>
                <w:bCs/>
                <w:color w:val="000000" w:themeColor="text1"/>
                <w:lang w:val="vi-VN"/>
              </w:rPr>
            </w:r>
            <w:r>
              <w:rPr>
                <w:b/>
                <w:bCs/>
                <w:color w:val="000000" w:themeColor="text1"/>
                <w:lang w:val="vi-VN"/>
              </w:rPr>
              <w:t xml:space="preserve">Đỗ Thị Thanh Tuyền  Chức vụ: Giám đốc </w:t>
            </w:r>
            <w:r>
              <w:rPr>
                <w:b/>
                <w:bCs/>
                <w:color w:val="ff0000"/>
              </w:rPr>
            </w:r>
            <w:r>
              <w:rPr>
                <w:b/>
                <w:bCs/>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b w:val="0"/>
                <w:bCs w:val="0"/>
                <w:sz w:val="24"/>
              </w:rPr>
            </w:pP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t xml:space="preserve">Quyền sử dụng đất tại thửa đất số: 562, tờ bản đồ số 20 có địa chỉ: Lô đất số 14, Khu dịch vụ Nhà ở Cụm công nghiệp Phùng Xá, xã Phùng Xá, huyện Thạch Thất, Thành phố Hà Nội (Nay là xã Tây Phương, Thành phố Hà Nội) theo Giấy chứng nhận quyền sử dụng đất, </w:t>
            </w:r>
            <w:r>
              <w:rPr>
                <w:rFonts w:ascii="Times New Roman" w:hAnsi="Times New Roman" w:eastAsia="Times New Roman" w:cs="Times New Roman"/>
                <w:b w:val="0"/>
                <w:bCs w:val="0"/>
                <w:color w:val="000000"/>
                <w:sz w:val="24"/>
              </w:rPr>
              <w:t xml:space="preserve">quyền sở hữu nhà ở và tài sản khác gắn liền với đất  số: DH 680382, số vào sổ cấp GCN: CS-TTH 28334 do Sở Tài nguyên và Môi trường Thành phố Hà Nội  cấp ngày 19/12/2022; Chủ sử dụng đất là Ông Nguyễn Đình Hợp và Bà Đỗ Thị Thanh Tuyền (cập nhật ngày 15/5/20</w:t>
            </w:r>
            <w:r>
              <w:rPr>
                <w:rFonts w:ascii="Times New Roman" w:hAnsi="Times New Roman" w:eastAsia="Times New Roman" w:cs="Times New Roman"/>
                <w:b w:val="0"/>
                <w:bCs w:val="0"/>
                <w:color w:val="000000"/>
                <w:sz w:val="24"/>
              </w:rPr>
              <w:t xml:space="preserve">25)</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Tây Phương,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t xml:space="preserve">21.0100562371626, 105.62523861556222</w:t>
            </w:r>
            <w:r>
              <w:rPr>
                <w:rFonts w:ascii="Times New Roman" w:hAnsi="Times New Roman" w:eastAsia="Times New Roman" w:cs="Times New Roman"/>
                <w:color w:val="000000"/>
                <w:sz w:val="24"/>
              </w:rPr>
              <w:t xml:space="preserve">)</w:t>
            </w:r>
            <w:r>
              <w:tab/>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w:t>
      </w:r>
      <w:r>
        <w:rPr>
          <w:rFonts w:ascii="Times New Roman" w:hAnsi="Times New Roman" w:eastAsia="Times New Roman" w:cs="Times New Roman"/>
          <w:b w:val="0"/>
          <w:bCs w:val="0"/>
          <w:color w:val="000000"/>
          <w:sz w:val="24"/>
        </w:rPr>
        <w:t xml:space="preserve">quyền sở hữu nhà ở và tài sản khác gắn liền với đất  số: DH 680382, số vào sổ cấp GCN: CS-TTH 28334 do Sở Tài nguyên và Môi trường Thành phố Hà Nội  cấp ngày 19/12/2022; Chủ sử dụng đất là Ông Nguyễn Đình Hợp và Bà Đỗ Thị Thanh Tuyền (cập nhật ngày 15/5/20</w:t>
      </w:r>
      <w:r>
        <w:rPr>
          <w:rFonts w:ascii="Times New Roman" w:hAnsi="Times New Roman" w:eastAsia="Times New Roman" w:cs="Times New Roman"/>
          <w:b w:val="0"/>
          <w:bCs w:val="0"/>
          <w:color w:val="000000"/>
          <w:sz w:val="24"/>
        </w:rPr>
        <w:t xml:space="preserve">25)</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275/2026/0692/VFI-HĐTĐ.53.A ngày 03/5/2026 giữa CÔNG TY CỔ PHẦN XUẤT NHẬP KHẨU SẢN XUẤT VÀ THƯƠNG MẠI THÉP THÀNH PHÁT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eastAsia="Times New Roman" w:cs="Times New Roman"/>
          <w:color w:val="000000"/>
          <w:sz w:val="24"/>
          <w:szCs w:val="24"/>
          <w:highlight w:val="white"/>
        </w:rPr>
      </w:pPr>
      <w:r>
        <w:rPr>
          <w:lang w:val="pt-BR"/>
        </w:rPr>
        <w:tab/>
      </w:r>
      <w:r>
        <w:rPr>
          <w:rFonts w:ascii="Times New Roman" w:hAnsi="Times New Roman" w:eastAsia="Times New Roman" w:cs="Times New Roman"/>
          <w:color w:val="000000"/>
          <w:sz w:val="24"/>
          <w:highlight w:val="white"/>
        </w:rPr>
        <w:t xml:space="preserve">Sau khi Hà Nội triển khai việc sắp xếp lại các đơn vị hành chính, huyện Thạch Thất bước vào giai đoạn chuyển mình mạnh mẽ với việc hợp nhất và điều chỉnh địa giới hành chính, hình thành 5 đơn vị hành chính cấp cơ sở mới gồm Thạch Thất, Hạ Bằng, Tây Phương,</w:t>
      </w:r>
      <w:r>
        <w:rPr>
          <w:rFonts w:ascii="Times New Roman" w:hAnsi="Times New Roman" w:eastAsia="Times New Roman" w:cs="Times New Roman"/>
          <w:color w:val="000000"/>
          <w:sz w:val="24"/>
          <w:highlight w:val="white"/>
        </w:rPr>
        <w:t xml:space="preserve"> Hòa Lạc và Yên Xuân. Mỗi đơn vị đều có diện tích từ 30 km² trở lên và dân số vượt 40.000 người, trong đó đơn vị lớn nhất là Yên Xuân với khoảng 70,25 km² và 92.333 dân. Việc tái cấu trúc này giúp tinh gọn bộ máy, tăng hiệu quả quản lý, đồng thời mở rộng k</w:t>
      </w:r>
      <w:r>
        <w:rPr>
          <w:rFonts w:ascii="Times New Roman" w:hAnsi="Times New Roman" w:eastAsia="Times New Roman" w:cs="Times New Roman"/>
          <w:color w:val="000000"/>
          <w:sz w:val="24"/>
          <w:highlight w:val="white"/>
        </w:rPr>
        <w:t xml:space="preserve">hông gian phát triển khi Thạch Thất được kết nối chặt chẽ hơn với các khu vực lân cận như Quốc Oai, Sơn Tây và Hòa Lạc. Đây là bước đi quan trọng, không chỉ nhằm đồng bộ hóa quy hoạch đô thị mà còn tạo nền tảng cho việc phát triển kinh tế – xã hội bền vững</w:t>
      </w:r>
      <w:r>
        <w:rPr>
          <w:rFonts w:ascii="Times New Roman" w:hAnsi="Times New Roman" w:eastAsia="Times New Roman" w:cs="Times New Roman"/>
          <w:color w:val="000000"/>
          <w:sz w:val="24"/>
          <w:highlight w:val="white"/>
        </w:rPr>
        <w:t xml:space="preserve">. Tuy nhiên, sự thay đổi này cũng kéo theo nhiều thách thức: các xã vốn có điều kiện hạ tầng và mức phát triển khác nhau, nay cần sự đầu tư đồng đều để tránh tình trạng phát triển lệch vùng. Việc quản lý hành chính và phân bổ nguồn lực cũng đòi hỏi sự điều</w:t>
      </w:r>
      <w:r>
        <w:rPr>
          <w:rFonts w:ascii="Times New Roman" w:hAnsi="Times New Roman" w:eastAsia="Times New Roman" w:cs="Times New Roman"/>
          <w:color w:val="000000"/>
          <w:sz w:val="24"/>
          <w:highlight w:val="white"/>
        </w:rPr>
        <w:t xml:space="preserve"> phối chặt chẽ, tầm nhìn chiến lược và năng lực quản trị địa phương vững vàng.</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   Theo định hướng quy hoạch mới đến năm 2030, Thạch Thất đặt mục tiêu chuyển dịch cơ cấu từ nông nghiệp sang đô thị – công nghiệp – dịch vụ, phát triển các khu đô thị mới, khu </w:t>
      </w:r>
      <w:r>
        <w:rPr>
          <w:rFonts w:ascii="Times New Roman" w:hAnsi="Times New Roman" w:eastAsia="Times New Roman" w:cs="Times New Roman"/>
          <w:color w:val="000000"/>
          <w:sz w:val="24"/>
          <w:highlight w:val="white"/>
        </w:rPr>
        <w:t xml:space="preserve">công nghệ cao và trung tâm thương mại. Thị trấn Liên Quan được xác định là trung tâm hành chính – kinh tế – thương mại, trong khi Hòa Lạc tiếp tục giữ vai trò trung tâm khoa học – công nghệ theo mô hình đô thị nén, hiện đại. Hạ tầng giao thông được đầu tư </w:t>
      </w:r>
      <w:r>
        <w:rPr>
          <w:rFonts w:ascii="Times New Roman" w:hAnsi="Times New Roman" w:eastAsia="Times New Roman" w:cs="Times New Roman"/>
          <w:color w:val="000000"/>
          <w:sz w:val="24"/>
          <w:highlight w:val="white"/>
        </w:rPr>
        <w:t xml:space="preserve">mạnh mẽ: mở rộng quốc lộ 21, nâng cấp quốc lộ 32 lên 6 làn, quy hoạch tuyến Hồ Tây – Ba Vì thành 8 làn xe, cùng với đó là tuyến đường sắt đô thị, hệ thống BRT và minibus.</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   Những công trình này sẽ kết nối Thạch Thất với trung tâm Hà Nội và các đô thị vệ t</w:t>
      </w:r>
      <w:r>
        <w:rPr>
          <w:rFonts w:ascii="Times New Roman" w:hAnsi="Times New Roman" w:eastAsia="Times New Roman" w:cs="Times New Roman"/>
          <w:color w:val="000000"/>
          <w:sz w:val="24"/>
          <w:highlight w:val="white"/>
        </w:rPr>
        <w:t xml:space="preserve">inh khác, tạo động lực phát triển mạnh mẽ cho toàn khu vực. Hiệu ứng quy hoạch đã nhanh chóng lan tỏa đến thị trường bất động sản, giá đất tăng trung bình 15-20% trong năm 2025, đặc biệt tại các khu vực gần Khu công nghệ cao Hòa Lạc như Bình Yên, Cần Kiệm,</w:t>
      </w:r>
      <w:r>
        <w:rPr>
          <w:rFonts w:ascii="Times New Roman" w:hAnsi="Times New Roman" w:eastAsia="Times New Roman" w:cs="Times New Roman"/>
          <w:color w:val="000000"/>
          <w:sz w:val="24"/>
          <w:highlight w:val="white"/>
        </w:rPr>
        <w:t xml:space="preserve"> Thạch Hòa. Tuy nhiên, sự tăng giá nhanh cũng tiềm ẩn rủi ro sốt đất ảo nếu hạ tầng triển khai chậm hoặc quản lý lỏng lẻo. Do đó, nhà đầu tư cần chú trọng pháp lý dự án, tiến độ thực tế và định hướng quy hoạch dài hạn. Về lâu dài, Thạch Thất có tiềm năng t</w:t>
      </w:r>
      <w:r>
        <w:rPr>
          <w:rFonts w:ascii="Times New Roman" w:hAnsi="Times New Roman" w:eastAsia="Times New Roman" w:cs="Times New Roman"/>
          <w:color w:val="000000"/>
          <w:sz w:val="24"/>
          <w:highlight w:val="white"/>
        </w:rPr>
        <w:t xml:space="preserve">rở thành đô thị vệ tinh năng động của Hà Nội, cân bằng giữa phát triển hiện đại và bảo tồn bản sắc – nơi hội tụ hài hòa giữa khoa học, công nghệ, văn hóa và không gian sống xanh bền vững.</w:t>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u w:val="none"/>
        </w:rPr>
      </w:pPr>
      <w:r>
        <w:rPr>
          <w:rFonts w:ascii="Times New Roman" w:hAnsi="Times New Roman" w:eastAsia="Times New Roman" w:cs="Times New Roman"/>
          <w:color w:val="000000"/>
          <w:sz w:val="24"/>
          <w:highlight w:val="white"/>
          <w:u w:val="none"/>
        </w:rPr>
        <w:t xml:space="preserve">   </w:t>
      </w:r>
      <w:r>
        <w:rPr>
          <w:rFonts w:ascii="Times New Roman" w:hAnsi="Times New Roman" w:eastAsia="Times New Roman" w:cs="Times New Roman"/>
          <w:i/>
          <w:color w:val="000000"/>
          <w:sz w:val="24"/>
          <w:highlight w:val="white"/>
          <w:u w:val="none"/>
        </w:rPr>
        <w:t xml:space="preserve">(Nguồn</w:t>
      </w:r>
      <w:r>
        <w:rPr>
          <w:rFonts w:ascii="Times New Roman" w:hAnsi="Times New Roman" w:eastAsia="Times New Roman" w:cs="Times New Roman"/>
          <w:i/>
          <w:color w:val="000000"/>
          <w:sz w:val="24"/>
          <w:highlight w:val="white"/>
          <w:u w:val="none"/>
        </w:rPr>
        <w:t xml:space="preserve">:https://onehousing.vn/blog/quy-hoach-huyen-thach-that-ha-noi-sau-khi-sap-xep-lai-don-vi-hanh-chinh-n17t)</w:t>
      </w:r>
      <w:r>
        <w:rPr>
          <w:u w:val="none"/>
        </w:rPr>
      </w:r>
      <w:r>
        <w:rPr>
          <w:u w:val="none"/>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221"/>
        <w:gridCol w:w="1992"/>
        <w:gridCol w:w="2380"/>
        <w:gridCol w:w="2337"/>
      </w:tblGrid>
      <w:tr>
        <w:trPr>
          <w:trHeight w:val="1821"/>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0"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562, tờ bản đồ số 20 có địa chỉ: Lô đất số 14, Khu dịch vụ Nhà ở Cụm công nghiệp Phùng Xá, xã Phùng Xá, huyện Thạch Thất, Thành phố Hà Nội ( Nay là xã Tây Phương, Thành phố Hà Nội) theo Giấy chứng nhận quyền sử dụng đất, </w:t>
            </w:r>
            <w:r>
              <w:rPr>
                <w:rFonts w:ascii="Times New Roman" w:hAnsi="Times New Roman" w:eastAsia="Times New Roman" w:cs="Times New Roman"/>
                <w:b/>
                <w:color w:val="000000"/>
                <w:sz w:val="24"/>
              </w:rPr>
              <w:t xml:space="preserve">quyền sở hữu nhà ở và tài sản khác gắn liền với đất  số: DH 680382, số vào sổ cấp GCN: CS-TTH 28334 do Sở Tài nguyên và Môi trường Thành phố Hà Nội  cấp ngày 19/12/2022; Chủ sử dụng đất là Ông Nguyễn Đình Hợp và Bà Đỗ Thị Thanh Tuyền(cập  nhật ngày 15/5/20</w:t>
            </w:r>
            <w:r>
              <w:rPr>
                <w:rFonts w:ascii="Times New Roman" w:hAnsi="Times New Roman" w:eastAsia="Times New Roman" w:cs="Times New Roman"/>
                <w:b/>
                <w:color w:val="000000"/>
                <w:sz w:val="24"/>
              </w:rPr>
              <w:t xml:space="preserve">25)</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562</w:t>
            </w:r>
            <w:r/>
          </w:p>
        </w:tc>
        <w:tc>
          <w:tcPr>
            <w:tcBorders>
              <w:bottom w:val="single" w:color="000000" w:sz="5" w:space="0"/>
              <w:right w:val="single" w:color="000000" w:sz="5" w:space="0"/>
            </w:tcBorders>
            <w:tcMar>
              <w:left w:w="0" w:type="dxa"/>
              <w:top w:w="0" w:type="dxa"/>
              <w:right w:w="0" w:type="dxa"/>
              <w:bottom w:w="0" w:type="dxa"/>
            </w:tcMar>
            <w:tcW w:w="23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3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w:t>
            </w:r>
            <w:r/>
          </w:p>
        </w:tc>
      </w:tr>
      <w:tr>
        <w:trPr>
          <w:trHeight w:val="52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70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Lô đất số 14, Khu dịch vụ Nhà ở Cụm công nghiệp Phùng Xá, xã Phùng Xá, huyện Thạch Thất, Thành phố Hà Nội (Nay là xã Tây Phương, Thành phố Hà Nội)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142,6</w:t>
            </w:r>
            <w:r/>
          </w:p>
        </w:tc>
        <w:tc>
          <w:tcPr>
            <w:tcBorders>
              <w:bottom w:val="single" w:color="000000" w:sz="5" w:space="0"/>
              <w:right w:val="single" w:color="000000" w:sz="5" w:space="0"/>
            </w:tcBorders>
            <w:tcMar>
              <w:left w:w="0" w:type="dxa"/>
              <w:top w:w="0" w:type="dxa"/>
              <w:right w:w="0" w:type="dxa"/>
              <w:bottom w:w="0" w:type="dxa"/>
            </w:tcMar>
            <w:tcW w:w="23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3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chung </w:t>
            </w:r>
            <w:r/>
          </w:p>
        </w:tc>
      </w:tr>
      <w:tr>
        <w:trPr>
          <w:trHeight w:val="93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sản xuất kinh doanh dịch vụ phi nông nghiệp </w:t>
            </w:r>
            <w:r/>
          </w:p>
        </w:tc>
        <w:tc>
          <w:tcPr>
            <w:tcBorders>
              <w:bottom w:val="single" w:color="000000" w:sz="5" w:space="0"/>
              <w:right w:val="single" w:color="000000" w:sz="5" w:space="0"/>
            </w:tcBorders>
            <w:tcMar>
              <w:left w:w="0" w:type="dxa"/>
              <w:top w:w="0" w:type="dxa"/>
              <w:right w:w="0" w:type="dxa"/>
              <w:bottom w:w="0" w:type="dxa"/>
            </w:tcMar>
            <w:tcW w:w="23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3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39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70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96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70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Số tờ, số thửa được xác định theo bản đồ đo đạc dự án tổng thể.</w:t>
            </w:r>
            <w:r>
              <w:rPr>
                <w:rFonts w:ascii="Times New Roman" w:hAnsi="Times New Roman" w:eastAsia="Times New Roman" w:cs="Times New Roman"/>
                <w:color w:val="000000"/>
                <w:sz w:val="24"/>
                <w:szCs w:val="24"/>
              </w:rPr>
            </w:r>
          </w:p>
          <w:p>
            <w:pPr>
              <w:pBdr/>
              <w:spacing w:after="0" w:before="0" w:line="240" w:lineRule="auto"/>
              <w:ind/>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 Giấy chứng nhận này được cấp đổi từ Giấy chứng nhận quyền sử dụng đất số CS 873213 do Ủy ban nhân dân huyện Thạch Thất cấp ngày</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13/9/2019.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highlight w:val="none"/>
              </w:rPr>
            </w:r>
          </w:p>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rPr>
              <w:t xml:space="preserve">- Thửa đất này được giao theo quyết định số 1562/QĐ-UBND ngày 02/05/2019 của UBND huyện Thạch Thất</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70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17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Nội dung thay đổi và cơ sở pháp lý </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70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Ngày 15/5/2025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Chuyển nhượng cho Ông Nguyễn Đình Hợp, Sinh năm: 1986, CCCD số: 001086033515 và vợ là Đỗ Thị Thanh Tuyền, Sinh năm: 1988, CCCD số: 001188047075, địa ch</w:t>
            </w:r>
            <w:r>
              <w:rPr>
                <w:rFonts w:ascii="Times New Roman" w:hAnsi="Times New Roman" w:eastAsia="Times New Roman" w:cs="Times New Roman"/>
                <w:color w:val="000000"/>
                <w:sz w:val="24"/>
              </w:rPr>
              <w:t xml:space="preserve">ỉ thường trú: Thôn Vĩnh Lộc 2, xã Phùng Xá, huyện Thạch Thất, thành phố Hà Nội theo hồ sơ số 002034.CN.005. Hình thức sử dụng: Sử dụng chung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bê tông</w:t>
            </w:r>
            <w:r/>
          </w:p>
        </w:tc>
        <w:tc>
          <w:tcPr>
            <w:tcBorders>
              <w:right w:val="single" w:color="000000" w:sz="5" w:space="0"/>
            </w:tcBorders>
            <w:tcMar>
              <w:left w:w="0" w:type="dxa"/>
              <w:top w:w="0" w:type="dxa"/>
              <w:right w:w="0" w:type="dxa"/>
              <w:bottom w:w="0" w:type="dxa"/>
            </w:tcMar>
            <w:tcW w:w="23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3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1248"/>
        </w:trPr>
        <w:tc>
          <w:tcPr>
            <w:tcBorders>
              <w:left w:val="single" w:color="000000" w:sz="5" w:space="0"/>
              <w:bottom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8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w:t>
            </w:r>
            <w:r/>
          </w:p>
        </w:tc>
      </w:tr>
      <w:tr>
        <w:trPr>
          <w:trHeight w:val="72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70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tiếp giáp đường nội khu cụm</w:t>
            </w:r>
            <w:r>
              <w:rPr>
                <w:rFonts w:ascii="Times New Roman" w:hAnsi="Times New Roman" w:eastAsia="Times New Roman" w:cs="Times New Roman"/>
                <w:color w:val="000000"/>
                <w:sz w:val="24"/>
              </w:rPr>
              <w:t xml:space="preserve"> C</w:t>
            </w:r>
            <w:r>
              <w:rPr>
                <w:rFonts w:ascii="Times New Roman" w:hAnsi="Times New Roman" w:eastAsia="Times New Roman" w:cs="Times New Roman"/>
                <w:color w:val="000000"/>
                <w:sz w:val="24"/>
              </w:rPr>
              <w:t xml:space="preserve">N Phùng Xá</w:t>
            </w:r>
            <w:r/>
          </w:p>
        </w:tc>
      </w:tr>
      <w:tr>
        <w:trPr>
          <w:trHeight w:val="68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70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Bắc: Tiếp giáp đường bê tông khoảng 10m</w:t>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930" w:type="dxa"/>
            <w:vAlign w:val="center"/>
            <w:textDirection w:val="lrTb"/>
            <w:noWrap w:val="false"/>
          </w:tcPr>
          <w:p>
            <w:pPr>
              <w:pBdr/>
              <w:tabs>
                <w:tab w:val="left" w:leader="none" w:pos="6826"/>
              </w:tabs>
              <w:spacing w:after="0" w:before="0" w:line="240" w:lineRule="auto"/>
              <w:ind/>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sz w:val="24"/>
              </w:rPr>
              <w:t xml:space="preserve">21.0100562371626, 105.62523861556222</w:t>
            </w:r>
            <w:r>
              <w:rPr>
                <w:rFonts w:ascii="Times New Roman" w:hAnsi="Times New Roman" w:eastAsia="Times New Roman" w:cs="Times New Roman"/>
                <w:color w:val="000000"/>
                <w:sz w:val="24"/>
              </w:rPr>
              <w:t xml:space="preserve">)</w:t>
            </w:r>
            <w:r>
              <w:tab/>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094423" cy="269485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574694" name=""/>
                              <pic:cNvPicPr>
                                <a:picLocks noChangeAspect="1"/>
                              </pic:cNvPicPr>
                              <pic:nvPr/>
                            </pic:nvPicPr>
                            <pic:blipFill rotWithShape="1">
                              <a:blip r:embed="rId17"/>
                              <a:stretch/>
                            </pic:blipFill>
                            <pic:spPr bwMode="auto">
                              <a:xfrm flipH="0" flipV="0">
                                <a:off x="0" y="0"/>
                                <a:ext cx="5094422" cy="26948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1.14pt;height:212.19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3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142,6</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7,91</w:t>
            </w:r>
            <w:r/>
          </w:p>
        </w:tc>
        <w:tc>
          <w:tcPr>
            <w:tcBorders>
              <w:bottom w:val="single" w:color="000000" w:sz="5" w:space="0"/>
              <w:right w:val="single" w:color="000000" w:sz="5" w:space="0"/>
            </w:tcBorders>
            <w:tcMar>
              <w:left w:w="0" w:type="dxa"/>
              <w:top w:w="0" w:type="dxa"/>
              <w:right w:w="0" w:type="dxa"/>
              <w:bottom w:w="0" w:type="dxa"/>
            </w:tcMar>
            <w:tcW w:w="23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5" w:space="0"/>
              <w:right w:val="single" w:color="000000" w:sz="5" w:space="0"/>
            </w:tcBorders>
            <w:tcMar>
              <w:left w:w="0" w:type="dxa"/>
              <w:top w:w="0" w:type="dxa"/>
              <w:right w:w="0" w:type="dxa"/>
              <w:bottom w:w="0" w:type="dxa"/>
            </w:tcMar>
            <w:tcW w:w="23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18,02-18,04</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Hình chữ nhật </w:t>
            </w:r>
            <w:r/>
          </w:p>
        </w:tc>
        <w:tc>
          <w:tcPr>
            <w:tcBorders>
              <w:bottom w:val="single" w:color="000000" w:sz="5" w:space="0"/>
              <w:right w:val="single" w:color="000000" w:sz="5" w:space="0"/>
            </w:tcBorders>
            <w:tcMar>
              <w:left w:w="0" w:type="dxa"/>
              <w:top w:w="0" w:type="dxa"/>
              <w:right w:w="0" w:type="dxa"/>
              <w:bottom w:w="0" w:type="dxa"/>
            </w:tcMar>
            <w:tcW w:w="23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5" w:space="0"/>
              <w:right w:val="single" w:color="000000" w:sz="5" w:space="0"/>
            </w:tcBorders>
            <w:tcMar>
              <w:left w:w="0" w:type="dxa"/>
              <w:top w:w="0" w:type="dxa"/>
              <w:right w:w="0" w:type="dxa"/>
              <w:bottom w:w="0" w:type="dxa"/>
            </w:tcMar>
            <w:tcW w:w="23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 Bắc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7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70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3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3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2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sản xuất, kinh doanh</w:t>
            </w:r>
            <w:r/>
          </w:p>
        </w:tc>
        <w:tc>
          <w:tcPr>
            <w:tcBorders>
              <w:bottom w:val="single" w:color="000000" w:sz="5" w:space="0"/>
              <w:right w:val="single" w:color="000000" w:sz="5" w:space="0"/>
            </w:tcBorders>
            <w:tcMar>
              <w:left w:w="0" w:type="dxa"/>
              <w:top w:w="0" w:type="dxa"/>
              <w:right w:w="0" w:type="dxa"/>
              <w:bottom w:w="0" w:type="dxa"/>
            </w:tcMar>
            <w:tcW w:w="23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3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w:t>
            </w:r>
            <w:r/>
          </w:p>
        </w:tc>
      </w:tr>
      <w:tr>
        <w:trPr>
          <w:trHeight w:val="60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8930" w:type="dxa"/>
            <w:vAlign w:val="top"/>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khảo sát, tổ thẩm định thấy trên đất có 1 nhà xưởng đang dùng để sản xuất gỗ, xây hết đất. Hiện công trình chưa được chứng nhận trên GCN </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b/>
          <w:bCs/>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b/>
          <w:bCs/>
          <w:lang w:val="pt-BR"/>
        </w:rPr>
      </w:r>
      <w:r>
        <w:rPr>
          <w:b/>
          <w:bCs/>
          <w:lang w:val="pt-BR"/>
        </w:rPr>
      </w:r>
    </w:p>
    <w:p>
      <w:pPr>
        <w:pBdr/>
        <w:spacing w:after="120" w:before="120" w:line="276" w:lineRule="auto"/>
        <w:ind w:firstLine="0" w:left="357"/>
        <w:jc w:val="both"/>
        <w:rPr>
          <w:spacing w:val="-4"/>
          <w:lang w:val="pt-BR"/>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spacing w:val="-4"/>
          <w:lang w:val="pt-BR"/>
        </w:rPr>
      </w:r>
      <w:r>
        <w:rPr>
          <w:spacing w:val="-4"/>
          <w:lang w:val="pt-BR"/>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33"/>
        <w:gridCol w:w="1751"/>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51"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87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sz w:val="22"/>
                <w:szCs w:val="22"/>
              </w:rPr>
            </w:pPr>
            <w:r>
              <w:rPr>
                <w:color w:val="000000" w:themeColor="text1"/>
                <w:sz w:val="22"/>
                <w:szCs w:val="22"/>
              </w:rPr>
              <w:t xml:space="preserve">Xã Tây Phương,Thành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pPr>
            <w:r>
              <w:rPr>
                <w:color w:val="000000" w:themeColor="text1"/>
                <w:sz w:val="22"/>
                <w:szCs w:val="22"/>
              </w:rPr>
              <w:t xml:space="preserve">Xã Tây Phương,Thành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Tây Phương,Thành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Tây Phương,Thành phố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https://batdongsan.com.vn/ban-dat-duong-419-xa-phung-xa-2-23/ban-120m2-tai-419-thach-that-ha-noi-gia-thoa-thuan-pr44275999#js__pr-expired__content-anchor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https://www.facebook.com/groups/1772665199878261/posts/2403014753509966/</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0945294308</w:t>
            </w:r>
            <w:r>
              <w:rPr>
                <w:sz w:val="22"/>
                <w:szCs w:val="22"/>
              </w:rPr>
              <w:t xml:space="preserve"> </w:t>
            </w:r>
            <w:r>
              <w:rPr>
                <w:sz w:val="22"/>
                <w:szCs w:val="22"/>
              </w:rPr>
              <w:br/>
              <w:t xml:space="preserve">(</w:t>
            </w:r>
            <w:r>
              <w:rPr>
                <w:sz w:val="22"/>
                <w:szCs w:val="22"/>
              </w:rPr>
              <w:t xml:space="preserve">anh Hùng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0912678982</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0382936443</w:t>
            </w:r>
            <w:r>
              <w:rPr>
                <w:sz w:val="22"/>
                <w:szCs w:val="22"/>
              </w:rPr>
              <w:br/>
            </w:r>
            <w:r>
              <w:rPr>
                <w:sz w:val="22"/>
                <w:szCs w:val="22"/>
              </w:rPr>
              <w:t xml:space="preserve">(</w:t>
            </w:r>
            <w:r>
              <w:rPr>
                <w:sz w:val="22"/>
                <w:szCs w:val="22"/>
              </w:rPr>
              <w:t xml:space="preserve">Huế</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5/2026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5/2026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Đất cơ sở sản xuất phi nông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Đất cơ sở sản xuất phi nông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cơ sở sản xuất phi nông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cơ sở sản xuất phi nông nghiệp</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pPr>
            <w:r>
              <w:rPr>
                <w:color w:val="000000" w:themeColor="text1"/>
                <w:sz w:val="22"/>
                <w:szCs w:val="22"/>
              </w:rPr>
              <w:t xml:space="preserve">Lâu dài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Lâu dài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Lâu dài</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Tây Phương, Thành phố Hà Nội. Tài sản nằm trong </w:t>
            </w:r>
            <w:r>
              <w:rPr>
                <w:color w:val="000000" w:themeColor="text1"/>
                <w:sz w:val="22"/>
                <w:szCs w:val="22"/>
              </w:rPr>
              <w:t xml:space="preserve">cụm CN Phùng Xá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pPr>
            <w:r>
              <w:rPr>
                <w:color w:val="000000" w:themeColor="text1"/>
                <w:sz w:val="22"/>
                <w:szCs w:val="22"/>
              </w:rPr>
              <w:t xml:space="preserve">Tài sản tại: xã Tây Phương, Thành phố Hà Nội. Tài sản nằm trong </w:t>
            </w:r>
            <w:r>
              <w:rPr>
                <w:color w:val="000000" w:themeColor="text1"/>
                <w:sz w:val="22"/>
                <w:szCs w:val="22"/>
              </w:rPr>
              <w:t xml:space="preserve">cụm CN Phùng Xá</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xã Tây Phương, Thành phố Hà Nội. Tài sản nằm trong </w:t>
            </w:r>
            <w:r>
              <w:rPr>
                <w:color w:val="000000" w:themeColor="text1"/>
                <w:sz w:val="22"/>
                <w:szCs w:val="22"/>
              </w:rPr>
              <w:t xml:space="preserve">cụm CN Phùng Xá</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xã Tây Phương, Thành phố Hà Nội. Tài sản nằm trong </w:t>
            </w:r>
            <w:r>
              <w:rPr>
                <w:color w:val="000000" w:themeColor="text1"/>
                <w:sz w:val="22"/>
                <w:szCs w:val="22"/>
              </w:rPr>
              <w:t xml:space="preserve">cụm CN Phùng Xá</w:t>
            </w:r>
            <w:r>
              <w:rPr>
                <w:color w:val="000000"/>
                <w:sz w:val="22"/>
                <w:szCs w:val="22"/>
              </w:rPr>
            </w:r>
            <w:r/>
          </w:p>
        </w:tc>
      </w:tr>
      <w:tr>
        <w:trPr>
          <w:trHeight w:val="27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Hạ tầng cụm công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Hạ tầng cụm công nghiệp</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Hạ tầng cụm công nghiệp</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Hạ tầng cụm công nghiệp</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142,6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209,2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7,91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19,24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18,04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19,02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26.150.000.000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19.575.000.000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22.227.500.000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17.030.250.000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22.227.500.000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17.030.250.000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tcPr>
          <w:p>
            <w:pPr>
              <w:pBdr/>
              <w:spacing/>
              <w:ind/>
              <w:jc w:val="center"/>
              <w:rPr>
                <w:color w:val="000000"/>
                <w:sz w:val="22"/>
                <w:szCs w:val="22"/>
              </w:rPr>
            </w:pPr>
            <w:r>
              <w:rPr>
                <w:color w:val="000000" w:themeColor="text1"/>
                <w:sz w:val="22"/>
                <w:szCs w:val="22"/>
              </w:rPr>
              <w:t xml:space="preserve">106.250.000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106.250.000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126.150.000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abs>
                <w:tab w:val="center" w:leader="none" w:pos="763"/>
              </w:tabs>
              <w:spacing/>
              <w:ind/>
              <w:jc w:val="center"/>
              <w:rPr>
                <w:color w:val="000000"/>
                <w:sz w:val="22"/>
                <w:szCs w:val="22"/>
              </w:rPr>
            </w:pPr>
            <w:r>
              <w:rPr>
                <w:color w:val="000000" w:themeColor="text1"/>
                <w:sz w:val="22"/>
                <w:szCs w:val="22"/>
              </w:rPr>
              <w:t xml:space="preserve">Tương đồng</w:t>
            </w:r>
            <w:r>
              <w:rPr>
                <w:color w:val="000000"/>
                <w:sz w:val="22"/>
                <w:szCs w:val="22"/>
              </w:rPr>
              <w:tab/>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22.227.500.000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12.750.000.000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17.030.250.000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106.250.000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106.250.000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126.150.000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cơ sở sản xuất phi nông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cơ sở sản xuất phi nông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cơ sở sản xuất phi nông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cơ sở sản xuất phi nông nghiệp</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Tây Phương, Thành phố Hà Nội. Tài sản nằm trong </w:t>
            </w:r>
            <w:r>
              <w:rPr>
                <w:color w:val="000000" w:themeColor="text1"/>
                <w:sz w:val="22"/>
                <w:szCs w:val="22"/>
              </w:rPr>
              <w:t xml:space="preserve">cụm CN Phùng Xá</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xã Tây Phương, Thành phố Hà Nội. Tài sản nằm trong </w:t>
            </w:r>
            <w:r>
              <w:rPr>
                <w:color w:val="000000" w:themeColor="text1"/>
                <w:sz w:val="22"/>
                <w:szCs w:val="22"/>
              </w:rPr>
              <w:t xml:space="preserve">cụm CN Phùng Xá</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xã Tây Phương, Thành phố Hà Nội. Tài sản nằm trong </w:t>
            </w:r>
            <w:r>
              <w:rPr>
                <w:color w:val="000000" w:themeColor="text1"/>
                <w:sz w:val="22"/>
                <w:szCs w:val="22"/>
              </w:rPr>
              <w:t xml:space="preserve">cụm CN Phùng Xá</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xã Tây Phương, Thành phố Hà Nội. Tài sản nằm tại làn ngoài </w:t>
            </w:r>
            <w:r>
              <w:rPr>
                <w:color w:val="000000" w:themeColor="text1"/>
                <w:sz w:val="22"/>
                <w:szCs w:val="22"/>
              </w:rPr>
              <w:t xml:space="preserve">cụm CN Phùng Xá</w:t>
            </w:r>
            <w:r/>
          </w:p>
          <w:p>
            <w:pPr>
              <w:pBdr/>
              <w:spacing/>
              <w:ind/>
              <w:jc w:val="center"/>
              <w:rPr/>
            </w:pPr>
            <w:r>
              <w:rPr>
                <w:color w:val="000000" w:themeColor="text1"/>
                <w:sz w:val="22"/>
                <w:szCs w:val="22"/>
              </w:rPr>
            </w:r>
            <w:r>
              <w:rPr>
                <w:color w:val="000000" w:themeColor="text1"/>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123.975.000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123.975.000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110.925.000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cụm công nghiệp</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Hạ tầng cụm công nghiệp</w:t>
            </w:r>
            <w:r>
              <w:rPr>
                <w:b/>
                <w:bCs/>
                <w:color w:val="000000"/>
                <w:sz w:val="22"/>
                <w:szCs w:val="22"/>
              </w:rPr>
            </w: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Hạ tầng cụm công nghiệp</w:t>
            </w:r>
            <w:r>
              <w:rPr>
                <w:b/>
                <w:bCs/>
                <w:color w:val="000000"/>
                <w:sz w:val="22"/>
                <w:szCs w:val="22"/>
              </w:rPr>
            </w: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Hạ tầng cụm công nghiệp</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110.925.000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209,2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118.125.000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110.925.000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7,91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6,79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19,24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-9.135.000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101.790.000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95.265.000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95.265.000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108.500.000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100.625.000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90.915.000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100.013.333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8,49%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9.000.000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5.625.000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35.235.000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2.250.000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5.625.000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35.235.000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-9,1</w:t>
      </w:r>
      <w:r>
        <w:t xml:space="preserve">% đến</w:t>
      </w:r>
      <w:r>
        <w:t xml:space="preserve"> </w:t>
      </w:r>
      <w:r>
        <w:t xml:space="preserve"> </w:t>
      </w:r>
      <w:r>
        <w:t xml:space="preserve">8,49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highlight w:val="none"/>
          <w:u w:val="single"/>
        </w:rPr>
      </w:r>
      <w:r>
        <w:rPr>
          <w:b/>
          <w:bCs/>
          <w:i/>
          <w:iCs/>
          <w:highlight w:val="none"/>
          <w:u w:val="single"/>
        </w:rPr>
      </w:r>
    </w:p>
    <w:p>
      <w:pPr>
        <w:pBdr/>
        <w:spacing w:after="120" w:before="120" w:line="276" w:lineRule="auto"/>
        <w:ind/>
        <w:rPr>
          <w:b/>
          <w:bCs/>
          <w:i/>
          <w:u w:val="single"/>
        </w:rPr>
      </w:pPr>
      <w:r>
        <w:rPr>
          <w:b/>
          <w:bCs/>
          <w:i/>
          <w:iCs/>
          <w:highlight w:val="none"/>
          <w:u w:val="single"/>
        </w:rPr>
      </w:r>
      <w:r>
        <w:rPr>
          <w:b/>
          <w:bCs/>
          <w:i/>
          <w:u w:val="single"/>
        </w:rPr>
      </w:r>
      <w:r>
        <w:rPr>
          <w:b/>
          <w:bCs/>
          <w:i/>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108.500.000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36.173.900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100.625.000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33.538.313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90.915.000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30.301.970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100.014.183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100.000.000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100.000.000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3305"/>
        <w:gridCol w:w="1276"/>
        <w:gridCol w:w="2024"/>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30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276"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24"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562, tờ bản đồ số 20 có địa chỉ: Lô đất số 14, Khu dịch vụ Nhà ở Cụm công nghiệp Phùng Xá, xã Phùng Xá, huyện Thạch Thất, Thành phố Hà Nội ( Nay là xã Tây Phương, Thành phố Hà Nội) theo Giấy chứng nhận quyền sử dụng đất, </w:t>
            </w:r>
            <w:r>
              <w:rPr>
                <w:rFonts w:ascii="Times New Roman" w:hAnsi="Times New Roman" w:eastAsia="Times New Roman" w:cs="Times New Roman"/>
                <w:b/>
                <w:color w:val="000000"/>
                <w:sz w:val="24"/>
              </w:rPr>
              <w:t xml:space="preserve">quyền sở hữu nhà ở và tài sản khác gắn liền với đất  số: DH 680382, số vào sổ cấp GCN: CS-TTH 28334 do Sở Tài nguyên và Môi trường Thành phố Hà Nội  cấp ngày 19/12/2022; Chủ sử dụng đất là Ông Nguyễn Đình Hợp và Bà Đỗ Thị Thanh Tuyền(cập  nhật ngày 15/5/20</w:t>
            </w:r>
            <w:r>
              <w:rPr>
                <w:rFonts w:ascii="Times New Roman" w:hAnsi="Times New Roman" w:eastAsia="Times New Roman" w:cs="Times New Roman"/>
                <w:b/>
                <w:color w:val="000000"/>
                <w:sz w:val="24"/>
              </w:rPr>
              <w:t xml:space="preserve">25)</w:t>
            </w:r>
            <w:r>
              <w:rPr>
                <w:b/>
                <w:bCs/>
              </w:rPr>
            </w: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3305" w:type="dxa"/>
            <w:vAlign w:val="center"/>
            <w:textDirection w:val="lrTb"/>
            <w:noWrap w:val="false"/>
          </w:tcPr>
          <w:p>
            <w:pPr>
              <w:pBdr/>
              <w:spacing w:after="40" w:before="40" w:line="288" w:lineRule="auto"/>
              <w:ind/>
              <w:rPr/>
            </w:pPr>
            <w:r>
              <w:rPr>
                <w:b/>
                <w:bCs/>
              </w:rPr>
              <w:t xml:space="preserve">Quyền sử dụng đất cơ sở sản xuất phi nông nghiệp</w:t>
            </w:r>
            <w:r/>
          </w:p>
        </w:tc>
        <w:tc>
          <w:tcPr>
            <w:tcBorders/>
            <w:tcW w:w="1276" w:type="dxa"/>
            <w:vAlign w:val="center"/>
            <w:textDirection w:val="lrTb"/>
            <w:noWrap/>
          </w:tcPr>
          <w:p>
            <w:pPr>
              <w:pBdr/>
              <w:spacing w:after="40" w:before="40" w:line="288" w:lineRule="auto"/>
              <w:ind/>
              <w:jc w:val="center"/>
              <w:rPr>
                <w:color w:val="000000"/>
              </w:rPr>
            </w:pPr>
            <w:r>
              <w:rPr>
                <w:color w:val="000000" w:themeColor="text1"/>
              </w:rPr>
              <w:t xml:space="preserve">142,6</w:t>
            </w:r>
            <w:r>
              <w:rPr>
                <w:color w:val="000000"/>
              </w:rPr>
            </w:r>
            <w:r>
              <w:rPr>
                <w:color w:val="000000"/>
              </w:rPr>
            </w:r>
          </w:p>
        </w:tc>
        <w:tc>
          <w:tcPr>
            <w:shd w:val="clear" w:color="000000" w:fill="ffffff"/>
            <w:tcBorders/>
            <w:tcW w:w="2024" w:type="dxa"/>
            <w:vAlign w:val="center"/>
            <w:textDirection w:val="lrTb"/>
            <w:noWrap w:val="false"/>
          </w:tcPr>
          <w:p>
            <w:pPr>
              <w:pBdr/>
              <w:spacing w:after="40" w:before="40" w:line="288" w:lineRule="auto"/>
              <w:ind/>
              <w:jc w:val="center"/>
              <w:rPr/>
            </w:pPr>
            <w:r>
              <w:rPr>
                <w:color w:val="000000" w:themeColor="text1"/>
              </w:rPr>
              <w:t xml:space="preserve">100.000.000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14.260.000.000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t xml:space="preserve">14.260.000.000</w:t>
            </w:r>
            <w:r>
              <w:rPr>
                <w:b/>
                <w:bCs/>
                <w:color w:val="000000"/>
              </w:rPr>
            </w:r>
            <w:r>
              <w:rPr>
                <w:b/>
                <w:bCs/>
                <w:color w:val="000000"/>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color w:val="000000"/>
              </w:rPr>
              <w:t xml:space="preserve">14.260.000.000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bốn tỷ, hai trăm sáu mươi triệu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7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76"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7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40"/>
        </w:numPr>
        <w:pBdr/>
        <w:spacing w:after="0" w:before="0" w:line="240" w:lineRule="auto"/>
        <w:ind w:right="0" w:hanging="11" w:left="360"/>
        <w:jc w:val="both"/>
        <w:rPr/>
      </w:pPr>
      <w:r>
        <w:rPr>
          <w:rFonts w:ascii="Times New Roman" w:hAnsi="Times New Roman" w:eastAsia="Times New Roman" w:cs="Times New Roman"/>
          <w:color w:val="000000"/>
          <w:sz w:val="24"/>
        </w:rPr>
        <w:t xml:space="preserve">Tại thời điểm khảo sát, tổ thẩm định thấy trên đất có 1 nhà xưởng đang dùng để sản xuất gỗ, xây hết đất. Hiện công trình chưa được chứng nhận trên GCN </w:t>
      </w:r>
      <w:r>
        <w:rPr>
          <w:rFonts w:ascii="Times New Roman" w:hAnsi="Times New Roman" w:eastAsia="Times New Roman" w:cs="Times New Roman"/>
          <w:color w:val="000000"/>
          <w:sz w:val="24"/>
        </w:rPr>
        <w:t xml:space="preserve">. Do vậy, theo đề nghị của Ngân </w:t>
      </w:r>
      <w:r>
        <w:rPr>
          <w:rFonts w:ascii="Times New Roman" w:hAnsi="Times New Roman" w:eastAsia="Times New Roman" w:cs="Times New Roman"/>
          <w:color w:val="000000"/>
          <w:sz w:val="24"/>
        </w:rPr>
        <w:t xml:space="preserve">hàng/Khách hàng, tổ thẩm định không xác định giá trị công trình hiện có trên đất, nhưng vẫn coi đó là phần không thể tách rời của tải sản thẩm định. Đề nghị đơn vị sử dụng kết quả lưu ý.</w:t>
      </w:r>
      <w:r/>
      <w:r/>
    </w:p>
    <w:p>
      <w:pPr>
        <w:pStyle w:val="1025"/>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7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76"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76"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76"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275/2026/0692/VFI-CT.53.A</w:t>
      </w:r>
      <w:r>
        <w:rPr>
          <w:color w:val="ff0000"/>
          <w:lang w:val="vi-VN"/>
        </w:rPr>
        <w:t xml:space="preserve"> </w:t>
      </w:r>
      <w:r>
        <w:rPr>
          <w:color w:val="000000" w:themeColor="text1"/>
        </w:rPr>
        <w:t xml:space="preserve">ngày 07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Ind w:w="-255" w:type="dxa"/>
        <w:tblW w:w="5208" w:type="pct"/>
        <w:tblBorders/>
        <w:tblLayout w:type="fixed"/>
        <w:tblLook w:val="01E0" w:firstRow="1" w:lastRow="1" w:firstColumn="1" w:lastColumn="1" w:noHBand="0" w:noVBand="0"/>
      </w:tblPr>
      <w:tblGrid>
        <w:gridCol w:w="4677"/>
        <w:gridCol w:w="5244"/>
      </w:tblGrid>
      <w:tr>
        <w:trPr>
          <w:trHeight w:val="20"/>
        </w:trPr>
        <w:tc>
          <w:tcPr>
            <w:tcBorders/>
            <w:tcW w:w="467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44"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244"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244"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center"/>
        <w:rPr>
          <w:b/>
          <w:bCs/>
          <w:u w:val="single"/>
          <w:lang w:val="vi-VN"/>
        </w:rPr>
      </w:pPr>
      <w:r>
        <w:rPr>
          <w:b/>
          <w:highlight w:val="none"/>
          <w:lang w:val="pt-BR"/>
        </w:rPr>
      </w:r>
      <w:r>
        <w:rPr>
          <w:b/>
          <w:highlight w:val="none"/>
          <w:lang w:val="pt-BR"/>
        </w:rPr>
      </w:r>
      <w:r>
        <w:rPr>
          <w:b/>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highlight w:val="none"/>
          <w:lang w:val="pt-BR"/>
        </w:rPr>
      </w:r>
    </w:p>
    <w:p>
      <w:pPr>
        <w:pBdr/>
        <w:spacing w:after="200" w:line="276" w:lineRule="auto"/>
        <w:ind/>
        <w:jc w:val="center"/>
        <w:rPr>
          <w:b/>
          <w:bCs/>
          <w:highlight w:val="none"/>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275/2026/0692/VFI-BC.53.A ngày </w:t>
      </w:r>
      <w:r>
        <w:rPr>
          <w:i/>
          <w:lang w:val="pt-BR"/>
        </w:rPr>
        <w:t xml:space="preserve">7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56207" cy="238650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86974" name=""/>
                              <pic:cNvPicPr>
                                <a:picLocks noChangeAspect="1"/>
                              </pic:cNvPicPr>
                              <pic:nvPr/>
                            </pic:nvPicPr>
                            <pic:blipFill rotWithShape="1">
                              <a:blip r:embed="rId18"/>
                              <a:stretch/>
                            </pic:blipFill>
                            <pic:spPr bwMode="auto">
                              <a:xfrm flipH="0" flipV="0">
                                <a:off x="0" y="0"/>
                                <a:ext cx="1356206" cy="23865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6.79pt;height:187.91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0966" cy="219072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387326" name=""/>
                              <pic:cNvPicPr>
                                <a:picLocks noChangeAspect="1"/>
                              </pic:cNvPicPr>
                              <pic:nvPr/>
                            </pic:nvPicPr>
                            <pic:blipFill rotWithShape="1">
                              <a:blip r:embed="rId19"/>
                              <a:stretch/>
                            </pic:blipFill>
                            <pic:spPr bwMode="auto">
                              <a:xfrm flipH="0" flipV="0">
                                <a:off x="0" y="0"/>
                                <a:ext cx="2920965" cy="21907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0.00pt;height:172.5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5708" cy="217928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202000" name=""/>
                              <pic:cNvPicPr>
                                <a:picLocks noChangeAspect="1"/>
                              </pic:cNvPicPr>
                              <pic:nvPr/>
                            </pic:nvPicPr>
                            <pic:blipFill rotWithShape="1">
                              <a:blip r:embed="rId20"/>
                              <a:stretch/>
                            </pic:blipFill>
                            <pic:spPr bwMode="auto">
                              <a:xfrm flipH="0" flipV="0">
                                <a:off x="0" y="0"/>
                                <a:ext cx="2905707" cy="21792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8.80pt;height:171.6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89404" cy="223971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368771" name=""/>
                              <pic:cNvPicPr>
                                <a:picLocks noChangeAspect="1"/>
                              </pic:cNvPicPr>
                              <pic:nvPr/>
                            </pic:nvPicPr>
                            <pic:blipFill rotWithShape="1">
                              <a:blip r:embed="rId21"/>
                              <a:stretch/>
                            </pic:blipFill>
                            <pic:spPr bwMode="auto">
                              <a:xfrm flipH="0" flipV="0">
                                <a:off x="0" y="0"/>
                                <a:ext cx="2989403" cy="22397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5.39pt;height:176.3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98755" cy="232406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49611" name=""/>
                              <pic:cNvPicPr>
                                <a:picLocks noChangeAspect="1"/>
                              </pic:cNvPicPr>
                              <pic:nvPr/>
                            </pic:nvPicPr>
                            <pic:blipFill rotWithShape="1">
                              <a:blip r:embed="rId22"/>
                              <a:stretch/>
                            </pic:blipFill>
                            <pic:spPr bwMode="auto">
                              <a:xfrm flipH="0" flipV="0">
                                <a:off x="0" y="0"/>
                                <a:ext cx="3098754" cy="23240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4.00pt;height:183.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64900" cy="22236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05453" name=""/>
                              <pic:cNvPicPr>
                                <a:picLocks noChangeAspect="1"/>
                              </pic:cNvPicPr>
                              <pic:nvPr/>
                            </pic:nvPicPr>
                            <pic:blipFill rotWithShape="1">
                              <a:blip r:embed="rId23"/>
                              <a:stretch/>
                            </pic:blipFill>
                            <pic:spPr bwMode="auto">
                              <a:xfrm flipH="0" flipV="0">
                                <a:off x="0" y="0"/>
                                <a:ext cx="2964899" cy="2223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3.46pt;height:175.0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275/2026/0692/VFI-BC.53.A ngày 07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0945294308</w:t>
            </w:r>
            <w:r>
              <w:rPr>
                <w:sz w:val="22"/>
                <w:szCs w:val="22"/>
              </w:rPr>
              <w:t xml:space="preserve"> </w:t>
            </w:r>
            <w:r>
              <w:rPr>
                <w:sz w:val="22"/>
                <w:szCs w:val="22"/>
              </w:rPr>
              <w:br/>
              <w:t xml:space="preserve">(anh Hùng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22.227.500.000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cơ sở sản xuất phi nông nghiệp (209,2m²)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cơ sở sản xuất phi nông nghiệp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Tài sản tại: xã Tây Phương, Thành phố Hà Nội. Tài sản nằm trong cụm CN Phùng Xá</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209,2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77339"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47733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1.29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683718" cy="2200815"/>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3683718" cy="22008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90.06pt;height:173.29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9828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9828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8.8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77929"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7792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24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https://batdongsan.com.vn/ban-dat-duong-419-xa-phung-xa-2-23/ban-120m2-tai-419-thach-that-ha-noi-gia-thoa-thuan-pr44275999#js__pr-expired__content-anchor</w:t>
            </w:r>
            <w:r>
              <w:rPr>
                <w:color w:val="000000" w:themeColor="text1"/>
                <w:sz w:val="22"/>
                <w:szCs w:val="22"/>
              </w:rPr>
              <w:br/>
              <w:t xml:space="preserve">0912678982</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cơ sở sản xuất phi nông nghiệp (120m²)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cơ sở sản xuất phi nông nghiệp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Tài sản tại: xã Tây Phương, Thành phố Hà Nội. Tài sản nằm trong cụm CN Phùng Xá</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70356"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17035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07.11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3.3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71070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67107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528.4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https://www.facebook.com/groups/1772665199878261/posts/2403014753509966/</w:t>
            </w:r>
            <w:r>
              <w:rPr>
                <w:color w:val="000000" w:themeColor="text1"/>
                <w:sz w:val="22"/>
                <w:szCs w:val="22"/>
              </w:rPr>
              <w:br/>
            </w:r>
            <w:r>
              <w:rPr>
                <w:sz w:val="22"/>
                <w:szCs w:val="22"/>
              </w:rPr>
              <w:t xml:space="preserve">SĐT: </w:t>
            </w:r>
            <w:r>
              <w:rPr>
                <w:color w:val="000000" w:themeColor="text1"/>
                <w:sz w:val="22"/>
                <w:szCs w:val="22"/>
              </w:rPr>
              <w:t xml:space="preserve">0382936443</w:t>
            </w:r>
            <w:r>
              <w:rPr>
                <w:sz w:val="22"/>
                <w:szCs w:val="22"/>
              </w:rPr>
              <w:t xml:space="preserve"> </w:t>
            </w:r>
            <w:r>
              <w:rPr>
                <w:sz w:val="22"/>
                <w:szCs w:val="22"/>
              </w:rPr>
              <w:br/>
              <w:t xml:space="preserve">(Huế</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19.575.000.000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17.030.250.000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cơ sở sản xuất phi nông nghiệp (135m²)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cơ sở sản xuất phi nông nghiệp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themeColor="text1"/>
                <w:sz w:val="22"/>
                <w:szCs w:val="22"/>
              </w:rPr>
              <w:t xml:space="preserve">Tài sản tại: xã Tây Phương, Thành phố Hà Nội. Tài sản nằm trong cụm CN Phùng Xá</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19,24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70815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70815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557.6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736688" cy="4439083"/>
                      <wp:effectExtent l="0" t="0" r="0" b="0"/>
                      <wp:docPr id="20" name=""/>
                      <wp:cNvGraphicFramePr/>
                      <a:graphic xmlns:a="http://schemas.openxmlformats.org/drawingml/2006/main">
                        <a:graphicData uri="http://schemas.openxmlformats.org/drawingml/2006/picture">
                          <pic:pic xmlns:pic="http://schemas.openxmlformats.org/drawingml/2006/picture">
                            <pic:nvPicPr>
                              <pic:cNvPr id="1904385368" name="" descr=""/>
                              <pic:cNvPicPr/>
                              <pic:nvPr/>
                            </pic:nvPicPr>
                            <pic:blipFill rotWithShape="1">
                              <a:blip r:embed="rId32"/>
                              <a:stretch/>
                            </pic:blipFill>
                            <pic:spPr bwMode="auto">
                              <a:xfrm flipH="0" flipV="0">
                                <a:off x="0" y="0"/>
                                <a:ext cx="1736687" cy="443908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36.75pt;height:349.53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569290" cy="2105025"/>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5569289" cy="21050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38.53pt;height:165.75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color="auto"/>
        <w:spacing/>
        <w:ind/>
        <w:rPr>
          <w:b/>
          <w:bCs/>
          <w:highlight w:val="none"/>
          <w:lang w:val="pt-BR"/>
        </w:rPr>
      </w:pPr>
      <w:r>
        <w:rPr>
          <w:b/>
          <w:bCs/>
          <w:iCs/>
          <w:highlight w:val="none"/>
          <w:lang w:val="pt-BR"/>
        </w:rPr>
        <w:br w:type="page" w:clear="all"/>
      </w:r>
      <w:r>
        <w:rPr>
          <w:b/>
          <w:bCs/>
          <w:iCs/>
          <w:highlight w:val="none"/>
          <w:lang w:val="pt-BR"/>
        </w:rPr>
      </w:r>
      <w:r>
        <w:rPr>
          <w:b/>
          <w:bCs/>
          <w:highlight w:val="none"/>
          <w:lang w:val="pt-BR"/>
        </w:rPr>
      </w:r>
    </w:p>
    <w:p>
      <w:pPr>
        <w:pBdr/>
        <w:spacing w:after="200" w:line="276" w:lineRule="auto"/>
        <w:ind/>
        <w:jc w:val="center"/>
        <w:rPr>
          <w:b/>
          <w:bCs/>
          <w:iCs/>
          <w:highlight w:val="none"/>
          <w:lang w:val="pt-BR"/>
        </w:rPr>
      </w:pPr>
      <w:r>
        <w:rPr>
          <w:b/>
          <w:bCs/>
          <w:iCs/>
          <w:lang w:val="pt-BR"/>
        </w:rPr>
      </w: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398191" cy="845297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79370" name=""/>
                        <pic:cNvPicPr>
                          <a:picLocks noChangeAspect="1"/>
                        </pic:cNvPicPr>
                        <pic:nvPr/>
                      </pic:nvPicPr>
                      <pic:blipFill rotWithShape="1">
                        <a:blip r:embed="rId34"/>
                        <a:srcRect l="0" t="20835" r="0" b="17706"/>
                        <a:stretch/>
                      </pic:blipFill>
                      <pic:spPr bwMode="auto">
                        <a:xfrm flipH="0" flipV="0">
                          <a:off x="0" y="0"/>
                          <a:ext cx="6398190" cy="84529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503.79pt;height:665.59pt;mso-wrap-distance-left:0.00pt;mso-wrap-distance-top:0.00pt;mso-wrap-distance-right:0.00pt;mso-wrap-distance-bottom:0.00pt;z-index:1;" stroked="false">
                <v:imagedata r:id="rId34" o:title="" croptop="13654f" cropleft="0f" cropbottom="11604f" cropright="0f"/>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mc:AlternateContent>
          <mc:Choice Requires="wpg">
            <w:drawing>
              <wp:inline xmlns:wp="http://schemas.openxmlformats.org/drawingml/2006/wordprocessingDrawing" distT="0" distB="0" distL="0" distR="0">
                <wp:extent cx="6048375" cy="8072936"/>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990635" name=""/>
                        <pic:cNvPicPr>
                          <a:picLocks noChangeAspect="1"/>
                        </pic:cNvPicPr>
                        <pic:nvPr/>
                      </pic:nvPicPr>
                      <pic:blipFill rotWithShape="1">
                        <a:blip r:embed="rId35"/>
                        <a:stretch/>
                      </pic:blipFill>
                      <pic:spPr bwMode="auto">
                        <a:xfrm>
                          <a:off x="0" y="0"/>
                          <a:ext cx="6048374" cy="80729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66pt;mso-wrap-distance-left:0.00pt;mso-wrap-distance-top:0.00pt;mso-wrap-distance-right:0.00pt;mso-wrap-distance-bottom:0.00pt;z-index:1;" stroked="false">
                <v:imagedata r:id="rId35" o:title=""/>
                <o:lock v:ext="edit" rotation="t"/>
              </v:shape>
            </w:pict>
          </mc:Fallback>
        </mc:AlternateContent>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485498" cy="859101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234950" name=""/>
                        <pic:cNvPicPr>
                          <a:picLocks noChangeAspect="1"/>
                        </pic:cNvPicPr>
                        <pic:nvPr/>
                      </pic:nvPicPr>
                      <pic:blipFill rotWithShape="1">
                        <a:blip r:embed="rId36"/>
                        <a:stretch/>
                      </pic:blipFill>
                      <pic:spPr bwMode="auto">
                        <a:xfrm flipH="0" flipV="0">
                          <a:off x="0" y="0"/>
                          <a:ext cx="6485497" cy="85910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510.67pt;height:676.46pt;mso-wrap-distance-left:0.00pt;mso-wrap-distance-top:0.00pt;mso-wrap-distance-right:0.00pt;mso-wrap-distance-bottom:0.00pt;z-index:1;" stroked="false">
                <v:imagedata r:id="rId36"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r>
      <w:r>
        <w:rPr>
          <w:b/>
          <w:bCs/>
          <w:highlight w:val="none"/>
        </w:rPr>
        <w:t xml:space="preserve">BIÊN BẢN KHẢO SÁT</w:t>
      </w:r>
      <w:r>
        <w:rPr>
          <w:b/>
          <w:bCs/>
        </w:rPr>
      </w:r>
      <w:r>
        <w:rPr>
          <w:b/>
          <w:bCs/>
        </w:rPr>
      </w:r>
      <w:r>
        <w:rPr>
          <w:b/>
          <w:bCs/>
          <w:highlight w:val="none"/>
        </w:rPr>
      </w:r>
    </w:p>
    <w:p>
      <w:pPr>
        <w:pBdr/>
        <w:spacing w:after="200" w:line="276" w:lineRule="auto"/>
        <w:ind/>
        <w:jc w:val="center"/>
        <w:rPr>
          <w:b/>
          <w:bCs/>
        </w:rPr>
      </w:pPr>
      <w:r>
        <w:rPr>
          <w:b/>
          <w:bCs/>
          <w:highlight w:val="none"/>
        </w:rPr>
      </w:r>
      <w:r>
        <w:rPr>
          <w:b/>
          <w:bCs/>
          <w:highlight w:val="none"/>
        </w:rPr>
      </w:r>
      <w:r>
        <mc:AlternateContent>
          <mc:Choice Requires="wpg">
            <w:drawing>
              <wp:inline xmlns:wp="http://schemas.openxmlformats.org/drawingml/2006/wordprocessingDrawing" distT="0" distB="0" distL="0" distR="0">
                <wp:extent cx="6048375" cy="80645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119136" name=""/>
                        <pic:cNvPicPr>
                          <a:picLocks noChangeAspect="1"/>
                        </pic:cNvPicPr>
                        <pic:nvPr/>
                      </pic:nvPicPr>
                      <pic:blipFill rotWithShape="1">
                        <a:blip r:embed="rId3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5.00pt;mso-wrap-distance-left:0.00pt;mso-wrap-distance-top:0.00pt;mso-wrap-distance-right:0.00pt;mso-wrap-distance-bottom:0.00pt;z-index:1;" stroked="false">
                <v:imagedata r:id="rId37" o:title=""/>
                <o:lock v:ext="edit" rotation="t"/>
              </v:shape>
            </w:pict>
          </mc:Fallback>
        </mc:AlternateContent>
      </w:r>
      <w:r>
        <w:rPr>
          <w:b/>
          <w:bCs/>
          <w:highlight w:val="none"/>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9F9A21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45C5E03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284</cp:revision>
  <dcterms:created xsi:type="dcterms:W3CDTF">2025-09-15T09:58:00Z</dcterms:created>
  <dcterms:modified xsi:type="dcterms:W3CDTF">2026-05-11T04:00:16Z</dcterms:modified>
</cp:coreProperties>
</file>