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bCs/>
          <w:sz w:val="28"/>
          <w:szCs w:val="28"/>
          <w:lang w:val="vi-VN"/>
        </w:rPr>
      </w:pPr>
      <w:r>
        <w:rPr>
          <w:b/>
          <w:sz w:val="28"/>
          <w:lang w:val="vi-VN"/>
        </w:rPr>
      </w:r>
      <w:r>
        <w:rPr>
          <w:b/>
          <w:bCs/>
          <w:sz w:val="28"/>
          <w:szCs w:val="28"/>
          <w:lang w:val="vi-VN"/>
        </w:rPr>
      </w:r>
      <w:r>
        <w:rPr>
          <w:b/>
          <w:bCs/>
          <w:sz w:val="28"/>
          <w:szCs w:val="28"/>
          <w:lang w:val="vi-VN"/>
        </w:rPr>
      </w:r>
    </w:p>
    <w:p>
      <w:pPr>
        <w:pBdr/>
        <w:spacing/>
        <w:ind w:right="-1"/>
        <w:jc w:val="center"/>
        <w:rPr>
          <w:b/>
          <w:sz w:val="28"/>
        </w:rPr>
      </w:pPr>
      <w:r>
        <w:rPr>
          <w:b/>
          <w:sz w:val="28"/>
        </w:rPr>
      </w:r>
      <w:r>
        <w:rPr>
          <w:b/>
          <w:sz w:val="28"/>
        </w:rPr>
      </w:r>
      <w:r>
        <w:rPr>
          <w:b/>
          <w:sz w:val="28"/>
        </w:rPr>
      </w:r>
    </w:p>
    <w:p>
      <w:pPr>
        <w:pBdr/>
        <w:spacing/>
        <w:ind w:right="-1"/>
        <w:jc w:val="center"/>
        <w:rPr>
          <w:b/>
          <w:bCs/>
          <w:sz w:val="28"/>
          <w:szCs w:val="28"/>
        </w:rPr>
      </w:pPr>
      <w:r>
        <w:rPr>
          <w:b/>
          <w:sz w:val="28"/>
        </w:rPr>
      </w:r>
      <w:r>
        <w:rPr>
          <w:b/>
          <w:bCs/>
          <w:sz w:val="28"/>
          <w:szCs w:val="28"/>
        </w:rPr>
      </w:r>
      <w:r>
        <w:rPr>
          <w:b/>
          <w:bCs/>
          <w:sz w:val="28"/>
          <w:szCs w:val="28"/>
        </w:rPr>
      </w:r>
    </w:p>
    <w:p>
      <w:pPr>
        <w:pBdr/>
        <w:spacing/>
        <w:ind w:right="-1"/>
        <w:jc w:val="center"/>
        <w:rPr>
          <w:b/>
          <w:bCs/>
          <w:sz w:val="28"/>
          <w:szCs w:val="28"/>
        </w:rPr>
      </w:pPr>
      <w:r>
        <w:rPr>
          <w:b/>
          <w:sz w:val="28"/>
        </w:rPr>
      </w:r>
      <w:r>
        <w:rPr>
          <w:b/>
          <w:bCs/>
          <w:sz w:val="28"/>
          <w:szCs w:val="28"/>
        </w:rPr>
      </w:r>
      <w:r>
        <w:rPr>
          <w:b/>
          <w:bCs/>
          <w:sz w:val="28"/>
          <w:szCs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4858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8589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275/2026/0575/VFI-CT.65.A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r>
                            <w:r>
                              <w:rPr>
                                <w:rFonts w:ascii="Times New Roman Bold" w:hAnsi="Times New Roman Bold"/>
                                <w:b/>
                                <w:lang w:val="pt-BR"/>
                              </w:rPr>
                              <w:t xml:space="preserve">Khách</w:t>
                            </w:r>
                            <w:r>
                              <w:rPr>
                                <w:rFonts w:ascii="Times New Roman Bold" w:hAnsi="Times New Roman Bold"/>
                                <w:b/>
                                <w:lang w:val="pt-BR"/>
                              </w:rPr>
                              <w:t xml:space="preserve"> hàng yêu cầu: </w:t>
                            </w:r>
                            <w:r>
                              <w:rPr>
                                <w:rFonts w:ascii="Times New Roman Bold" w:hAnsi="Times New Roman Bold"/>
                                <w:b/>
                                <w:color w:val="000000" w:themeColor="text1"/>
                                <w:lang w:val="pt-BR"/>
                              </w:rPr>
                              <w:t xml:space="preserve">BÀ NGUYỄN THỊ THUỲ OANH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iCs/>
                                <w:color w:val="000000"/>
                              </w:rPr>
                            </w:pPr>
                            <w:r>
                              <w:rPr>
                                <w:b/>
                              </w:rPr>
                              <w:t xml:space="preserve">Tài sản thẩm </w:t>
                            </w:r>
                            <w:r>
                              <w:rPr>
                                <w:b/>
                              </w:rPr>
                              <w:t xml:space="preserve">định: </w:t>
                            </w:r>
                            <w:r>
                              <w:rPr>
                                <w:iCs/>
                                <w:color w:val="000000"/>
                              </w:rPr>
                            </w:r>
                            <w:r>
                              <w:rPr>
                                <w:iCs/>
                                <w:color w:val="000000"/>
                              </w:rPr>
                            </w:r>
                          </w:p>
                          <w:p>
                            <w:pPr>
                              <w:pBdr/>
                              <w:spacing w:after="120" w:before="120" w:line="360" w:lineRule="auto"/>
                              <w:ind/>
                              <w:jc w:val="both"/>
                              <w:rPr>
                                <w:color w:val="000000"/>
                              </w:rPr>
                            </w:pPr>
                            <w:r>
                              <w:rPr>
                                <w:b/>
                                <w:bCs/>
                                <w:color w:val="000000"/>
                              </w:rPr>
                              <w:t xml:space="preserve">Tài sản 01:</w:t>
                            </w:r>
                            <w:r>
                              <w:rPr>
                                <w:color w:val="000000"/>
                              </w:rPr>
                              <w:t xml:space="preserve"> Quyền sử dụng đất, </w:t>
                            </w:r>
                            <w:r>
                              <w:rPr>
                                <w:color w:val="000000"/>
                              </w:rPr>
                              <w:t xml:space="preserve">quyền sở hữu tài sản gắn liền với đất</w:t>
                            </w:r>
                            <w:r>
                              <w:rPr>
                                <w:color w:val="000000"/>
                                <w:highlight w:val="none"/>
                              </w:rPr>
                              <w:t xml:space="preserve"> </w:t>
                            </w:r>
                            <w:r>
                              <w:rPr>
                                <w:color w:val="000000"/>
                              </w:rPr>
                              <w:t xml:space="preserve">tại thửa đất số: 76, tờ bản đồ số: 37 có địa chỉ: theo Giấy chứng nhận quyền sử dụng đất, quyền sở hữu tài sản gắn liề</w:t>
                            </w:r>
                            <w:r>
                              <w:rPr>
                                <w:color w:val="000000"/>
                              </w:rPr>
                              <w:t xml:space="preserve">n với đất số: AA 03740904, số vào sổ cấp GCN: CN 01073 do Chi nhánh văn phòng đăng ký đất đai khu vực liên xã An Phú cấp ngày 07/10/2025, Chủ sử dụng đất là Bà Nguyễn Thị Thuỳ Oanh. </w:t>
                            </w:r>
                            <w:r>
                              <w:rPr>
                                <w:color w:val="000000"/>
                              </w:rPr>
                            </w:r>
                            <w:r>
                              <w:rPr>
                                <w:color w:val="000000"/>
                              </w:rPr>
                            </w:r>
                          </w:p>
                          <w:p>
                            <w:pPr>
                              <w:pBdr/>
                              <w:spacing w:after="120" w:before="120" w:line="360" w:lineRule="auto"/>
                              <w:ind/>
                              <w:jc w:val="both"/>
                              <w:rPr>
                                <w:bCs/>
                                <w:i/>
                              </w:rPr>
                            </w:pPr>
                            <w:r>
                              <w:rPr>
                                <w:b/>
                                <w:bCs/>
                                <w:color w:val="000000"/>
                              </w:rPr>
                              <w:t xml:space="preserve">Tài sản 02: </w:t>
                            </w:r>
                            <w:r>
                              <w:rPr>
                                <w:color w:val="000000"/>
                              </w:rPr>
                              <w:t xml:space="preserve">Quyền sử dụng đất tại thửa đất số: 75, tờ bản đồ số: 37 có địa</w:t>
                            </w:r>
                            <w:r>
                              <w:rPr>
                                <w:color w:val="000000"/>
                              </w:rPr>
                              <w:t xml:space="preserve"> chỉ:  theo Giấy chứng nhận quyền sử dụng đất, quyền sở hữu tài sản gắn liền với đất số: AA 03740903, số vào sổ cấp GCN: CN 01072 do Chi nhánh văn phòng đăng ký đất đai khu vực liên xã An Phú cấp ngày 07/10/2025, Chủ sử dụng đất là Bà Nguyễn Thị Thuỳ Oanh.</w:t>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82.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275/2026/0575/VFI-CT.65.A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r>
                      <w:r>
                        <w:rPr>
                          <w:rFonts w:ascii="Times New Roman Bold" w:hAnsi="Times New Roman Bold"/>
                          <w:b/>
                          <w:lang w:val="pt-BR"/>
                        </w:rPr>
                        <w:t xml:space="preserve">Khách</w:t>
                      </w:r>
                      <w:r>
                        <w:rPr>
                          <w:rFonts w:ascii="Times New Roman Bold" w:hAnsi="Times New Roman Bold"/>
                          <w:b/>
                          <w:lang w:val="pt-BR"/>
                        </w:rPr>
                        <w:t xml:space="preserve"> hàng yêu cầu: </w:t>
                      </w:r>
                      <w:r>
                        <w:rPr>
                          <w:rFonts w:ascii="Times New Roman Bold" w:hAnsi="Times New Roman Bold"/>
                          <w:b/>
                          <w:color w:val="000000" w:themeColor="text1"/>
                          <w:lang w:val="pt-BR"/>
                        </w:rPr>
                        <w:t xml:space="preserve">BÀ NGUYỄN THỊ THUỲ OANH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iCs/>
                          <w:color w:val="000000"/>
                        </w:rPr>
                      </w:pPr>
                      <w:r>
                        <w:rPr>
                          <w:b/>
                        </w:rPr>
                        <w:t xml:space="preserve">Tài sản thẩm </w:t>
                      </w:r>
                      <w:r>
                        <w:rPr>
                          <w:b/>
                        </w:rPr>
                        <w:t xml:space="preserve">định: </w:t>
                      </w:r>
                      <w:r>
                        <w:rPr>
                          <w:iCs/>
                          <w:color w:val="000000"/>
                        </w:rPr>
                      </w:r>
                      <w:r>
                        <w:rPr>
                          <w:iCs/>
                          <w:color w:val="000000"/>
                        </w:rPr>
                      </w:r>
                    </w:p>
                    <w:p>
                      <w:pPr>
                        <w:pBdr/>
                        <w:spacing w:after="120" w:before="120" w:line="360" w:lineRule="auto"/>
                        <w:ind/>
                        <w:jc w:val="both"/>
                        <w:rPr>
                          <w:color w:val="000000"/>
                        </w:rPr>
                      </w:pPr>
                      <w:r>
                        <w:rPr>
                          <w:b/>
                          <w:bCs/>
                          <w:color w:val="000000"/>
                        </w:rPr>
                        <w:t xml:space="preserve">Tài sản 01:</w:t>
                      </w:r>
                      <w:r>
                        <w:rPr>
                          <w:color w:val="000000"/>
                        </w:rPr>
                        <w:t xml:space="preserve"> Quyền sử dụng đất, </w:t>
                      </w:r>
                      <w:r>
                        <w:rPr>
                          <w:color w:val="000000"/>
                        </w:rPr>
                        <w:t xml:space="preserve">quyền sở hữu tài sản gắn liền với đất</w:t>
                      </w:r>
                      <w:r>
                        <w:rPr>
                          <w:color w:val="000000"/>
                          <w:highlight w:val="none"/>
                        </w:rPr>
                        <w:t xml:space="preserve"> </w:t>
                      </w:r>
                      <w:r>
                        <w:rPr>
                          <w:color w:val="000000"/>
                        </w:rPr>
                        <w:t xml:space="preserve">tại thửa đất số: 76, tờ bản đồ số: 37 có địa chỉ: theo Giấy chứng nhận quyền sử dụng đất, quyền sở hữu tài sản gắn liề</w:t>
                      </w:r>
                      <w:r>
                        <w:rPr>
                          <w:color w:val="000000"/>
                        </w:rPr>
                        <w:t xml:space="preserve">n với đất số: AA 03740904, số vào sổ cấp GCN: CN 01073 do Chi nhánh văn phòng đăng ký đất đai khu vực liên xã An Phú cấp ngày 07/10/2025, Chủ sử dụng đất là Bà Nguyễn Thị Thuỳ Oanh. </w:t>
                      </w:r>
                      <w:r>
                        <w:rPr>
                          <w:color w:val="000000"/>
                        </w:rPr>
                      </w:r>
                      <w:r>
                        <w:rPr>
                          <w:color w:val="000000"/>
                        </w:rPr>
                      </w:r>
                    </w:p>
                    <w:p>
                      <w:pPr>
                        <w:pBdr/>
                        <w:spacing w:after="120" w:before="120" w:line="360" w:lineRule="auto"/>
                        <w:ind/>
                        <w:jc w:val="both"/>
                        <w:rPr>
                          <w:bCs/>
                          <w:i/>
                        </w:rPr>
                      </w:pPr>
                      <w:r>
                        <w:rPr>
                          <w:b/>
                          <w:bCs/>
                          <w:color w:val="000000"/>
                        </w:rPr>
                        <w:t xml:space="preserve">Tài sản 02: </w:t>
                      </w:r>
                      <w:r>
                        <w:rPr>
                          <w:color w:val="000000"/>
                        </w:rPr>
                        <w:t xml:space="preserve">Quyền sử dụng đất tại thửa đất số: 75, tờ bản đồ số: 37 có địa</w:t>
                      </w:r>
                      <w:r>
                        <w:rPr>
                          <w:color w:val="000000"/>
                        </w:rPr>
                        <w:t xml:space="preserve"> chỉ:  theo Giấy chứng nhận quyền sử dụng đất, quyền sở hữu tài sản gắn liền với đất số: AA 03740903, số vào sổ cấp GCN: CN 01072 do Chi nhánh văn phòng đăng ký đất đai khu vực liên xã An Phú cấp ngày 07/10/2025, Chủ sử dụng đất là Bà Nguyễn Thị Thuỳ Oanh.</w:t>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4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4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623" w:type="dxa"/>
        <w:tblBorders/>
        <w:tblLayout w:type="fixed"/>
        <w:tblLook w:val="04A0" w:firstRow="1" w:lastRow="0" w:firstColumn="1" w:lastColumn="0" w:noHBand="0" w:noVBand="1"/>
      </w:tblPr>
      <w:tblGrid>
        <w:gridCol w:w="29"/>
        <w:gridCol w:w="1559"/>
        <w:gridCol w:w="2835"/>
        <w:gridCol w:w="5201"/>
      </w:tblGrid>
      <w:tr>
        <w:trPr>
          <w:trHeight w:val="1842"/>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03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3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16"/>
        </w:trPr>
        <w:tc>
          <w:tcPr>
            <w:gridSpan w:val="2"/>
            <w:shd w:val="clear" w:color="auto" w:fill="auto"/>
            <w:tcBorders/>
            <w:tcMar>
              <w:left w:w="108" w:type="dxa"/>
              <w:top w:w="0" w:type="dxa"/>
              <w:right w:w="108" w:type="dxa"/>
              <w:bottom w:w="0" w:type="dxa"/>
            </w:tcMar>
            <w:tcW w:w="4394" w:type="dxa"/>
            <w:textDirection w:val="lrTb"/>
            <w:noWrap w:val="false"/>
          </w:tcPr>
          <w:p>
            <w:pPr>
              <w:pStyle w:val="1046"/>
              <w:pBdr/>
              <w:spacing w:after="60"/>
              <w:ind/>
              <w:rPr>
                <w:color w:val="000000" w:themeColor="text1"/>
                <w:sz w:val="24"/>
                <w:szCs w:val="24"/>
              </w:rPr>
            </w:pPr>
            <w:r>
              <w:rPr>
                <w:rStyle w:val="1045"/>
                <w:rFonts w:ascii="Times New Roman" w:hAnsi="Times New Roman"/>
                <w:color w:val="000000" w:themeColor="text1"/>
                <w:lang w:val="pt-BR"/>
              </w:rPr>
              <w:t xml:space="preserve">Số: </w:t>
            </w:r>
            <w:r>
              <w:rPr>
                <w:rStyle w:val="1045"/>
                <w:rFonts w:ascii="Times New Roman" w:hAnsi="Times New Roman"/>
                <w:color w:val="000000" w:themeColor="text1"/>
                <w:lang w:val="pt-BR"/>
              </w:rPr>
              <w:t xml:space="preserve">275/2026/0575/VFI-CT.65.A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201" w:type="dxa"/>
            <w:textDirection w:val="lrTb"/>
            <w:noWrap w:val="false"/>
          </w:tcPr>
          <w:p>
            <w:pPr>
              <w:pStyle w:val="1046"/>
              <w:pBdr/>
              <w:spacing w:after="60"/>
              <w:ind w:right="-56"/>
              <w:jc w:val="right"/>
              <w:rPr>
                <w:color w:val="000000" w:themeColor="text1"/>
                <w:sz w:val="24"/>
                <w:szCs w:val="24"/>
                <w:lang w:val="vi-VN"/>
              </w:rPr>
            </w:pPr>
            <w:r>
              <w:rPr>
                <w:rStyle w:val="1045"/>
                <w:rFonts w:ascii="Times New Roman" w:hAnsi="Times New Roman"/>
                <w:i/>
                <w:color w:val="auto"/>
              </w:rPr>
              <w:t xml:space="preserve">TP. Hà Nội</w:t>
            </w:r>
            <w:r>
              <w:rPr>
                <w:rStyle w:val="1045"/>
                <w:rFonts w:ascii="Times New Roman" w:hAnsi="Times New Roman"/>
                <w:i/>
                <w:color w:val="auto"/>
                <w:lang w:val="vi-VN"/>
              </w:rPr>
              <w:t xml:space="preserve">, </w:t>
            </w:r>
            <w:r>
              <w:rPr>
                <w:rStyle w:val="1045"/>
                <w:rFonts w:ascii="Times New Roman" w:hAnsi="Times New Roman"/>
                <w:i/>
                <w:color w:val="000000" w:themeColor="text1"/>
                <w:lang w:val="vi-VN"/>
              </w:rPr>
              <w:t xml:space="preserve">ngày 14 tháng 4 năm 2026</w:t>
            </w:r>
            <w:r>
              <w:rPr>
                <w:color w:val="000000" w:themeColor="text1"/>
                <w:sz w:val="24"/>
                <w:szCs w:val="24"/>
                <w:lang w:val="vi-VN"/>
              </w:rPr>
            </w:r>
            <w:r>
              <w:rPr>
                <w:color w:val="000000" w:themeColor="text1"/>
                <w:sz w:val="24"/>
                <w:szCs w:val="24"/>
                <w:lang w:val="vi-VN"/>
              </w:rPr>
            </w:r>
          </w:p>
        </w:tc>
      </w:tr>
    </w:tbl>
    <w:p>
      <w:pPr>
        <w:pStyle w:val="1046"/>
        <w:pBdr/>
        <w:spacing w:after="120" w:before="200" w:line="288" w:lineRule="auto"/>
        <w:ind/>
        <w:jc w:val="center"/>
        <w:rPr>
          <w:rStyle w:val="1045"/>
          <w:rFonts w:ascii="Times New Roman" w:hAnsi="Times New Roman"/>
          <w:b/>
          <w:bCs/>
          <w:color w:val="auto"/>
          <w:sz w:val="30"/>
          <w:szCs w:val="30"/>
          <w:lang w:val="vi-VN"/>
        </w:rPr>
      </w:pPr>
      <w:r>
        <w:rPr>
          <w:rStyle w:val="1045"/>
          <w:rFonts w:ascii="Times New Roman" w:hAnsi="Times New Roman"/>
          <w:b/>
          <w:bCs/>
          <w:color w:val="auto"/>
          <w:sz w:val="30"/>
          <w:szCs w:val="30"/>
          <w:lang w:val="vi-VN"/>
        </w:rPr>
        <w:t xml:space="preserve">CHỨNG THƯ THẨM ĐỊNH GIÁ</w:t>
      </w:r>
      <w:r>
        <w:rPr>
          <w:rStyle w:val="1045"/>
          <w:rFonts w:ascii="Times New Roman" w:hAnsi="Times New Roman"/>
          <w:b/>
          <w:bCs/>
          <w:color w:val="auto"/>
          <w:sz w:val="30"/>
          <w:szCs w:val="30"/>
          <w:lang w:val="vi-VN"/>
        </w:rPr>
      </w:r>
      <w:r>
        <w:rPr>
          <w:rStyle w:val="104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THUỲ OANH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275/2026/0575/VFI-HĐTĐ.65.A</w:t>
      </w:r>
      <w:r>
        <w:rPr>
          <w:spacing w:val="-4"/>
          <w:lang w:val="vi-VN"/>
        </w:rPr>
        <w:t xml:space="preserve"> ký ngày </w:t>
      </w:r>
      <w:r>
        <w:rPr>
          <w:color w:val="000000" w:themeColor="text1"/>
          <w:spacing w:val="-4"/>
        </w:rPr>
        <w:t xml:space="preserve">12 tháng 4 năm 2026</w:t>
      </w:r>
      <w:r>
        <w:rPr>
          <w:spacing w:val="-4"/>
          <w:lang w:val="vi-VN"/>
        </w:rPr>
        <w:t xml:space="preserve"> </w:t>
      </w:r>
      <w:r>
        <w:rPr>
          <w:spacing w:val="-4"/>
          <w:lang w:val="vi-VN"/>
        </w:rPr>
        <w:t xml:space="preserve">giữa </w:t>
      </w:r>
      <w:r>
        <w:rPr>
          <w:color w:val="000000" w:themeColor="text1"/>
          <w:spacing w:val="-4"/>
        </w:rPr>
        <w:t xml:space="preserve">BÀ NGUYỄN THỊ THUỲ OANH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275/2026/0575/VFI-BC.65.A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18 tháng 4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276" w:lineRule="auto"/>
              <w:ind w:right="0" w:firstLine="0" w:left="0"/>
              <w:jc w:val="both"/>
              <w:rPr/>
            </w:pPr>
            <w:r>
              <w:rPr>
                <w:rFonts w:ascii="Times New Roman" w:hAnsi="Times New Roman" w:eastAsia="Times New Roman" w:cs="Times New Roman"/>
                <w:b/>
                <w:color w:val="000000"/>
                <w:sz w:val="24"/>
              </w:rPr>
              <w:t xml:space="preserve">BÀ NGUYỄN THỊ THUỲ OANH</w:t>
            </w:r>
            <w:r/>
          </w:p>
        </w:tc>
      </w:tr>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276" w:lineRule="auto"/>
              <w:ind w:right="0" w:firstLine="0" w:left="0"/>
              <w:jc w:val="both"/>
              <w:rPr/>
            </w:pPr>
            <w:r>
              <w:rPr>
                <w:rFonts w:ascii="Times New Roman" w:hAnsi="Times New Roman" w:eastAsia="Times New Roman" w:cs="Times New Roman"/>
                <w:color w:val="000000"/>
                <w:sz w:val="24"/>
              </w:rPr>
              <w:t xml:space="preserve">CCCD</w:t>
            </w:r>
            <w:r/>
          </w:p>
        </w:tc>
        <w:tc>
          <w:tcPr>
            <w:shd w:val="clear" w:color="auto" w:fill="auto"/>
            <w:tcBorders/>
            <w:tcW w:w="472"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line="276" w:lineRule="auto"/>
              <w:ind w:right="0" w:firstLine="0" w:left="0"/>
              <w:jc w:val="both"/>
              <w:rPr/>
            </w:pPr>
            <w:r>
              <w:rPr>
                <w:rFonts w:ascii="Times New Roman" w:hAnsi="Times New Roman" w:eastAsia="Times New Roman" w:cs="Times New Roman"/>
                <w:color w:val="000000"/>
                <w:sz w:val="24"/>
              </w:rPr>
              <w:t xml:space="preserve">089181001475</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color w:val="000000" w:themeColor="text1"/>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r>
      <w:r>
        <w:rPr>
          <w:color w:val="000000" w:themeColor="text1"/>
        </w:rPr>
      </w:r>
    </w:p>
    <w:p>
      <w:pPr>
        <w:pBdr/>
        <w:spacing w:after="120" w:before="120" w:line="312" w:lineRule="auto"/>
        <w:ind/>
        <w:jc w:val="both"/>
        <w:rPr>
          <w:color w:val="000000" w:themeColor="text1"/>
        </w:rPr>
      </w:pPr>
      <w:r>
        <w:rPr>
          <w:b/>
          <w:bCs/>
          <w:color w:val="000000" w:themeColor="text1"/>
        </w:rPr>
        <w:t xml:space="preserve">Tài sản 01</w:t>
      </w:r>
      <w:r>
        <w:rPr>
          <w:color w:val="000000" w:themeColor="text1"/>
        </w:rPr>
        <w:t xml:space="preserve">: Quyền sử dụng đất, </w:t>
      </w:r>
      <w:r>
        <w:rPr>
          <w:color w:val="000000"/>
        </w:rPr>
        <w:t xml:space="preserve">quyền sở hữu tài sản gắn liền với đất</w:t>
      </w:r>
      <w:r>
        <w:rPr>
          <w:color w:val="000000" w:themeColor="text1"/>
        </w:rPr>
        <w:t xml:space="preserve"> tại thửa đất số: 76, tờ bản đồ số: 37 có địa chỉ:  theo Giấy chứng nhận quyền sử dụng đất, quyền sở hữu tài sản gắn liề</w:t>
      </w:r>
      <w:r>
        <w:rPr>
          <w:color w:val="000000" w:themeColor="text1"/>
        </w:rPr>
        <w:t xml:space="preserve">n với đất số: AA 03740904, số vào sổ cấp GCN: CN 01073 do Chi nhánh văn phòng đăng ký đất đai khu vực liên xã An Phú cấp ngày 07/10/2025, Chủ sử dụng đất là Bà Nguyễn Thị Thuỳ Oanh. </w:t>
      </w:r>
      <w:r>
        <w:rPr>
          <w:color w:val="000000" w:themeColor="text1"/>
        </w:rPr>
      </w:r>
      <w:r>
        <w:rPr>
          <w:color w:val="000000" w:themeColor="text1"/>
        </w:rPr>
      </w:r>
    </w:p>
    <w:p>
      <w:pPr>
        <w:pBdr/>
        <w:spacing w:after="120" w:before="120" w:line="312" w:lineRule="auto"/>
        <w:ind/>
        <w:jc w:val="both"/>
        <w:rPr>
          <w:b/>
          <w:bCs/>
        </w:rPr>
      </w:pPr>
      <w:r>
        <w:rPr>
          <w:b/>
          <w:bCs/>
          <w:color w:val="000000" w:themeColor="text1"/>
        </w:rPr>
        <w:t xml:space="preserve">Tài sản 02: </w:t>
      </w:r>
      <w:r>
        <w:rPr>
          <w:color w:val="000000" w:themeColor="text1"/>
        </w:rPr>
        <w:t xml:space="preserve">Quyền sử dụng đất tại thửa đất số: 75, tờ bản đồ số: 37 có địa</w:t>
      </w:r>
      <w:r>
        <w:rPr>
          <w:color w:val="000000" w:themeColor="text1"/>
        </w:rPr>
        <w:t xml:space="preserve"> chỉ:  theo Giấy chứng nhận quyền sử dụng đất, quyền sở hữu tài sản gắn liền với đất số: AA 03740903, số vào sổ cấp GCN: CN 01072 do Chi nhánh văn phòng đăng ký đất đai khu vực liên xã An Phú cấp ngày 07/10/2025, Chủ sử dụng đất là Bà Nguyễn Thị Thuỳ Oanh.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04/2026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04/2026</w:t>
      </w:r>
      <w:r>
        <w:rPr>
          <w:lang w:val="vi-VN"/>
        </w:rPr>
        <w:t xml:space="preserve"> ước tính</w:t>
      </w:r>
      <w:r>
        <w:t xml:space="preserve"> </w:t>
      </w:r>
      <w:r>
        <w:rPr>
          <w:lang w:val="vi-VN"/>
        </w:rPr>
        <w:t xml:space="preserve">như sau:</w:t>
      </w:r>
      <w:r/>
    </w:p>
    <w:tbl>
      <w:tblPr>
        <w:tblStyle w:val="105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047"/>
        <w:gridCol w:w="3039"/>
        <w:gridCol w:w="1799"/>
        <w:gridCol w:w="1806"/>
        <w:gridCol w:w="955"/>
        <w:gridCol w:w="2069"/>
      </w:tblGrid>
      <w:tr>
        <w:trPr>
          <w:trHeight w:val="93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04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303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7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0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5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CLCL (%)</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06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(đồng)</w:t>
            </w:r>
            <w:r/>
          </w:p>
        </w:tc>
      </w:tr>
      <w:tr>
        <w:trPr>
          <w:trHeight w:val="154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104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01</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7599" w:type="dxa"/>
            <w:vAlign w:val="center"/>
            <w:textDirection w:val="lrTb"/>
            <w:noWrap w:val="false"/>
          </w:tcPr>
          <w:p>
            <w:pPr>
              <w:pBdr/>
              <w:spacing w:after="0" w:before="0" w:line="240" w:lineRule="auto"/>
              <w:ind w:right="90" w:firstLine="0" w:left="180"/>
              <w:jc w:val="both"/>
              <w:rPr/>
            </w:pPr>
            <w:r>
              <w:rPr>
                <w:rFonts w:ascii="Times New Roman" w:hAnsi="Times New Roman" w:eastAsia="Times New Roman" w:cs="Times New Roman"/>
                <w:b/>
                <w:color w:val="000000"/>
                <w:sz w:val="24"/>
              </w:rPr>
              <w:t xml:space="preserve">Quyền sử dụng đất</w:t>
            </w:r>
            <w:r>
              <w:rPr>
                <w:rFonts w:ascii="Times New Roman" w:hAnsi="Times New Roman" w:eastAsia="Times New Roman" w:cs="Times New Roman"/>
                <w:b/>
                <w:color w:val="000000"/>
                <w:sz w:val="24"/>
                <w:highlight w:val="none"/>
              </w:rPr>
              <w:t xml:space="preserve">, quyền sở hữu tài sản gắn liền với đất</w:t>
            </w:r>
            <w:r>
              <w:rPr>
                <w:rFonts w:ascii="Times New Roman" w:hAnsi="Times New Roman" w:eastAsia="Times New Roman" w:cs="Times New Roman"/>
                <w:b/>
                <w:color w:val="000000"/>
                <w:sz w:val="24"/>
              </w:rPr>
              <w:t xml:space="preserve"> tại thửa đất số: 76, tờ bản đồ số: 37 có địa chỉ:  theo Giấy chứng nhận quyền sử dụng đất, quyền sở hữu tài sản gắn liền với đất số: AA 03740904, số vào sổ cấp GCN: CN 01073 do Chi nhánh văn phòng đăng ký đất đai khu vực liên xã An Phú cấ</w:t>
            </w:r>
            <w:r>
              <w:rPr>
                <w:rFonts w:ascii="Times New Roman" w:hAnsi="Times New Roman" w:eastAsia="Times New Roman" w:cs="Times New Roman"/>
                <w:b/>
                <w:color w:val="000000"/>
                <w:sz w:val="24"/>
              </w:rPr>
              <w:t xml:space="preserve">p ngày 07/10/2025, Chủ sử dụng đất là Bà Nguyễn Thị Thuỳ Oanh.</w:t>
            </w:r>
            <w:r>
              <w:rPr>
                <w:rFonts w:ascii="Times New Roman" w:hAnsi="Times New Roman" w:eastAsia="Times New Roman" w:cs="Times New Roman"/>
                <w:b/>
                <w:color w:val="000000"/>
                <w:sz w:val="24"/>
              </w:rPr>
            </w:r>
            <w:r/>
          </w:p>
        </w:tc>
        <w:tc>
          <w:tcPr>
            <w:shd w:val="clear" w:color="ffffff" w:fill="ffffff"/>
            <w:tcBorders>
              <w:bottom w:val="single" w:color="000000" w:sz="6" w:space="0"/>
              <w:right w:val="single" w:color="000000" w:sz="6" w:space="0"/>
            </w:tcBorders>
            <w:tcMar>
              <w:left w:w="0" w:type="dxa"/>
              <w:top w:w="0" w:type="dxa"/>
              <w:right w:w="0" w:type="dxa"/>
              <w:bottom w:w="0" w:type="dxa"/>
            </w:tcMar>
            <w:tcW w:w="2069" w:type="dxa"/>
            <w:vAlign w:val="center"/>
            <w:textDirection w:val="lrTb"/>
            <w:noWrap w:val="false"/>
          </w:tcPr>
          <w:p>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104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303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Quyền sử dụng </w:t>
            </w:r>
            <w:r>
              <w:rPr>
                <w:rFonts w:ascii="Times New Roman" w:hAnsi="Times New Roman" w:eastAsia="Times New Roman" w:cs="Times New Roman"/>
                <w:color w:val="000000"/>
                <w:sz w:val="24"/>
              </w:rPr>
              <w:t xml:space="preserve">đất cơ sở sản xuất phi nông nghiệp </w:t>
            </w:r>
            <w:r>
              <w:rPr>
                <w:rFonts w:ascii="Times New Roman" w:hAnsi="Times New Roman" w:eastAsia="Times New Roman" w:cs="Times New Roman"/>
                <w:color w:val="000000"/>
                <w:sz w:val="24"/>
              </w:rPr>
              <w:t xml:space="preserve">nằm ngoài quy hoạch đất giao thông</w:t>
            </w:r>
            <w:r/>
          </w:p>
        </w:tc>
        <w:tc>
          <w:tcPr>
            <w:tcBorders>
              <w:bottom w:val="single" w:color="000000" w:sz="6" w:space="0"/>
              <w:right w:val="single" w:color="000000" w:sz="6" w:space="0"/>
            </w:tcBorders>
            <w:tcMar>
              <w:left w:w="0" w:type="dxa"/>
              <w:top w:w="0" w:type="dxa"/>
              <w:right w:w="0" w:type="dxa"/>
              <w:bottom w:w="0" w:type="dxa"/>
            </w:tcMar>
            <w:tcW w:w="179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845,3</w:t>
            </w:r>
            <w:r/>
          </w:p>
        </w:tc>
        <w:tc>
          <w:tcPr>
            <w:shd w:val="clear" w:color="ffffff" w:fill="ffffff"/>
            <w:tcBorders>
              <w:bottom w:val="single" w:color="000000" w:sz="6" w:space="0"/>
              <w:right w:val="single" w:color="000000" w:sz="6" w:space="0"/>
            </w:tcBorders>
            <w:tcMar>
              <w:left w:w="0" w:type="dxa"/>
              <w:top w:w="0" w:type="dxa"/>
              <w:right w:w="0" w:type="dxa"/>
              <w:bottom w:w="0" w:type="dxa"/>
            </w:tcMar>
            <w:tcW w:w="180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5.158.800</w:t>
            </w:r>
            <w:r/>
          </w:p>
        </w:tc>
        <w:tc>
          <w:tcPr>
            <w:shd w:val="clear" w:color="ffffff" w:fill="ffffff"/>
            <w:tcBorders>
              <w:bottom w:val="single" w:color="000000" w:sz="6" w:space="0"/>
              <w:right w:val="single" w:color="000000" w:sz="6" w:space="0"/>
            </w:tcBorders>
            <w:tcMar>
              <w:left w:w="0" w:type="dxa"/>
              <w:top w:w="0" w:type="dxa"/>
              <w:right w:w="0" w:type="dxa"/>
              <w:bottom w:w="0" w:type="dxa"/>
            </w:tcMar>
            <w:tcW w:w="95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069" w:type="dxa"/>
            <w:vAlign w:val="center"/>
            <w:textDirection w:val="lrTb"/>
            <w:noWrap w:val="false"/>
          </w:tcPr>
          <w:p>
            <w:pPr>
              <w:pBdr/>
              <w:spacing w:after="0" w:before="0" w:line="240" w:lineRule="auto"/>
              <w:ind w:right="129" w:firstLine="0" w:left="0"/>
              <w:jc w:val="right"/>
              <w:rPr/>
            </w:pPr>
            <w:r>
              <w:rPr>
                <w:rFonts w:ascii="Times New Roman" w:hAnsi="Times New Roman" w:eastAsia="Times New Roman" w:cs="Times New Roman"/>
                <w:color w:val="000000"/>
                <w:sz w:val="24"/>
              </w:rPr>
              <w:t xml:space="preserve">4.360.733.640</w:t>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104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303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Quyền sử dụng đất </w:t>
            </w:r>
            <w:r>
              <w:rPr>
                <w:rFonts w:ascii="Times New Roman" w:hAnsi="Times New Roman" w:eastAsia="Times New Roman" w:cs="Times New Roman"/>
                <w:color w:val="000000"/>
                <w:sz w:val="24"/>
              </w:rPr>
              <w:t xml:space="preserve">đất cơ sở sản xuất phi nông nghiệp</w:t>
            </w:r>
            <w:r>
              <w:rPr>
                <w:rFonts w:ascii="Times New Roman" w:hAnsi="Times New Roman" w:eastAsia="Times New Roman" w:cs="Times New Roman"/>
                <w:color w:val="000000"/>
                <w:sz w:val="24"/>
              </w:rPr>
              <w:t xml:space="preserve"> nằm trong quy hoạch đất giao thông</w:t>
            </w:r>
            <w:r/>
          </w:p>
        </w:tc>
        <w:tc>
          <w:tcPr>
            <w:tcBorders>
              <w:bottom w:val="single" w:color="000000" w:sz="6" w:space="0"/>
              <w:right w:val="single" w:color="000000" w:sz="6" w:space="0"/>
            </w:tcBorders>
            <w:tcMar>
              <w:left w:w="0" w:type="dxa"/>
              <w:top w:w="0" w:type="dxa"/>
              <w:right w:w="0" w:type="dxa"/>
              <w:bottom w:w="0" w:type="dxa"/>
            </w:tcMar>
            <w:tcW w:w="179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64</w:t>
            </w:r>
            <w:r/>
          </w:p>
        </w:tc>
        <w:tc>
          <w:tcPr>
            <w:shd w:val="clear" w:color="ffffff" w:fill="ffffff"/>
            <w:tcBorders>
              <w:bottom w:val="single" w:color="000000" w:sz="6" w:space="0"/>
              <w:right w:val="single" w:color="000000" w:sz="6" w:space="0"/>
            </w:tcBorders>
            <w:tcMar>
              <w:left w:w="0" w:type="dxa"/>
              <w:top w:w="0" w:type="dxa"/>
              <w:right w:w="0" w:type="dxa"/>
              <w:bottom w:w="0" w:type="dxa"/>
            </w:tcMar>
            <w:tcW w:w="180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663.000</w:t>
            </w:r>
            <w:r/>
          </w:p>
        </w:tc>
        <w:tc>
          <w:tcPr>
            <w:shd w:val="clear" w:color="ffffff" w:fill="ffffff"/>
            <w:tcBorders>
              <w:bottom w:val="single" w:color="000000" w:sz="6" w:space="0"/>
              <w:right w:val="single" w:color="000000" w:sz="6" w:space="0"/>
            </w:tcBorders>
            <w:tcMar>
              <w:left w:w="0" w:type="dxa"/>
              <w:top w:w="0" w:type="dxa"/>
              <w:right w:w="0" w:type="dxa"/>
              <w:bottom w:w="0" w:type="dxa"/>
            </w:tcMar>
            <w:tcW w:w="95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069" w:type="dxa"/>
            <w:vAlign w:val="center"/>
            <w:textDirection w:val="lrTb"/>
            <w:noWrap w:val="false"/>
          </w:tcPr>
          <w:p>
            <w:pPr>
              <w:pBdr/>
              <w:spacing w:after="0" w:before="0" w:line="240" w:lineRule="auto"/>
              <w:ind w:right="129" w:firstLine="0" w:left="0"/>
              <w:jc w:val="right"/>
              <w:rPr/>
            </w:pPr>
            <w:r>
              <w:rPr>
                <w:rFonts w:ascii="Times New Roman" w:hAnsi="Times New Roman" w:eastAsia="Times New Roman" w:cs="Times New Roman"/>
                <w:color w:val="000000"/>
                <w:sz w:val="24"/>
              </w:rPr>
              <w:t xml:space="preserve">42.432.000</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104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3039" w:type="dxa"/>
            <w:vAlign w:val="center"/>
            <w:textDirection w:val="lrTb"/>
            <w:noWrap w:val="false"/>
          </w:tcPr>
          <w:p>
            <w:pPr>
              <w:pBdr/>
              <w:spacing w:after="0" w:before="0" w:line="240" w:lineRule="auto"/>
              <w:ind w:right="0" w:firstLine="0" w:left="9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Tài sản gắn liền với đất</w:t>
            </w: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 </w:t>
            </w:r>
            <w:r/>
            <w:r/>
            <w:r>
              <w:rPr>
                <w:rFonts w:ascii="Times New Roman" w:hAnsi="Times New Roman" w:eastAsia="Times New Roman" w:cs="Times New Roman"/>
                <w:color w:val="000000"/>
                <w:sz w:val="24"/>
                <w:szCs w:val="24"/>
              </w:rPr>
            </w:r>
          </w:p>
        </w:tc>
        <w:tc>
          <w:tcPr>
            <w:tcBorders>
              <w:bottom w:val="single" w:color="000000" w:sz="6" w:space="0"/>
              <w:right w:val="single" w:color="000000" w:sz="6" w:space="0"/>
            </w:tcBorders>
            <w:tcMar>
              <w:left w:w="0" w:type="dxa"/>
              <w:top w:w="0" w:type="dxa"/>
              <w:right w:w="0" w:type="dxa"/>
              <w:bottom w:w="0" w:type="dxa"/>
            </w:tcMar>
            <w:tcW w:w="179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318</w:t>
            </w:r>
            <w:r/>
          </w:p>
        </w:tc>
        <w:tc>
          <w:tcPr>
            <w:shd w:val="clear" w:color="ffffff" w:fill="ffffff"/>
            <w:tcBorders>
              <w:bottom w:val="single" w:color="000000" w:sz="6" w:space="0"/>
              <w:right w:val="single" w:color="000000" w:sz="6" w:space="0"/>
            </w:tcBorders>
            <w:tcMar>
              <w:left w:w="0" w:type="dxa"/>
              <w:top w:w="0" w:type="dxa"/>
              <w:right w:w="0" w:type="dxa"/>
              <w:bottom w:w="0" w:type="dxa"/>
            </w:tcMar>
            <w:tcW w:w="180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6.353.199</w:t>
            </w:r>
            <w:r/>
          </w:p>
        </w:tc>
        <w:tc>
          <w:tcPr>
            <w:shd w:val="clear" w:color="ffffff" w:fill="ffffff"/>
            <w:tcBorders>
              <w:bottom w:val="single" w:color="000000" w:sz="6" w:space="0"/>
              <w:right w:val="single" w:color="000000" w:sz="6" w:space="0"/>
            </w:tcBorders>
            <w:tcMar>
              <w:left w:w="0" w:type="dxa"/>
              <w:top w:w="0" w:type="dxa"/>
              <w:right w:w="0" w:type="dxa"/>
              <w:bottom w:w="0" w:type="dxa"/>
            </w:tcMar>
            <w:tcW w:w="95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70%</w:t>
            </w:r>
            <w:r/>
          </w:p>
        </w:tc>
        <w:tc>
          <w:tcPr>
            <w:shd w:val="clear" w:color="ffffff" w:fill="ffffff"/>
            <w:tcBorders>
              <w:bottom w:val="single" w:color="000000" w:sz="6" w:space="0"/>
              <w:right w:val="single" w:color="000000" w:sz="6" w:space="0"/>
            </w:tcBorders>
            <w:tcMar>
              <w:left w:w="0" w:type="dxa"/>
              <w:top w:w="0" w:type="dxa"/>
              <w:right w:w="0" w:type="dxa"/>
              <w:bottom w:w="0" w:type="dxa"/>
            </w:tcMar>
            <w:tcW w:w="2069" w:type="dxa"/>
            <w:vAlign w:val="center"/>
            <w:textDirection w:val="lrTb"/>
            <w:noWrap w:val="false"/>
          </w:tcPr>
          <w:p>
            <w:pPr>
              <w:pBdr/>
              <w:spacing w:after="0" w:before="0" w:line="240" w:lineRule="auto"/>
              <w:ind w:right="129" w:firstLine="0" w:left="0"/>
              <w:jc w:val="right"/>
              <w:rPr/>
            </w:pPr>
            <w:r>
              <w:rPr>
                <w:rFonts w:ascii="Times New Roman" w:hAnsi="Times New Roman" w:eastAsia="Times New Roman" w:cs="Times New Roman"/>
                <w:color w:val="000000"/>
                <w:sz w:val="24"/>
              </w:rPr>
              <w:t xml:space="preserve">1.414.222.097</w:t>
            </w:r>
            <w:r/>
          </w:p>
        </w:tc>
      </w:tr>
      <w:tr>
        <w:trPr>
          <w:trHeight w:val="222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104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7599" w:type="dxa"/>
            <w:vAlign w:val="center"/>
            <w:textDirection w:val="lrTb"/>
            <w:noWrap w:val="false"/>
          </w:tcPr>
          <w:p>
            <w:pPr>
              <w:pBdr/>
              <w:spacing w:after="0" w:before="0" w:line="240" w:lineRule="auto"/>
              <w:ind w:right="95" w:firstLine="0" w:left="90"/>
              <w:jc w:val="both"/>
              <w:rPr/>
            </w:pPr>
            <w:r>
              <w:rPr>
                <w:rFonts w:ascii="Times New Roman" w:hAnsi="Times New Roman" w:eastAsia="Times New Roman" w:cs="Times New Roman"/>
                <w:b/>
                <w:color w:val="000000"/>
                <w:sz w:val="24"/>
              </w:rPr>
              <w:t xml:space="preserve">Quyền sử dụng đất tại thửa đất số: 75, tờ bản đồ số: 37 có địa chỉ:  theo Giấy chứng nhận quyền sử dụng đất, quyền sở hữu tài sản gắn liền với đất số: AA 03740903, số vào sổ cấp GCN: CN 01072 do Chi nhánh văn phòng đăng ký đất đai khu vực liên xã An Phú cấ</w:t>
            </w:r>
            <w:r>
              <w:rPr>
                <w:rFonts w:ascii="Times New Roman" w:hAnsi="Times New Roman" w:eastAsia="Times New Roman" w:cs="Times New Roman"/>
                <w:b/>
                <w:color w:val="000000"/>
                <w:sz w:val="24"/>
              </w:rPr>
              <w:t xml:space="preserve">p ngày 07/10/2025, Chủ sử dụng đất là Bà Nguyễn Thị Thuỳ Oanh</w:t>
            </w:r>
            <w:r/>
          </w:p>
        </w:tc>
        <w:tc>
          <w:tcPr>
            <w:shd w:val="clear" w:color="ffffff" w:fill="ffffff"/>
            <w:tcBorders>
              <w:bottom w:val="single" w:color="000000" w:sz="6" w:space="0"/>
              <w:right w:val="single" w:color="000000" w:sz="6" w:space="0"/>
            </w:tcBorders>
            <w:tcMar>
              <w:left w:w="0" w:type="dxa"/>
              <w:top w:w="0" w:type="dxa"/>
              <w:right w:w="0" w:type="dxa"/>
              <w:bottom w:w="0" w:type="dxa"/>
            </w:tcMar>
            <w:tcW w:w="2069" w:type="dxa"/>
            <w:vAlign w:val="center"/>
            <w:textDirection w:val="lrTb"/>
            <w:noWrap w:val="false"/>
          </w:tcPr>
          <w:p>
            <w:pPr>
              <w:pBdr/>
              <w:spacing w:after="0" w:before="0" w:line="240" w:lineRule="auto"/>
              <w:ind w:right="129" w:firstLine="0" w:left="0"/>
              <w:jc w:val="right"/>
              <w:rPr/>
            </w:pPr>
            <w:r>
              <w:rPr>
                <w:rFonts w:ascii="Times New Roman" w:hAnsi="Times New Roman" w:eastAsia="Times New Roman" w:cs="Times New Roman"/>
                <w:color w:val="000000"/>
                <w:sz w:val="24"/>
              </w:rPr>
              <w:t xml:space="preserve"> </w:t>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104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3039" w:type="dxa"/>
            <w:vAlign w:val="center"/>
            <w:textDirection w:val="lrTb"/>
            <w:noWrap w:val="false"/>
          </w:tcPr>
          <w:p>
            <w:pPr>
              <w:pBdr/>
              <w:spacing w:after="0" w:before="0" w:line="240" w:lineRule="auto"/>
              <w:ind w:right="0" w:firstLine="0" w:left="180"/>
              <w:rPr/>
            </w:pPr>
            <w:r>
              <w:rPr>
                <w:rFonts w:ascii="Times New Roman" w:hAnsi="Times New Roman" w:eastAsia="Times New Roman" w:cs="Times New Roman"/>
                <w:color w:val="000000"/>
                <w:sz w:val="24"/>
              </w:rPr>
              <w:t xml:space="preserve">Quyền sử dụng đất ở tại nông thôn nằm trong quy hoạch đất giao thông</w:t>
            </w:r>
            <w:r/>
          </w:p>
        </w:tc>
        <w:tc>
          <w:tcPr>
            <w:tcBorders>
              <w:bottom w:val="single" w:color="000000" w:sz="6" w:space="0"/>
              <w:right w:val="single" w:color="000000" w:sz="6" w:space="0"/>
            </w:tcBorders>
            <w:tcMar>
              <w:left w:w="0" w:type="dxa"/>
              <w:top w:w="0" w:type="dxa"/>
              <w:right w:w="0" w:type="dxa"/>
              <w:bottom w:w="0" w:type="dxa"/>
            </w:tcMar>
            <w:tcW w:w="179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37,1</w:t>
            </w:r>
            <w:r/>
          </w:p>
        </w:tc>
        <w:tc>
          <w:tcPr>
            <w:shd w:val="clear" w:color="ffffff" w:fill="ffffff"/>
            <w:tcBorders>
              <w:bottom w:val="single" w:color="000000" w:sz="6" w:space="0"/>
              <w:right w:val="single" w:color="000000" w:sz="6" w:space="0"/>
            </w:tcBorders>
            <w:tcMar>
              <w:left w:w="0" w:type="dxa"/>
              <w:top w:w="0" w:type="dxa"/>
              <w:right w:w="0" w:type="dxa"/>
              <w:bottom w:w="0" w:type="dxa"/>
            </w:tcMar>
            <w:tcW w:w="180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1.105.000</w:t>
            </w:r>
            <w:r/>
          </w:p>
        </w:tc>
        <w:tc>
          <w:tcPr>
            <w:shd w:val="clear" w:color="ffffff" w:fill="ffffff"/>
            <w:tcBorders>
              <w:bottom w:val="single" w:color="000000" w:sz="6" w:space="0"/>
              <w:right w:val="single" w:color="000000" w:sz="6" w:space="0"/>
            </w:tcBorders>
            <w:tcMar>
              <w:left w:w="0" w:type="dxa"/>
              <w:top w:w="0" w:type="dxa"/>
              <w:right w:w="0" w:type="dxa"/>
              <w:bottom w:w="0" w:type="dxa"/>
            </w:tcMar>
            <w:tcW w:w="95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069" w:type="dxa"/>
            <w:vAlign w:val="center"/>
            <w:textDirection w:val="lrTb"/>
            <w:noWrap w:val="false"/>
          </w:tcPr>
          <w:p>
            <w:pPr>
              <w:pBdr/>
              <w:spacing w:after="0" w:before="0" w:line="240" w:lineRule="auto"/>
              <w:ind w:right="129" w:firstLine="0" w:left="0"/>
              <w:jc w:val="right"/>
              <w:rPr/>
            </w:pPr>
            <w:r>
              <w:rPr>
                <w:rFonts w:ascii="Times New Roman" w:hAnsi="Times New Roman" w:eastAsia="Times New Roman" w:cs="Times New Roman"/>
                <w:color w:val="000000"/>
                <w:sz w:val="24"/>
              </w:rPr>
              <w:t xml:space="preserve">40.995.500</w:t>
            </w:r>
            <w:r/>
          </w:p>
        </w:tc>
      </w:tr>
      <w:tr>
        <w:trPr>
          <w:trHeight w:val="312"/>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646"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2069" w:type="dxa"/>
            <w:vAlign w:val="center"/>
            <w:textDirection w:val="lrTb"/>
            <w:noWrap/>
          </w:tcPr>
          <w:p>
            <w:pPr>
              <w:pBdr/>
              <w:spacing w:after="0" w:before="0" w:line="240" w:lineRule="auto"/>
              <w:ind w:right="129" w:firstLine="0" w:left="0"/>
              <w:jc w:val="right"/>
              <w:rPr/>
            </w:pPr>
            <w:r>
              <w:rPr>
                <w:rFonts w:ascii="Times New Roman" w:hAnsi="Times New Roman" w:eastAsia="Times New Roman" w:cs="Times New Roman"/>
                <w:b/>
                <w:color w:val="000000"/>
                <w:sz w:val="24"/>
              </w:rPr>
              <w:t xml:space="preserve">5.858.383.237</w:t>
            </w:r>
            <w:r/>
          </w:p>
        </w:tc>
      </w:tr>
      <w:tr>
        <w:trPr>
          <w:trHeight w:val="312"/>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646"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2069" w:type="dxa"/>
            <w:vAlign w:val="center"/>
            <w:textDirection w:val="lrTb"/>
            <w:noWrap/>
          </w:tcPr>
          <w:p>
            <w:pPr>
              <w:pBdr/>
              <w:spacing w:after="0" w:before="0" w:line="240" w:lineRule="auto"/>
              <w:ind w:right="129" w:firstLine="0" w:left="0"/>
              <w:jc w:val="right"/>
              <w:rPr/>
            </w:pPr>
            <w:r>
              <w:rPr>
                <w:rFonts w:ascii="Times New Roman" w:hAnsi="Times New Roman" w:eastAsia="Times New Roman" w:cs="Times New Roman"/>
                <w:b/>
                <w:color w:val="000000"/>
                <w:sz w:val="24"/>
              </w:rPr>
              <w:t xml:space="preserve">5.858.000.000</w:t>
            </w:r>
            <w:r/>
          </w:p>
        </w:tc>
      </w:tr>
      <w:tr>
        <w:trPr>
          <w:trHeight w:val="312"/>
        </w:trPr>
        <w:tc>
          <w:tcPr>
            <w:gridSpan w:val="6"/>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071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(Bằng chữ: Năm tỷ tám trăm năm mươi tám triệu đồng ./.)</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80" w:type="dxa"/>
        <w:tblBorders/>
        <w:tblLayout w:type="fixed"/>
        <w:tblLook w:val="04A0" w:firstRow="1" w:lastRow="0" w:firstColumn="1" w:lastColumn="0" w:noHBand="0" w:noVBand="1"/>
      </w:tblPr>
      <w:tblGrid>
        <w:gridCol w:w="29"/>
        <w:gridCol w:w="1559"/>
        <w:gridCol w:w="2268"/>
        <w:gridCol w:w="6125"/>
      </w:tblGrid>
      <w:tr>
        <w:trPr>
          <w:trHeight w:val="1559"/>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39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00"/>
        </w:trPr>
        <w:tc>
          <w:tcPr>
            <w:gridSpan w:val="2"/>
            <w:shd w:val="clear" w:color="auto" w:fill="auto"/>
            <w:tcBorders/>
            <w:tcMar>
              <w:left w:w="108" w:type="dxa"/>
              <w:top w:w="0" w:type="dxa"/>
              <w:right w:w="108" w:type="dxa"/>
              <w:bottom w:w="0" w:type="dxa"/>
            </w:tcMar>
            <w:tcW w:w="3827" w:type="dxa"/>
            <w:textDirection w:val="lrTb"/>
            <w:noWrap w:val="false"/>
          </w:tcPr>
          <w:p>
            <w:pPr>
              <w:pStyle w:val="1046"/>
              <w:pBdr/>
              <w:spacing w:after="60"/>
              <w:ind/>
              <w:rPr>
                <w:color w:val="000000" w:themeColor="text1"/>
                <w:sz w:val="24"/>
                <w:szCs w:val="24"/>
              </w:rPr>
            </w:pPr>
            <w:r>
              <w:rPr>
                <w:rStyle w:val="1045"/>
                <w:rFonts w:ascii="Times New Roman" w:hAnsi="Times New Roman"/>
                <w:color w:val="000000" w:themeColor="text1"/>
                <w:lang w:val="pt-BR"/>
              </w:rPr>
              <w:t xml:space="preserve">Số: </w:t>
            </w:r>
            <w:r>
              <w:rPr>
                <w:rStyle w:val="1045"/>
                <w:rFonts w:ascii="Times New Roman" w:hAnsi="Times New Roman"/>
                <w:color w:val="000000" w:themeColor="text1"/>
                <w:lang w:val="pt-BR"/>
              </w:rPr>
              <w:t xml:space="preserve">275/2026/0575/VFI-BC.65.A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125" w:type="dxa"/>
            <w:textDirection w:val="lrTb"/>
            <w:noWrap w:val="false"/>
          </w:tcPr>
          <w:p>
            <w:pPr>
              <w:pStyle w:val="1046"/>
              <w:pBdr/>
              <w:spacing w:after="60"/>
              <w:ind w:right="-56"/>
              <w:jc w:val="right"/>
              <w:rPr>
                <w:color w:val="000000" w:themeColor="text1"/>
                <w:sz w:val="24"/>
                <w:szCs w:val="24"/>
                <w:lang w:val="vi-VN"/>
              </w:rPr>
            </w:pPr>
            <w:r>
              <w:rPr>
                <w:rStyle w:val="1045"/>
                <w:rFonts w:ascii="Times New Roman" w:hAnsi="Times New Roman"/>
                <w:i/>
                <w:color w:val="auto"/>
              </w:rPr>
              <w:t xml:space="preserve">TP. Hà Nội</w:t>
            </w:r>
            <w:r>
              <w:rPr>
                <w:rStyle w:val="1045"/>
                <w:rFonts w:ascii="Times New Roman" w:hAnsi="Times New Roman"/>
                <w:i/>
                <w:color w:val="auto"/>
                <w:lang w:val="vi-VN"/>
              </w:rPr>
              <w:t xml:space="preserve">, </w:t>
            </w:r>
            <w:r>
              <w:rPr>
                <w:rStyle w:val="1045"/>
                <w:rFonts w:ascii="Times New Roman" w:hAnsi="Times New Roman"/>
                <w:i/>
                <w:color w:val="000000" w:themeColor="text1"/>
                <w:lang w:val="vi-VN"/>
              </w:rPr>
              <w:t xml:space="preserve">ngày 14 tháng 4 năm 2026</w:t>
            </w:r>
            <w:r>
              <w:rPr>
                <w:color w:val="000000" w:themeColor="text1"/>
                <w:sz w:val="24"/>
                <w:szCs w:val="24"/>
                <w:lang w:val="vi-VN"/>
              </w:rPr>
            </w:r>
            <w:r>
              <w:rPr>
                <w:color w:val="000000" w:themeColor="text1"/>
                <w:sz w:val="24"/>
                <w:szCs w:val="24"/>
                <w:lang w:val="vi-VN"/>
              </w:rPr>
            </w:r>
          </w:p>
        </w:tc>
      </w:tr>
    </w:tbl>
    <w:p>
      <w:pPr>
        <w:pStyle w:val="104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275/2026/0575/VFI-CT.65.A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4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4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line="300" w:lineRule="auto"/>
              <w:ind w:right="0" w:firstLine="0" w:left="0"/>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line="300"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line="300" w:lineRule="auto"/>
              <w:ind w:right="0" w:firstLine="0" w:left="0"/>
              <w:jc w:val="both"/>
              <w:rPr/>
            </w:pPr>
            <w:r>
              <w:rPr>
                <w:rFonts w:ascii="Times New Roman" w:hAnsi="Times New Roman" w:eastAsia="Times New Roman" w:cs="Times New Roman"/>
                <w:b/>
                <w:color w:val="000000"/>
                <w:sz w:val="24"/>
              </w:rPr>
              <w:t xml:space="preserve">BÀ NGUYỄN THỊ THUỲ OANH</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line="300" w:lineRule="auto"/>
              <w:ind w:right="0" w:firstLine="0" w:left="0"/>
              <w:rPr/>
            </w:pPr>
            <w:r>
              <w:rPr>
                <w:rFonts w:ascii="Times New Roman" w:hAnsi="Times New Roman" w:eastAsia="Times New Roman" w:cs="Times New Roman"/>
                <w:color w:val="000000"/>
                <w:sz w:val="24"/>
              </w:rPr>
              <w:t xml:space="preserve">CCCD</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line="300"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line="360" w:lineRule="auto"/>
              <w:ind w:right="0" w:firstLine="0" w:left="0"/>
              <w:jc w:val="both"/>
              <w:rPr/>
            </w:pPr>
            <w:r>
              <w:rPr>
                <w:rFonts w:ascii="Times New Roman" w:hAnsi="Times New Roman" w:eastAsia="Times New Roman" w:cs="Times New Roman"/>
                <w:color w:val="000000"/>
                <w:sz w:val="24"/>
              </w:rPr>
              <w:t xml:space="preserve">089181001475</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000000" w:themeColor="text1"/>
                <w:lang w:val="pt-BR"/>
              </w:rPr>
            </w:pPr>
            <w:r>
              <w:rPr>
                <w:b/>
                <w:bCs/>
                <w:color w:val="000000" w:themeColor="text1"/>
                <w:lang w:val="pt-BR"/>
              </w:rPr>
              <w:t xml:space="preserve">Tài sản 01:</w:t>
            </w:r>
            <w:r>
              <w:rPr>
                <w:bCs/>
                <w:color w:val="000000" w:themeColor="text1"/>
                <w:lang w:val="pt-BR"/>
              </w:rPr>
              <w:t xml:space="preserve"> Quyền sử dụng đất </w:t>
            </w:r>
            <w:r>
              <w:rPr>
                <w:color w:val="000000"/>
                <w:highlight w:val="none"/>
              </w:rPr>
              <w:t xml:space="preserve">quyền sở hữu tài sản gắn liền với đất</w:t>
            </w:r>
            <w:r>
              <w:rPr>
                <w:bCs/>
                <w:color w:val="000000" w:themeColor="text1"/>
                <w:lang w:val="pt-BR"/>
              </w:rPr>
              <w:t xml:space="preserve"> tại thửa đất số: 76, tờ bản đồ số: 37 có địa chỉ:  theo Giấy chứng nhận quyền sử dụng đất, quyền sở hữu tài sản gắn liề</w:t>
            </w:r>
            <w:r>
              <w:rPr>
                <w:bCs/>
                <w:color w:val="000000" w:themeColor="text1"/>
                <w:lang w:val="pt-BR"/>
              </w:rPr>
              <w:t xml:space="preserve">n với đất số: AA 03740904, số vào sổ cấp GCN: CN 01073 do Chi nhánh văn phòng đăng ký đất đai khu vực liên xã An Phú cấp ngày 07/10/2025, Chủ sử dụng đất là Bà Nguyễn Thị Thuỳ Oanh. </w:t>
            </w:r>
            <w:r>
              <w:rPr>
                <w:color w:val="000000" w:themeColor="text1"/>
                <w:lang w:val="pt-BR"/>
              </w:rPr>
            </w:r>
            <w:r>
              <w:rPr>
                <w:color w:val="000000" w:themeColor="text1"/>
                <w:lang w:val="pt-BR"/>
              </w:rPr>
            </w:r>
          </w:p>
          <w:p>
            <w:pPr>
              <w:pBdr/>
              <w:spacing w:after="60" w:before="60" w:line="276" w:lineRule="auto"/>
              <w:ind/>
              <w:jc w:val="both"/>
              <w:rPr>
                <w:b/>
                <w:bCs/>
                <w:spacing w:val="2"/>
                <w:lang w:val="vi-VN"/>
              </w:rPr>
            </w:pPr>
            <w:r>
              <w:rPr>
                <w:b/>
                <w:bCs/>
                <w:color w:val="000000" w:themeColor="text1"/>
                <w:lang w:val="pt-BR"/>
              </w:rPr>
              <w:t xml:space="preserve">Tài sản 0</w:t>
            </w:r>
            <w:r>
              <w:rPr>
                <w:b/>
                <w:bCs/>
                <w:color w:val="000000" w:themeColor="text1"/>
                <w:lang w:val="pt-BR"/>
              </w:rPr>
              <w:t xml:space="preserve">2</w:t>
            </w:r>
            <w:r>
              <w:rPr>
                <w:b/>
                <w:bCs/>
                <w:color w:val="000000" w:themeColor="text1"/>
                <w:lang w:val="pt-BR"/>
              </w:rPr>
              <w:t xml:space="preserve">:</w:t>
            </w:r>
            <w:r>
              <w:rPr>
                <w:bCs/>
                <w:color w:val="000000" w:themeColor="text1"/>
                <w:lang w:val="pt-BR"/>
              </w:rPr>
              <w:t xml:space="preserve"> Quyền sử dụng đất tại thửa đất số: 75, tờ bản đồ số: 37 có địa</w:t>
            </w:r>
            <w:r>
              <w:rPr>
                <w:bCs/>
                <w:color w:val="000000" w:themeColor="text1"/>
                <w:lang w:val="pt-BR"/>
              </w:rPr>
              <w:t xml:space="preserve"> chỉ:  theo Giấy chứng nhận quyền sử dụng đất, quyền sở hữu tài sản gắn liền với đất số: AA 03740903, số vào sổ cấp GCN: CN 01072 do Chi nhánh văn phòng đăng ký đất đai khu vực liên xã An Phú cấp ngày 07/10/2025, Chủ sử dụng đất là Bà Nguyễn Thị Thuỳ Oanh.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04/2026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An Phú, Tỉnh An Giang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eastAsia="Times New Roman" w:cs="Times New Roman"/>
                <w:color w:val="000000"/>
                <w:sz w:val="24"/>
              </w:rPr>
              <w:t xml:space="preserve">10.841095, 105.078506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04/2026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47"/>
        <w:numPr>
          <w:ilvl w:val="0"/>
          <w:numId w:val="1"/>
        </w:numPr>
        <w:pBdr/>
        <w:spacing w:after="120" w:before="120" w:line="276" w:lineRule="auto"/>
        <w:ind/>
        <w:jc w:val="both"/>
        <w:rPr>
          <w:bCs/>
          <w:spacing w:val="-4"/>
          <w:lang w:val="pt-BR"/>
        </w:rPr>
      </w:pPr>
      <w:r>
        <w:rPr>
          <w:bCs/>
          <w:spacing w:val="-4"/>
          <w:lang w:val="pt-BR"/>
        </w:rPr>
        <w:t xml:space="preserve">Quyết định số 425/QĐ-BXD ngày 30/03/2026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4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7"/>
        <w:numPr>
          <w:ilvl w:val="0"/>
          <w:numId w:val="2"/>
        </w:numPr>
        <w:pBdr/>
        <w:tabs>
          <w:tab w:val="left" w:leader="none" w:pos="993"/>
        </w:tabs>
        <w:spacing w:after="120" w:before="120" w:line="276" w:lineRule="auto"/>
        <w:ind/>
        <w:jc w:val="both"/>
        <w:rPr>
          <w:iCs/>
          <w:color w:val="000000" w:themeColor="text1"/>
          <w:lang w:val="pt-BR"/>
        </w:rPr>
      </w:pPr>
      <w:r>
        <w:rPr>
          <w:bCs/>
          <w:color w:val="000000" w:themeColor="text1"/>
          <w:lang w:val="pt-BR"/>
        </w:rPr>
        <w:t xml:space="preserve">Giấy chứng nhận quyền sử dụng đất, quyền sở hữu tài sản gắn liền với đất số: AA 03740904, số vào sổ cấp GCN: CN 01073 do Chi nhánh văn phòng đăng ký đất đai khu vực liên xã An Phú cấp ngày 07/10/2025, Chủ sử dụng đất là Bà Nguyễn Thị</w:t>
      </w:r>
      <w:r>
        <w:rPr>
          <w:bCs/>
          <w:color w:val="000000" w:themeColor="text1"/>
          <w:lang w:val="pt-BR"/>
        </w:rPr>
        <w:t xml:space="preserve"> Thuỳ Oanh. </w:t>
      </w:r>
      <w:r>
        <w:rPr>
          <w:iCs/>
          <w:color w:val="000000" w:themeColor="text1"/>
          <w:lang w:val="pt-BR"/>
        </w:rPr>
      </w:r>
      <w:r>
        <w:rPr>
          <w:iCs/>
          <w:color w:val="000000" w:themeColor="text1"/>
          <w:lang w:val="pt-BR"/>
        </w:rPr>
      </w:r>
    </w:p>
    <w:p>
      <w:pPr>
        <w:pStyle w:val="1047"/>
        <w:numPr>
          <w:ilvl w:val="0"/>
          <w:numId w:val="2"/>
        </w:numPr>
        <w:pBdr/>
        <w:tabs>
          <w:tab w:val="left" w:leader="none" w:pos="993"/>
        </w:tabs>
        <w:spacing w:after="120" w:before="120" w:line="276" w:lineRule="auto"/>
        <w:ind/>
        <w:jc w:val="both"/>
        <w:rPr>
          <w:bCs/>
          <w:i/>
          <w:lang w:val="pt-BR"/>
        </w:rPr>
      </w:pPr>
      <w:r>
        <w:rPr>
          <w:bCs/>
          <w:color w:val="000000" w:themeColor="text1"/>
          <w:lang w:val="pt-BR"/>
        </w:rPr>
        <w:t xml:space="preserve">Giấy chứng nhận quyền sử dụng đất, quyền sở hữu tài sản gắn liền với đất số: AA 03740903, số vào sổ cấp GCN: CN 01072 do Chi nhánh văn phòng đăng ký đất đai khu vực liên xã An Phú cấp ngày 07/10/2025, Chủ sử dụng đất là Bà Nguyễn Thị Thuỳ Oanh.</w:t>
      </w:r>
      <w:r>
        <w:rPr>
          <w:lang w:val="pt-BR"/>
        </w:rPr>
        <w:t xml:space="preserve">.</w:t>
      </w:r>
      <w:r>
        <w:rPr>
          <w:bCs/>
          <w:i/>
          <w:lang w:val="pt-BR"/>
        </w:rPr>
      </w:r>
      <w:r>
        <w:rPr>
          <w:bCs/>
          <w:i/>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275/2026/0575/VFI-HĐTĐ.65.A ngày 12/04/2026 giữa BÀ NGUYỄN THỊ THUỲ OANH với Công ty Cổ phần Thẩm định và Đầu tư Tài chính Hoa Sen.</w:t>
      </w:r>
      <w:r>
        <w:rPr>
          <w:b/>
          <w:lang w:val="pt-BR"/>
        </w:rPr>
      </w:r>
      <w:r>
        <w:rPr>
          <w:b/>
          <w:lang w:val="pt-BR"/>
        </w:rPr>
      </w:r>
    </w:p>
    <w:p>
      <w:pPr>
        <w:pStyle w:val="104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993"/>
        </w:tabs>
        <w:spacing w:after="120" w:before="120" w:line="380" w:lineRule="atLeast"/>
        <w:ind/>
        <w:jc w:val="both"/>
        <w:rPr/>
      </w:pPr>
      <w:r>
        <w:rPr>
          <w:b/>
          <w:bCs/>
          <w:lang w:val="pt-BR"/>
        </w:rPr>
      </w:r>
      <w:r>
        <w:rPr>
          <w:shd w:val="clear" w:color="auto" w:fill="ffffff"/>
        </w:rPr>
        <w:br/>
        <w:t xml:space="preserve">Thị trường bất động sản miền Tây Nam Bộ: Chuyển từ lướt sóng sang đầu tư giá trị</w:t>
        <w:br/>
        <w:t xml:space="preserve">Năm 2026 được xem là "năm bản lề" của Cần Thơ khi các dự án hạ tầng giao thông không còn nằm trên giấy mà đồng loạt bước vào giai đoạn về đích hoặc khởi công đại </w:t>
      </w:r>
      <w:r>
        <w:rPr>
          <w:shd w:val="clear" w:color="auto" w:fill="ffffff"/>
        </w:rPr>
        <w:t xml:space="preserve">công trình. Đây chính là chất xúc tác mạnh nhất đẩy thị trường bất động sản miền Tây Nam Bô nói chung và thị trường bất động sản nói riêng Cần Thơ từ trạng thái "chờ đợi" sang "đầu tư giá trị thực".</w:t>
      </w:r>
      <w:r>
        <w:rPr>
          <w:b/>
          <w:bCs/>
          <w:lang w:val="pt-BR"/>
        </w:rPr>
      </w:r>
      <w:r/>
    </w:p>
    <w:p>
      <w:pPr>
        <w:pBdr/>
        <w:tabs>
          <w:tab w:val="left" w:leader="none" w:pos="993"/>
        </w:tabs>
        <w:spacing w:after="120" w:before="120" w:line="380" w:lineRule="atLeast"/>
        <w:ind/>
        <w:jc w:val="both"/>
        <w:rPr/>
      </w:pPr>
      <w:r>
        <w:rPr>
          <w:shd w:val="clear" w:color="auto" w:fill="ffffff"/>
        </w:rPr>
        <w:t xml:space="preserve">Nếu trước đây Cần Thơ chỉ là điểm kết nối đơn lẻ, thì đến</w:t>
      </w:r>
      <w:r>
        <w:rPr>
          <w:shd w:val="clear" w:color="auto" w:fill="ffffff"/>
        </w:rPr>
        <w:t xml:space="preserve"> năm 2026, thành phố chính thức trở thành giao điểm của các trục cao tốc Bắc - Nam và Đông – Tây. Cụ thể như Cao tốc Châu Đốc - Cần Thơ - Sóc Trăng, dự kiến thông xe kỹ thuật vào cuối năm 2026. Đây là trục ngang huyết mạch giúp Cần Thơ kết nối trực tiếp vớ</w:t>
      </w:r>
      <w:r>
        <w:rPr>
          <w:shd w:val="clear" w:color="auto" w:fill="ffffff"/>
        </w:rPr>
        <w:t xml:space="preserve">i cửa khẩu quốc tế (An Giang) và cảng biển nước sâu (Trần Đề - Sóc Trăng). Cao tốc Cần Thơ - Cà Mau, Thủ tướng đã chỉ đạo phải hoàn thành để thông toàn tuyến cao tốc Bắc - Nam từ Cao Bằng đến Cà Mau vào đầu năm 2026. Điều này biến Cần Thơ thành trạm trung </w:t>
      </w:r>
      <w:r>
        <w:rPr>
          <w:shd w:val="clear" w:color="auto" w:fill="ffffff"/>
        </w:rPr>
        <w:t xml:space="preserve">chuyển logistics lớn nhất miền Tây. Dự án Cầu Cần Thơ 2, dự kiến khởi công vào năm 2026. Đây là mảnh ghép cuối cùng giúp giải tỏa áp lực cho cầu Cần Thơ hiện hữu và kết nối đồng bộ với tuyến đường sắt TP. Hồ Chí Minh - Cần Thơ trong tương lai.</w:t>
      </w:r>
      <w:r>
        <w:rPr>
          <w:b/>
          <w:bCs/>
          <w:lang w:val="pt-BR"/>
        </w:rPr>
      </w:r>
      <w:r/>
    </w:p>
    <w:p>
      <w:pPr>
        <w:pBdr/>
        <w:tabs>
          <w:tab w:val="left" w:leader="none" w:pos="993"/>
        </w:tabs>
        <w:spacing w:after="120" w:before="120" w:line="380" w:lineRule="atLeast"/>
        <w:ind/>
        <w:jc w:val="both"/>
        <w:rPr/>
      </w:pPr>
      <w:r>
        <w:rPr>
          <w:shd w:val="clear" w:color="auto" w:fill="ffffff"/>
        </w:rPr>
        <w:t xml:space="preserve">Sự hình thàn</w:t>
      </w:r>
      <w:r>
        <w:rPr>
          <w:shd w:val="clear" w:color="auto" w:fill="ffffff"/>
        </w:rPr>
        <w:t xml:space="preserve">h các "tọa độ vàng" bất động sản, dòng tiền đầu tư giá trị tại Cần Thơ đang tập trung vào các khu vực chiến lược ở phía Nam Cần Thơ mà thấy rõ là khu vực trung tâm Cái Răng, vì đây là khu vực hưởng lợi trực tiếp từ nút giao cao tốc và cầu Cần Thơ 2, với xu</w:t>
      </w:r>
      <w:r>
        <w:rPr>
          <w:shd w:val="clear" w:color="auto" w:fill="ffffff"/>
        </w:rPr>
        <w:t xml:space="preserve"> hướng hình thành các đô thị tích hợp hiện đại. Giá trị thực thấy rõ khi nhu cầu ở của tầng lớp chuyên gia, trí thức và sự dịch chuyển dân cư từ các tỉnh lân cận về thủ phủ vùng sau khi sáp nhập Cần Thơ, Sóc Trăng và Hậu Giang.</w:t>
      </w:r>
      <w:r>
        <w:rPr>
          <w:b/>
          <w:bCs/>
          <w:lang w:val="pt-BR"/>
        </w:rPr>
      </w:r>
      <w:r/>
    </w:p>
    <w:p>
      <w:pPr>
        <w:pBdr/>
        <w:tabs>
          <w:tab w:val="left" w:leader="none" w:pos="993"/>
        </w:tabs>
        <w:spacing w:after="120" w:before="120" w:line="380" w:lineRule="atLeast"/>
        <w:ind/>
        <w:jc w:val="both"/>
        <w:rPr/>
      </w:pPr>
      <w:r>
        <w:rPr>
          <w:shd w:val="clear" w:color="auto" w:fill="ffffff"/>
        </w:rPr>
        <w:t xml:space="preserve">Đặc biệt hơn là vào sáng 22/</w:t>
      </w:r>
      <w:r>
        <w:rPr>
          <w:shd w:val="clear" w:color="auto" w:fill="ffffff"/>
        </w:rPr>
        <w:t xml:space="preserve">3/2026, hàng chục nhà đầu tư, khách hàng đã hội ngộ cùng các chuyên gia bất động sản hàng đầu trong một sự kiện bất động sản lớn nhất vùng Đồng bằng sông Cửu Long tính từ đầu năm 2026: Ngày hội mua sắm tổ chức tại Khách sạn Sheraton Cần Thơ. Các khách hàng</w:t>
      </w:r>
      <w:r>
        <w:rPr>
          <w:shd w:val="clear" w:color="auto" w:fill="ffffff"/>
        </w:rPr>
        <w:t xml:space="preserve"> đặt bút ký hợp đồng cho rằng, họ quan tâm đến tính pháp lý, giá trị thực của bất động sản hơn là kỳ vọng kiếm lời nhanh qua kênh đầu tư này.</w:t>
      </w:r>
      <w:r>
        <w:rPr>
          <w:b/>
          <w:bCs/>
          <w:lang w:val="pt-BR"/>
        </w:rPr>
      </w:r>
      <w:r/>
    </w:p>
    <w:p>
      <w:pPr>
        <w:pBdr/>
        <w:tabs>
          <w:tab w:val="left" w:leader="none" w:pos="993"/>
        </w:tabs>
        <w:spacing w:after="120" w:before="120" w:line="380" w:lineRule="atLeast"/>
        <w:ind/>
        <w:jc w:val="both"/>
        <w:rPr/>
      </w:pPr>
      <w:r>
        <w:rPr>
          <w:shd w:val="clear" w:color="auto" w:fill="ffffff"/>
        </w:rPr>
        <w:t xml:space="preserve">Nhiều khách hàng băn khoăn về yếu tố quan trọng nhất trên thị trường là vốn, phần lớn e ngại lãi suất đã và đang đ</w:t>
      </w:r>
      <w:r>
        <w:rPr>
          <w:shd w:val="clear" w:color="auto" w:fill="ffffff"/>
        </w:rPr>
        <w:t xml:space="preserve">ược ngân hàng nâng lên khá cao, “gọt” hết phần lời của nhà đầu tư. Ông Huỳnh Hoàng Nghĩa, chuyên gia tài chính phân tích, do đặc thù ngân hàng đặt an toàn vốn lên hàng đầu cộng với thời điểm đầu năm nhu cầu vốn từ các doanh nghiệp tăng cao khiến ngân hàng </w:t>
      </w:r>
      <w:r>
        <w:rPr>
          <w:shd w:val="clear" w:color="auto" w:fill="ffffff"/>
        </w:rPr>
        <w:t xml:space="preserve">phải tăng lãi suất. Hiện nay, ngân hàng qua khảo sát tình hình thực tế đã dần hạ lãi suất. Thêm vào đó, xu hướng công nghệ số hoá ngân hàng đang đẩy mạnh làm cho phí dịch vụ vay trả giảm xuống, độ an toàn hệ thống cao hơn. Do vậy, một số ngân hàng đã nới l</w:t>
      </w:r>
      <w:r>
        <w:rPr>
          <w:shd w:val="clear" w:color="auto" w:fill="ffffff"/>
        </w:rPr>
        <w:t xml:space="preserve">ỏng lãi suất, đồng thời tăng thêm thời hạn cho khoản vay. “Nhà đầu tư nên tận dụng cơ hội này để mua sản phẩm giá trị cao mà không cần e ngại quá!”, ông Nghĩa kết luận.</w:t>
      </w:r>
      <w:r>
        <w:rPr>
          <w:b/>
          <w:bCs/>
          <w:lang w:val="pt-BR"/>
        </w:rPr>
      </w:r>
      <w:r/>
    </w:p>
    <w:p>
      <w:pPr>
        <w:pBdr/>
        <w:tabs>
          <w:tab w:val="left" w:leader="none" w:pos="993"/>
        </w:tabs>
        <w:spacing w:after="120" w:before="120" w:line="380" w:lineRule="atLeast"/>
        <w:ind/>
        <w:jc w:val="both"/>
        <w:rPr/>
      </w:pPr>
      <w:r>
        <w:rPr>
          <w:shd w:val="clear" w:color="auto" w:fill="ffffff"/>
        </w:rPr>
        <w:t xml:space="preserve">Về dự báo thị trường giai đoạn 2026 – 2027, theo các chuyên gia, mặt bằng giá bất động </w:t>
      </w:r>
      <w:r>
        <w:rPr>
          <w:shd w:val="clear" w:color="auto" w:fill="ffffff"/>
        </w:rPr>
        <w:t xml:space="preserve">miền Tây trong năm 2026 sẽ có xu hướng đi ngang hoặc tăng nhẹ (khoảng 5-8%) nhưng bền vững. Về phía người bán, các chủ đầu tư buộc phải hoàn thiện pháp lý và hạ tầng trước khi mở bán. Về phía người mua, đây là thời điểm "chín muồi" để tích lũy tài sản dài </w:t>
      </w:r>
      <w:r>
        <w:rPr>
          <w:shd w:val="clear" w:color="auto" w:fill="ffffff"/>
        </w:rPr>
        <w:t xml:space="preserve">hạn. Những vị trí cận kề nút giao cao tốc hoặc các khu vực quy hoạch phát triển đô thị gắn với giao thông công cộng sẽ là những viên kim cương xanh trong tương lai.</w:t>
      </w:r>
      <w:r>
        <w:rPr>
          <w:b/>
          <w:bCs/>
          <w:lang w:val="pt-BR"/>
        </w:rPr>
      </w:r>
      <w:r/>
    </w:p>
    <w:p>
      <w:pPr>
        <w:pBdr/>
        <w:tabs>
          <w:tab w:val="left" w:leader="none" w:pos="993"/>
        </w:tabs>
        <w:spacing w:after="120" w:before="120" w:line="380" w:lineRule="atLeast"/>
        <w:ind/>
        <w:jc w:val="both"/>
        <w:rPr/>
      </w:pPr>
      <w:r>
        <w:rPr>
          <w:shd w:val="clear" w:color="auto" w:fill="ffffff"/>
        </w:rPr>
        <w:t xml:space="preserve">Thị trường bất động sản miền Tây đang bước vào một chương mới, trưởng thành hơn, minh bạch </w:t>
      </w:r>
      <w:r>
        <w:rPr>
          <w:shd w:val="clear" w:color="auto" w:fill="ffffff"/>
        </w:rPr>
        <w:t xml:space="preserve">hơn và giá trị hơn. Những nhà đầu tư kiên nhẫn, am hiểu thực địa và ưu tiên giá trị thực sẽ là những người gặt hái quả ngọt trong chu kỳ này.</w:t>
      </w:r>
      <w:r>
        <w:rPr>
          <w:b/>
          <w:bCs/>
          <w:lang w:val="pt-BR"/>
        </w:rPr>
      </w:r>
      <w:r/>
    </w:p>
    <w:p>
      <w:pPr>
        <w:pBdr/>
        <w:tabs>
          <w:tab w:val="left" w:leader="none" w:pos="993"/>
        </w:tabs>
        <w:spacing w:after="120" w:before="120" w:line="380" w:lineRule="atLeast"/>
        <w:ind/>
        <w:jc w:val="center"/>
        <w:rPr>
          <w:b/>
          <w:bCs/>
          <w:lang w:val="pt-BR"/>
        </w:rPr>
      </w:pPr>
      <w:r>
        <w:rPr>
          <w:shd w:val="clear" w:color="auto" w:fill="ffffff"/>
        </w:rPr>
        <w:t xml:space="preserve">(Nguồn tham khảo: https://batdongsan.vtv.vn/news/go-vuong-nguon-nhien-lieu-cho-du-an-nang-cap-san-bay-lien-khuong)</w:t>
      </w:r>
      <w:r>
        <w:rPr>
          <w:b/>
          <w:bCs/>
          <w:lang w:val="pt-BR"/>
        </w:rPr>
      </w:r>
      <w:r>
        <w:rPr>
          <w:b/>
          <w:bCs/>
          <w:lang w:val="pt-BR"/>
        </w:rPr>
      </w:r>
    </w:p>
    <w:p>
      <w:pPr>
        <w:pStyle w:val="104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Tài sản 01: Quyền sử dụng đấ</w:t>
            </w:r>
            <w:r>
              <w:rPr>
                <w:b/>
                <w:bCs/>
                <w:color w:val="000000"/>
              </w:rPr>
              <w:t xml:space="preserve">t</w:t>
            </w:r>
            <w:r>
              <w:rPr>
                <w:b/>
                <w:bCs/>
                <w:color w:val="000000" w:themeColor="text1"/>
                <w:lang w:val="pt-BR"/>
              </w:rPr>
              <w:t xml:space="preserve">, quyền sở hữu tài sản gắn liền với đất</w:t>
            </w:r>
            <w:r>
              <w:rPr>
                <w:b/>
                <w:bCs/>
                <w:color w:val="000000"/>
              </w:rPr>
              <w:t xml:space="preserve"> </w:t>
            </w:r>
            <w:r>
              <w:rPr>
                <w:b/>
                <w:bCs/>
                <w:color w:val="000000"/>
              </w:rPr>
              <w:t xml:space="preserve">tạ</w:t>
            </w:r>
            <w:r>
              <w:rPr>
                <w:b/>
                <w:bCs/>
                <w:color w:val="000000"/>
              </w:rPr>
              <w:t xml:space="preserve">i thửa đất số: 76, tờ bản đồ số: 37 có địa chỉ:  theo Giấy chứng nhận quyền sử dụng đất, quyền sở hữu tài sản gắn liề</w:t>
            </w:r>
            <w:r>
              <w:rPr>
                <w:b/>
                <w:bCs/>
                <w:color w:val="000000"/>
              </w:rPr>
              <w:t xml:space="preserve">n với đất số: AA 03740904, số vào sổ cấp GCN: CN 01073 do Chi nhánh văn phòng đăng ký đất đai khu vực liên xã An Phú cấp ngày 07/10/2025, Chủ sử dụng đất là Bà Nguyễn Thị Thuỳ Oanh. </w:t>
            </w:r>
            <w:r>
              <w:rPr>
                <w:b/>
                <w:bCs/>
                <w:color w:val="000000"/>
              </w:rPr>
            </w:r>
            <w:r>
              <w:rPr>
                <w:b/>
                <w:bCs/>
                <w:color w:val="000000"/>
              </w:rPr>
            </w:r>
          </w:p>
          <w:p>
            <w:pPr>
              <w:pBdr/>
              <w:spacing/>
              <w:ind/>
              <w:jc w:val="both"/>
              <w:rPr>
                <w:b/>
                <w:bCs/>
                <w:color w:val="000000"/>
              </w:rPr>
            </w:pPr>
            <w:r>
              <w:rPr>
                <w:b/>
                <w:bCs/>
                <w:color w:val="000000"/>
              </w:rPr>
              <w:t xml:space="preserve">Tài sản 02: Quyền sử dụng đất tại thửa đất số: 75, tờ bản đồ số: 37 có địa</w:t>
            </w:r>
            <w:r>
              <w:rPr>
                <w:b/>
                <w:bCs/>
                <w:color w:val="000000"/>
              </w:rPr>
              <w:t xml:space="preserve"> chỉ:  theo Giấy chứng nhận quyền sử dụng đất, quyền sở hữu tài sản gắn liền với đất số: AA 03740903, số vào sổ cấp GCN: CN 01072 do Chi nhánh văn phòng đăng ký đất đai khu vực liên xã An Phú cấp ngày 07/10/2025, Chủ sử dụng đất là Bà Nguyễn Thị Thuỳ Oanh.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1.1</w:t>
            </w:r>
            <w:r/>
          </w:p>
        </w:tc>
        <w:tc>
          <w:tcPr>
            <w:gridSpan w:val="4"/>
            <w:tcBorders/>
            <w:tcW w:w="87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i/>
                <w:color w:val="000000"/>
                <w:sz w:val="24"/>
              </w:rPr>
              <w:t xml:space="preserve">GCN số AA 03740904</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76</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37</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Xã An Phú, tỉnh An Giang</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909,3</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cở sở sản xuất phi nông nghiệp (SKC)</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Ghi chú:</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Tại thời điểm thẩm định, theo cung cấp của Khách hàng/Ngân hàng, tổ thẩm định nhận thấy thửa đất có 64m² đất SKC nằm trong quy hoạch đất giao thông.</w:t>
            </w:r>
            <w:r/>
          </w:p>
        </w:tc>
      </w:tr>
      <w:tr>
        <w:trPr>
          <w:trHeight w:val="20"/>
        </w:trPr>
        <w:tc>
          <w:tcPr>
            <w:tcBorders/>
            <w:tcW w:w="73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cW w:w="252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gridSpan w:val="3"/>
            <w:tcBorders/>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2808841" cy="4158226"/>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82227" name=""/>
                              <pic:cNvPicPr>
                                <a:picLocks noChangeAspect="1"/>
                              </pic:cNvPicPr>
                              <pic:nvPr/>
                            </pic:nvPicPr>
                            <pic:blipFill rotWithShape="1">
                              <a:blip r:embed="rId17"/>
                              <a:stretch/>
                            </pic:blipFill>
                            <pic:spPr bwMode="auto">
                              <a:xfrm flipH="0" flipV="0">
                                <a:off x="0" y="0"/>
                                <a:ext cx="2808841" cy="41582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21.17pt;height:327.42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bl>
    <w:tbl>
      <w:tblPr>
        <w:tblStyle w:val="105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2519"/>
        <w:gridCol w:w="2126"/>
        <w:gridCol w:w="2126"/>
        <w:gridCol w:w="2007"/>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1.2</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i/>
                <w:color w:val="000000"/>
                <w:sz w:val="24"/>
              </w:rPr>
              <w:t xml:space="preserve">GCN số AA 03740903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75</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Xã An Phú, tỉnh An Giang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37,1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Sử dụng riêng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nông thôn</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Ghi chú:</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Tại thời điểm thẩm định, theo cung cấp của Khách hàng/Ngân hàng, tổ thẩm định nhận thấy toàn bộ diện tích thửa đất là 37,1m² đất ở nông thôn nằm trong đất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bottom w:val="single" w:color="000000" w:sz="8" w:space="0"/>
              <w:right w:val="single" w:color="000000" w:sz="8" w:space="0"/>
            </w:tcBorders>
            <w:tcMar>
              <w:left w:w="108" w:type="dxa"/>
              <w:top w:w="0" w:type="dxa"/>
              <w:right w:w="108" w:type="dxa"/>
              <w:bottom w:w="0" w:type="dxa"/>
            </w:tcMar>
            <w:tcW w:w="251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2692313" cy="394021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081179" name=""/>
                              <pic:cNvPicPr>
                                <a:picLocks noChangeAspect="1"/>
                              </pic:cNvPicPr>
                              <pic:nvPr/>
                            </pic:nvPicPr>
                            <pic:blipFill rotWithShape="1">
                              <a:blip r:embed="rId18"/>
                              <a:stretch/>
                            </pic:blipFill>
                            <pic:spPr bwMode="auto">
                              <a:xfrm flipH="0" flipV="0">
                                <a:off x="0" y="0"/>
                                <a:ext cx="2692312" cy="3940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11.99pt;height:310.25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bl>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 </w:t>
            </w:r>
            <w:r>
              <w:rPr>
                <w:rFonts w:ascii="Times New Roman" w:hAnsi="Times New Roman" w:eastAsia="Times New Roman" w:cs="Times New Roman"/>
                <w:color w:val="000000"/>
                <w:sz w:val="24"/>
              </w:rPr>
              <w:t xml:space="preserve">Tài sản thẩm định bao gồm thửa đất số 76, tờ bản đồ số 37 và thửa đất số 75, tờ bản đồ 37 nằm tiếp giáp nhau, cùng chung chủ sở hữu, không có mốc giới giữa 2 thửa đất. Khách hàng/Ngân hàng đề nghị gộp hai thửa đất thành một. Vì vậy tổ thẩm định gộp thửa đấ</w:t>
            </w:r>
            <w:r>
              <w:rPr>
                <w:rFonts w:ascii="Times New Roman" w:hAnsi="Times New Roman" w:eastAsia="Times New Roman" w:cs="Times New Roman"/>
                <w:color w:val="000000"/>
                <w:sz w:val="24"/>
              </w:rPr>
              <w:t xml:space="preserve">t số 76 và thửa đất số 75, tờ bản đồ số 37 thành một thửa đất lớn để ước tính giá trị ( Tổng diện tích = 946,4m², trong đó có 909,3m² đất SKC, 37,1m² đất ở nông thôn, mặt tiền rộng khoảng 13m, có 01 mặt tiếp giáp)</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nhựa</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01 mặt tiền</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6m</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6m</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trên trục đường QL91C</w:t>
            </w:r>
            <w:r/>
          </w:p>
        </w:tc>
      </w:tr>
      <w:tr>
        <w:trPr>
          <w:trHeight w:val="20"/>
        </w:trPr>
        <w:tc>
          <w:tcPr>
            <w:tcBorders/>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Hướng Đông Bắc: Tiếp giáp đường QL91C;</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rFonts w:ascii="Times New Roman" w:hAnsi="Times New Roman" w:eastAsia="Times New Roman" w:cs="Times New Roman"/>
                <w:color w:val="000000"/>
                <w:sz w:val="24"/>
              </w:rPr>
              <w:t xml:space="preserve">10.841095, 105.078506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5426311" cy="255651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095836" name=""/>
                              <pic:cNvPicPr>
                                <a:picLocks noChangeAspect="1"/>
                              </pic:cNvPicPr>
                              <pic:nvPr/>
                            </pic:nvPicPr>
                            <pic:blipFill rotWithShape="1">
                              <a:blip r:embed="rId19"/>
                              <a:stretch/>
                            </pic:blipFill>
                            <pic:spPr bwMode="auto">
                              <a:xfrm flipH="0" flipV="0">
                                <a:off x="0" y="0"/>
                                <a:ext cx="5426311" cy="25565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27.27pt;height:201.30pt;mso-wrap-distance-left:0.00pt;mso-wrap-distance-top:0.00pt;mso-wrap-distance-right:0.00pt;mso-wrap-distance-bottom:0.00pt;z-index:1;" stroked="false">
                      <v:imagedata r:id="rId19"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946,4</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13,0</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~83,94/69,48</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đúc</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-Căn cứ theo GCN số AA 03740904, CTXD gắn liền với đất là nhà kho lợp mái tôn, diện tích xây dựng 318m² và đã được chứng nhận trên GCN. </w:t>
            </w:r>
            <w:r/>
          </w:p>
          <w:p>
            <w:pPr>
              <w:pBdr/>
              <w:spacing/>
              <w:ind/>
              <w:jc w:val="both"/>
              <w:rPr>
                <w:color w:val="000000"/>
              </w:rPr>
            </w:pP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t xml:space="preserve">Tuy nhiên, qua khảo sát thực tế tổ thẩm định nhận thấy trên đất có 01 nhà ở riêng lẻ 2 tầng diện tích xây dựng 120m² đang được sử dụng để ở và 01 nhà cấp 4 lợp tôn diện tích khoảng 750m² được xây thêm từ nhà kho 318</w:t>
            </w:r>
            <w:r>
              <w:rPr>
                <w:rFonts w:ascii="Times New Roman" w:hAnsi="Times New Roman" w:eastAsia="Times New Roman" w:cs="Times New Roman"/>
                <w:color w:val="000000"/>
                <w:sz w:val="24"/>
              </w:rPr>
              <w:t xml:space="preserve">m²</w:t>
            </w:r>
            <w:r>
              <w:rPr>
                <w:rFonts w:ascii="Times New Roman" w:hAnsi="Times New Roman" w:eastAsia="Times New Roman" w:cs="Times New Roman"/>
                <w:color w:val="000000"/>
                <w:sz w:val="24"/>
              </w:rPr>
              <w:t xml:space="preserve"> đã được chứng nhận trên giấy chứng nhận số: AA 03740904 đang được sử dụng để sản xuất. 2 công trình này chưa được chứng nhận </w:t>
            </w:r>
            <w:r>
              <w:rPr>
                <w:rFonts w:ascii="Times New Roman" w:hAnsi="Times New Roman" w:eastAsia="Times New Roman" w:cs="Times New Roman"/>
                <w:color w:val="000000"/>
                <w:sz w:val="24"/>
              </w:rPr>
              <w:t xml:space="preserve">trên GCN.</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0"/>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4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47"/>
        <w:numPr>
          <w:ilvl w:val="0"/>
          <w:numId w:val="3"/>
        </w:numPr>
        <w:pBdr/>
        <w:tabs>
          <w:tab w:val="left" w:leader="none" w:pos="993"/>
        </w:tabs>
        <w:spacing w:after="120" w:before="120" w:line="264" w:lineRule="auto"/>
        <w:ind/>
        <w:jc w:val="both"/>
        <w:rPr>
          <w:spacing w:val="-2"/>
          <w:highlight w:val="white"/>
        </w:rPr>
      </w:pPr>
      <w:r>
        <w:rPr>
          <w:lang w:val="pt-BR"/>
        </w:rPr>
        <w:t xml:space="preserve">Giá trị tài sản thẩm định giá được ước tính dựa trên giả định không có bất kỳ yếu tố nào làm cản trở ản</w:t>
      </w:r>
      <w:r>
        <w:rPr>
          <w:highlight w:val="white"/>
          <w:lang w:val="pt-BR"/>
        </w:rPr>
        <w:t xml:space="preserve">h hưởng đến việc giao dịch bình thường của tài sản trên thị trường.</w:t>
      </w:r>
      <w:r>
        <w:rPr>
          <w:spacing w:val="-2"/>
          <w:highlight w:val="white"/>
        </w:rPr>
      </w:r>
      <w:r>
        <w:rPr>
          <w:spacing w:val="-2"/>
          <w:highlight w:val="white"/>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Tài sản thẩm định bao gồm thửa đất số 76, tờ bản đồ số 37 và thửa đất số 75, tờ bản đồ 37 nằm ti</w:t>
      </w:r>
      <w:r>
        <w:rPr>
          <w:rFonts w:ascii="Times New Roman" w:hAnsi="Times New Roman" w:eastAsia="Times New Roman" w:cs="Times New Roman"/>
          <w:color w:val="000000" w:themeColor="text1"/>
          <w:sz w:val="24"/>
          <w:highlight w:val="white"/>
        </w:rPr>
        <w:t xml:space="preserve">ếp giáp nhau, cùng chung chủ sở hữu, không có mốc giới giữa 2 thửa đất. Khách hàng/Ngân hàng </w:t>
      </w:r>
      <w:r>
        <w:rPr>
          <w:rFonts w:ascii="Times New Roman" w:hAnsi="Times New Roman" w:eastAsia="Times New Roman" w:cs="Times New Roman"/>
          <w:color w:val="000000" w:themeColor="text1"/>
          <w:sz w:val="24"/>
        </w:rPr>
        <w:t xml:space="preserve">đề nghị gộp hai thửa đất thành một. Vì vậy tổ thẩm định gộp thửa đấ</w:t>
      </w:r>
      <w:r>
        <w:rPr>
          <w:rFonts w:ascii="Times New Roman" w:hAnsi="Times New Roman" w:eastAsia="Times New Roman" w:cs="Times New Roman"/>
          <w:color w:val="000000" w:themeColor="text1"/>
          <w:sz w:val="24"/>
        </w:rPr>
        <w:t xml:space="preserve">t số 76 và thửa đất số 75, tờ bản đồ số 37 thành một thửa đất lớn để ước tính giá trị ( Tổng diện tích = 946,4m², trong đó có 909,3m² đất SKC; 37,1m² đất ở nông thôn; mặt tiền rộng khoảng 13m; có 01 mặt tiếp giáp).Kết quả thẩm định giá được nêu trong báo c</w:t>
      </w:r>
      <w:r>
        <w:rPr>
          <w:rFonts w:ascii="Times New Roman" w:hAnsi="Times New Roman" w:eastAsia="Times New Roman" w:cs="Times New Roman"/>
          <w:color w:val="000000" w:themeColor="text1"/>
          <w:sz w:val="24"/>
        </w:rPr>
        <w:t xml:space="preserve">áo này chỉ có giá trị giới hạn trong trường hợp Ngân hàng nhận thế chấp/giải chấp đồng thời 02 (hai) thửa đất cấp tại 02 (hai) giấy chứng nhận nêu trong báo cáo này.</w:t>
      </w:r>
      <w:r>
        <w:rPr>
          <w:color w:val="000000" w:themeColor="text1"/>
        </w:rPr>
      </w:r>
      <w:r>
        <w:rPr>
          <w:color w:val="000000" w:themeColor="text1"/>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rPr>
        <w:t xml:space="preserve">Chứng thư s</w:t>
      </w:r>
      <w:r>
        <w:rPr>
          <w:rFonts w:ascii="Times New Roman" w:hAnsi="Times New Roman" w:eastAsia="Times New Roman" w:cs="Times New Roman"/>
          <w:color w:val="000000" w:themeColor="text1"/>
          <w:sz w:val="24"/>
          <w:szCs w:val="24"/>
        </w:rPr>
        <w:t xml:space="preserve">ố </w:t>
      </w:r>
      <w:r>
        <w:rPr>
          <w:rFonts w:ascii="Times New Roman" w:hAnsi="Times New Roman" w:eastAsia="Times New Roman" w:cs="Times New Roman"/>
          <w:color w:val="000000" w:themeColor="text1"/>
          <w:spacing w:val="3"/>
          <w:sz w:val="24"/>
          <w:szCs w:val="24"/>
          <w:highlight w:val="white"/>
        </w:rPr>
        <w:t xml:space="preserve">275/2026/0575/VFI-CT.65.A</w:t>
      </w:r>
      <w:r>
        <w:rPr>
          <w:rFonts w:ascii="Times New Roman" w:hAnsi="Times New Roman" w:eastAsia="Times New Roman" w:cs="Times New Roman"/>
          <w:color w:val="000000" w:themeColor="text1"/>
          <w:sz w:val="24"/>
          <w:szCs w:val="24"/>
        </w:rPr>
        <w:t xml:space="preserve"> ngày 14/10/2025 được phục vụ công tác vay vốn tại một ngân hàng. Tất cả các giao dịch của tài sản thẩm định giá</w:t>
      </w:r>
      <w:r>
        <w:rPr>
          <w:rFonts w:ascii="Times New Roman" w:hAnsi="Times New Roman" w:eastAsia="Times New Roman" w:cs="Times New Roman"/>
          <w:color w:val="000000" w:themeColor="text1"/>
          <w:sz w:val="24"/>
        </w:rPr>
        <w:t xml:space="preserve"> theo giá trị của chứng thư này phải được dựa trên điều kiện 02 thửa đất theo giấy chứng nhận số AA 037409</w:t>
      </w:r>
      <w:r>
        <w:rPr>
          <w:rFonts w:ascii="Times New Roman" w:hAnsi="Times New Roman" w:eastAsia="Times New Roman" w:cs="Times New Roman"/>
          <w:color w:val="000000" w:themeColor="text1"/>
          <w:sz w:val="24"/>
        </w:rPr>
        <w:t xml:space="preserve">03 và AA 03740904 hợp thành một khối thống nhất. Tất cả các giao dịch không đúng với điều kiện này hoặc các giao dịch tách rời 02 thửa đất nêu trên có thể ảnh hưởng (nếu có) đến giá trị tài sản nằm ngoài phạm vị trách nhiệm của chúng tôi. Công ty Cổ phần T</w:t>
      </w:r>
      <w:r>
        <w:rPr>
          <w:rFonts w:ascii="Times New Roman" w:hAnsi="Times New Roman" w:eastAsia="Times New Roman" w:cs="Times New Roman"/>
          <w:color w:val="000000" w:themeColor="text1"/>
          <w:sz w:val="24"/>
        </w:rPr>
        <w:t xml:space="preserve">hẩm định và Đầu tư Tài chính Hoa Sen bảo lưu quyền xem xét lại giá trị Chứng thư thẩm định giá.</w:t>
      </w:r>
      <w:r>
        <w:rPr>
          <w:color w:val="000000" w:themeColor="text1"/>
        </w:rPr>
      </w:r>
      <w:r>
        <w:rPr>
          <w:color w:val="000000" w:themeColor="text1"/>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rPr>
        <w:t xml:space="preserve">Tại thời điểm thẩm định, theo cung cấp của Khách hàng/Ngân hàng, tổ thẩm định nhận thấy diện tích toàn bộ thửa đất GCN số: AA 03740903 là 37,1m² đất ở nông thôn nằm trong quy hoạch đất giao thông, và thửa đất GCN số: AA 03740904 có 64m² đất SKC nằm trong q</w:t>
      </w:r>
      <w:r>
        <w:rPr>
          <w:rFonts w:ascii="Times New Roman" w:hAnsi="Times New Roman" w:eastAsia="Times New Roman" w:cs="Times New Roman"/>
          <w:color w:val="000000" w:themeColor="text1"/>
          <w:sz w:val="24"/>
        </w:rPr>
        <w:t xml:space="preserve">uy hoạch đất giao thông. Hiện nay chưa có thông báo thu hồi đất/quyết định thu hồi đất/phương án giải tỏa bồi thường. Tổ thẩm định xác định giá trị tài sản theo thông tin quy hoạch nêu trên. Đối với diện tích nằm ngoài quy hoạch tổ thẩm định đánh giá theo </w:t>
      </w:r>
      <w:r>
        <w:rPr>
          <w:rFonts w:ascii="Times New Roman" w:hAnsi="Times New Roman" w:eastAsia="Times New Roman" w:cs="Times New Roman"/>
          <w:color w:val="000000" w:themeColor="text1"/>
          <w:sz w:val="24"/>
        </w:rPr>
        <w:t xml:space="preserve">giá trị thị trường, đối với phần nằm trong quy hoạch tổ thẩm định đánh giá theo giá UBND từng thời kỳ, giá trị đền bù thực tế còn phụ thuộc vào thỏa thuận các bên tại thời điểm Nhà nước giải phóng mặt bằng thực hiện quy hoạch. Đề nghị đơn vị sử dụng kết qu</w:t>
      </w:r>
      <w:r>
        <w:rPr>
          <w:rFonts w:ascii="Times New Roman" w:hAnsi="Times New Roman" w:eastAsia="Times New Roman" w:cs="Times New Roman"/>
          <w:color w:val="000000" w:themeColor="text1"/>
          <w:sz w:val="24"/>
        </w:rPr>
        <w:t xml:space="preserve">ả lưu ý kiểm tra xác minh thêm thông tin quy hoạch nếu thấy cần thiết. Trong trường hợp Khách hàng/Ngân hàng cung cấp được Văn bản xác nhận rõ phần diện tích thuộc quy hoạch mà có sự sai khác so với số liệu nêu trên thì kết quả thẩm định giá cần được xem x</w:t>
      </w:r>
      <w:r>
        <w:rPr>
          <w:rFonts w:ascii="Times New Roman" w:hAnsi="Times New Roman" w:eastAsia="Times New Roman" w:cs="Times New Roman"/>
          <w:color w:val="000000" w:themeColor="text1"/>
          <w:sz w:val="24"/>
        </w:rPr>
        <w:t xml:space="preserve">ét, điều chỉnh phù hợp, chúng tôi bảo lưu quyền xem xét lại kết quả thẩm định giá</w:t>
      </w:r>
      <w:r>
        <w:rPr>
          <w:color w:val="000000" w:themeColor="text1"/>
        </w:rPr>
      </w:r>
      <w:r>
        <w:rPr>
          <w:color w:val="000000" w:themeColor="text1"/>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Căn cứ theo GCN số AA 03740904, CTXD gắn liền với đất là nhà kho là nhà cấp 4 mái lợp tôn, xây dựng 318m² đã được chứng nhận trên GCN. Tuy nhiên, qua khảo sát thực tế tổ thẩm định nhận thấy trên đất có 01 nhà ở riêng lẻ 2 tầng diện tích xây dựng 120m² đang</w:t>
      </w:r>
      <w:r>
        <w:rPr>
          <w:rFonts w:ascii="Times New Roman" w:hAnsi="Times New Roman" w:eastAsia="Times New Roman" w:cs="Times New Roman"/>
          <w:color w:val="000000" w:themeColor="text1"/>
          <w:sz w:val="24"/>
          <w:highlight w:val="white"/>
        </w:rPr>
        <w:t xml:space="preserve"> được sử dụng để ở và 01 nhà cấp 4 lợp tôn diện tích khoảng 750m² </w:t>
      </w:r>
      <w:r>
        <w:rPr>
          <w:rFonts w:ascii="Times New Roman" w:hAnsi="Times New Roman" w:eastAsia="Times New Roman" w:cs="Times New Roman"/>
          <w:color w:val="000000"/>
          <w:sz w:val="24"/>
          <w:highlight w:val="white"/>
        </w:rPr>
        <w:t xml:space="preserve"> được xây thêm từ nhà kho 318</w:t>
      </w:r>
      <w:r>
        <w:rPr>
          <w:rFonts w:ascii="Times New Roman" w:hAnsi="Times New Roman" w:eastAsia="Times New Roman" w:cs="Times New Roman"/>
          <w:color w:val="000000"/>
          <w:sz w:val="24"/>
          <w:highlight w:val="white"/>
        </w:rPr>
        <w:t xml:space="preserve">m²</w:t>
      </w:r>
      <w:r>
        <w:rPr>
          <w:rFonts w:ascii="Times New Roman" w:hAnsi="Times New Roman" w:eastAsia="Times New Roman" w:cs="Times New Roman"/>
          <w:color w:val="000000"/>
          <w:sz w:val="24"/>
          <w:highlight w:val="white"/>
        </w:rPr>
        <w:t xml:space="preserve"> đã được chứng nhận trên giấy chứng nhận số: AA 03740904</w:t>
      </w:r>
      <w:r>
        <w:rPr>
          <w:rFonts w:ascii="Times New Roman" w:hAnsi="Times New Roman" w:eastAsia="Times New Roman" w:cs="Times New Roman"/>
          <w:color w:val="000000" w:themeColor="text1"/>
          <w:sz w:val="24"/>
          <w:highlight w:val="white"/>
        </w:rPr>
        <w:t xml:space="preserve"> đang được sử dụng để sản xuất. 2 công trình này chưa được chứng nhận trên GCN. Vì vậy, theo đề nghị của Khách hàng/Ngân hàng tổ thẩm định xác định giá trị công trình gắn liền với đất theo GC</w:t>
      </w:r>
      <w:r>
        <w:rPr>
          <w:rFonts w:ascii="Times New Roman" w:hAnsi="Times New Roman" w:eastAsia="Times New Roman" w:cs="Times New Roman"/>
          <w:color w:val="000000" w:themeColor="text1"/>
          <w:sz w:val="24"/>
          <w:highlight w:val="white"/>
        </w:rPr>
        <w:t xml:space="preserve">N số 0370904 là nhà kho diện tích 318 m².</w:t>
      </w:r>
      <w:r>
        <w:rPr>
          <w:color w:val="000000" w:themeColor="text1"/>
          <w:highlight w:val="white"/>
        </w:rPr>
      </w:r>
      <w:r>
        <w:rPr>
          <w:color w:val="000000" w:themeColor="text1"/>
          <w:highlight w:val="white"/>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4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4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 của tài sản tham chiếu:</w:t>
      </w:r>
      <w:r>
        <w:rPr>
          <w:b/>
          <w:lang w:val="pt-BR"/>
        </w:rPr>
      </w:r>
      <w:r>
        <w:rPr>
          <w:b/>
          <w:lang w:val="pt-BR"/>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sz w:val="24"/>
          <w:szCs w:val="24"/>
          <w:highlight w:val="none"/>
        </w:rPr>
      </w:pPr>
      <w:r>
        <w:rPr>
          <w:rFonts w:ascii="Times New Roman" w:hAnsi="Times New Roman" w:eastAsia="Times New Roman" w:cs="Times New Roman"/>
          <w:color w:val="000000"/>
          <w:sz w:val="24"/>
        </w:rPr>
        <w:t xml:space="preserve">Qua khảo sát thị trường, Tổ thẩm định nhận thấy khu vực tài sản thẩm định toạ lạc hạn chế giao dịch đất cơ sở sản xuất phi nông nghiệp (SKC). Do đó, tổ thẩm định tham khảo 01 thửa đất là đất ở tại nông thôn có diện tích 946,4m², có kích thước mặt tiền 13m,</w:t>
      </w:r>
      <w:r>
        <w:rPr>
          <w:rFonts w:ascii="Times New Roman" w:hAnsi="Times New Roman" w:eastAsia="Times New Roman" w:cs="Times New Roman"/>
          <w:color w:val="000000"/>
          <w:sz w:val="24"/>
        </w:rPr>
        <w:t xml:space="preserve"> có vị trí tương đồng tài sản thẩm định, hình dáng cân đối, thời hạn sử dụng đất là lâu dài... làm tài sản tham chiếu. Sau đó điều chỉnh các yếu tố khác biệt về diện tích, số lượng mặt tiếp giáp, mục đích sử dụng đất, thời hạn sử dụng đất để xác định đơn g</w:t>
      </w:r>
      <w:r>
        <w:rPr>
          <w:rFonts w:ascii="Times New Roman" w:hAnsi="Times New Roman" w:eastAsia="Times New Roman" w:cs="Times New Roman"/>
          <w:color w:val="000000"/>
          <w:sz w:val="24"/>
        </w:rPr>
        <w:t xml:space="preserve">iá của tài sản thẩm định. Tổ thẩm định tham khảo được một số thông tin rao bán các loại đất xung quanh khu vực và lựa chọn tài sản so sánh như sau:</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Bdr/>
        <w:tabs>
          <w:tab w:val="left" w:leader="none" w:pos="720"/>
        </w:tabs>
        <w:spacing w:after="120" w:before="120" w:line="276" w:lineRule="auto"/>
        <w:ind w:firstLine="0" w:left="0"/>
        <w:jc w:val="both"/>
        <w:rPr>
          <w:b/>
          <w:bCs/>
          <w:lang w:val="nl-NL"/>
        </w:rPr>
      </w:pPr>
      <w:r>
        <w:rPr>
          <w:b/>
          <w:lang w:val="nl-NL"/>
        </w:rPr>
        <w:t xml:space="preserve">Thông tin tài sản so sánh:</w:t>
      </w:r>
      <w:r>
        <w:rPr>
          <w:b/>
          <w:bCs/>
          <w:lang w:val="nl-NL"/>
        </w:rPr>
      </w:r>
      <w:r>
        <w:rPr>
          <w:b/>
          <w:bCs/>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Phú, Tỉnh An Giang</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Nhơn Hội, Tỉnh An Giang</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Quốc Thái, Huyện An Phú, Tỉnh An Giang (nay là </w:t>
            </w:r>
            <w:r>
              <w:rPr>
                <w:color w:val="000000" w:themeColor="text1"/>
                <w:sz w:val="22"/>
                <w:szCs w:val="22"/>
              </w:rPr>
              <w:t xml:space="preserve">Xã An Phú, Tỉnh An Giang)</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Nhơn Hội, Tỉnh An Giang</w:t>
            </w:r>
            <w:r>
              <w:rPr>
                <w:sz w:val="22"/>
                <w:szCs w:val="22"/>
              </w:rPr>
            </w:r>
            <w:r>
              <w:rPr>
                <w:sz w:val="22"/>
                <w:szCs w:val="22"/>
              </w:rPr>
            </w:r>
          </w:p>
        </w:tc>
      </w:tr>
      <w:tr>
        <w:trPr>
          <w:trHeight w:val="484"/>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0365582811</w:t>
            </w:r>
            <w:r>
              <w:rPr>
                <w:sz w:val="22"/>
                <w:szCs w:val="22"/>
              </w:rPr>
              <w:t xml:space="preserve"> </w:t>
            </w:r>
            <w:r>
              <w:rPr>
                <w:sz w:val="22"/>
                <w:szCs w:val="22"/>
              </w:rPr>
              <w:br/>
            </w:r>
            <w:r>
              <w:rPr>
                <w:sz w:val="22"/>
                <w:szCs w:val="22"/>
                <w:highlight w:val="white"/>
              </w:rPr>
              <w:t xml:space="preserve">(</w:t>
            </w:r>
            <w:r>
              <w:rPr>
                <w:sz w:val="22"/>
                <w:szCs w:val="22"/>
                <w:highlight w:val="white"/>
              </w:rPr>
              <w:t xml:space="preserve">Minh</w:t>
            </w:r>
            <w:r>
              <w:rPr>
                <w:sz w:val="22"/>
                <w:szCs w:val="22"/>
                <w:highlight w:val="white"/>
              </w:rPr>
              <w:t xml:space="preserve">)</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0365582811</w:t>
            </w:r>
            <w:r>
              <w:rPr>
                <w:sz w:val="22"/>
                <w:szCs w:val="22"/>
              </w:rPr>
              <w:br/>
            </w:r>
            <w:r>
              <w:rPr>
                <w:sz w:val="22"/>
                <w:szCs w:val="22"/>
              </w:rPr>
              <w:t xml:space="preserve">(</w:t>
            </w:r>
            <w:r>
              <w:rPr>
                <w:sz w:val="22"/>
                <w:szCs w:val="22"/>
              </w:rPr>
              <w:t xml:space="preserve">Minh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0948.397.747</w:t>
            </w:r>
            <w:r>
              <w:rPr>
                <w:sz w:val="22"/>
                <w:szCs w:val="22"/>
              </w:rPr>
              <w:br/>
            </w:r>
            <w:r>
              <w:rPr>
                <w:sz w:val="22"/>
                <w:szCs w:val="22"/>
              </w:rPr>
              <w:t xml:space="preserve">(</w:t>
            </w:r>
            <w:r>
              <w:rPr>
                <w:sz w:val="22"/>
                <w:szCs w:val="22"/>
              </w:rPr>
              <w:t xml:space="preserve">Trịnh Đình Xuân</w:t>
            </w:r>
            <w:r>
              <w:rPr>
                <w:sz w:val="22"/>
                <w:szCs w:val="22"/>
              </w:rPr>
              <w:t xml:space="preserve">)</w:t>
            </w:r>
            <w:r>
              <w:rPr>
                <w:sz w:val="22"/>
                <w:szCs w:val="22"/>
              </w:rPr>
            </w:r>
            <w:r>
              <w:rPr>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Đã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04/2026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04/2026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04/2026</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color w:val="000000"/>
                <w:sz w:val="22"/>
              </w:rPr>
              <w:t xml:space="preserve">Tài sản tiếp giáp đường QL91C</w:t>
            </w:r>
            <w:r>
              <w:rPr>
                <w:sz w:val="22"/>
              </w:rPr>
            </w:r>
            <w:r>
              <w:rPr>
                <w:sz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color w:val="000000"/>
                <w:sz w:val="22"/>
              </w:rPr>
              <w:t xml:space="preserve">Tài sản tiếp giáp đường QL91C</w:t>
            </w:r>
            <w:r>
              <w:rPr>
                <w:sz w:val="22"/>
              </w:rPr>
            </w:r>
            <w:r>
              <w:rPr>
                <w:sz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color w:val="000000"/>
                <w:sz w:val="22"/>
              </w:rPr>
              <w:t xml:space="preserve">Tài sản tiếp giáp đường QL91C</w:t>
            </w:r>
            <w:r>
              <w:rPr>
                <w:sz w:val="22"/>
              </w:rPr>
            </w:r>
            <w:r>
              <w:rPr>
                <w:sz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color w:val="000000"/>
                <w:sz w:val="22"/>
              </w:rPr>
              <w:t xml:space="preserve">Tài sản tiếp giáp đường QL91C</w:t>
            </w:r>
            <w:r>
              <w:rPr>
                <w:sz w:val="22"/>
              </w:rPr>
            </w:r>
            <w:r>
              <w:rPr>
                <w:sz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946,4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108,6</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1mặt tiền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tiền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ở</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105</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931.000.000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1.958.000.000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1.602</w:t>
            </w:r>
            <w:r>
              <w:rPr>
                <w:color w:val="000000" w:themeColor="text1"/>
                <w:sz w:val="22"/>
                <w:szCs w:val="22"/>
              </w:rPr>
              <w:t xml:space="preserve">.000.000</w:t>
            </w:r>
            <w:r>
              <w:rPr>
                <w:color w:val="000000" w:themeColor="text1"/>
                <w:sz w:val="22"/>
                <w:szCs w:val="22"/>
              </w:rPr>
            </w:r>
            <w:r>
              <w:rPr>
                <w:color w:val="000000" w:themeColor="text1"/>
                <w:sz w:val="22"/>
                <w:szCs w:val="22"/>
              </w:rPr>
            </w:r>
          </w:p>
        </w:tc>
      </w:tr>
      <w:tr>
        <w:trPr>
          <w:trHeight w:val="315"/>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color w:val="000000" w:themeColor="text1"/>
                <w:sz w:val="22"/>
                <w:szCs w:val="22"/>
                <w:highlight w:val="white"/>
              </w:rPr>
              <w:t xml:space="preserve">Đơn giá xây dựng theo Quyết định số 425/QĐ-BXD ngày 30/03/2026 của Bộ Xây Dựng (đồng/m²)</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545.797.507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color w:val="000000" w:themeColor="text1"/>
                <w:sz w:val="22"/>
                <w:szCs w:val="22"/>
                <w:highlight w:val="none"/>
              </w:rPr>
              <w:t xml:space="preserve">Tỷ lệ % CLCL</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Giá trị đất (đồng)</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931.000.000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1.958.000.000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1.056.202.493</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10.952.941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11.156.695</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9.725.621</w:t>
            </w:r>
            <w:r/>
          </w:p>
        </w:tc>
      </w:tr>
      <w:tr>
        <w:trPr>
          <w:trHeight w:val="328"/>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45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720"/>
        </w:tabs>
        <w:spacing w:after="120" w:before="120" w:line="276" w:lineRule="auto"/>
        <w:ind w:firstLine="0" w:left="0"/>
        <w:jc w:val="both"/>
        <w:rPr>
          <w:b/>
          <w:bCs/>
          <w:lang w:val="nl-NL"/>
        </w:rPr>
      </w:pPr>
      <w:r>
        <w:rPr>
          <w:highlight w:val="none"/>
          <w:lang w:val="it-IT"/>
        </w:rPr>
      </w:r>
      <w:r>
        <w:rPr>
          <w:b/>
          <w:bCs/>
          <w:lang w:val="nl-NL"/>
        </w:rPr>
      </w:r>
      <w:r>
        <w:rPr>
          <w:b/>
          <w:bCs/>
          <w:lang w:val="nl-NL"/>
        </w:rPr>
      </w:r>
    </w:p>
    <w:p>
      <w:pPr>
        <w:pBdr/>
        <w:tabs>
          <w:tab w:val="left" w:leader="none" w:pos="720"/>
        </w:tabs>
        <w:spacing w:after="120" w:before="120" w:line="276" w:lineRule="auto"/>
        <w:ind w:firstLine="0" w:left="0"/>
        <w:jc w:val="both"/>
        <w:rPr>
          <w:highlight w:val="none"/>
          <w:lang w:val="it-IT"/>
        </w:rPr>
      </w:pPr>
      <w:r>
        <w:rPr>
          <w:b/>
          <w:bCs/>
          <w:lang w:val="nl-NL"/>
        </w:rPr>
      </w: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highlight w:val="none"/>
          <w:lang w:val="it-IT"/>
        </w:rPr>
      </w:r>
      <w:r>
        <w:rPr>
          <w:highlight w:val="none"/>
          <w:lang w:val="it-IT"/>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Bdr/>
        <w:tabs>
          <w:tab w:val="left" w:leader="none" w:pos="720"/>
        </w:tabs>
        <w:spacing w:after="120" w:before="120" w:line="276" w:lineRule="auto"/>
        <w:ind w:firstLine="0"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931.000.000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1.958.000.000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1.056.202.493</w:t>
            </w:r>
            <w:r/>
          </w:p>
        </w:tc>
      </w:tr>
      <w:tr>
        <w:trPr>
          <w:trHeight w:val="421"/>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10.952.941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11.156.695</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9.725.621</w:t>
            </w: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10.952.941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11.156.695</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9.725.621</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10.952.941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11.156.695</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9.725.621</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tiếp giáp đường QL91C</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tiếp giáp đường QL91C</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tiếp giáp đường QL91C</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tiếp giáp đường QL91C</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10.952.941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11.156.695</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9.725.621</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10.952.941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11.156.695</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9.725.621</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rPr>
              <w:t xml:space="preserve">C.5</w:t>
            </w:r>
            <w:r>
              <w:rPr>
                <w:color w:val="000000" w:themeColor="text1"/>
                <w:sz w:val="22"/>
                <w:szCs w:val="22"/>
                <w:highlight w:val="none"/>
              </w:rPr>
            </w:r>
            <w:r>
              <w:rPr>
                <w:color w:val="000000" w:themeColor="text1"/>
                <w:sz w:val="22"/>
                <w:szCs w:val="22"/>
                <w:highlight w:val="none"/>
              </w:rPr>
            </w:r>
          </w:p>
          <w:p>
            <w:pPr>
              <w:pBdr/>
              <w:spacing/>
              <w:ind/>
              <w:jc w:val="center"/>
              <w:rPr>
                <w:color w:val="000000"/>
                <w:sz w:val="22"/>
                <w:szCs w:val="22"/>
              </w:rPr>
            </w:pPr>
            <w:r>
              <w:rPr>
                <w:color w:val="000000" w:themeColor="text1"/>
                <w:sz w:val="22"/>
                <w:szCs w:val="22"/>
                <w:highlight w:val="none"/>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946,4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108,6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-3.066.823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-2.231.339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-2.431.405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7.886.118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8.925.356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7.294.216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1.314.353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1.338.803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1.167.075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9.200.471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10.264.160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8.461.291 </w:t>
            </w:r>
            <w:r/>
          </w:p>
        </w:tc>
      </w:tr>
    </w:tbl>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1mặt tiền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tiền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-547,647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8,652,824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t xml:space="preserve">10.264.160</w:t>
            </w: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t xml:space="preserve">8.461.291</w:t>
            </w:r>
            <w:r>
              <w:rPr>
                <w:rFonts w:ascii="Times New Roman" w:hAnsi="Times New Roman" w:eastAsia="Times New Roman" w:cs="Times New Roman"/>
                <w:color w:val="000000"/>
                <w:sz w:val="22"/>
              </w:rPr>
              <w:t xml:space="preserve"> </w:t>
            </w:r>
            <w:r/>
          </w:p>
        </w:tc>
      </w:tr>
    </w:tbl>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-547.647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-557.835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-486.281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8.105.176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9.706.325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7.975.010 </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8.105.176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9.706.325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7.975.010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8.596.000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-5,71%</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12,92%</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-7,22%</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5.476.471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4.127.977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4.084.761 </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2.847.765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1.450.370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1.750.612 </w:t>
            </w:r>
            <w:r/>
          </w:p>
        </w:tc>
      </w:tr>
    </w:tbl>
    <w:p>
      <w:pPr>
        <w:pBdr/>
        <w:spacing w:after="120" w:before="120" w:line="276" w:lineRule="auto"/>
        <w:ind/>
        <w:jc w:val="both"/>
        <w:rPr>
          <w:b/>
          <w:bCs/>
          <w:i/>
          <w:iCs/>
          <w:highlight w:val="none"/>
        </w:rPr>
      </w:pPr>
      <w:r>
        <w:rPr>
          <w:i/>
          <w:iCs/>
          <w:u w:val="single"/>
        </w:rPr>
        <w:t xml:space="preserve"> </w:t>
      </w:r>
      <w:r>
        <w:rPr>
          <w:b/>
          <w:bCs/>
          <w:i/>
          <w:iCs/>
          <w:u w:val="single"/>
        </w:rPr>
        <w:t xml:space="preserve">Về nguyên tắc khống chế</w:t>
      </w:r>
      <w:r>
        <w:rPr>
          <w:b/>
          <w:bCs/>
          <w:i/>
          <w:iCs/>
        </w:rPr>
        <w:t xml:space="preserve">: </w:t>
      </w:r>
      <w:r>
        <w:rPr>
          <w:b/>
          <w:bCs/>
          <w:i/>
          <w:iCs/>
          <w:highlight w:val="none"/>
        </w:rPr>
      </w:r>
      <w:r>
        <w:rPr>
          <w:b/>
          <w:bCs/>
          <w:i/>
          <w:iCs/>
          <w:highlight w:val="none"/>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5,71</w:t>
      </w:r>
      <w:r>
        <w:t xml:space="preserve">% đến</w:t>
      </w:r>
      <w:r>
        <w:t xml:space="preserve"> </w:t>
      </w:r>
      <w:r>
        <w:t xml:space="preserve"> </w:t>
      </w:r>
      <w:r>
        <w:t xml:space="preserve">12,92%,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2"/>
              </w:rPr>
              <w:t xml:space="preserve">8.105.176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33,00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2.674.708</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2"/>
              </w:rPr>
              <w:t xml:space="preserve">9.706.325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33,50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3.251.619</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2"/>
              </w:rPr>
              <w:t xml:space="preserve">7.975.010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33,50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2.671.628</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8.597.955</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8.598.000</w:t>
            </w:r>
            <w:r>
              <w:rPr>
                <w:b/>
                <w:bCs/>
                <w:color w:val="000000"/>
              </w:rPr>
            </w:r>
            <w:r>
              <w:rPr>
                <w:b/>
                <w:bCs/>
                <w:color w:val="000000"/>
              </w:rPr>
            </w:r>
          </w:p>
        </w:tc>
      </w:tr>
    </w:tbl>
    <w:p>
      <w:pPr>
        <w:pBdr/>
        <w:spacing w:after="120" w:before="120" w:line="276" w:lineRule="auto"/>
        <w:ind w:right="0" w:firstLine="180" w:left="0"/>
        <w:jc w:val="both"/>
        <w:rPr>
          <w:b/>
          <w:bCs/>
        </w:rPr>
      </w:pPr>
      <w:r>
        <w:t xml:space="preserve">Tổ thẩm định sử dụng mức giá chỉ dẫn là mức giá bình quân có trọng số của 0</w:t>
      </w:r>
      <w:r>
        <w:rPr>
          <w:rFonts w:ascii="Times New Roman" w:hAnsi="Times New Roman" w:eastAsia="Times New Roman" w:cs="Times New Roman"/>
          <w:color w:val="000000"/>
          <w:sz w:val="24"/>
        </w:rPr>
        <w:t xml:space="preserve">3 tài sản so sánh làm mức giá của tài sản tham chiếu, tương ứng là</w:t>
      </w:r>
      <w:r>
        <w:t xml:space="preserve">:</w:t>
      </w:r>
      <w:r>
        <w:t xml:space="preserve"> </w:t>
      </w:r>
      <w:r>
        <w:rPr>
          <w:b/>
          <w:bCs/>
          <w:color w:val="000000" w:themeColor="text1"/>
          <w:lang w:val="vi-VN"/>
        </w:rPr>
        <w:t xml:space="preserve">8.598.000</w:t>
      </w:r>
      <w:r>
        <w:rPr>
          <w:b/>
          <w:bCs/>
          <w:color w:val="000000" w:themeColor="text1"/>
        </w:rPr>
        <w:t xml:space="preserve"> </w:t>
      </w:r>
      <w:r>
        <w:rPr>
          <w:b/>
          <w:bCs/>
        </w:rPr>
        <w:t xml:space="preserve">đồng/m².</w:t>
      </w:r>
      <w:r>
        <w:rPr>
          <w:b/>
          <w:bCs/>
        </w:rPr>
      </w:r>
      <w:r>
        <w:rPr>
          <w:b/>
          <w:bCs/>
        </w:rPr>
      </w:r>
    </w:p>
    <w:p>
      <w:pPr>
        <w:pStyle w:val="1047"/>
        <w:numPr>
          <w:ilvl w:val="0"/>
          <w:numId w:val="26"/>
        </w:numPr>
        <w:pBdr/>
        <w:spacing w:after="120" w:before="120" w:line="276" w:lineRule="auto"/>
        <w:ind w:hanging="357" w:left="357"/>
        <w:jc w:val="both"/>
        <w:rPr>
          <w:b/>
          <w:bCs/>
        </w:rPr>
      </w:pPr>
      <w:r>
        <w:rPr>
          <w:b/>
          <w:bCs/>
        </w:rPr>
        <w:t xml:space="preserve">Xác định </w:t>
      </w:r>
      <w:r>
        <w:rPr>
          <w:rFonts w:ascii="Times New Roman" w:hAnsi="Times New Roman" w:eastAsia="Times New Roman" w:cs="Times New Roman"/>
          <w:b/>
          <w:color w:val="000000"/>
          <w:sz w:val="24"/>
        </w:rPr>
        <w:t xml:space="preserve">đơn giá quyền sử dụng đất cơ sở sản xuất phi nông nghiệp nằm ngoài quy hoạch đất giao thông</w:t>
      </w:r>
      <w:r>
        <w:rPr>
          <w:b/>
          <w:bCs/>
        </w:rPr>
        <w:t xml:space="preserve">:</w:t>
      </w:r>
      <w:r>
        <w:rPr>
          <w:b/>
          <w:bCs/>
        </w:rPr>
      </w:r>
      <w:r>
        <w:rPr>
          <w:b/>
          <w:bCs/>
        </w:rPr>
      </w:r>
    </w:p>
    <w:p>
      <w:pPr>
        <w:pBdr>
          <w:top w:val="none" w:color="000000" w:sz="4" w:space="0"/>
          <w:left w:val="none" w:color="000000" w:sz="4" w:space="0"/>
          <w:bottom w:val="none" w:color="000000" w:sz="4" w:space="0"/>
          <w:right w:val="none" w:color="000000" w:sz="4" w:space="0"/>
        </w:pBdr>
        <w:shd w:val="clear" w:color="ffffff" w:fill="ffffff"/>
        <w:spacing w:after="120" w:before="120" w:line="234" w:lineRule="atLeast"/>
        <w:ind w:right="0" w:firstLine="180" w:left="0"/>
        <w:jc w:val="left"/>
        <w:rPr>
          <w:rFonts w:ascii="Times New Roman" w:hAnsi="Times New Roman" w:eastAsia="Times New Roman" w:cs="Times New Roman"/>
          <w:b w:val="0"/>
          <w:bCs w:val="0"/>
          <w:color w:val="000000"/>
          <w:sz w:val="24"/>
          <w:szCs w:val="24"/>
        </w:rPr>
      </w:pPr>
      <w:r>
        <w:rPr>
          <w:rFonts w:ascii="Times New Roman" w:hAnsi="Times New Roman" w:eastAsia="Times New Roman" w:cs="Times New Roman"/>
          <w:b w:val="0"/>
          <w:bCs w:val="0"/>
          <w:color w:val="000000"/>
          <w:sz w:val="24"/>
          <w:szCs w:val="24"/>
        </w:rPr>
        <w:t xml:space="preserve">Vận dụng Nghị quyết số </w:t>
      </w:r>
      <w:r>
        <w:rPr>
          <w:rFonts w:ascii="Times New Roman" w:hAnsi="Times New Roman" w:eastAsia="Times New Roman" w:cs="Times New Roman"/>
          <w:b w:val="0"/>
          <w:bCs w:val="0"/>
          <w:color w:val="000000"/>
          <w:sz w:val="24"/>
          <w:szCs w:val="24"/>
          <w:highlight w:val="white"/>
        </w:rPr>
        <w:t xml:space="preserve">16/2025/NQ-HĐND</w:t>
      </w:r>
      <w:r>
        <w:rPr>
          <w:rFonts w:ascii="Times New Roman" w:hAnsi="Times New Roman" w:eastAsia="Times New Roman" w:cs="Times New Roman"/>
          <w:b w:val="0"/>
          <w:bCs w:val="0"/>
          <w:color w:val="000000"/>
          <w:sz w:val="24"/>
          <w:szCs w:val="24"/>
        </w:rPr>
        <w:t xml:space="preserve"> ngày 30 tháng 12 năm 2025 của </w:t>
      </w:r>
      <w:r>
        <w:rPr>
          <w:rFonts w:ascii="Times New Roman" w:hAnsi="Times New Roman" w:eastAsia="Times New Roman" w:cs="Times New Roman"/>
          <w:b w:val="0"/>
          <w:bCs w:val="0"/>
          <w:color w:val="000000"/>
          <w:sz w:val="24"/>
          <w:szCs w:val="24"/>
          <w:highlight w:val="none"/>
        </w:rPr>
        <w:t xml:space="preserve">Hội dồng nhân dân tỉnh An </w:t>
      </w:r>
      <w:r>
        <w:rPr>
          <w:rFonts w:ascii="Times New Roman" w:hAnsi="Times New Roman" w:eastAsia="Times New Roman" w:cs="Times New Roman"/>
          <w:b w:val="0"/>
          <w:bCs w:val="0"/>
          <w:color w:val="000000"/>
          <w:sz w:val="24"/>
          <w:szCs w:val="24"/>
          <w:highlight w:val="white"/>
        </w:rPr>
        <w:t xml:space="preserve">G</w:t>
      </w:r>
      <w:r>
        <w:rPr>
          <w:rFonts w:ascii="Times New Roman" w:hAnsi="Times New Roman" w:eastAsia="Times New Roman" w:cs="Times New Roman"/>
          <w:b w:val="0"/>
          <w:bCs w:val="0"/>
          <w:color w:val="000000"/>
          <w:sz w:val="24"/>
          <w:szCs w:val="24"/>
          <w:highlight w:val="none"/>
        </w:rPr>
        <w:t xml:space="preserve">iang</w:t>
      </w:r>
      <w:r>
        <w:rPr>
          <w:rFonts w:ascii="Times New Roman" w:hAnsi="Times New Roman" w:eastAsia="Times New Roman" w:cs="Times New Roman"/>
          <w:b w:val="0"/>
          <w:bCs w:val="0"/>
          <w:color w:val="000000"/>
          <w:sz w:val="24"/>
          <w:szCs w:val="24"/>
        </w:rPr>
        <w:t xml:space="preserve">. </w:t>
      </w:r>
      <w:r>
        <w:rPr>
          <w:rFonts w:ascii="Times New Roman" w:hAnsi="Times New Roman" w:eastAsia="Times New Roman" w:cs="Times New Roman"/>
          <w:b w:val="0"/>
          <w:bCs w:val="0"/>
          <w:color w:val="000000"/>
          <w:sz w:val="24"/>
          <w:szCs w:val="24"/>
        </w:rPr>
        <w:t xml:space="preserve">Nghị quyết </w:t>
      </w:r>
      <w:r>
        <w:rPr>
          <w:rFonts w:ascii="Times New Roman" w:hAnsi="Times New Roman" w:eastAsia="Times New Roman" w:cs="Times New Roman"/>
          <w:b w:val="0"/>
          <w:bCs w:val="0"/>
          <w:color w:val="000000"/>
          <w:sz w:val="24"/>
          <w:szCs w:val="24"/>
          <w:u w:val="none"/>
        </w:rPr>
        <w:t xml:space="preserve">ban hành bảng giá đất lần đầu tỉnh An Giang áp dụng từ ngày 01 tháng</w:t>
      </w:r>
      <w:r>
        <w:rPr>
          <w:rFonts w:ascii="Times New Roman" w:hAnsi="Times New Roman" w:eastAsia="Times New Roman" w:cs="Times New Roman"/>
          <w:b w:val="0"/>
          <w:bCs w:val="0"/>
          <w:color w:val="000000"/>
          <w:sz w:val="24"/>
          <w:szCs w:val="24"/>
          <w:u w:val="none"/>
        </w:rPr>
        <w:t xml:space="preserve"> 01 năm 2026</w:t>
      </w:r>
      <w:r>
        <w:rPr>
          <w:rFonts w:ascii="Times New Roman" w:hAnsi="Times New Roman" w:eastAsia="Times New Roman" w:cs="Times New Roman"/>
          <w:b w:val="0"/>
          <w:bCs w:val="0"/>
          <w:color w:val="000000"/>
          <w:sz w:val="24"/>
          <w:szCs w:val="24"/>
        </w:rPr>
        <w:t xml:space="preserve">. </w:t>
      </w:r>
      <w:r>
        <w:rPr>
          <w:rFonts w:ascii="Times New Roman" w:hAnsi="Times New Roman" w:eastAsia="Times New Roman" w:cs="Times New Roman"/>
          <w:b w:val="0"/>
          <w:bCs w:val="0"/>
          <w:color w:val="000000"/>
          <w:sz w:val="24"/>
          <w:szCs w:val="24"/>
        </w:rPr>
      </w:r>
      <w:r>
        <w:rPr>
          <w:rFonts w:ascii="Times New Roman" w:hAnsi="Times New Roman" w:eastAsia="Times New Roman" w:cs="Times New Roman"/>
          <w:b w:val="0"/>
          <w:bCs w:val="0"/>
          <w:color w:val="000000"/>
          <w:sz w:val="24"/>
          <w:szCs w:val="24"/>
        </w:rPr>
      </w:r>
    </w:p>
    <w:p>
      <w:pPr>
        <w:pBdr>
          <w:top w:val="none" w:color="000000" w:sz="4" w:space="0"/>
          <w:left w:val="none" w:color="000000" w:sz="4" w:space="0"/>
          <w:bottom w:val="none" w:color="000000" w:sz="4" w:space="0"/>
          <w:right w:val="none" w:color="000000" w:sz="4" w:space="0"/>
        </w:pBdr>
        <w:shd w:val="clear" w:color="ffffff" w:fill="ffffff"/>
        <w:spacing w:after="120" w:before="120" w:line="234" w:lineRule="atLeast"/>
        <w:ind w:right="0" w:firstLine="180" w:left="0"/>
        <w:jc w:val="left"/>
        <w:rPr>
          <w:rFonts w:ascii="Times New Roman" w:hAnsi="Times New Roman" w:cs="Times New Roman"/>
          <w:b w:val="0"/>
          <w:bCs w:val="0"/>
          <w:sz w:val="24"/>
          <w:szCs w:val="24"/>
          <w:highlight w:val="none"/>
        </w:rPr>
      </w:pPr>
      <w:r>
        <w:rPr>
          <w:rFonts w:ascii="Times New Roman" w:hAnsi="Times New Roman" w:eastAsia="Times New Roman" w:cs="Times New Roman"/>
          <w:b w:val="0"/>
          <w:bCs w:val="0"/>
          <w:color w:val="000000"/>
          <w:sz w:val="24"/>
          <w:szCs w:val="24"/>
        </w:rPr>
        <w:t xml:space="preserve">Tại mục 2 điều 9 chương III của quyết định trên: </w:t>
      </w:r>
      <w:r>
        <w:rPr>
          <w:rFonts w:ascii="Times New Roman" w:hAnsi="Times New Roman" w:eastAsia="Times New Roman" w:cs="Times New Roman"/>
          <w:b w:val="0"/>
          <w:bCs w:val="0"/>
          <w:i/>
          <w:color w:val="000000"/>
          <w:sz w:val="24"/>
          <w:szCs w:val="24"/>
        </w:rPr>
        <w:t xml:space="preserve">“</w:t>
      </w:r>
      <w:r>
        <w:rPr>
          <w:rFonts w:ascii="Times New Roman" w:hAnsi="Times New Roman" w:eastAsia="Times New Roman" w:cs="Times New Roman"/>
          <w:b w:val="0"/>
          <w:bCs w:val="0"/>
          <w:i/>
          <w:iCs/>
          <w:color w:val="000000"/>
          <w:sz w:val="24"/>
          <w:szCs w:val="24"/>
          <w:highlight w:val="white"/>
        </w:rPr>
        <w:t xml:space="preserve">Giá đất sử dụng vào mục đích công cộng, gồm: Đất công trình giao thông; đất công trình thủy lợi; đất công trình cấp nước, thoát nước; đất công trình phòng, chống thiên tai; đất có di tích lịch sử - văn hóa, danh lam thắng cảnh, di sản thiên nhiên; đất công</w:t>
      </w:r>
      <w:r>
        <w:rPr>
          <w:rFonts w:ascii="Times New Roman" w:hAnsi="Times New Roman" w:eastAsia="Times New Roman" w:cs="Times New Roman"/>
          <w:b w:val="0"/>
          <w:bCs w:val="0"/>
          <w:i/>
          <w:iCs/>
          <w:color w:val="000000"/>
          <w:sz w:val="24"/>
          <w:szCs w:val="24"/>
          <w:highlight w:val="white"/>
        </w:rPr>
        <w:t xml:space="preserve"> trình xử lý chất thải; đất công trình năng lượng, chiếu sáng công cộng; đất công trình hạ tầng bưu chính, viễn thông, công nghệ thông tin; đất chợ dân sinh, chợ đầu mối; đất khu vui chơi, giải trí công cộng, sinh hoạt cộng đồng; đất sử dụng cho hoạt động </w:t>
      </w:r>
      <w:r>
        <w:rPr>
          <w:rFonts w:ascii="Times New Roman" w:hAnsi="Times New Roman" w:eastAsia="Times New Roman" w:cs="Times New Roman"/>
          <w:b w:val="0"/>
          <w:bCs w:val="0"/>
          <w:i/>
          <w:iCs/>
          <w:color w:val="000000"/>
          <w:sz w:val="24"/>
          <w:szCs w:val="24"/>
          <w:highlight w:val="white"/>
        </w:rPr>
        <w:t xml:space="preserve">tôn giáo (sau đây gọi là đất tôn giáo); đất sử dụng cho hoạt động tín ngưỡng (sau đây gọi là đất tín ngưỡng); Đất nghĩa trang, nhà tang lễ, cơ sở hỏa táng; đất cơ sở lưu giữ tro cốt; đất có mặt nước chuyên dùng </w:t>
      </w:r>
      <w:r>
        <w:rPr>
          <w:rFonts w:ascii="Times New Roman" w:hAnsi="Times New Roman" w:eastAsia="Times New Roman" w:cs="Times New Roman"/>
          <w:b w:val="0"/>
          <w:bCs w:val="0"/>
          <w:i/>
          <w:iCs/>
          <w:color w:val="000000"/>
          <w:sz w:val="24"/>
          <w:szCs w:val="24"/>
          <w:highlight w:val="white"/>
        </w:rPr>
        <w:t xml:space="preserve">v</w:t>
      </w:r>
      <w:r>
        <w:rPr>
          <w:rFonts w:ascii="Times New Roman" w:hAnsi="Times New Roman" w:eastAsia="Times New Roman" w:cs="Times New Roman"/>
          <w:b w:val="0"/>
          <w:bCs w:val="0"/>
          <w:i/>
          <w:iCs/>
          <w:color w:val="000000"/>
          <w:sz w:val="24"/>
          <w:szCs w:val="24"/>
          <w:highlight w:val="white"/>
        </w:rPr>
        <w:t xml:space="preserve">à đất phi nông nghiệp khác bằng 60% giá đất </w:t>
      </w:r>
      <w:r>
        <w:rPr>
          <w:rFonts w:ascii="Times New Roman" w:hAnsi="Times New Roman" w:eastAsia="Times New Roman" w:cs="Times New Roman"/>
          <w:b w:val="0"/>
          <w:bCs w:val="0"/>
          <w:i/>
          <w:iCs/>
          <w:color w:val="000000"/>
          <w:sz w:val="24"/>
          <w:szCs w:val="24"/>
          <w:highlight w:val="white"/>
        </w:rPr>
        <w:t xml:space="preserve">ở cùng vị trí (liền kề</w:t>
      </w:r>
      <w:r>
        <w:rPr>
          <w:rFonts w:ascii="Times New Roman" w:hAnsi="Times New Roman" w:eastAsia="Times New Roman" w:cs="Times New Roman"/>
          <w:b w:val="0"/>
          <w:bCs w:val="0"/>
          <w:i/>
          <w:iCs/>
          <w:color w:val="000000"/>
          <w:sz w:val="24"/>
          <w:szCs w:val="24"/>
          <w:highlight w:val="white"/>
        </w:rPr>
        <w:t xml:space="preserve">) h</w:t>
      </w:r>
      <w:r>
        <w:rPr>
          <w:rFonts w:ascii="Times New Roman" w:hAnsi="Times New Roman" w:eastAsia="Times New Roman" w:cs="Times New Roman"/>
          <w:b w:val="0"/>
          <w:bCs w:val="0"/>
          <w:i/>
          <w:iCs/>
          <w:color w:val="000000"/>
          <w:sz w:val="24"/>
          <w:szCs w:val="24"/>
          <w:highlight w:val="white"/>
        </w:rPr>
        <w:t xml:space="preserve">oặc giá đất ở tại vùng lân cận gần nhất (trường hợp không có đất ở liền kề).</w:t>
      </w:r>
      <w:r>
        <w:rPr>
          <w:rFonts w:ascii="Times New Roman" w:hAnsi="Times New Roman" w:eastAsia="Times New Roman" w:cs="Times New Roman"/>
          <w:b w:val="0"/>
          <w:bCs w:val="0"/>
          <w:i/>
          <w:color w:val="000000"/>
          <w:sz w:val="24"/>
          <w:szCs w:val="24"/>
          <w:highlight w:val="white"/>
        </w:rPr>
        <w:t xml:space="preserve">”. </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pPr>
        <w:pBdr/>
        <w:spacing/>
        <w:ind w:right="0" w:firstLine="180" w:left="0"/>
        <w:jc w:val="left"/>
        <w:rPr>
          <w:b/>
          <w:bCs/>
          <w:color w:val="000000"/>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color w:val="000000"/>
          <w:sz w:val="24"/>
          <w:szCs w:val="24"/>
        </w:rPr>
        <w:t xml:space="preserve">Do đó tổ thẩm định xác định đơn giá đất sản xuất phi nông nghiệp của tài sản thẩm định bằng 60% đơn giá đất ở của tài sản tham chiếu (đất ở nông thôn):</w:t>
      </w:r>
      <w:r>
        <w:rPr>
          <w:rFonts w:ascii="Times New Roman" w:hAnsi="Times New Roman" w:eastAsia="Times New Roman" w:cs="Times New Roman"/>
          <w:b w:val="0"/>
          <w:bCs w:val="0"/>
          <w:i/>
          <w:iCs/>
          <w:color w:val="000000"/>
          <w:sz w:val="24"/>
          <w:szCs w:val="24"/>
        </w:rPr>
        <w:t xml:space="preserve"> </w:t>
      </w:r>
      <w:r>
        <w:rPr>
          <w:b/>
          <w:bCs/>
          <w:i/>
          <w:iCs/>
          <w:color w:val="000000" w:themeColor="text1"/>
          <w:lang w:val="vi-VN"/>
        </w:rPr>
        <w:t xml:space="preserve">8.598.000</w:t>
      </w:r>
      <w:r>
        <w:rPr>
          <w:rFonts w:ascii="Times New Roman" w:hAnsi="Times New Roman" w:eastAsia="Times New Roman" w:cs="Times New Roman"/>
          <w:b/>
          <w:i/>
          <w:color w:val="000000"/>
          <w:sz w:val="24"/>
        </w:rPr>
        <w:t xml:space="preserve"> x 60% = 5.158.800 (đồng)</w:t>
      </w:r>
      <w:r>
        <w:rPr>
          <w:b/>
          <w:bCs/>
          <w:color w:val="000000"/>
        </w:rPr>
      </w:r>
      <w:r>
        <w:rPr>
          <w:b/>
          <w:bCs/>
          <w:color w:val="000000"/>
        </w:rPr>
      </w:r>
    </w:p>
    <w:p>
      <w:pPr>
        <w:pStyle w:val="1047"/>
        <w:numPr>
          <w:ilvl w:val="0"/>
          <w:numId w:val="40"/>
        </w:numPr>
        <w:pBdr>
          <w:top w:val="none" w:color="000000" w:sz="4" w:space="0"/>
          <w:left w:val="none" w:color="000000" w:sz="4" w:space="0"/>
          <w:bottom w:val="none" w:color="000000" w:sz="4" w:space="0"/>
          <w:right w:val="none" w:color="000000" w:sz="4" w:space="0"/>
        </w:pBdr>
        <w:shd w:val="clear" w:color="ffffff" w:fill="ffffff"/>
        <w:spacing w:after="120" w:before="120" w:line="234" w:lineRule="atLeast"/>
        <w:ind w:right="0"/>
        <w:jc w:val="left"/>
        <w:rPr>
          <w:rFonts w:ascii="Times New Roman" w:hAnsi="Times New Roman" w:cs="Times New Roman"/>
          <w:b w:val="0"/>
          <w:bCs w:val="0"/>
          <w:sz w:val="24"/>
          <w:szCs w:val="24"/>
        </w:rPr>
      </w:pPr>
      <w:r>
        <w:rPr>
          <w:rFonts w:ascii="Times New Roman" w:hAnsi="Times New Roman" w:eastAsia="Times New Roman" w:cs="Times New Roman"/>
          <w:b w:val="0"/>
          <w:bCs w:val="0"/>
          <w:color w:val="000000"/>
          <w:sz w:val="24"/>
          <w:szCs w:val="24"/>
        </w:rPr>
      </w:r>
      <w:r>
        <w:rPr>
          <w:rFonts w:ascii="Times New Roman" w:hAnsi="Times New Roman" w:eastAsia="Times New Roman" w:cs="Times New Roman"/>
          <w:color w:val="000000"/>
          <w:sz w:val="24"/>
        </w:rPr>
        <w:t xml:space="preserve">Đơn giá đất cơ sở sản xuất phi nông nghiệp ước tính là: </w:t>
      </w:r>
      <w:r>
        <w:rPr>
          <w:rFonts w:ascii="Times New Roman" w:hAnsi="Times New Roman" w:eastAsia="Times New Roman" w:cs="Times New Roman"/>
          <w:b/>
          <w:i/>
          <w:color w:val="000000"/>
          <w:sz w:val="24"/>
        </w:rPr>
        <w:t xml:space="preserve"> </w:t>
      </w:r>
      <w:r>
        <w:rPr>
          <w:rFonts w:ascii="Times New Roman" w:hAnsi="Times New Roman" w:eastAsia="Times New Roman" w:cs="Times New Roman"/>
          <w:b/>
          <w:i w:val="0"/>
          <w:iCs w:val="0"/>
          <w:color w:val="000000"/>
          <w:sz w:val="24"/>
        </w:rPr>
        <w:t xml:space="preserve">5.158.800 (đồng)</w:t>
      </w:r>
      <w:r>
        <w:rPr>
          <w:rFonts w:ascii="Times New Roman" w:hAnsi="Times New Roman" w:cs="Times New Roman"/>
          <w:b w:val="0"/>
          <w:bCs w:val="0"/>
          <w:sz w:val="24"/>
          <w:szCs w:val="24"/>
        </w:rPr>
      </w:r>
      <w:r>
        <w:rPr>
          <w:rFonts w:ascii="Times New Roman" w:hAnsi="Times New Roman" w:cs="Times New Roman"/>
          <w:b w:val="0"/>
          <w:bCs w:val="0"/>
          <w:sz w:val="24"/>
          <w:szCs w:val="24"/>
        </w:rPr>
      </w:r>
    </w:p>
    <w:p>
      <w:pPr>
        <w:pStyle w:val="1047"/>
        <w:numPr>
          <w:ilvl w:val="0"/>
          <w:numId w:val="26"/>
        </w:numPr>
        <w:pBdr/>
        <w:spacing w:after="120" w:before="120" w:line="276" w:lineRule="auto"/>
        <w:ind w:hanging="357" w:left="357"/>
        <w:jc w:val="both"/>
        <w:rPr>
          <w:b/>
          <w:bCs/>
          <w:lang w:val="pt-BR"/>
        </w:rPr>
      </w:pPr>
      <w:r>
        <w:rPr>
          <w:b/>
          <w:highlight w:val="none"/>
          <w:lang w:val="pt-BR"/>
        </w:rPr>
      </w:r>
      <w:r>
        <w:rPr>
          <w:rFonts w:ascii="Times New Roman" w:hAnsi="Times New Roman" w:eastAsia="Times New Roman" w:cs="Times New Roman"/>
          <w:b/>
          <w:color w:val="000000"/>
          <w:sz w:val="24"/>
        </w:rPr>
        <w:t xml:space="preserve">Xác định đơn giá quyền sử dụng đất nằm trong quy hoạch đất giao thông</w:t>
      </w:r>
      <w:r>
        <w:rPr>
          <w:b/>
          <w:highlight w:val="none"/>
          <w:lang w:val="pt-BR"/>
        </w:rPr>
        <w:t xml:space="preserve">:</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3.1 Xác định đơn giá quyền sử dụng đất ở nằm trong quy hoạch đất giao thông của GCN số AA03740903</w:t>
      </w:r>
      <w:r/>
    </w:p>
    <w:p>
      <w:pPr>
        <w:pBdr>
          <w:top w:val="none" w:color="000000" w:sz="4" w:space="0"/>
          <w:left w:val="none" w:color="000000" w:sz="4" w:space="0"/>
          <w:bottom w:val="none" w:color="000000" w:sz="4" w:space="0"/>
          <w:right w:val="none" w:color="000000" w:sz="4" w:space="0"/>
        </w:pBdr>
        <w:spacing w:after="120" w:before="120" w:line="276" w:lineRule="auto"/>
        <w:ind w:right="0" w:firstLine="18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Dưới sự thống nhất với Ngân hàng và phù hợp với mục đích định giá tại báo cáo này, tổ thẩm định xác định đơn giá quyền sử dụng đất nằm trong quy hoạch đất giao thông theo khung giá UBND quy định.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line="276" w:lineRule="auto"/>
        <w:ind w:right="0" w:firstLine="180" w:left="0"/>
        <w:jc w:val="both"/>
        <w:rPr/>
      </w:pPr>
      <w:r>
        <w:rPr>
          <w:rFonts w:ascii="Times New Roman" w:hAnsi="Times New Roman" w:eastAsia="Times New Roman" w:cs="Times New Roman"/>
          <w:color w:val="000000"/>
          <w:sz w:val="24"/>
          <w:highlight w:val="none"/>
        </w:rPr>
        <w:t xml:space="preserve">Căn cứ </w:t>
      </w:r>
      <w:r>
        <w:rPr>
          <w:rFonts w:ascii="Times New Roman" w:hAnsi="Times New Roman" w:eastAsia="Times New Roman" w:cs="Times New Roman"/>
          <w:b w:val="0"/>
          <w:bCs w:val="0"/>
          <w:color w:val="000000"/>
          <w:sz w:val="24"/>
          <w:szCs w:val="24"/>
        </w:rPr>
        <w:t xml:space="preserve">Nghị quyết số </w:t>
      </w:r>
      <w:r>
        <w:rPr>
          <w:rFonts w:ascii="Times New Roman" w:hAnsi="Times New Roman" w:eastAsia="Times New Roman" w:cs="Times New Roman"/>
          <w:b w:val="0"/>
          <w:bCs w:val="0"/>
          <w:color w:val="000000"/>
          <w:sz w:val="24"/>
          <w:szCs w:val="24"/>
          <w:highlight w:val="white"/>
        </w:rPr>
        <w:t xml:space="preserve">16/2025/NQ-HĐND</w:t>
      </w:r>
      <w:r>
        <w:rPr>
          <w:rFonts w:ascii="Times New Roman" w:hAnsi="Times New Roman" w:eastAsia="Times New Roman" w:cs="Times New Roman"/>
          <w:b w:val="0"/>
          <w:bCs w:val="0"/>
          <w:color w:val="000000"/>
          <w:sz w:val="24"/>
          <w:szCs w:val="24"/>
        </w:rPr>
        <w:t xml:space="preserve"> ngày 30 tháng 12 năm 2025 của </w:t>
      </w:r>
      <w:r>
        <w:rPr>
          <w:rFonts w:ascii="Times New Roman" w:hAnsi="Times New Roman" w:eastAsia="Times New Roman" w:cs="Times New Roman"/>
          <w:b w:val="0"/>
          <w:bCs w:val="0"/>
          <w:color w:val="000000"/>
          <w:sz w:val="24"/>
          <w:szCs w:val="24"/>
          <w:highlight w:val="none"/>
        </w:rPr>
        <w:t xml:space="preserve">Hội dồng nhân dân tỉnh An </w:t>
      </w:r>
      <w:r>
        <w:rPr>
          <w:rFonts w:ascii="Times New Roman" w:hAnsi="Times New Roman" w:eastAsia="Times New Roman" w:cs="Times New Roman"/>
          <w:b w:val="0"/>
          <w:bCs w:val="0"/>
          <w:color w:val="000000"/>
          <w:sz w:val="24"/>
          <w:szCs w:val="24"/>
          <w:highlight w:val="white"/>
        </w:rPr>
        <w:t xml:space="preserve">G</w:t>
      </w:r>
      <w:r>
        <w:rPr>
          <w:rFonts w:ascii="Times New Roman" w:hAnsi="Times New Roman" w:eastAsia="Times New Roman" w:cs="Times New Roman"/>
          <w:b w:val="0"/>
          <w:bCs w:val="0"/>
          <w:color w:val="000000"/>
          <w:sz w:val="24"/>
          <w:szCs w:val="24"/>
          <w:highlight w:val="none"/>
        </w:rPr>
        <w:t xml:space="preserve">iang</w:t>
      </w:r>
      <w:r>
        <w:rPr>
          <w:rFonts w:ascii="Times New Roman" w:hAnsi="Times New Roman" w:eastAsia="Times New Roman" w:cs="Times New Roman"/>
          <w:b w:val="0"/>
          <w:bCs w:val="0"/>
          <w:color w:val="000000"/>
          <w:sz w:val="24"/>
          <w:szCs w:val="24"/>
        </w:rPr>
        <w:t xml:space="preserve">. </w:t>
      </w:r>
      <w:r>
        <w:rPr>
          <w:rFonts w:ascii="Times New Roman" w:hAnsi="Times New Roman" w:eastAsia="Times New Roman" w:cs="Times New Roman"/>
          <w:b w:val="0"/>
          <w:bCs w:val="0"/>
          <w:color w:val="000000"/>
          <w:sz w:val="24"/>
          <w:szCs w:val="24"/>
        </w:rPr>
        <w:t xml:space="preserve">Nghị quyết </w:t>
      </w:r>
      <w:r>
        <w:rPr>
          <w:rFonts w:ascii="Times New Roman" w:hAnsi="Times New Roman" w:eastAsia="Times New Roman" w:cs="Times New Roman"/>
          <w:b w:val="0"/>
          <w:bCs w:val="0"/>
          <w:color w:val="000000"/>
          <w:sz w:val="24"/>
          <w:szCs w:val="24"/>
          <w:u w:val="none"/>
        </w:rPr>
        <w:t xml:space="preserve">ban hành bảng giá đất lần đầu tỉnh An Giang áp dụng từ ngày 01 tháng</w:t>
      </w:r>
      <w:r>
        <w:rPr>
          <w:rFonts w:ascii="Times New Roman" w:hAnsi="Times New Roman" w:eastAsia="Times New Roman" w:cs="Times New Roman"/>
          <w:b w:val="0"/>
          <w:bCs w:val="0"/>
          <w:color w:val="000000"/>
          <w:sz w:val="24"/>
          <w:szCs w:val="24"/>
          <w:u w:val="none"/>
        </w:rPr>
        <w:t xml:space="preserve"> 01 năm 2026</w:t>
      </w:r>
      <w:r>
        <w:rPr>
          <w:rFonts w:ascii="Times New Roman" w:hAnsi="Times New Roman" w:eastAsia="Times New Roman" w:cs="Times New Roman"/>
          <w:b w:val="0"/>
          <w:bCs w:val="0"/>
          <w:color w:val="000000"/>
          <w:sz w:val="24"/>
          <w:szCs w:val="24"/>
        </w:rPr>
        <w:t xml:space="preserve">. Phụ lục 60 bảng gi</w:t>
      </w:r>
      <w:r>
        <w:rPr>
          <w:rFonts w:ascii="Times New Roman" w:hAnsi="Times New Roman" w:eastAsia="Times New Roman" w:cs="Times New Roman"/>
          <w:b w:val="0"/>
          <w:bCs w:val="0"/>
          <w:color w:val="000000"/>
          <w:sz w:val="24"/>
          <w:szCs w:val="24"/>
        </w:rPr>
        <w:t xml:space="preserve">á đất xã An Phú đơn giá đất ở </w:t>
      </w:r>
      <w:r>
        <w:rPr>
          <w:rFonts w:ascii="Times New Roman" w:hAnsi="Times New Roman" w:eastAsia="Times New Roman" w:cs="Times New Roman"/>
          <w:b w:val="0"/>
          <w:bCs w:val="0"/>
          <w:color w:val="000000"/>
          <w:sz w:val="24"/>
          <w:szCs w:val="24"/>
          <w:highlight w:val="white"/>
        </w:rPr>
        <w:t xml:space="preserve">Quốc lộ 91C: Ngã ba Cột Dây Thép - Cầu Thầy Ban</w:t>
      </w:r>
      <w:r>
        <w:rPr>
          <w:rFonts w:ascii="Times New Roman" w:hAnsi="Times New Roman" w:eastAsia="Times New Roman" w:cs="Times New Roman"/>
          <w:b w:val="0"/>
          <w:bCs w:val="0"/>
          <w:color w:val="000000"/>
          <w:sz w:val="24"/>
          <w:szCs w:val="24"/>
          <w:highlight w:val="none"/>
        </w:rPr>
        <w:t xml:space="preserve"> là: 1.105.000 </w:t>
      </w:r>
      <w:r>
        <w:rPr>
          <w:rFonts w:ascii="Times New Roman" w:hAnsi="Times New Roman" w:eastAsia="Times New Roman" w:cs="Times New Roman"/>
          <w:b w:val="0"/>
          <w:bCs w:val="0"/>
          <w:color w:val="000000"/>
          <w:sz w:val="24"/>
          <w:szCs w:val="24"/>
        </w:rPr>
        <w:t xml:space="preserve">đồng/m².</w:t>
      </w:r>
      <w:r>
        <w:rPr>
          <w:rFonts w:ascii="Times New Roman" w:hAnsi="Times New Roman" w:eastAsia="Times New Roman" w:cs="Times New Roman"/>
          <w:color w:val="000000"/>
          <w:sz w:val="24"/>
        </w:rPr>
        <w:t xml:space="preserve"> Do đó tổ thẩm định xác định đơn giá quyền sử dụng đất ở nằm trong quy hoạch đất giao thông của thửa đất số AA03740903 là: </w:t>
      </w:r>
      <w:r>
        <w:rPr>
          <w:rFonts w:ascii="Times New Roman" w:hAnsi="Times New Roman" w:eastAsia="Times New Roman" w:cs="Times New Roman"/>
          <w:b/>
          <w:bCs/>
          <w:i/>
          <w:iCs/>
          <w:color w:val="000000"/>
          <w:sz w:val="24"/>
          <w:highlight w:val="none"/>
        </w:rPr>
        <w:t xml:space="preserve">1.105.000 </w:t>
      </w:r>
      <w:r>
        <w:rPr>
          <w:rFonts w:ascii="Times New Roman" w:hAnsi="Times New Roman" w:eastAsia="Times New Roman" w:cs="Times New Roman"/>
          <w:b/>
          <w:bCs/>
          <w:i/>
          <w:iCs/>
          <w:color w:val="000000"/>
          <w:sz w:val="24"/>
        </w:rPr>
        <w:t xml:space="preserve">đồng/m²</w:t>
      </w:r>
      <w:r>
        <w:rPr>
          <w:rFonts w:ascii="Times New Roman" w:hAnsi="Times New Roman" w:eastAsia="Times New Roman" w:cs="Times New Roman"/>
          <w:b/>
          <w:i/>
          <w:color w:val="000000"/>
          <w:sz w:val="24"/>
        </w:rPr>
        <w:t xml:space="preserve">.</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3.2 Xác định đơn giá quyền sử dụng đất cơ sở sản xuất phi nông nghiệp nằm trong quy hoạch đất giao thông của GCN số AA03740904</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180" w:left="0"/>
        <w:jc w:val="both"/>
        <w:rPr/>
      </w:pPr>
      <w:r>
        <w:rPr>
          <w:rFonts w:ascii="Times New Roman" w:hAnsi="Times New Roman" w:eastAsia="Times New Roman" w:cs="Times New Roman"/>
          <w:color w:val="000000"/>
          <w:sz w:val="24"/>
        </w:rPr>
        <w:t xml:space="preserve">Dưới sự thống nhất với Ngân hàng và cho mục đích định giá tại báo cáo này, tổ thẩm định xác định đơn giá quyền sử dụng đất nằm trong quy hoạch đất giao thông theo khung giá UBND quy định.</w:t>
      </w:r>
      <w:r>
        <w:rPr>
          <w:rFonts w:ascii="Times New Roman" w:hAnsi="Times New Roman" w:eastAsia="Times New Roman" w:cs="Times New Roman"/>
          <w:sz w:val="24"/>
        </w:rPr>
      </w:r>
      <w:r/>
    </w:p>
    <w:p>
      <w:pPr>
        <w:pBdr/>
        <w:tabs>
          <w:tab w:val="left" w:leader="none" w:pos="180"/>
        </w:tabs>
        <w:spacing w:after="120" w:before="120" w:line="276" w:lineRule="auto"/>
        <w:ind w:right="0" w:firstLine="180" w:left="0"/>
        <w:jc w:val="both"/>
        <w:rPr>
          <w:b/>
          <w:bCs/>
          <w:highlight w:val="none"/>
          <w:lang w:val="pt-BR" w:bidi="pt-BR"/>
        </w:rPr>
      </w:pPr>
      <w:r>
        <w:rPr>
          <w:b/>
          <w:highlight w:val="none"/>
          <w:lang w:val="pt-BR" w:bidi="pt-BR"/>
        </w:rPr>
      </w:r>
      <w:r>
        <w:rPr>
          <w:rFonts w:ascii="Times New Roman" w:hAnsi="Times New Roman" w:eastAsia="Times New Roman" w:cs="Times New Roman"/>
          <w:color w:val="000000"/>
          <w:sz w:val="24"/>
          <w:highlight w:val="none"/>
        </w:rPr>
        <w:t xml:space="preserve">Căn cứ </w:t>
      </w:r>
      <w:r>
        <w:rPr>
          <w:rFonts w:ascii="Times New Roman" w:hAnsi="Times New Roman" w:eastAsia="Times New Roman" w:cs="Times New Roman"/>
          <w:b w:val="0"/>
          <w:bCs w:val="0"/>
          <w:color w:val="000000"/>
          <w:sz w:val="24"/>
          <w:szCs w:val="24"/>
        </w:rPr>
        <w:t xml:space="preserve">Nghị quyết số </w:t>
      </w:r>
      <w:r>
        <w:rPr>
          <w:rFonts w:ascii="Times New Roman" w:hAnsi="Times New Roman" w:eastAsia="Times New Roman" w:cs="Times New Roman"/>
          <w:b w:val="0"/>
          <w:bCs w:val="0"/>
          <w:color w:val="000000"/>
          <w:sz w:val="24"/>
          <w:szCs w:val="24"/>
          <w:highlight w:val="white"/>
        </w:rPr>
        <w:t xml:space="preserve">16/2025/NQ-HĐND</w:t>
      </w:r>
      <w:r>
        <w:rPr>
          <w:rFonts w:ascii="Times New Roman" w:hAnsi="Times New Roman" w:eastAsia="Times New Roman" w:cs="Times New Roman"/>
          <w:b w:val="0"/>
          <w:bCs w:val="0"/>
          <w:color w:val="000000"/>
          <w:sz w:val="24"/>
          <w:szCs w:val="24"/>
        </w:rPr>
        <w:t xml:space="preserve"> ngày 30 tháng 12 năm 2025 của </w:t>
      </w:r>
      <w:r>
        <w:rPr>
          <w:rFonts w:ascii="Times New Roman" w:hAnsi="Times New Roman" w:eastAsia="Times New Roman" w:cs="Times New Roman"/>
          <w:b w:val="0"/>
          <w:bCs w:val="0"/>
          <w:color w:val="000000"/>
          <w:sz w:val="24"/>
          <w:szCs w:val="24"/>
          <w:highlight w:val="none"/>
        </w:rPr>
        <w:t xml:space="preserve">Hội dồng nhân dân tỉnh An </w:t>
      </w:r>
      <w:r>
        <w:rPr>
          <w:rFonts w:ascii="Times New Roman" w:hAnsi="Times New Roman" w:eastAsia="Times New Roman" w:cs="Times New Roman"/>
          <w:b w:val="0"/>
          <w:bCs w:val="0"/>
          <w:color w:val="000000"/>
          <w:sz w:val="24"/>
          <w:szCs w:val="24"/>
          <w:highlight w:val="white"/>
        </w:rPr>
        <w:t xml:space="preserve">G</w:t>
      </w:r>
      <w:r>
        <w:rPr>
          <w:rFonts w:ascii="Times New Roman" w:hAnsi="Times New Roman" w:eastAsia="Times New Roman" w:cs="Times New Roman"/>
          <w:b w:val="0"/>
          <w:bCs w:val="0"/>
          <w:color w:val="000000"/>
          <w:sz w:val="24"/>
          <w:szCs w:val="24"/>
          <w:highlight w:val="none"/>
        </w:rPr>
        <w:t xml:space="preserve">iang</w:t>
      </w:r>
      <w:r>
        <w:rPr>
          <w:rFonts w:ascii="Times New Roman" w:hAnsi="Times New Roman" w:eastAsia="Times New Roman" w:cs="Times New Roman"/>
          <w:b w:val="0"/>
          <w:bCs w:val="0"/>
          <w:color w:val="000000"/>
          <w:sz w:val="24"/>
          <w:szCs w:val="24"/>
        </w:rPr>
        <w:t xml:space="preserve">. </w:t>
      </w:r>
      <w:r>
        <w:rPr>
          <w:rFonts w:ascii="Times New Roman" w:hAnsi="Times New Roman" w:eastAsia="Times New Roman" w:cs="Times New Roman"/>
          <w:b w:val="0"/>
          <w:bCs w:val="0"/>
          <w:color w:val="000000"/>
          <w:sz w:val="24"/>
          <w:szCs w:val="24"/>
        </w:rPr>
        <w:t xml:space="preserve">Nghị quyết </w:t>
      </w:r>
      <w:r>
        <w:rPr>
          <w:rFonts w:ascii="Times New Roman" w:hAnsi="Times New Roman" w:eastAsia="Times New Roman" w:cs="Times New Roman"/>
          <w:b w:val="0"/>
          <w:bCs w:val="0"/>
          <w:color w:val="000000"/>
          <w:sz w:val="24"/>
          <w:szCs w:val="24"/>
          <w:u w:val="none"/>
        </w:rPr>
        <w:t xml:space="preserve">ban hành bảng giá đất lần đầu tỉnh An Giang áp dụng từ ngày 01 tháng</w:t>
      </w:r>
      <w:r>
        <w:rPr>
          <w:rFonts w:ascii="Times New Roman" w:hAnsi="Times New Roman" w:eastAsia="Times New Roman" w:cs="Times New Roman"/>
          <w:b w:val="0"/>
          <w:bCs w:val="0"/>
          <w:color w:val="000000"/>
          <w:sz w:val="24"/>
          <w:szCs w:val="24"/>
          <w:u w:val="none"/>
        </w:rPr>
        <w:t xml:space="preserve"> 01 năm 2026</w:t>
      </w:r>
      <w:r>
        <w:rPr>
          <w:rFonts w:ascii="Times New Roman" w:hAnsi="Times New Roman" w:eastAsia="Times New Roman" w:cs="Times New Roman"/>
          <w:b w:val="0"/>
          <w:bCs w:val="0"/>
          <w:color w:val="000000"/>
          <w:sz w:val="24"/>
          <w:szCs w:val="24"/>
        </w:rPr>
        <w:t xml:space="preserve">. Phụ lục 60 bảng gi</w:t>
      </w:r>
      <w:r>
        <w:rPr>
          <w:rFonts w:ascii="Times New Roman" w:hAnsi="Times New Roman" w:eastAsia="Times New Roman" w:cs="Times New Roman"/>
          <w:b w:val="0"/>
          <w:bCs w:val="0"/>
          <w:color w:val="000000"/>
          <w:sz w:val="24"/>
          <w:szCs w:val="24"/>
        </w:rPr>
        <w:t xml:space="preserve">á đất xã An Phú đơn giá đất ở </w:t>
      </w:r>
      <w:r>
        <w:rPr>
          <w:rFonts w:ascii="Times New Roman" w:hAnsi="Times New Roman" w:eastAsia="Times New Roman" w:cs="Times New Roman"/>
          <w:b w:val="0"/>
          <w:bCs w:val="0"/>
          <w:color w:val="000000"/>
          <w:sz w:val="24"/>
          <w:szCs w:val="24"/>
          <w:highlight w:val="white"/>
        </w:rPr>
        <w:t xml:space="preserve">Quốc lộ 91C: Ngã ba Cột Dây Thép - Cầu Thầy Ban</w:t>
      </w:r>
      <w:r>
        <w:rPr>
          <w:rFonts w:ascii="Times New Roman" w:hAnsi="Times New Roman" w:eastAsia="Times New Roman" w:cs="Times New Roman"/>
          <w:b w:val="0"/>
          <w:bCs w:val="0"/>
          <w:color w:val="000000"/>
          <w:sz w:val="24"/>
          <w:szCs w:val="24"/>
          <w:highlight w:val="none"/>
        </w:rPr>
        <w:t xml:space="preserve"> là: 1.105.000 </w:t>
      </w:r>
      <w:r>
        <w:rPr>
          <w:rFonts w:ascii="Times New Roman" w:hAnsi="Times New Roman" w:eastAsia="Times New Roman" w:cs="Times New Roman"/>
          <w:b w:val="0"/>
          <w:bCs w:val="0"/>
          <w:color w:val="000000"/>
          <w:sz w:val="24"/>
          <w:szCs w:val="24"/>
        </w:rPr>
        <w:t xml:space="preserve">đồng/m².</w:t>
      </w:r>
      <w:r>
        <w:rPr>
          <w:b/>
          <w:bCs/>
          <w:highlight w:val="none"/>
          <w:lang w:val="pt-BR" w:bidi="pt-BR"/>
        </w:rPr>
      </w:r>
      <w:r>
        <w:rPr>
          <w:b/>
          <w:bCs/>
          <w:highlight w:val="none"/>
          <w:lang w:val="pt-BR" w:bidi="pt-BR"/>
        </w:rPr>
      </w:r>
    </w:p>
    <w:p>
      <w:pPr>
        <w:pBdr>
          <w:top w:val="none" w:color="000000" w:sz="4" w:space="0"/>
          <w:left w:val="none" w:color="000000" w:sz="4" w:space="0"/>
          <w:bottom w:val="none" w:color="000000" w:sz="4" w:space="0"/>
          <w:right w:val="none" w:color="000000" w:sz="4" w:space="0"/>
        </w:pBdr>
        <w:spacing w:line="276" w:lineRule="auto"/>
        <w:ind w:right="0" w:firstLine="450" w:left="0"/>
        <w:jc w:val="both"/>
        <w:rPr>
          <w:highlight w:val="white"/>
        </w:rPr>
      </w:pPr>
      <w:r>
        <w:rPr>
          <w:b/>
          <w:highlight w:val="none"/>
          <w:lang w:val="pt-BR" w:bidi="pt-BR"/>
        </w:rPr>
      </w:r>
      <w:r>
        <w:rPr>
          <w:rFonts w:ascii="Times New Roman" w:hAnsi="Times New Roman" w:eastAsia="Times New Roman" w:cs="Times New Roman"/>
          <w:b w:val="0"/>
          <w:bCs w:val="0"/>
          <w:color w:val="000000"/>
          <w:sz w:val="24"/>
          <w:szCs w:val="24"/>
        </w:rPr>
        <w:t xml:space="preserve">Tại mục 2 điều 9 chương III của quyết định trên: </w:t>
      </w:r>
      <w:r>
        <w:rPr>
          <w:rFonts w:ascii="Times New Roman" w:hAnsi="Times New Roman" w:eastAsia="Times New Roman" w:cs="Times New Roman"/>
          <w:b w:val="0"/>
          <w:bCs w:val="0"/>
          <w:i/>
          <w:color w:val="000000"/>
          <w:sz w:val="24"/>
          <w:szCs w:val="24"/>
        </w:rPr>
        <w:t xml:space="preserve">“</w:t>
      </w:r>
      <w:r>
        <w:rPr>
          <w:rFonts w:ascii="Times New Roman" w:hAnsi="Times New Roman" w:eastAsia="Times New Roman" w:cs="Times New Roman"/>
          <w:b w:val="0"/>
          <w:bCs w:val="0"/>
          <w:i/>
          <w:iCs/>
          <w:color w:val="000000"/>
          <w:sz w:val="24"/>
          <w:szCs w:val="24"/>
          <w:highlight w:val="white"/>
        </w:rPr>
        <w:t xml:space="preserve">Giá đất sử dụng vào mục đích công cộng, gồm: Đất công trình giao thông; đất công trình thủy lợi; đất công trình cấp nước, thoát nước; đất công trình phòng, chống thiên tai; đất có di tích lịch sử - văn hóa, danh lam thắng cảnh, di sản thiên nhiên; đất công</w:t>
      </w:r>
      <w:r>
        <w:rPr>
          <w:rFonts w:ascii="Times New Roman" w:hAnsi="Times New Roman" w:eastAsia="Times New Roman" w:cs="Times New Roman"/>
          <w:b w:val="0"/>
          <w:bCs w:val="0"/>
          <w:i/>
          <w:iCs/>
          <w:color w:val="000000"/>
          <w:sz w:val="24"/>
          <w:szCs w:val="24"/>
          <w:highlight w:val="white"/>
        </w:rPr>
        <w:t xml:space="preserve"> trình xử lý chất thải; đất công trình năng lượng, chiếu sáng công cộng; đất công trình hạ tầng bưu chính, viễn thông, công nghệ thông tin; đất chợ dân sinh, chợ đầu mối; đất khu vui chơi, giải trí công cộng, sinh hoạt cộng đồng; đất sử dụng cho hoạt động </w:t>
      </w:r>
      <w:r>
        <w:rPr>
          <w:rFonts w:ascii="Times New Roman" w:hAnsi="Times New Roman" w:eastAsia="Times New Roman" w:cs="Times New Roman"/>
          <w:b w:val="0"/>
          <w:bCs w:val="0"/>
          <w:i/>
          <w:iCs/>
          <w:color w:val="000000"/>
          <w:sz w:val="24"/>
          <w:szCs w:val="24"/>
          <w:highlight w:val="white"/>
        </w:rPr>
        <w:t xml:space="preserve">tôn giáo (sau đây gọi là đất tôn giáo); đất sử dụng cho hoạt động tín ngưỡng (sau đây gọi là đất tín ngưỡng); Đất nghĩa trang, nhà tang lễ, cơ sở hỏa táng; đất cơ sở lưu giữ tro cốt; đất có mặt nước chuyên dùng và đất phi nông nghiệp khác bằng 60% giá đất </w:t>
      </w:r>
      <w:r>
        <w:rPr>
          <w:rFonts w:ascii="Times New Roman" w:hAnsi="Times New Roman" w:eastAsia="Times New Roman" w:cs="Times New Roman"/>
          <w:b w:val="0"/>
          <w:bCs w:val="0"/>
          <w:i/>
          <w:iCs/>
          <w:color w:val="000000"/>
          <w:sz w:val="24"/>
          <w:szCs w:val="24"/>
          <w:highlight w:val="white"/>
        </w:rPr>
        <w:t xml:space="preserve">ở cùng vị trí (liền kề) hoặc giá đất ở tại vùng lân cận gần nhất (trường hợp không có đất ở liền kề)</w:t>
      </w:r>
      <w:r>
        <w:rPr>
          <w:rFonts w:ascii="Times New Roman" w:hAnsi="Times New Roman" w:eastAsia="Times New Roman" w:cs="Times New Roman"/>
          <w:b w:val="0"/>
          <w:bCs w:val="0"/>
          <w:i/>
          <w:color w:val="000000"/>
          <w:sz w:val="24"/>
          <w:szCs w:val="24"/>
          <w:highlight w:val="white"/>
        </w:rPr>
        <w:t xml:space="preserve">”.</w:t>
      </w:r>
      <w:r>
        <w:rPr>
          <w:rFonts w:ascii="Times New Roman" w:hAnsi="Times New Roman" w:eastAsia="Times New Roman" w:cs="Times New Roman"/>
          <w:b w:val="0"/>
          <w:bCs w:val="0"/>
          <w:i/>
          <w:color w:val="000000"/>
          <w:sz w:val="24"/>
          <w:szCs w:val="24"/>
          <w:highlight w:val="none"/>
        </w:rPr>
        <w:t xml:space="preserve"> </w:t>
      </w:r>
      <w:r>
        <w:rPr>
          <w:rFonts w:ascii="Times New Roman" w:hAnsi="Times New Roman" w:eastAsia="Times New Roman" w:cs="Times New Roman"/>
          <w:color w:val="000000"/>
          <w:sz w:val="24"/>
        </w:rPr>
        <w:t xml:space="preserve">Do đó tổ thẩm định xác định đơn giá quyền sử dụng đất cơ sở sản xuất phi nông nghiệp nằm trong quy hoạch đất giao thông của thửa đất số AA03740904 l</w:t>
      </w:r>
      <w:r>
        <w:rPr>
          <w:rFonts w:ascii="Times New Roman" w:hAnsi="Times New Roman" w:eastAsia="Times New Roman" w:cs="Times New Roman"/>
          <w:color w:val="000000"/>
          <w:sz w:val="24"/>
          <w:highlight w:val="white"/>
        </w:rPr>
        <w:t xml:space="preserve">à: </w:t>
      </w:r>
      <w:r>
        <w:rPr>
          <w:rFonts w:ascii="Times New Roman" w:hAnsi="Times New Roman" w:eastAsia="Times New Roman" w:cs="Times New Roman"/>
          <w:b/>
          <w:i/>
          <w:color w:val="000000"/>
          <w:sz w:val="24"/>
          <w:highlight w:val="white"/>
        </w:rPr>
        <w:t xml:space="preserve">1.105.000 x 60% = 663.000</w:t>
      </w:r>
      <w:r>
        <w:rPr>
          <w:rFonts w:ascii="Times New Roman" w:hAnsi="Times New Roman" w:eastAsia="Times New Roman" w:cs="Times New Roman"/>
          <w:b/>
          <w:i/>
          <w:color w:val="000000"/>
          <w:sz w:val="24"/>
          <w:highlight w:val="white"/>
        </w:rPr>
        <w:t xml:space="preserve">m².</w:t>
      </w:r>
      <w:r>
        <w:rPr>
          <w:highlight w:val="white"/>
        </w:rPr>
      </w:r>
      <w:r>
        <w:rPr>
          <w:highlight w:val="white"/>
        </w:rPr>
      </w:r>
    </w:p>
    <w:p>
      <w:pPr>
        <w:pStyle w:val="1047"/>
        <w:numPr>
          <w:ilvl w:val="0"/>
          <w:numId w:val="26"/>
        </w:numPr>
        <w:pBdr/>
        <w:spacing w:after="120" w:before="120" w:line="276" w:lineRule="auto"/>
        <w:ind w:hanging="357" w:left="357"/>
        <w:jc w:val="both"/>
        <w:rPr>
          <w:b/>
          <w:highlight w:val="white"/>
        </w:rPr>
      </w:pPr>
      <w:r>
        <w:rPr>
          <w:b/>
          <w:lang w:val="pt-BR"/>
        </w:rPr>
      </w:r>
      <w:r>
        <w:rPr>
          <w:rFonts w:ascii="Times New Roman" w:hAnsi="Times New Roman" w:eastAsia="Times New Roman" w:cs="Times New Roman"/>
          <w:b/>
          <w:color w:val="000000"/>
          <w:sz w:val="24"/>
        </w:rPr>
        <w:t xml:space="preserve">Xá</w:t>
      </w:r>
      <w:r>
        <w:rPr>
          <w:rFonts w:ascii="Times New Roman" w:hAnsi="Times New Roman" w:eastAsia="Times New Roman" w:cs="Times New Roman"/>
          <w:b/>
          <w:color w:val="000000"/>
          <w:sz w:val="24"/>
          <w:highlight w:val="white"/>
        </w:rPr>
        <w:t xml:space="preserve">c </w:t>
      </w:r>
      <w:r>
        <w:rPr>
          <w:rFonts w:ascii="Times New Roman" w:hAnsi="Times New Roman" w:eastAsia="Times New Roman" w:cs="Times New Roman"/>
          <w:b/>
          <w:color w:val="000000"/>
          <w:sz w:val="24"/>
          <w:highlight w:val="white"/>
        </w:rPr>
        <w:t xml:space="preserve">định giá trị tài sản gắn liền với đ</w:t>
      </w:r>
      <w:r>
        <w:rPr>
          <w:rFonts w:ascii="Times New Roman" w:hAnsi="Times New Roman" w:eastAsia="Times New Roman" w:cs="Times New Roman"/>
          <w:b/>
          <w:color w:val="000000"/>
          <w:sz w:val="24"/>
          <w:highlight w:val="white"/>
        </w:rPr>
        <w:t xml:space="preserve">ất</w:t>
      </w:r>
      <w:r>
        <w:rPr>
          <w:b/>
          <w:highlight w:val="white"/>
          <w:lang w:val="pt-BR"/>
        </w:rPr>
        <w:t xml:space="preserve">:</w:t>
      </w:r>
      <w:r>
        <w:rPr>
          <w:b/>
          <w:highlight w:val="white"/>
        </w:rPr>
      </w:r>
      <w:r>
        <w:rPr>
          <w:b/>
          <w:highlight w:val="white"/>
        </w:rPr>
      </w:r>
    </w:p>
    <w:p>
      <w:pPr>
        <w:numPr>
          <w:ilvl w:val="0"/>
          <w:numId w:val="42"/>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b/>
          <w:color w:val="000000"/>
          <w:sz w:val="24"/>
        </w:rPr>
        <w:t xml:space="preserve">Xác định đơn giá của công trình xây dựng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là nhà cấp 4 (hiện đang sử dụng làm nhà kho), cân nhắc và xem xét với mức độ hoàn thiện của công trình xây dựng hiện có, tổ thẩm định nhận thấy đơn giá vận dụng theo Quyết định 425/QĐ-BXD </w:t>
      </w:r>
      <w:r>
        <w:rPr>
          <w:rFonts w:ascii="Times New Roman" w:hAnsi="Times New Roman" w:eastAsia="Times New Roman" w:cs="Times New Roman"/>
          <w:color w:val="000000"/>
          <w:sz w:val="24"/>
        </w:rPr>
        <w:t xml:space="preserve">năm 2026 công bố suất vốn đầu tư xây dựng và giá xây dựng tổng hợp bộ phận kết cấu công trình 2025 là khá phù hợp với thị trường, theo đó:</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“Suất vốn đầu tư xây dựng Nhà 1 tầng, căn hộ khép kín, kết cấu tường gạch chịu lực, mái tôn có đơn giá là 6.247.000 đồng/m².</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tỉnh An Giang thuộc vùng 6 có hệ số điều chỉnh là 1,017.”</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i/>
          <w:color w:val="000000"/>
          <w:sz w:val="24"/>
        </w:rPr>
        <w:t xml:space="preserve">Do đó, Tổ thẩm định xác định đơn giá xây mới của công trình xây dựng là: (Suất đầu tư xây dựng) x (Hệ số vùng) = </w:t>
      </w:r>
      <w:r>
        <w:rPr>
          <w:rFonts w:ascii="Times New Roman" w:hAnsi="Times New Roman" w:eastAsia="Times New Roman" w:cs="Times New Roman"/>
          <w:i/>
          <w:color w:val="000000"/>
          <w:sz w:val="24"/>
        </w:rPr>
        <w:t xml:space="preserve">6.247.000</w:t>
      </w:r>
      <w:r>
        <w:rPr>
          <w:rFonts w:ascii="Times New Roman" w:hAnsi="Times New Roman" w:eastAsia="Times New Roman" w:cs="Times New Roman"/>
          <w:i/>
          <w:color w:val="000000"/>
          <w:sz w:val="24"/>
        </w:rPr>
        <w:t xml:space="preserve"> x 1,017 = </w:t>
      </w:r>
      <w:r>
        <w:rPr>
          <w:rFonts w:ascii="Times New Roman" w:hAnsi="Times New Roman" w:eastAsia="Times New Roman" w:cs="Times New Roman"/>
          <w:i/>
          <w:color w:val="000000"/>
          <w:sz w:val="24"/>
        </w:rPr>
        <w:t xml:space="preserve">6.353.199</w:t>
      </w:r>
      <w:r>
        <w:rPr>
          <w:rFonts w:ascii="Times New Roman" w:hAnsi="Times New Roman" w:eastAsia="Times New Roman" w:cs="Times New Roman"/>
          <w:color w:val="000000"/>
          <w:sz w:val="24"/>
        </w:rPr>
        <w:t xml:space="preserve"> đồng</w:t>
      </w:r>
      <w:r>
        <w:rPr>
          <w:rFonts w:ascii="Times New Roman" w:hAnsi="Times New Roman" w:eastAsia="Times New Roman" w:cs="Times New Roman"/>
          <w:i/>
          <w:color w:val="000000"/>
          <w:sz w:val="24"/>
        </w:rPr>
        <w:t xml:space="preserve">/m². </w:t>
      </w:r>
      <w:r/>
    </w:p>
    <w:p>
      <w:pPr>
        <w:numPr>
          <w:ilvl w:val="0"/>
          <w:numId w:val="43"/>
        </w:numPr>
        <w:pBdr>
          <w:top w:val="none" w:color="000000" w:sz="4" w:space="0"/>
          <w:left w:val="none" w:color="000000" w:sz="4" w:space="0"/>
          <w:bottom w:val="none" w:color="000000" w:sz="4" w:space="0"/>
          <w:right w:val="none" w:color="000000" w:sz="4" w:space="0"/>
        </w:pBdr>
        <w:spacing w:after="120" w:before="120" w:line="264" w:lineRule="auto"/>
        <w:ind/>
        <w:jc w:val="both"/>
        <w:rPr/>
      </w:pPr>
      <w:r>
        <w:rPr>
          <w:rFonts w:ascii="Times New Roman" w:hAnsi="Times New Roman" w:eastAsia="Times New Roman" w:cs="Times New Roman"/>
          <w:b/>
          <w:color w:val="000000"/>
          <w:sz w:val="24"/>
        </w:rPr>
        <w:t xml:space="preserve">Xác định chất lượng </w:t>
      </w:r>
      <w:r>
        <w:rPr>
          <w:rFonts w:ascii="Times New Roman" w:hAnsi="Times New Roman" w:eastAsia="Times New Roman" w:cs="Times New Roman"/>
          <w:b/>
          <w:color w:val="000000"/>
          <w:sz w:val="24"/>
        </w:rPr>
        <w:t xml:space="preserve">còn lại của công trình xây dựng trên đất:</w:t>
      </w:r>
      <w:r>
        <w:rPr>
          <w:rFonts w:ascii="Times New Roman" w:hAnsi="Times New Roman" w:eastAsia="Times New Roman" w:cs="Times New Roman"/>
          <w:b/>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264" w:lineRule="auto"/>
        <w:ind w:right="0" w:firstLine="142" w:left="0"/>
        <w:jc w:val="both"/>
        <w:rPr/>
      </w:pPr>
      <w:r>
        <w:rPr>
          <w:rFonts w:ascii="Times New Roman" w:hAnsi="Times New Roman" w:eastAsia="Times New Roman" w:cs="Times New Roman"/>
          <w:color w:val="000000"/>
          <w:sz w:val="24"/>
        </w:rPr>
        <w:t xml:space="preserve">Qua khảo sát hiện trạng, dựa vào đặc điểm tài sản và tham khảo ý kiến các chuyên giá về xây dựng. Tổ thẩm định đánh giá chất lượng còn lại của công trình xây dựng theo công văn số: 1326/BXD-QLN do Bộ xây dựng ban hành ngày 8/8/2011 về việc hướng dẫn kiểm k</w:t>
      </w:r>
      <w:r>
        <w:rPr>
          <w:rFonts w:ascii="Times New Roman" w:hAnsi="Times New Roman" w:eastAsia="Times New Roman" w:cs="Times New Roman"/>
          <w:color w:val="000000"/>
          <w:sz w:val="24"/>
        </w:rPr>
        <w:t xml:space="preserve">ê, đánh giá lại giá trị tài sản cố định là nhà, vật kiến trúc như sau:</w:t>
      </w:r>
      <w:r/>
    </w:p>
    <w:p>
      <w:pPr>
        <w:pBdr>
          <w:top w:val="none" w:color="000000" w:sz="4" w:space="0"/>
          <w:left w:val="none" w:color="000000" w:sz="4" w:space="0"/>
          <w:bottom w:val="none" w:color="000000" w:sz="4" w:space="0"/>
          <w:right w:val="none" w:color="000000" w:sz="4" w:space="0"/>
        </w:pBdr>
        <w:spacing w:after="120" w:before="120" w:line="264" w:lineRule="auto"/>
        <w:ind w:right="0" w:firstLine="142" w:left="0"/>
        <w:jc w:val="both"/>
        <w:rPr/>
      </w:pPr>
      <w:r>
        <w:rPr>
          <w:rFonts w:ascii="Times New Roman" w:hAnsi="Times New Roman" w:eastAsia="Times New Roman" w:cs="Times New Roman"/>
          <w:color w:val="000000"/>
          <w:sz w:val="24"/>
        </w:rPr>
        <w:t xml:space="preserve">Tỷ lệ chất lượng còn lại của nhà, vật kiến trúc được xác định căn cứ vào tỷ lệ chất lượng còn lại của các kết cấu chính (nếu là nhà thì kết cấu chính gồm: móng, khung, cột, tường, nền, sàn, kết cấu đỡ mái và mái) tạo nên nhà đó và tỷ lệ giá trị của các kết</w:t>
      </w:r>
      <w:r>
        <w:rPr>
          <w:rFonts w:ascii="Times New Roman" w:hAnsi="Times New Roman" w:eastAsia="Times New Roman" w:cs="Times New Roman"/>
          <w:color w:val="000000"/>
          <w:sz w:val="24"/>
        </w:rPr>
        <w:t xml:space="preserve"> cấu chính đó so với tổng giá trị của nhà hoặc vật kiến trúc.</w:t>
      </w:r>
      <w:r/>
    </w:p>
    <w:p>
      <w:pPr>
        <w:pBdr>
          <w:top w:val="none" w:color="000000" w:sz="4" w:space="0"/>
          <w:left w:val="none" w:color="000000" w:sz="4" w:space="0"/>
          <w:bottom w:val="none" w:color="000000" w:sz="4" w:space="0"/>
          <w:right w:val="none" w:color="000000" w:sz="4" w:space="0"/>
        </w:pBdr>
        <w:spacing w:line="264" w:lineRule="auto"/>
        <w:ind w:right="0" w:firstLine="142" w:left="0"/>
        <w:rPr/>
      </w:pPr>
      <w:r>
        <w:rPr>
          <w:rFonts w:ascii="Times New Roman" w:hAnsi="Times New Roman" w:eastAsia="Times New Roman" w:cs="Times New Roman"/>
          <w:color w:val="000000"/>
          <w:sz w:val="24"/>
        </w:rPr>
        <w:t xml:space="preserve">Công thức tính như sau:</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1051"/>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47"/>
        <w:gridCol w:w="527"/>
        <w:gridCol w:w="659"/>
        <w:gridCol w:w="2696"/>
        <w:gridCol w:w="599"/>
        <w:gridCol w:w="2316"/>
      </w:tblGrid>
      <w:tr>
        <w:trPr>
          <w:trHeight w:val="20"/>
        </w:trPr>
        <w:tc>
          <w:tcPr>
            <w:tcBorders/>
            <w:tcMar>
              <w:left w:w="108" w:type="dxa"/>
              <w:top w:w="0" w:type="dxa"/>
              <w:right w:w="108" w:type="dxa"/>
              <w:bottom w:w="0" w:type="dxa"/>
            </w:tcMar>
            <w:tcW w:w="194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Tỷ lệ chất lượng còn lại của nhà, vật kiến trúc (%)</w:t>
            </w:r>
            <w:r/>
          </w:p>
        </w:tc>
        <w:tc>
          <w:tcPr>
            <w:tcBorders/>
            <w:tcMar>
              <w:left w:w="108" w:type="dxa"/>
              <w:top w:w="0" w:type="dxa"/>
              <w:right w:w="108" w:type="dxa"/>
              <w:bottom w:w="0" w:type="dxa"/>
            </w:tcMar>
            <w:tcW w:w="5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tcBorders>
            <w:tcMar>
              <w:left w:w="108" w:type="dxa"/>
              <w:top w:w="0" w:type="dxa"/>
              <w:right w:w="108" w:type="dxa"/>
              <w:bottom w:w="0" w:type="dxa"/>
            </w:tcMar>
            <w:tcW w:w="26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5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31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 (%)</w:t>
            </w:r>
            <w:r/>
          </w:p>
        </w:tc>
      </w:tr>
      <w:tr>
        <w:trPr>
          <w:trHeight w:val="20"/>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2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color w:val="000000"/>
          <w:sz w:val="24"/>
        </w:rPr>
        <w:t xml:space="preserve">i: số thứ tự của kết cấu chính</w:t>
      </w:r>
      <w:r/>
    </w:p>
    <w:p>
      <w:pPr>
        <w:pBdr>
          <w:top w:val="none" w:color="000000" w:sz="4" w:space="0"/>
          <w:left w:val="none" w:color="000000" w:sz="4" w:space="0"/>
          <w:bottom w:val="none" w:color="000000" w:sz="4" w:space="0"/>
          <w:right w:val="none" w:color="000000" w:sz="4" w:space="0"/>
        </w:pBdr>
        <w:spacing w:after="120"/>
        <w:ind w:right="0" w:firstLine="0" w:left="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n: số các kết cấu chính.</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before="240" w:line="360" w:lineRule="auto"/>
        <w:ind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color w:val="000000"/>
          <w:sz w:val="24"/>
        </w:rPr>
        <w:t xml:space="preserve">Tổ thẩm định xác định chất lượng còn lại của công trình theo phương pháp tổng cộng:</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tbl>
      <w:tblPr>
        <w:tblStyle w:val="105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19"/>
        <w:gridCol w:w="1864"/>
        <w:gridCol w:w="1864"/>
        <w:gridCol w:w="2080"/>
        <w:gridCol w:w="2080"/>
        <w:gridCol w:w="2083"/>
      </w:tblGrid>
      <w:tr>
        <w:trPr>
          <w:trHeight w:val="936"/>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2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KẾT CẤU CHÍNH</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8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a</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29"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b</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c</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d</w:t>
            </w:r>
            <w:r/>
          </w:p>
        </w:tc>
        <w:tc>
          <w:tcPr>
            <w:tcBorders>
              <w:bottom w:val="single" w:color="000000" w:sz="6" w:space="0"/>
              <w:right w:val="single" w:color="000000" w:sz="6" w:space="0"/>
            </w:tcBorders>
            <w:tcMar>
              <w:left w:w="0" w:type="dxa"/>
              <w:top w:w="0" w:type="dxa"/>
              <w:right w:w="0" w:type="dxa"/>
              <w:bottom w:w="0" w:type="dxa"/>
            </w:tcMar>
            <w:tcW w:w="2083"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e = c x d/g</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29" w:type="dxa"/>
            <w:vAlign w:val="center"/>
            <w:textDirection w:val="lrTb"/>
            <w:noWrap/>
          </w:tcPr>
          <w:p>
            <w:pPr>
              <w:pBdr/>
              <w:spacing w:after="0" w:before="0" w:line="240" w:lineRule="auto"/>
              <w:ind w:right="0" w:firstLine="180" w:left="0"/>
              <w:rPr/>
            </w:pPr>
            <w:r>
              <w:rPr>
                <w:rFonts w:ascii="Times New Roman" w:hAnsi="Times New Roman" w:eastAsia="Times New Roman" w:cs="Times New Roman"/>
                <w:color w:val="000000"/>
                <w:sz w:val="24"/>
              </w:rPr>
              <w:t xml:space="preserve">Móng</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10%</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70%</w:t>
            </w:r>
            <w:r/>
          </w:p>
        </w:tc>
        <w:tc>
          <w:tcPr>
            <w:tcBorders>
              <w:bottom w:val="single" w:color="000000" w:sz="6" w:space="0"/>
              <w:right w:val="single" w:color="000000" w:sz="6" w:space="0"/>
            </w:tcBorders>
            <w:tcMar>
              <w:left w:w="0" w:type="dxa"/>
              <w:top w:w="0" w:type="dxa"/>
              <w:right w:w="0" w:type="dxa"/>
              <w:bottom w:w="0" w:type="dxa"/>
            </w:tcMar>
            <w:tcW w:w="20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12%</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29" w:type="dxa"/>
            <w:vAlign w:val="center"/>
            <w:textDirection w:val="lrTb"/>
            <w:noWrap/>
          </w:tcPr>
          <w:p>
            <w:pPr>
              <w:pBdr/>
              <w:spacing w:after="0" w:before="0" w:line="240" w:lineRule="auto"/>
              <w:ind w:right="0" w:firstLine="180" w:left="0"/>
              <w:rPr/>
            </w:pPr>
            <w:r>
              <w:rPr>
                <w:rFonts w:ascii="Times New Roman" w:hAnsi="Times New Roman" w:eastAsia="Times New Roman" w:cs="Times New Roman"/>
                <w:color w:val="000000"/>
                <w:sz w:val="24"/>
              </w:rPr>
              <w:t xml:space="preserve">Khung, cột</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70%</w:t>
            </w:r>
            <w:r/>
          </w:p>
        </w:tc>
        <w:tc>
          <w:tcPr>
            <w:tcBorders>
              <w:bottom w:val="single" w:color="000000" w:sz="6" w:space="0"/>
              <w:right w:val="single" w:color="000000" w:sz="6" w:space="0"/>
            </w:tcBorders>
            <w:tcMar>
              <w:left w:w="0" w:type="dxa"/>
              <w:top w:w="0" w:type="dxa"/>
              <w:right w:w="0" w:type="dxa"/>
              <w:bottom w:w="0" w:type="dxa"/>
            </w:tcMar>
            <w:tcW w:w="20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29" w:type="dxa"/>
            <w:vAlign w:val="center"/>
            <w:textDirection w:val="lrTb"/>
            <w:noWrap/>
          </w:tcPr>
          <w:p>
            <w:pPr>
              <w:pBdr/>
              <w:spacing w:after="0" w:before="0" w:line="240" w:lineRule="auto"/>
              <w:ind w:right="0" w:firstLine="180" w:left="0"/>
              <w:rPr/>
            </w:pPr>
            <w:r>
              <w:rPr>
                <w:rFonts w:ascii="Times New Roman" w:hAnsi="Times New Roman" w:eastAsia="Times New Roman" w:cs="Times New Roman"/>
                <w:color w:val="000000"/>
                <w:sz w:val="24"/>
              </w:rPr>
              <w:t xml:space="preserve">Tường</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18%</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70%</w:t>
            </w:r>
            <w:r/>
          </w:p>
        </w:tc>
        <w:tc>
          <w:tcPr>
            <w:tcBorders>
              <w:bottom w:val="single" w:color="000000" w:sz="6" w:space="0"/>
              <w:right w:val="single" w:color="000000" w:sz="6" w:space="0"/>
            </w:tcBorders>
            <w:tcMar>
              <w:left w:w="0" w:type="dxa"/>
              <w:top w:w="0" w:type="dxa"/>
              <w:right w:w="0" w:type="dxa"/>
              <w:bottom w:w="0" w:type="dxa"/>
            </w:tcMar>
            <w:tcW w:w="20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21%</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29" w:type="dxa"/>
            <w:vAlign w:val="center"/>
            <w:textDirection w:val="lrTb"/>
            <w:noWrap/>
          </w:tcPr>
          <w:p>
            <w:pPr>
              <w:pBdr/>
              <w:spacing w:after="0" w:before="0" w:line="240" w:lineRule="auto"/>
              <w:ind w:right="0" w:firstLine="180" w:left="0"/>
              <w:rPr/>
            </w:pPr>
            <w:r>
              <w:rPr>
                <w:rFonts w:ascii="Times New Roman" w:hAnsi="Times New Roman" w:eastAsia="Times New Roman" w:cs="Times New Roman"/>
                <w:color w:val="000000"/>
                <w:sz w:val="24"/>
              </w:rPr>
              <w:t xml:space="preserve">Nền, sàn</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70%</w:t>
            </w:r>
            <w:r/>
          </w:p>
        </w:tc>
        <w:tc>
          <w:tcPr>
            <w:tcBorders>
              <w:bottom w:val="single" w:color="000000" w:sz="6" w:space="0"/>
              <w:right w:val="single" w:color="000000" w:sz="6" w:space="0"/>
            </w:tcBorders>
            <w:tcMar>
              <w:left w:w="0" w:type="dxa"/>
              <w:top w:w="0" w:type="dxa"/>
              <w:right w:w="0" w:type="dxa"/>
              <w:bottom w:w="0" w:type="dxa"/>
            </w:tcMar>
            <w:tcW w:w="20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29" w:type="dxa"/>
            <w:vAlign w:val="center"/>
            <w:textDirection w:val="lrTb"/>
            <w:noWrap/>
          </w:tcPr>
          <w:p>
            <w:pPr>
              <w:pBdr/>
              <w:spacing w:after="0" w:before="0" w:line="240" w:lineRule="auto"/>
              <w:ind w:right="0" w:firstLine="180" w:left="0"/>
              <w:rPr/>
            </w:pPr>
            <w:r>
              <w:rPr>
                <w:rFonts w:ascii="Times New Roman" w:hAnsi="Times New Roman" w:eastAsia="Times New Roman" w:cs="Times New Roman"/>
                <w:color w:val="000000"/>
                <w:sz w:val="24"/>
              </w:rPr>
              <w:t xml:space="preserve">Kết cấu đỡ mái</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9%</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70%</w:t>
            </w:r>
            <w:r/>
          </w:p>
        </w:tc>
        <w:tc>
          <w:tcPr>
            <w:tcBorders>
              <w:bottom w:val="single" w:color="000000" w:sz="6" w:space="0"/>
              <w:right w:val="single" w:color="000000" w:sz="6" w:space="0"/>
            </w:tcBorders>
            <w:tcMar>
              <w:left w:w="0" w:type="dxa"/>
              <w:top w:w="0" w:type="dxa"/>
              <w:right w:w="0" w:type="dxa"/>
              <w:bottom w:w="0" w:type="dxa"/>
            </w:tcMar>
            <w:tcW w:w="20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29" w:type="dxa"/>
            <w:vAlign w:val="center"/>
            <w:textDirection w:val="lrTb"/>
            <w:noWrap/>
          </w:tcPr>
          <w:p>
            <w:pPr>
              <w:pBdr/>
              <w:spacing w:after="0" w:before="0" w:line="240" w:lineRule="auto"/>
              <w:ind w:right="0" w:firstLine="180" w:left="0"/>
              <w:rPr/>
            </w:pPr>
            <w:r>
              <w:rPr>
                <w:rFonts w:ascii="Times New Roman" w:hAnsi="Times New Roman" w:eastAsia="Times New Roman" w:cs="Times New Roman"/>
                <w:color w:val="000000"/>
                <w:sz w:val="24"/>
              </w:rPr>
              <w:t xml:space="preserve">Mái</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17%</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70%</w:t>
            </w:r>
            <w:r/>
          </w:p>
        </w:tc>
        <w:tc>
          <w:tcPr>
            <w:tcBorders>
              <w:bottom w:val="single" w:color="000000" w:sz="6" w:space="0"/>
              <w:right w:val="single" w:color="000000" w:sz="6" w:space="0"/>
            </w:tcBorders>
            <w:tcMar>
              <w:left w:w="0" w:type="dxa"/>
              <w:top w:w="0" w:type="dxa"/>
              <w:right w:w="0" w:type="dxa"/>
              <w:bottom w:w="0" w:type="dxa"/>
            </w:tcMar>
            <w:tcW w:w="20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29" w:type="dxa"/>
            <w:vAlign w:val="center"/>
            <w:textDirection w:val="lrTb"/>
            <w:noWrap w:val="false"/>
          </w:tcPr>
          <w:p>
            <w:pPr>
              <w:pBdr/>
              <w:spacing w:after="0" w:before="0" w:line="240" w:lineRule="auto"/>
              <w:ind w:right="0" w:firstLine="180" w:left="0"/>
              <w:rPr/>
            </w:pPr>
            <w:r>
              <w:rPr>
                <w:rFonts w:ascii="Times New Roman" w:hAnsi="Times New Roman" w:eastAsia="Times New Roman" w:cs="Times New Roman"/>
                <w:b/>
                <w:color w:val="000000"/>
                <w:sz w:val="24"/>
              </w:rPr>
              <w:t xml:space="preserve">Tổng cộng (g)</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59%</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6" w:space="0"/>
              <w:right w:val="single" w:color="000000" w:sz="6" w:space="0"/>
            </w:tcBorders>
            <w:tcMar>
              <w:left w:w="0" w:type="dxa"/>
              <w:top w:w="0" w:type="dxa"/>
              <w:right w:w="0" w:type="dxa"/>
              <w:bottom w:w="0" w:type="dxa"/>
            </w:tcMar>
            <w:tcW w:w="20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4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w:t>
            </w:r>
            <w:r/>
          </w:p>
        </w:tc>
        <w:tc>
          <w:tcPr>
            <w:gridSpan w:val="2"/>
            <w:tcBorders>
              <w:top w:val="single" w:color="000000" w:sz="6" w:space="0"/>
              <w:bottom w:val="single" w:color="000000" w:sz="6" w:space="0"/>
              <w:right w:val="single" w:color="000000" w:sz="4" w:space="0"/>
            </w:tcBorders>
            <w:tcMar>
              <w:left w:w="0" w:type="dxa"/>
              <w:top w:w="0" w:type="dxa"/>
              <w:right w:w="0" w:type="dxa"/>
              <w:bottom w:w="0" w:type="dxa"/>
            </w:tcMar>
            <w:tcW w:w="3729" w:type="dxa"/>
            <w:vAlign w:val="center"/>
            <w:textDirection w:val="lrTb"/>
            <w:noWrap w:val="false"/>
          </w:tcPr>
          <w:p>
            <w:pPr>
              <w:pBdr/>
              <w:spacing w:after="0" w:before="0" w:line="240" w:lineRule="auto"/>
              <w:ind w:right="0" w:firstLine="180" w:left="0"/>
              <w:rPr/>
            </w:pPr>
            <w:r>
              <w:rPr>
                <w:rFonts w:ascii="Times New Roman" w:hAnsi="Times New Roman" w:eastAsia="Times New Roman" w:cs="Times New Roman"/>
                <w:b/>
                <w:color w:val="000000"/>
                <w:sz w:val="24"/>
              </w:rPr>
              <w:t xml:space="preserve">Tỷ lệ chất lượng còn lại:</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6" w:space="0"/>
              <w:right w:val="single" w:color="000000" w:sz="6" w:space="0"/>
            </w:tcBorders>
            <w:tcMar>
              <w:left w:w="0" w:type="dxa"/>
              <w:top w:w="0" w:type="dxa"/>
              <w:right w:w="0" w:type="dxa"/>
              <w:bottom w:w="0" w:type="dxa"/>
            </w:tcMar>
            <w:tcW w:w="208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6" w:space="0"/>
              <w:right w:val="single" w:color="000000" w:sz="6" w:space="0"/>
            </w:tcBorders>
            <w:tcMar>
              <w:left w:w="0" w:type="dxa"/>
              <w:top w:w="0" w:type="dxa"/>
              <w:right w:w="0" w:type="dxa"/>
              <w:bottom w:w="0" w:type="dxa"/>
            </w:tcMar>
            <w:tcW w:w="208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70.00%</w:t>
            </w:r>
            <w:r/>
          </w:p>
        </w:tc>
      </w:tr>
    </w:tbl>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Tổ thẩm định xác định Tỷ lệ chất lượng còn lại của công trình xây dựng là: </w:t>
      </w:r>
      <w:r>
        <w:rPr>
          <w:rFonts w:ascii="Times New Roman" w:hAnsi="Times New Roman" w:eastAsia="Times New Roman" w:cs="Times New Roman"/>
          <w:b/>
          <w:bCs/>
          <w:color w:val="000000"/>
          <w:sz w:val="24"/>
        </w:rPr>
        <w:t xml:space="preserve">70%</w:t>
      </w:r>
      <w:r>
        <w:rPr>
          <w:rFonts w:ascii="Times New Roman" w:hAnsi="Times New Roman" w:eastAsia="Times New Roman" w:cs="Times New Roman"/>
          <w:sz w:val="24"/>
        </w:rPr>
      </w:r>
      <w:r/>
    </w:p>
    <w:p>
      <w:pPr>
        <w:numPr>
          <w:ilvl w:val="0"/>
          <w:numId w:val="44"/>
        </w:numPr>
        <w:pBdr>
          <w:top w:val="none" w:color="000000" w:sz="4" w:space="0"/>
          <w:left w:val="none" w:color="000000" w:sz="4" w:space="0"/>
          <w:bottom w:val="none" w:color="000000" w:sz="4" w:space="0"/>
          <w:right w:val="none" w:color="000000" w:sz="4" w:space="0"/>
        </w:pBdr>
        <w:spacing w:after="120" w:before="240" w:line="360"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hd w:val="clear" w:color="ffffff" w:fill="ffffff"/>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i/>
          <w:color w:val="000000"/>
          <w:sz w:val="24"/>
        </w:rPr>
        <w:t xml:space="preserve">Giá trị tài sản = Chi phí thay thế - Tổng giá trị hao mòn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i/>
          <w:color w:val="000000"/>
          <w:sz w:val="24"/>
        </w:rPr>
        <w:t xml:space="preserve">                       = Chi phí thay thế x (1- tỷ lệ hao mòn)</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i/>
          <w:color w:val="000000"/>
          <w:sz w:val="24"/>
        </w:rPr>
        <w:t xml:space="preserve">                      = Chi phí thay thế x Tỷ lệ chất lượng còn lại</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 </w:t>
      </w:r>
      <w:r/>
    </w:p>
    <w:tbl>
      <w:tblPr>
        <w:tblStyle w:val="105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589"/>
        <w:gridCol w:w="1577"/>
        <w:gridCol w:w="1588"/>
        <w:gridCol w:w="1592"/>
        <w:gridCol w:w="1618"/>
        <w:gridCol w:w="1592"/>
      </w:tblGrid>
      <w:tr>
        <w:trPr>
          <w:trHeight w:val="624"/>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công trình</w:t>
            </w:r>
            <w:r/>
          </w:p>
        </w:tc>
        <w:tc>
          <w:tcPr>
            <w:tcBorders>
              <w:top w:val="single" w:color="000000" w:sz="8" w:space="0"/>
              <w:bottom w:val="single" w:color="000000" w:sz="8" w:space="0"/>
              <w:right w:val="single" w:color="000000" w:sz="8" w:space="0"/>
            </w:tcBorders>
            <w:tcMar>
              <w:left w:w="0" w:type="dxa"/>
              <w:top w:w="0" w:type="dxa"/>
              <w:right w:w="0" w:type="dxa"/>
              <w:bottom w:w="0" w:type="dxa"/>
            </w:tcMar>
            <w:tcW w:w="15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Diện tích  sàn (m²)</w:t>
            </w:r>
            <w:r/>
          </w:p>
        </w:tc>
        <w:tc>
          <w:tcPr>
            <w:tcBorders>
              <w:top w:val="single" w:color="000000" w:sz="8" w:space="0"/>
              <w:bottom w:val="single" w:color="000000" w:sz="8" w:space="0"/>
              <w:right w:val="single" w:color="000000" w:sz="8" w:space="0"/>
            </w:tcBorders>
            <w:tcMar>
              <w:left w:w="0" w:type="dxa"/>
              <w:top w:w="0" w:type="dxa"/>
              <w:right w:w="0" w:type="dxa"/>
              <w:bottom w:w="0" w:type="dxa"/>
            </w:tcMar>
            <w:tcW w:w="15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Đơn giá xây mới (Đồng/m²)</w:t>
            </w:r>
            <w:r/>
          </w:p>
        </w:tc>
        <w:tc>
          <w:tcPr>
            <w:tcBorders>
              <w:top w:val="single" w:color="000000" w:sz="8" w:space="0"/>
              <w:bottom w:val="single" w:color="000000" w:sz="8" w:space="0"/>
              <w:right w:val="single" w:color="000000" w:sz="8" w:space="0"/>
            </w:tcBorders>
            <w:tcMar>
              <w:left w:w="0" w:type="dxa"/>
              <w:top w:w="0" w:type="dxa"/>
              <w:right w:w="0" w:type="dxa"/>
              <w:bottom w:w="0" w:type="dxa"/>
            </w:tcMar>
            <w:tcW w:w="15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Chi phí thay thế (đồng)</w:t>
            </w:r>
            <w:r/>
          </w:p>
        </w:tc>
        <w:tc>
          <w:tcPr>
            <w:tcBorders>
              <w:top w:val="single" w:color="000000" w:sz="8" w:space="0"/>
              <w:bottom w:val="single" w:color="000000" w:sz="8" w:space="0"/>
              <w:right w:val="single" w:color="000000" w:sz="8" w:space="0"/>
            </w:tcBorders>
            <w:tcMar>
              <w:left w:w="0" w:type="dxa"/>
              <w:top w:w="0" w:type="dxa"/>
              <w:right w:w="0" w:type="dxa"/>
              <w:bottom w:w="0" w:type="dxa"/>
            </w:tcMar>
            <w:tcW w:w="16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Chất lượng còn lại (%)</w:t>
            </w:r>
            <w:r/>
          </w:p>
        </w:tc>
        <w:tc>
          <w:tcPr>
            <w:tcBorders>
              <w:top w:val="single" w:color="000000" w:sz="8" w:space="0"/>
              <w:bottom w:val="single" w:color="000000" w:sz="8" w:space="0"/>
              <w:right w:val="single" w:color="000000" w:sz="8" w:space="0"/>
            </w:tcBorders>
            <w:tcMar>
              <w:left w:w="0" w:type="dxa"/>
              <w:top w:w="0" w:type="dxa"/>
              <w:right w:w="0" w:type="dxa"/>
              <w:bottom w:w="0" w:type="dxa"/>
            </w:tcMar>
            <w:tcW w:w="15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thẩm định (Đồng)</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158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A</w:t>
            </w:r>
            <w:r/>
          </w:p>
        </w:tc>
        <w:tc>
          <w:tcPr>
            <w:shd w:val="clear" w:color="ffffff" w:fill="ffffff"/>
            <w:tcBorders>
              <w:bottom w:val="single" w:color="000000" w:sz="8" w:space="0"/>
              <w:right w:val="single" w:color="000000" w:sz="8" w:space="0"/>
            </w:tcBorders>
            <w:tcMar>
              <w:left w:w="0" w:type="dxa"/>
              <w:top w:w="0" w:type="dxa"/>
              <w:right w:w="0" w:type="dxa"/>
              <w:bottom w:w="0" w:type="dxa"/>
            </w:tcMar>
            <w:tcW w:w="157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8" w:space="0"/>
              <w:right w:val="single" w:color="000000" w:sz="8" w:space="0"/>
            </w:tcBorders>
            <w:tcMar>
              <w:left w:w="0" w:type="dxa"/>
              <w:top w:w="0" w:type="dxa"/>
              <w:right w:w="0" w:type="dxa"/>
              <w:bottom w:w="0" w:type="dxa"/>
            </w:tcMar>
            <w:tcW w:w="15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0" w:type="dxa"/>
              <w:top w:w="0" w:type="dxa"/>
              <w:right w:w="0" w:type="dxa"/>
              <w:bottom w:w="0" w:type="dxa"/>
            </w:tcMar>
            <w:tcW w:w="15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 = (1) * (2)</w:t>
            </w:r>
            <w:r/>
          </w:p>
        </w:tc>
        <w:tc>
          <w:tcPr>
            <w:tcBorders>
              <w:bottom w:val="single" w:color="000000" w:sz="8" w:space="0"/>
              <w:right w:val="single" w:color="000000" w:sz="8" w:space="0"/>
            </w:tcBorders>
            <w:tcMar>
              <w:left w:w="0" w:type="dxa"/>
              <w:top w:w="0" w:type="dxa"/>
              <w:right w:w="0" w:type="dxa"/>
              <w:bottom w:w="0" w:type="dxa"/>
            </w:tcMar>
            <w:tcW w:w="16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0" w:type="dxa"/>
              <w:top w:w="0" w:type="dxa"/>
              <w:right w:w="0" w:type="dxa"/>
              <w:bottom w:w="0" w:type="dxa"/>
            </w:tcMar>
            <w:tcW w:w="15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(5)=(3)x(4)</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1589"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Nhà kho</w:t>
            </w:r>
            <w:r>
              <w:rPr>
                <w:rFonts w:ascii="Times New Roman" w:hAnsi="Times New Roman" w:eastAsia="Times New Roman" w:cs="Times New Roman"/>
                <w:color w:val="000000"/>
                <w:sz w:val="24"/>
              </w:rPr>
            </w:r>
            <w:r/>
          </w:p>
        </w:tc>
        <w:tc>
          <w:tcPr>
            <w:tcBorders>
              <w:bottom w:val="single" w:color="000000" w:sz="8" w:space="0"/>
              <w:right w:val="single" w:color="000000" w:sz="8" w:space="0"/>
            </w:tcBorders>
            <w:tcMar>
              <w:left w:w="0" w:type="dxa"/>
              <w:top w:w="0" w:type="dxa"/>
              <w:right w:w="0" w:type="dxa"/>
              <w:bottom w:w="0" w:type="dxa"/>
            </w:tcMar>
            <w:tcW w:w="1577"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318</w:t>
            </w:r>
            <w:r>
              <w:rPr>
                <w:rFonts w:ascii="Times New Roman" w:hAnsi="Times New Roman" w:eastAsia="Times New Roman" w:cs="Times New Roman"/>
                <w:color w:val="000000"/>
                <w:sz w:val="24"/>
              </w:rPr>
            </w:r>
            <w:r/>
          </w:p>
        </w:tc>
        <w:tc>
          <w:tcPr>
            <w:shd w:val="clear" w:color="ffffff" w:fill="ffffff"/>
            <w:tcBorders>
              <w:bottom w:val="single" w:color="000000" w:sz="8" w:space="0"/>
              <w:right w:val="single" w:color="000000" w:sz="8" w:space="0"/>
            </w:tcBorders>
            <w:tcMar>
              <w:left w:w="0" w:type="dxa"/>
              <w:top w:w="0" w:type="dxa"/>
              <w:right w:w="0" w:type="dxa"/>
              <w:bottom w:w="0" w:type="dxa"/>
            </w:tcMar>
            <w:tcW w:w="158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6.353.199</w:t>
            </w:r>
            <w:r/>
          </w:p>
        </w:tc>
        <w:tc>
          <w:tcPr>
            <w:shd w:val="clear" w:color="ffffff" w:fill="ffffff"/>
            <w:tcBorders>
              <w:bottom w:val="single" w:color="000000" w:sz="8" w:space="0"/>
              <w:right w:val="single" w:color="000000" w:sz="8" w:space="0"/>
            </w:tcBorders>
            <w:tcMar>
              <w:left w:w="0" w:type="dxa"/>
              <w:top w:w="0" w:type="dxa"/>
              <w:right w:w="0" w:type="dxa"/>
              <w:bottom w:w="0" w:type="dxa"/>
            </w:tcMar>
            <w:tcW w:w="159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2.020.317.282</w:t>
            </w:r>
            <w:r/>
          </w:p>
        </w:tc>
        <w:tc>
          <w:tcPr>
            <w:tcBorders>
              <w:bottom w:val="single" w:color="000000" w:sz="8" w:space="0"/>
              <w:right w:val="single" w:color="000000" w:sz="8" w:space="0"/>
            </w:tcBorders>
            <w:tcMar>
              <w:left w:w="0" w:type="dxa"/>
              <w:top w:w="0" w:type="dxa"/>
              <w:right w:w="0" w:type="dxa"/>
              <w:bottom w:w="0" w:type="dxa"/>
            </w:tcMar>
            <w:tcW w:w="16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w:t>
            </w:r>
            <w:r/>
          </w:p>
        </w:tc>
        <w:tc>
          <w:tcPr>
            <w:tcBorders>
              <w:bottom w:val="single" w:color="000000" w:sz="8" w:space="0"/>
              <w:right w:val="single" w:color="000000" w:sz="8" w:space="0"/>
            </w:tcBorders>
            <w:tcMar>
              <w:left w:w="0" w:type="dxa"/>
              <w:top w:w="0" w:type="dxa"/>
              <w:right w:w="0" w:type="dxa"/>
              <w:bottom w:w="0" w:type="dxa"/>
            </w:tcMar>
            <w:tcW w:w="1592" w:type="dxa"/>
            <w:vAlign w:val="center"/>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1.414.222.097</w:t>
            </w:r>
            <w:r/>
          </w:p>
        </w:tc>
      </w:tr>
    </w:tbl>
    <w:p>
      <w:pPr>
        <w:pStyle w:val="1047"/>
        <w:numPr>
          <w:ilvl w:val="0"/>
          <w:numId w:val="41"/>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4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04/2026</w:t>
      </w:r>
      <w:r>
        <w:t xml:space="preserve"> </w:t>
      </w:r>
      <w:r>
        <w:t xml:space="preserve">ước tính </w:t>
      </w:r>
      <w:r>
        <w:t xml:space="preserve">như sau</w:t>
      </w:r>
      <w:r>
        <w:t xml:space="preserve">:</w:t>
      </w:r>
      <w:r/>
    </w:p>
    <w:tbl>
      <w:tblPr>
        <w:tblStyle w:val="105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935"/>
        <w:gridCol w:w="2709"/>
        <w:gridCol w:w="1595"/>
        <w:gridCol w:w="1607"/>
        <w:gridCol w:w="839"/>
        <w:gridCol w:w="1833"/>
      </w:tblGrid>
      <w:tr>
        <w:trPr>
          <w:trHeight w:val="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3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83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CLCL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(đồng)</w:t>
            </w:r>
            <w:r/>
          </w:p>
        </w:tc>
      </w:tr>
      <w:tr>
        <w:trPr>
          <w:trHeight w:val="1548"/>
        </w:trPr>
        <w:tc>
          <w:tcPr>
            <w:shd w:val="clear" w:color="ffffff" w:fill="ffffff"/>
            <w:tcBorders>
              <w:top w:val="single" w:color="000000" w:sz="4" w:space="0"/>
              <w:left w:val="single" w:color="000000" w:sz="6" w:space="0"/>
              <w:bottom w:val="single" w:color="000000" w:sz="6" w:space="0"/>
              <w:right w:val="single" w:color="000000" w:sz="6" w:space="0"/>
            </w:tcBorders>
            <w:tcMar>
              <w:left w:w="0" w:type="dxa"/>
              <w:top w:w="0" w:type="dxa"/>
              <w:right w:w="0" w:type="dxa"/>
              <w:bottom w:w="0" w:type="dxa"/>
            </w:tcMar>
            <w:tcW w:w="93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01</w:t>
            </w:r>
            <w:r/>
          </w:p>
        </w:tc>
        <w:tc>
          <w:tcPr>
            <w:gridSpan w:val="4"/>
            <w:shd w:val="clear" w:color="ffffff" w:fill="ffffff"/>
            <w:tcBorders>
              <w:top w:val="single" w:color="000000" w:sz="4" w:space="0"/>
              <w:bottom w:val="single" w:color="000000" w:sz="6" w:space="0"/>
              <w:right w:val="single" w:color="000000" w:sz="6" w:space="0"/>
            </w:tcBorders>
            <w:tcMar>
              <w:left w:w="0" w:type="dxa"/>
              <w:top w:w="0" w:type="dxa"/>
              <w:right w:w="0" w:type="dxa"/>
              <w:bottom w:w="0" w:type="dxa"/>
            </w:tcMar>
            <w:tcW w:w="6750" w:type="dxa"/>
            <w:vAlign w:val="center"/>
            <w:textDirection w:val="lrTb"/>
            <w:noWrap w:val="false"/>
          </w:tcPr>
          <w:p>
            <w:pPr>
              <w:pBdr/>
              <w:spacing w:after="0" w:before="0" w:line="240" w:lineRule="auto"/>
              <w:ind w:right="90" w:firstLine="0" w:left="180"/>
              <w:jc w:val="both"/>
              <w:rPr/>
            </w:pPr>
            <w:r>
              <w:rPr>
                <w:rFonts w:ascii="Times New Roman" w:hAnsi="Times New Roman" w:eastAsia="Times New Roman" w:cs="Times New Roman"/>
                <w:b/>
                <w:color w:val="000000"/>
                <w:sz w:val="24"/>
              </w:rPr>
              <w:t xml:space="preserve">Quyền sử dụng đấ</w:t>
            </w:r>
            <w:r>
              <w:rPr>
                <w:rFonts w:ascii="Times New Roman" w:hAnsi="Times New Roman" w:eastAsia="Times New Roman" w:cs="Times New Roman"/>
                <w:b/>
                <w:bCs/>
                <w:color w:val="000000"/>
                <w:sz w:val="24"/>
              </w:rPr>
              <w:t xml:space="preserve">t</w:t>
            </w:r>
            <w:r>
              <w:rPr>
                <w:b/>
                <w:bCs/>
                <w:color w:val="000000" w:themeColor="text1"/>
                <w:lang w:val="pt-BR"/>
              </w:rPr>
              <w:t xml:space="preserve">, quyền sở hữu tài sản gắn liền với đất</w:t>
            </w:r>
            <w:r>
              <w:rPr>
                <w:rFonts w:ascii="Times New Roman" w:hAnsi="Times New Roman" w:eastAsia="Times New Roman" w:cs="Times New Roman"/>
                <w:b/>
                <w:bCs/>
                <w:color w:val="000000"/>
                <w:sz w:val="24"/>
              </w:rPr>
              <w:t xml:space="preserve"> tại thửa đất số: 76, tờ bản đồ</w:t>
            </w:r>
            <w:r>
              <w:rPr>
                <w:rFonts w:ascii="Times New Roman" w:hAnsi="Times New Roman" w:eastAsia="Times New Roman" w:cs="Times New Roman"/>
                <w:b/>
                <w:color w:val="000000"/>
                <w:sz w:val="24"/>
              </w:rPr>
              <w:t xml:space="preserve"> số: 37 có địa chỉ:  theo Giấy chứng nhận quyền sử dụng đất, quyền sở hữu tài sản gắn liền với đất số: AA 03740904, số vào sổ cấp GCN: CN 01073 do Chi nhánh văn phòng đăng ký đất đai khu vực liên xã An Phú cấ</w:t>
            </w:r>
            <w:r>
              <w:rPr>
                <w:rFonts w:ascii="Times New Roman" w:hAnsi="Times New Roman" w:eastAsia="Times New Roman" w:cs="Times New Roman"/>
                <w:b/>
                <w:color w:val="000000"/>
                <w:sz w:val="24"/>
              </w:rPr>
              <w:t xml:space="preserve">p ngày 07/10/2025, Chủ sử dụng đất là Bà Nguyễn Thị Thuỳ Oanh</w:t>
            </w:r>
            <w:r/>
          </w:p>
        </w:tc>
        <w:tc>
          <w:tcPr>
            <w:shd w:val="clear" w:color="ffffff" w:fill="ffffff"/>
            <w:tcBorders>
              <w:top w:val="single" w:color="000000" w:sz="4" w:space="0"/>
              <w:bottom w:val="single" w:color="000000" w:sz="6" w:space="0"/>
              <w:right w:val="single" w:color="000000" w:sz="6" w:space="0"/>
            </w:tcBorders>
            <w:tcMar>
              <w:left w:w="0" w:type="dxa"/>
              <w:top w:w="0" w:type="dxa"/>
              <w:right w:w="0" w:type="dxa"/>
              <w:bottom w:w="0" w:type="dxa"/>
            </w:tcMar>
            <w:tcW w:w="1833" w:type="dxa"/>
            <w:vAlign w:val="center"/>
            <w:textDirection w:val="lrTb"/>
            <w:noWrap w:val="false"/>
          </w:tcPr>
          <w:p>
            <w:pPr>
              <w:pBdr/>
              <w:spacing w:after="0" w:before="0" w:line="240" w:lineRule="auto"/>
              <w:ind w:right="123" w:firstLine="0" w:left="0"/>
              <w:jc w:val="right"/>
              <w:rPr/>
            </w:pPr>
            <w:r>
              <w:rPr>
                <w:rFonts w:ascii="Times New Roman" w:hAnsi="Times New Roman" w:eastAsia="Times New Roman" w:cs="Times New Roman"/>
                <w:b/>
                <w:color w:val="000000"/>
                <w:sz w:val="24"/>
              </w:rPr>
              <w:t xml:space="preserve"> </w:t>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93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70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Quyền sử dụng </w:t>
            </w:r>
            <w:r>
              <w:rPr>
                <w:rFonts w:ascii="Times New Roman" w:hAnsi="Times New Roman" w:eastAsia="Times New Roman" w:cs="Times New Roman"/>
                <w:color w:val="000000"/>
                <w:sz w:val="24"/>
              </w:rPr>
              <w:t xml:space="preserve">đất cơ sở sản xuất phi nông nghiệp </w:t>
            </w:r>
            <w:r>
              <w:rPr>
                <w:rFonts w:ascii="Times New Roman" w:hAnsi="Times New Roman" w:eastAsia="Times New Roman" w:cs="Times New Roman"/>
                <w:color w:val="000000"/>
                <w:sz w:val="24"/>
              </w:rPr>
              <w:t xml:space="preserve">nằm ngoài quy hoạch đất giao thông</w:t>
            </w:r>
            <w:r/>
          </w:p>
        </w:tc>
        <w:tc>
          <w:tcPr>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845,3</w:t>
            </w:r>
            <w:r/>
          </w:p>
        </w:tc>
        <w:tc>
          <w:tcPr>
            <w:shd w:val="clear" w:color="ffffff" w:fill="ffffff"/>
            <w:tcBorders>
              <w:bottom w:val="single" w:color="000000" w:sz="6" w:space="0"/>
              <w:right w:val="single" w:color="000000" w:sz="6" w:space="0"/>
            </w:tcBorders>
            <w:tcMar>
              <w:left w:w="0" w:type="dxa"/>
              <w:top w:w="0" w:type="dxa"/>
              <w:right w:w="0" w:type="dxa"/>
              <w:bottom w:w="0" w:type="dxa"/>
            </w:tcMar>
            <w:tcW w:w="16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5.158.800</w:t>
            </w:r>
            <w:r/>
          </w:p>
        </w:tc>
        <w:tc>
          <w:tcPr>
            <w:shd w:val="clear" w:color="ffffff" w:fill="ffffff"/>
            <w:tcBorders>
              <w:bottom w:val="single" w:color="000000" w:sz="6" w:space="0"/>
              <w:right w:val="single" w:color="000000" w:sz="6" w:space="0"/>
            </w:tcBorders>
            <w:tcMar>
              <w:left w:w="0" w:type="dxa"/>
              <w:top w:w="0" w:type="dxa"/>
              <w:right w:w="0" w:type="dxa"/>
              <w:bottom w:w="0" w:type="dxa"/>
            </w:tcMar>
            <w:tcW w:w="8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833" w:type="dxa"/>
            <w:vAlign w:val="center"/>
            <w:textDirection w:val="lrTb"/>
            <w:noWrap w:val="false"/>
          </w:tcPr>
          <w:p>
            <w:pPr>
              <w:pBdr/>
              <w:spacing w:after="0" w:before="0" w:line="240" w:lineRule="auto"/>
              <w:ind w:right="123" w:firstLine="0" w:left="0"/>
              <w:jc w:val="right"/>
              <w:rPr/>
            </w:pPr>
            <w:r>
              <w:rPr>
                <w:rFonts w:ascii="Times New Roman" w:hAnsi="Times New Roman" w:eastAsia="Times New Roman" w:cs="Times New Roman"/>
                <w:color w:val="000000"/>
                <w:sz w:val="24"/>
              </w:rPr>
              <w:t xml:space="preserve">4.360.733.640</w:t>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93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70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Quyền sử dụng đất </w:t>
            </w:r>
            <w:r>
              <w:rPr>
                <w:rFonts w:ascii="Times New Roman" w:hAnsi="Times New Roman" w:eastAsia="Times New Roman" w:cs="Times New Roman"/>
                <w:color w:val="000000"/>
                <w:sz w:val="24"/>
              </w:rPr>
              <w:t xml:space="preserve">đất cơ sở sản xuất phi nông nghiệp</w:t>
            </w:r>
            <w:r>
              <w:rPr>
                <w:rFonts w:ascii="Times New Roman" w:hAnsi="Times New Roman" w:eastAsia="Times New Roman" w:cs="Times New Roman"/>
                <w:color w:val="000000"/>
                <w:sz w:val="24"/>
              </w:rPr>
              <w:t xml:space="preserve"> nằm trong quy hoạch đất giao thông</w:t>
            </w:r>
            <w:r/>
          </w:p>
        </w:tc>
        <w:tc>
          <w:tcPr>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64</w:t>
            </w:r>
            <w:r/>
          </w:p>
        </w:tc>
        <w:tc>
          <w:tcPr>
            <w:shd w:val="clear" w:color="ffffff" w:fill="ffffff"/>
            <w:tcBorders>
              <w:bottom w:val="single" w:color="000000" w:sz="6" w:space="0"/>
              <w:right w:val="single" w:color="000000" w:sz="6" w:space="0"/>
            </w:tcBorders>
            <w:tcMar>
              <w:left w:w="0" w:type="dxa"/>
              <w:top w:w="0" w:type="dxa"/>
              <w:right w:w="0" w:type="dxa"/>
              <w:bottom w:w="0" w:type="dxa"/>
            </w:tcMar>
            <w:tcW w:w="16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663.000</w:t>
            </w:r>
            <w:r/>
          </w:p>
        </w:tc>
        <w:tc>
          <w:tcPr>
            <w:shd w:val="clear" w:color="ffffff" w:fill="ffffff"/>
            <w:tcBorders>
              <w:bottom w:val="single" w:color="000000" w:sz="6" w:space="0"/>
              <w:right w:val="single" w:color="000000" w:sz="6" w:space="0"/>
            </w:tcBorders>
            <w:tcMar>
              <w:left w:w="0" w:type="dxa"/>
              <w:top w:w="0" w:type="dxa"/>
              <w:right w:w="0" w:type="dxa"/>
              <w:bottom w:w="0" w:type="dxa"/>
            </w:tcMar>
            <w:tcW w:w="8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833" w:type="dxa"/>
            <w:vAlign w:val="center"/>
            <w:textDirection w:val="lrTb"/>
            <w:noWrap w:val="false"/>
          </w:tcPr>
          <w:p>
            <w:pPr>
              <w:pBdr/>
              <w:spacing w:after="0" w:before="0" w:line="240" w:lineRule="auto"/>
              <w:ind w:right="123" w:firstLine="0" w:left="0"/>
              <w:jc w:val="right"/>
              <w:rPr/>
            </w:pPr>
            <w:r>
              <w:rPr>
                <w:rFonts w:ascii="Times New Roman" w:hAnsi="Times New Roman" w:eastAsia="Times New Roman" w:cs="Times New Roman"/>
                <w:color w:val="000000"/>
                <w:sz w:val="24"/>
              </w:rPr>
              <w:t xml:space="preserve">42.432.000</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93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709" w:type="dxa"/>
            <w:vAlign w:val="center"/>
            <w:textDirection w:val="lrTb"/>
            <w:noWrap w:val="false"/>
          </w:tcPr>
          <w:p>
            <w:pPr>
              <w:pBdr/>
              <w:spacing w:after="0" w:before="0" w:line="240" w:lineRule="auto"/>
              <w:ind w:right="0" w:firstLine="0" w:left="9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Tài sản gắn liền với đất</w:t>
            </w: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 </w:t>
            </w:r>
            <w:r/>
            <w:r/>
            <w:r>
              <w:rPr>
                <w:rFonts w:ascii="Times New Roman" w:hAnsi="Times New Roman" w:eastAsia="Times New Roman" w:cs="Times New Roman"/>
                <w:color w:val="000000"/>
                <w:sz w:val="24"/>
                <w:szCs w:val="24"/>
              </w:rPr>
            </w:r>
          </w:p>
        </w:tc>
        <w:tc>
          <w:tcPr>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318</w:t>
            </w:r>
            <w:r/>
          </w:p>
        </w:tc>
        <w:tc>
          <w:tcPr>
            <w:shd w:val="clear" w:color="ffffff" w:fill="ffffff"/>
            <w:tcBorders>
              <w:bottom w:val="single" w:color="000000" w:sz="6" w:space="0"/>
              <w:right w:val="single" w:color="000000" w:sz="6" w:space="0"/>
            </w:tcBorders>
            <w:tcMar>
              <w:left w:w="0" w:type="dxa"/>
              <w:top w:w="0" w:type="dxa"/>
              <w:right w:w="0" w:type="dxa"/>
              <w:bottom w:w="0" w:type="dxa"/>
            </w:tcMar>
            <w:tcW w:w="16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6.353.199</w:t>
            </w:r>
            <w:r/>
          </w:p>
        </w:tc>
        <w:tc>
          <w:tcPr>
            <w:shd w:val="clear" w:color="ffffff" w:fill="ffffff"/>
            <w:tcBorders>
              <w:bottom w:val="single" w:color="000000" w:sz="6" w:space="0"/>
              <w:right w:val="single" w:color="000000" w:sz="6" w:space="0"/>
            </w:tcBorders>
            <w:tcMar>
              <w:left w:w="0" w:type="dxa"/>
              <w:top w:w="0" w:type="dxa"/>
              <w:right w:w="0" w:type="dxa"/>
              <w:bottom w:w="0" w:type="dxa"/>
            </w:tcMar>
            <w:tcW w:w="8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70%</w:t>
            </w:r>
            <w:r/>
          </w:p>
        </w:tc>
        <w:tc>
          <w:tcPr>
            <w:shd w:val="clear" w:color="ffffff" w:fill="ffffff"/>
            <w:tcBorders>
              <w:bottom w:val="single" w:color="000000" w:sz="6" w:space="0"/>
              <w:right w:val="single" w:color="000000" w:sz="6" w:space="0"/>
            </w:tcBorders>
            <w:tcMar>
              <w:left w:w="0" w:type="dxa"/>
              <w:top w:w="0" w:type="dxa"/>
              <w:right w:w="0" w:type="dxa"/>
              <w:bottom w:w="0" w:type="dxa"/>
            </w:tcMar>
            <w:tcW w:w="1833" w:type="dxa"/>
            <w:vAlign w:val="center"/>
            <w:textDirection w:val="lrTb"/>
            <w:noWrap w:val="false"/>
          </w:tcPr>
          <w:p>
            <w:pPr>
              <w:pBdr/>
              <w:spacing w:after="0" w:before="0" w:line="240" w:lineRule="auto"/>
              <w:ind w:right="123" w:firstLine="0" w:left="0"/>
              <w:jc w:val="right"/>
              <w:rPr/>
            </w:pPr>
            <w:r>
              <w:rPr>
                <w:rFonts w:ascii="Times New Roman" w:hAnsi="Times New Roman" w:eastAsia="Times New Roman" w:cs="Times New Roman"/>
                <w:color w:val="000000"/>
                <w:sz w:val="24"/>
              </w:rPr>
              <w:t xml:space="preserve">1.414.222.097</w:t>
            </w:r>
            <w:r/>
          </w:p>
        </w:tc>
      </w:tr>
      <w:tr>
        <w:trPr>
          <w:trHeight w:val="1577"/>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93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750" w:type="dxa"/>
            <w:vAlign w:val="center"/>
            <w:textDirection w:val="lrTb"/>
            <w:noWrap w:val="false"/>
          </w:tcPr>
          <w:p>
            <w:pPr>
              <w:pBdr/>
              <w:spacing w:after="0" w:before="0" w:line="240" w:lineRule="auto"/>
              <w:ind w:right="90" w:firstLine="0" w:left="180"/>
              <w:jc w:val="both"/>
              <w:rPr/>
            </w:pPr>
            <w:r>
              <w:rPr>
                <w:rFonts w:ascii="Times New Roman" w:hAnsi="Times New Roman" w:eastAsia="Times New Roman" w:cs="Times New Roman"/>
                <w:b/>
                <w:color w:val="000000"/>
                <w:sz w:val="24"/>
              </w:rPr>
              <w:t xml:space="preserve">Quyền sử dụng đất tại thửa đất số: 75, tờ bản đồ số: 37 có địa chỉ:  theo Giấy chứng nhận quyền sử dụng đất, quyền sở hữu tài sản gắn liền với đất số: AA 03740903, số vào sổ cấp GCN: CN 01072 do Chi nhánh văn phòng đăng ký đất đai khu vực liên xã An Phú cấ</w:t>
            </w:r>
            <w:r>
              <w:rPr>
                <w:rFonts w:ascii="Times New Roman" w:hAnsi="Times New Roman" w:eastAsia="Times New Roman" w:cs="Times New Roman"/>
                <w:b/>
                <w:color w:val="000000"/>
                <w:sz w:val="24"/>
              </w:rPr>
              <w:t xml:space="preserve">p ngày 07/10/2025, Chủ sử dụng đất là Bà Nguyễn Thị Thuỳ Oanh</w:t>
            </w:r>
            <w:r/>
          </w:p>
        </w:tc>
        <w:tc>
          <w:tcPr>
            <w:shd w:val="clear" w:color="ffffff" w:fill="ffffff"/>
            <w:tcBorders>
              <w:bottom w:val="single" w:color="000000" w:sz="6" w:space="0"/>
              <w:right w:val="single" w:color="000000" w:sz="6" w:space="0"/>
            </w:tcBorders>
            <w:tcMar>
              <w:left w:w="0" w:type="dxa"/>
              <w:top w:w="0" w:type="dxa"/>
              <w:right w:w="0" w:type="dxa"/>
              <w:bottom w:w="0" w:type="dxa"/>
            </w:tcMar>
            <w:tcW w:w="1833" w:type="dxa"/>
            <w:vAlign w:val="center"/>
            <w:textDirection w:val="lrTb"/>
            <w:noWrap w:val="false"/>
          </w:tcPr>
          <w:p>
            <w:pPr>
              <w:pBdr/>
              <w:spacing w:after="0" w:before="0" w:line="240" w:lineRule="auto"/>
              <w:ind w:right="123" w:firstLine="0" w:left="0"/>
              <w:jc w:val="right"/>
              <w:rPr/>
            </w:pPr>
            <w:r>
              <w:rPr>
                <w:rFonts w:ascii="Times New Roman" w:hAnsi="Times New Roman" w:eastAsia="Times New Roman" w:cs="Times New Roman"/>
                <w:color w:val="000000"/>
                <w:sz w:val="24"/>
              </w:rPr>
              <w:t xml:space="preserve"> </w:t>
            </w:r>
            <w:r/>
          </w:p>
        </w:tc>
      </w:tr>
      <w:tr>
        <w:trPr>
          <w:trHeight w:val="62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93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70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Quyền sử dụng </w:t>
            </w:r>
            <w:r>
              <w:rPr>
                <w:rFonts w:ascii="Times New Roman" w:hAnsi="Times New Roman" w:eastAsia="Times New Roman" w:cs="Times New Roman"/>
                <w:color w:val="000000"/>
                <w:sz w:val="24"/>
              </w:rPr>
              <w:t xml:space="preserve">đất ở tại nông thôn </w:t>
            </w:r>
            <w:r>
              <w:rPr>
                <w:rFonts w:ascii="Times New Roman" w:hAnsi="Times New Roman" w:eastAsia="Times New Roman" w:cs="Times New Roman"/>
                <w:color w:val="000000"/>
                <w:sz w:val="24"/>
              </w:rPr>
              <w:t xml:space="preserve">nằm trong quy hoạch đất giao thông</w:t>
            </w:r>
            <w:r/>
          </w:p>
        </w:tc>
        <w:tc>
          <w:tcPr>
            <w:tcBorders>
              <w:bottom w:val="single" w:color="000000" w:sz="6" w:space="0"/>
              <w:right w:val="single" w:color="000000" w:sz="6" w:space="0"/>
            </w:tcBorders>
            <w:tcMar>
              <w:left w:w="0" w:type="dxa"/>
              <w:top w:w="0" w:type="dxa"/>
              <w:right w:w="0" w:type="dxa"/>
              <w:bottom w:w="0" w:type="dxa"/>
            </w:tcMar>
            <w:tcW w:w="1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37,1</w:t>
            </w:r>
            <w:r/>
          </w:p>
        </w:tc>
        <w:tc>
          <w:tcPr>
            <w:shd w:val="clear" w:color="ffffff" w:fill="ffffff"/>
            <w:tcBorders>
              <w:bottom w:val="single" w:color="000000" w:sz="6" w:space="0"/>
              <w:right w:val="single" w:color="000000" w:sz="6" w:space="0"/>
            </w:tcBorders>
            <w:tcMar>
              <w:left w:w="0" w:type="dxa"/>
              <w:top w:w="0" w:type="dxa"/>
              <w:right w:w="0" w:type="dxa"/>
              <w:bottom w:w="0" w:type="dxa"/>
            </w:tcMar>
            <w:tcW w:w="16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1.105.000</w:t>
            </w:r>
            <w:r/>
          </w:p>
        </w:tc>
        <w:tc>
          <w:tcPr>
            <w:shd w:val="clear" w:color="ffffff" w:fill="ffffff"/>
            <w:tcBorders>
              <w:bottom w:val="single" w:color="000000" w:sz="6" w:space="0"/>
              <w:right w:val="single" w:color="000000" w:sz="6" w:space="0"/>
            </w:tcBorders>
            <w:tcMar>
              <w:left w:w="0" w:type="dxa"/>
              <w:top w:w="0" w:type="dxa"/>
              <w:right w:w="0" w:type="dxa"/>
              <w:bottom w:w="0" w:type="dxa"/>
            </w:tcMar>
            <w:tcW w:w="8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833" w:type="dxa"/>
            <w:vAlign w:val="center"/>
            <w:textDirection w:val="lrTb"/>
            <w:noWrap w:val="false"/>
          </w:tcPr>
          <w:p>
            <w:pPr>
              <w:pBdr/>
              <w:spacing w:after="0" w:before="0" w:line="240" w:lineRule="auto"/>
              <w:ind w:right="123" w:firstLine="0" w:left="0"/>
              <w:jc w:val="right"/>
              <w:rPr/>
            </w:pPr>
            <w:r>
              <w:rPr>
                <w:rFonts w:ascii="Times New Roman" w:hAnsi="Times New Roman" w:eastAsia="Times New Roman" w:cs="Times New Roman"/>
                <w:color w:val="000000"/>
                <w:sz w:val="24"/>
              </w:rPr>
              <w:t xml:space="preserve">40.995.500</w:t>
            </w:r>
            <w:r/>
          </w:p>
        </w:tc>
      </w:tr>
      <w:tr>
        <w:trPr>
          <w:trHeight w:val="312"/>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8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833" w:type="dxa"/>
            <w:vAlign w:val="center"/>
            <w:textDirection w:val="lrTb"/>
            <w:noWrap/>
          </w:tcPr>
          <w:p>
            <w:pPr>
              <w:pBdr/>
              <w:spacing w:after="0" w:before="0" w:line="240" w:lineRule="auto"/>
              <w:ind w:right="123" w:firstLine="0" w:left="0"/>
              <w:jc w:val="right"/>
              <w:rPr/>
            </w:pPr>
            <w:r>
              <w:rPr>
                <w:rFonts w:ascii="Times New Roman" w:hAnsi="Times New Roman" w:eastAsia="Times New Roman" w:cs="Times New Roman"/>
                <w:b/>
                <w:color w:val="000000"/>
                <w:sz w:val="24"/>
              </w:rPr>
              <w:t xml:space="preserve">5.858.383.237</w:t>
            </w:r>
            <w:r/>
          </w:p>
        </w:tc>
      </w:tr>
      <w:tr>
        <w:trPr>
          <w:trHeight w:val="312"/>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8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1833" w:type="dxa"/>
            <w:vAlign w:val="center"/>
            <w:textDirection w:val="lrTb"/>
            <w:noWrap/>
          </w:tcPr>
          <w:p>
            <w:pPr>
              <w:pBdr/>
              <w:spacing w:after="0" w:before="0" w:line="240" w:lineRule="auto"/>
              <w:ind w:right="123" w:firstLine="0" w:left="0"/>
              <w:jc w:val="right"/>
              <w:rPr/>
            </w:pPr>
            <w:r>
              <w:rPr>
                <w:rFonts w:ascii="Times New Roman" w:hAnsi="Times New Roman" w:eastAsia="Times New Roman" w:cs="Times New Roman"/>
                <w:b/>
                <w:color w:val="000000"/>
                <w:sz w:val="24"/>
              </w:rPr>
              <w:t xml:space="preserve">5.858.000.000</w:t>
            </w:r>
            <w:r/>
          </w:p>
        </w:tc>
      </w:tr>
      <w:tr>
        <w:trPr>
          <w:trHeight w:val="312"/>
        </w:trPr>
        <w:tc>
          <w:tcPr>
            <w:gridSpan w:val="6"/>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18"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(Bằng chữ: Năm tỷ tám trăm năm mươi tám triệu đồng ./.)</w:t>
            </w:r>
            <w:r/>
          </w:p>
        </w:tc>
      </w:tr>
    </w:tbl>
    <w:p>
      <w:pPr>
        <w:pStyle w:val="104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4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w:t>
      </w:r>
      <w:r>
        <w:rPr>
          <w:highlight w:val="white"/>
          <w:lang w:val="vi-VN"/>
        </w:rPr>
        <w:t xml:space="preserve">ếu </w:t>
      </w:r>
      <w:r>
        <w:rPr>
          <w:highlight w:val="white"/>
          <w:lang w:val="vi-VN"/>
        </w:rPr>
        <w:t xml:space="preserve">có) trong trường </w:t>
      </w:r>
      <w:r>
        <w:rPr>
          <w:highlight w:val="white"/>
          <w:lang w:val="vi-VN"/>
        </w:rPr>
        <w:t xml:space="preserve">h</w:t>
      </w:r>
      <w:r>
        <w:rPr>
          <w:lang w:val="vi-VN"/>
        </w:rPr>
        <w:t xml:space="preserve">ợp này.</w:t>
      </w:r>
      <w:r>
        <w:rPr>
          <w:lang w:val="vi-VN"/>
        </w:rPr>
      </w:r>
      <w:r>
        <w:rPr>
          <w:lang w:val="vi-VN"/>
        </w:rP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ff0000"/>
          <w:sz w:val="24"/>
        </w:rPr>
        <w:t xml:space="preserve">Tài sản thẩm định bao gồm thửa đất số 76, tờ bản đồ số 37 và thửa đất số 75, tờ bản đồ 37 nằm tiếp giáp nhau, cùng chung chủ sở hữu, không có mốc giới giữa 2 thửa đất. Khách hàng/Ngân hàng đề nghị gộp hai thửa đất thành một. Vì vậy tổ thẩm định gộp thửa đấ</w:t>
      </w:r>
      <w:r>
        <w:rPr>
          <w:rFonts w:ascii="Times New Roman" w:hAnsi="Times New Roman" w:eastAsia="Times New Roman" w:cs="Times New Roman"/>
          <w:color w:val="ff0000"/>
          <w:sz w:val="24"/>
        </w:rPr>
        <w:t xml:space="preserve">t</w:t>
      </w:r>
      <w:r>
        <w:rPr>
          <w:rFonts w:ascii="Times New Roman" w:hAnsi="Times New Roman" w:eastAsia="Times New Roman" w:cs="Times New Roman"/>
          <w:color w:val="ff0000"/>
          <w:sz w:val="24"/>
        </w:rPr>
        <w:t xml:space="preserve"> số 76 và thửa đất số 75, tờ bản đồ số 37 thành một thửa đất lớn để ước tính giá trị ( Tổng diện tích = 946,4m², trong đó có 909,3m² đất SKC; 37,1m² đất ở nông thôn; mặt tiền rộng khoảng 13m; có 01 mặt tiếp giáp). Kết quả thẩm định giá được nêu trong báo c</w:t>
      </w:r>
      <w:r>
        <w:rPr>
          <w:rFonts w:ascii="Times New Roman" w:hAnsi="Times New Roman" w:eastAsia="Times New Roman" w:cs="Times New Roman"/>
          <w:color w:val="ff0000"/>
          <w:sz w:val="24"/>
        </w:rPr>
        <w:t xml:space="preserve">áo này chỉ có giá trị giới hạn trong trường hợp Ngân hàng nhận thế chấp/giải chấp đồng thời 02 (hai) thửa đất cấp tại 02 (hai) giấy chứng nhận nêu trong báo cáo này.</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ff0000"/>
          <w:sz w:val="24"/>
        </w:rPr>
        <w:t xml:space="preserve">Chứng thư số 275/2025/1270/VFI-CT.36.A ngày 14/10/2025 được phục vụ công tác vay vốn tại một ngân hàng. Tất cả các giai dịch của tài sản thẩm định giá theo giá trị của chứng thư này phải được dựa trên điều kiện 02 thửa đất theo giấy chứng nhận số AA 037409</w:t>
      </w:r>
      <w:r>
        <w:rPr>
          <w:rFonts w:ascii="Times New Roman" w:hAnsi="Times New Roman" w:eastAsia="Times New Roman" w:cs="Times New Roman"/>
          <w:color w:val="ff0000"/>
          <w:sz w:val="24"/>
        </w:rPr>
        <w:t xml:space="preserve">03 và AA 03740904 hợp thành một khối thống nhất. Tất cả các giao dịch không đúng với điều kiện này hoặc các giao dịch tách rời 02 thửa đất nêu trên có thể ảnh hưởng (nếu có) đến giá trị tài sản nằm ngoài phạm vị trách nhiệm của chúng tôi. Công ty Cổ phần T</w:t>
      </w:r>
      <w:r>
        <w:rPr>
          <w:rFonts w:ascii="Times New Roman" w:hAnsi="Times New Roman" w:eastAsia="Times New Roman" w:cs="Times New Roman"/>
          <w:color w:val="ff0000"/>
          <w:sz w:val="24"/>
        </w:rPr>
        <w:t xml:space="preserve">hẩm định và Đầu tư Tài chính Hoa Sen bảo lưu quyền xem xét lại giá trị Chứng thư thẩm 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ff0000"/>
          <w:sz w:val="24"/>
        </w:rPr>
        <w:t xml:space="preserve">Tại thời điểm thẩm định, theo cung cấp của Khách hàng/Ngân hàng, tổ thẩm định nhận thấy diện tích toàn bộ thửa đất GCN số: AA 03740903 là 37,1m² đất ở nông thôn nằm trong quy hoạch đất giao thông, và thửa đất GCN số: AA 03740904 có 64m² đất SKC nằm trong q</w:t>
      </w:r>
      <w:r>
        <w:rPr>
          <w:rFonts w:ascii="Times New Roman" w:hAnsi="Times New Roman" w:eastAsia="Times New Roman" w:cs="Times New Roman"/>
          <w:color w:val="ff0000"/>
          <w:sz w:val="24"/>
        </w:rPr>
        <w:t xml:space="preserve">uy hoạch đất giao thông. Hiện nay chưa có thông báo thu hồi đất/quyết định thu hồi đất/phương án giải tỏa bồi thường. Tổ thẩm định xác định giá trị tài sản theo thông tin quy hoạch nêu trên. Đối với diện tích nằm ngoài quy hoạch tổ thẩm định đánh giá theo </w:t>
      </w:r>
      <w:r>
        <w:rPr>
          <w:rFonts w:ascii="Times New Roman" w:hAnsi="Times New Roman" w:eastAsia="Times New Roman" w:cs="Times New Roman"/>
          <w:color w:val="ff0000"/>
          <w:sz w:val="24"/>
        </w:rPr>
        <w:t xml:space="preserve">giá trị thị trường, đối với phần nằm trong quy hoạch tổ thẩm định đánh giá theo giá UBND từng thời kỳ, giá trị đền bù thực tế còn phụ thuộc vào thỏa thuận các bên tại thời điểm Nhà nước giải phóng mặt bằng thực hiện quy hoạch. Đề nghị đơn vị sử dụng kết qu</w:t>
      </w:r>
      <w:r>
        <w:rPr>
          <w:rFonts w:ascii="Times New Roman" w:hAnsi="Times New Roman" w:eastAsia="Times New Roman" w:cs="Times New Roman"/>
          <w:color w:val="ff0000"/>
          <w:sz w:val="24"/>
        </w:rPr>
        <w:t xml:space="preserve">ả lưu ý kiểm tra xác minh thêm thông tin quy hoạch nếu thấy cần thiết. Trong trường hợp Khách hàng/Ngân hàng cung cấp được Văn bản xác nhận rõ phần diện tích thuộc quy hoạch mà có sự sai khác so với số liệu nêu trên thì kết quả thẩm định giá cần được xem x</w:t>
      </w:r>
      <w:r>
        <w:rPr>
          <w:rFonts w:ascii="Times New Roman" w:hAnsi="Times New Roman" w:eastAsia="Times New Roman" w:cs="Times New Roman"/>
          <w:color w:val="ff0000"/>
          <w:sz w:val="24"/>
        </w:rPr>
        <w:t xml:space="preserve">ét, điều chỉnh phù hợp, chúng tôi bảo lưu quyền xem xét lại kết quả thẩm 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ff0000"/>
          <w:sz w:val="24"/>
        </w:rPr>
        <w:t xml:space="preserve">Căn cứ theo GCN số AA 03740904, CTXD gắn liền với đất là nhà kho là nhà cấp 4 mái lợp tôn, xây dựng 318m² đã được chứng nhận trên GCN. Tuy nhiên, qua khảo sát thực tế tổ thẩm định nhận thấy trên đất có 01 nhà ở riêng lẻ 2 tầng diện tích xây dựng 120m² đang</w:t>
      </w:r>
      <w:r>
        <w:rPr>
          <w:rFonts w:ascii="Times New Roman" w:hAnsi="Times New Roman" w:eastAsia="Times New Roman" w:cs="Times New Roman"/>
          <w:color w:val="ff0000"/>
          <w:sz w:val="24"/>
        </w:rPr>
        <w:t xml:space="preserve"> được sử dụng để ở và 01 nhà cấp 4 lợp tôn diện tích khoảng 750m² được mở rộng từ nhà kho </w:t>
      </w:r>
      <w:r>
        <w:rPr>
          <w:rFonts w:ascii="Times New Roman" w:hAnsi="Times New Roman" w:eastAsia="Times New Roman" w:cs="Times New Roman"/>
          <w:color w:val="ff0000"/>
          <w:sz w:val="24"/>
        </w:rPr>
        <w:t xml:space="preserve">318m² đã được chứng nhận trên GCN</w:t>
      </w:r>
      <w:r>
        <w:rPr>
          <w:rFonts w:ascii="Times New Roman" w:hAnsi="Times New Roman" w:eastAsia="Times New Roman" w:cs="Times New Roman"/>
          <w:color w:val="ff0000"/>
          <w:sz w:val="24"/>
        </w:rPr>
        <w:t xml:space="preserve"> nói trên đang được sử dụng để sản xuất. 2 công trình này chưa được chứng nhận trên GCN. Vì vậy, theo đề nghị của Khách hàng/Ngân hàng tổ thẩm định xác định giá trị công trình gắn liền với đất theo GC</w:t>
      </w:r>
      <w:r>
        <w:rPr>
          <w:rFonts w:ascii="Times New Roman" w:hAnsi="Times New Roman" w:eastAsia="Times New Roman" w:cs="Times New Roman"/>
          <w:color w:val="ff0000"/>
          <w:sz w:val="24"/>
        </w:rPr>
        <w:t xml:space="preserve">N số 0370904 là nhà kho diện tích 318m².</w:t>
      </w:r>
      <w:r>
        <w:rPr>
          <w:rFonts w:ascii="Times New Roman" w:hAnsi="Times New Roman" w:eastAsia="Times New Roman" w:cs="Times New Roman"/>
          <w:sz w:val="24"/>
        </w:rPr>
      </w:r>
      <w:r/>
    </w:p>
    <w:p>
      <w:pPr>
        <w:pStyle w:val="104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4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275/2026/0575/VFI-CT.65.A</w:t>
      </w:r>
      <w:r>
        <w:rPr>
          <w:color w:val="ff0000"/>
          <w:lang w:val="vi-VN"/>
        </w:rPr>
        <w:t xml:space="preserve"> </w:t>
      </w:r>
      <w:r>
        <w:rPr>
          <w:color w:val="000000" w:themeColor="text1"/>
        </w:rPr>
        <w:t xml:space="preserve">ngày 18 tháng 4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47"/>
        <w:pBdr/>
        <w:tabs>
          <w:tab w:val="left" w:leader="none" w:pos="993"/>
        </w:tabs>
        <w:spacing w:after="120" w:before="120" w:line="288" w:lineRule="auto"/>
        <w:ind w:left="0"/>
        <w:jc w:val="both"/>
        <w:rPr>
          <w:lang w:val="vi-VN"/>
        </w:rPr>
      </w:pPr>
      <w:r>
        <w:rPr>
          <w:lang w:val="vi-VN"/>
        </w:rPr>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Hồng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275/2026/0575/VFI-BC.65.A ngày</w:t>
      </w:r>
      <w:r>
        <w:rPr>
          <w:i/>
          <w:lang w:val="pt-BR"/>
        </w:rPr>
        <w:t xml:space="preserve"> </w:t>
      </w:r>
      <w:r>
        <w:rPr>
          <w:i/>
          <w:lang w:val="pt-BR"/>
        </w:rPr>
        <w:t xml:space="preserve">14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5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w:rPr>
                <w:b/>
                <w:bCs/>
                <w:i/>
                <w:lang w:val="pt-BR"/>
              </w:rPr>
              <w:t xml:space="preserve">Người khảo sát</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98842" cy="266996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26621" name=""/>
                              <pic:cNvPicPr>
                                <a:picLocks noChangeAspect="1"/>
                              </pic:cNvPicPr>
                              <pic:nvPr/>
                            </pic:nvPicPr>
                            <pic:blipFill rotWithShape="1">
                              <a:blip r:embed="rId20"/>
                              <a:stretch/>
                            </pic:blipFill>
                            <pic:spPr bwMode="auto">
                              <a:xfrm flipH="0" flipV="0">
                                <a:off x="0" y="0"/>
                                <a:ext cx="1898842" cy="26699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9.52pt;height:210.23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509951" cy="263246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620965" name=""/>
                              <pic:cNvPicPr>
                                <a:picLocks noChangeAspect="1"/>
                              </pic:cNvPicPr>
                              <pic:nvPr/>
                            </pic:nvPicPr>
                            <pic:blipFill rotWithShape="1">
                              <a:blip r:embed="rId21"/>
                              <a:stretch/>
                            </pic:blipFill>
                            <pic:spPr bwMode="auto">
                              <a:xfrm flipH="0" flipV="0">
                                <a:off x="0" y="0"/>
                                <a:ext cx="3509951" cy="26324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76.37pt;height:207.2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bl>
    <w:tbl>
      <w:tblPr>
        <w:tblStyle w:val="105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rHeight w:val="326"/>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2686" cy="216201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224199" name=""/>
                              <pic:cNvPicPr>
                                <a:picLocks noChangeAspect="1"/>
                              </pic:cNvPicPr>
                              <pic:nvPr/>
                            </pic:nvPicPr>
                            <pic:blipFill rotWithShape="1">
                              <a:blip r:embed="rId22"/>
                              <a:stretch/>
                            </pic:blipFill>
                            <pic:spPr bwMode="auto">
                              <a:xfrm flipH="0" flipV="0">
                                <a:off x="0" y="0"/>
                                <a:ext cx="2882685" cy="21620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98pt;height:170.24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71785" cy="215383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035933" name=""/>
                              <pic:cNvPicPr>
                                <a:picLocks noChangeAspect="1"/>
                              </pic:cNvPicPr>
                              <pic:nvPr/>
                            </pic:nvPicPr>
                            <pic:blipFill rotWithShape="1">
                              <a:blip r:embed="rId23"/>
                              <a:stretch/>
                            </pic:blipFill>
                            <pic:spPr bwMode="auto">
                              <a:xfrm flipH="0" flipV="0">
                                <a:off x="0" y="0"/>
                                <a:ext cx="2871785" cy="21538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6.12pt;height:169.59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rHeight w:val="419"/>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4292" cy="216321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739814" name=""/>
                              <pic:cNvPicPr>
                                <a:picLocks noChangeAspect="1"/>
                              </pic:cNvPicPr>
                              <pic:nvPr/>
                            </pic:nvPicPr>
                            <pic:blipFill rotWithShape="1">
                              <a:blip r:embed="rId24"/>
                              <a:stretch/>
                            </pic:blipFill>
                            <pic:spPr bwMode="auto">
                              <a:xfrm flipH="0" flipV="0">
                                <a:off x="0" y="0"/>
                                <a:ext cx="2884292" cy="21632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7.11pt;height:170.33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90799" cy="216809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850242" name=""/>
                              <pic:cNvPicPr>
                                <a:picLocks noChangeAspect="1"/>
                              </pic:cNvPicPr>
                              <pic:nvPr/>
                            </pic:nvPicPr>
                            <pic:blipFill rotWithShape="1">
                              <a:blip r:embed="rId25"/>
                              <a:stretch/>
                            </pic:blipFill>
                            <pic:spPr bwMode="auto">
                              <a:xfrm flipH="0" flipV="0">
                                <a:off x="0" y="0"/>
                                <a:ext cx="2890798" cy="21680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7.62pt;height:170.72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275/2026/0575/VFI-BC.65.A</w:t>
      </w:r>
      <w:r>
        <w:rPr>
          <w:i/>
          <w:lang w:val="pt-BR"/>
        </w:rPr>
        <w:t xml:space="preserve"> ngày </w:t>
      </w:r>
      <w:r>
        <w:rPr>
          <w:i/>
          <w:lang w:val="pt-BR"/>
        </w:rPr>
        <w:t xml:space="preserve">14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0365582811</w:t>
            </w:r>
            <w:r>
              <w:rPr>
                <w:sz w:val="22"/>
                <w:szCs w:val="22"/>
              </w:rPr>
              <w:t xml:space="preserve"> </w:t>
            </w:r>
            <w:r>
              <w:rPr>
                <w:sz w:val="22"/>
                <w:szCs w:val="22"/>
              </w:rPr>
              <w:br/>
              <w:t xml:space="preserve">(Minh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931.000.000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Đã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tiếp giáp đường QL91C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454615" cy="3964580"/>
                      <wp:effectExtent l="0" t="0" r="0" b="0"/>
                      <wp:docPr id="14" name=""/>
                      <wp:cNvGraphicFramePr/>
                      <a:graphic xmlns:a="http://schemas.openxmlformats.org/drawingml/2006/main">
                        <a:graphicData uri="http://schemas.openxmlformats.org/drawingml/2006/picture">
                          <pic:pic xmlns:pic="http://schemas.openxmlformats.org/drawingml/2006/picture">
                            <pic:nvPicPr>
                              <pic:cNvPr id="492306660" name="" descr=""/>
                              <pic:cNvPicPr/>
                              <pic:nvPr/>
                            </pic:nvPicPr>
                            <pic:blipFill rotWithShape="1">
                              <a:blip r:embed="rId26"/>
                              <a:stretch/>
                            </pic:blipFill>
                            <pic:spPr bwMode="auto">
                              <a:xfrm flipH="0" flipV="0">
                                <a:off x="0" y="0"/>
                                <a:ext cx="2454613" cy="396457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93.28pt;height:312.17pt;mso-wrap-distance-left:0.00pt;mso-wrap-distance-top:0.00pt;mso-wrap-distance-right:0.00pt;mso-wrap-distance-bottom:0.00pt;z-index:1;" stroked="false">
                      <v:imagedata r:id="rId26"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2355857" cy="3964580"/>
                      <wp:effectExtent l="0" t="0" r="0" b="0"/>
                      <wp:docPr id="15" name=""/>
                      <wp:cNvGraphicFramePr/>
                      <a:graphic xmlns:a="http://schemas.openxmlformats.org/drawingml/2006/main">
                        <a:graphicData uri="http://schemas.openxmlformats.org/drawingml/2006/picture">
                          <pic:pic xmlns:pic="http://schemas.openxmlformats.org/drawingml/2006/picture">
                            <pic:nvPicPr>
                              <pic:cNvPr id="1696844103" name="" descr=""/>
                              <pic:cNvPicPr/>
                              <pic:nvPr/>
                            </pic:nvPicPr>
                            <pic:blipFill rotWithShape="1">
                              <a:blip r:embed="rId27"/>
                              <a:stretch/>
                            </pic:blipFill>
                            <pic:spPr bwMode="auto">
                              <a:xfrm rot="0" flipH="0" flipV="0">
                                <a:off x="0" y="0"/>
                                <a:ext cx="2355855" cy="396457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5.50pt;height:312.17pt;mso-wrap-distance-left:0.00pt;mso-wrap-distance-top:0.00pt;mso-wrap-distance-right:0.00pt;mso-wrap-distance-bottom:0.00pt;rotation:0;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692865" cy="2713165"/>
                      <wp:effectExtent l="0" t="0" r="0" b="0"/>
                      <wp:docPr id="16" name=""/>
                      <wp:cNvGraphicFramePr/>
                      <a:graphic xmlns:a="http://schemas.openxmlformats.org/drawingml/2006/main">
                        <a:graphicData uri="http://schemas.openxmlformats.org/drawingml/2006/picture">
                          <pic:pic xmlns:pic="http://schemas.openxmlformats.org/drawingml/2006/picture">
                            <pic:nvPicPr>
                              <pic:cNvPr id="331976166" name="" descr=""/>
                              <pic:cNvPicPr/>
                              <pic:nvPr/>
                            </pic:nvPicPr>
                            <pic:blipFill rotWithShape="1">
                              <a:blip r:embed="rId28"/>
                              <a:stretch/>
                            </pic:blipFill>
                            <pic:spPr bwMode="auto">
                              <a:xfrm flipH="0" flipV="0">
                                <a:off x="0" y="0"/>
                                <a:ext cx="3692864" cy="27131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90.78pt;height:213.64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58958" cy="2713165"/>
                      <wp:effectExtent l="0" t="0" r="0" b="0"/>
                      <wp:docPr id="17" name=""/>
                      <wp:cNvGraphicFramePr/>
                      <a:graphic xmlns:a="http://schemas.openxmlformats.org/drawingml/2006/main">
                        <a:graphicData uri="http://schemas.openxmlformats.org/drawingml/2006/picture">
                          <pic:pic xmlns:pic="http://schemas.openxmlformats.org/drawingml/2006/picture">
                            <pic:nvPicPr>
                              <pic:cNvPr id="1441152232" name="" descr=""/>
                              <pic:cNvPicPr/>
                              <pic:nvPr/>
                            </pic:nvPicPr>
                            <pic:blipFill rotWithShape="1">
                              <a:blip r:embed="rId29"/>
                              <a:stretch/>
                            </pic:blipFill>
                            <pic:spPr bwMode="auto">
                              <a:xfrm rot="0" flipH="0" flipV="0">
                                <a:off x="0" y="0"/>
                                <a:ext cx="1758958" cy="27131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38.50pt;height:213.64pt;mso-wrap-distance-left:0.00pt;mso-wrap-distance-top:0.00pt;mso-wrap-distance-right:0.00pt;mso-wrap-distance-bottom:0.00pt;rotation:0;z-index:1;" stroked="false">
                      <v:imagedata r:id="rId29" o:title=""/>
                      <o:lock v:ext="edit" rotation="t"/>
                    </v:shape>
                  </w:pict>
                </mc:Fallback>
              </mc:AlternateConten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Hồng Phúc</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0365582811</w:t>
            </w:r>
            <w:r>
              <w:rPr>
                <w:sz w:val="22"/>
                <w:szCs w:val="22"/>
              </w:rPr>
              <w:t xml:space="preserve"> </w:t>
            </w:r>
            <w:r>
              <w:rPr>
                <w:sz w:val="22"/>
                <w:szCs w:val="22"/>
              </w:rPr>
              <w:br/>
              <w:t xml:space="preserve">(Minh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tiếp giáp đường QL91C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color w:val="000000"/>
                <w:sz w:val="22"/>
              </w:rPr>
              <w:t xml:space="preserve">Các lợi thế thương mại của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Không có lợi thế thương mại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54540" cy="3338368"/>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1854539" cy="33383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46.03pt;height:262.86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51026" cy="3338368"/>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1851026" cy="33383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45.75pt;height:262.86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08151" cy="3338368"/>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1708151" cy="33383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34.50pt;height:262.86pt;mso-wrap-distance-left:0.00pt;mso-wrap-distance-top:0.00pt;mso-wrap-distance-right:0.00pt;mso-wrap-distance-bottom:0.00pt;z-index:1;" stroked="false">
                      <v:imagedata r:id="rId32"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005667" cy="3665466"/>
                      <wp:effectExtent l="0" t="0" r="0" b="0"/>
                      <wp:docPr id="21" name=""/>
                      <wp:cNvGraphicFramePr/>
                      <a:graphic xmlns:a="http://schemas.openxmlformats.org/drawingml/2006/main">
                        <a:graphicData uri="http://schemas.openxmlformats.org/drawingml/2006/picture">
                          <pic:pic xmlns:pic="http://schemas.openxmlformats.org/drawingml/2006/picture">
                            <pic:nvPicPr>
                              <pic:cNvPr id="1204928382" name="" descr=""/>
                              <pic:cNvPicPr/>
                              <pic:nvPr/>
                            </pic:nvPicPr>
                            <pic:blipFill rotWithShape="1">
                              <a:blip r:embed="rId33"/>
                              <a:stretch/>
                            </pic:blipFill>
                            <pic:spPr bwMode="auto">
                              <a:xfrm flipH="0" flipV="0">
                                <a:off x="0" y="0"/>
                                <a:ext cx="3005667" cy="366546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36.67pt;height:288.62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90600" cy="3665466"/>
                      <wp:effectExtent l="0" t="0" r="0" b="0"/>
                      <wp:docPr id="22" name=""/>
                      <wp:cNvGraphicFramePr/>
                      <a:graphic xmlns:a="http://schemas.openxmlformats.org/drawingml/2006/main">
                        <a:graphicData uri="http://schemas.openxmlformats.org/drawingml/2006/picture">
                          <pic:pic xmlns:pic="http://schemas.openxmlformats.org/drawingml/2006/picture">
                            <pic:nvPicPr>
                              <pic:cNvPr id="1464043319" name="" descr=""/>
                              <pic:cNvPicPr/>
                              <pic:nvPr/>
                            </pic:nvPicPr>
                            <pic:blipFill rotWithShape="1">
                              <a:blip r:embed="rId34"/>
                              <a:stretch/>
                            </pic:blipFill>
                            <pic:spPr bwMode="auto">
                              <a:xfrm flipH="0" flipV="0">
                                <a:off x="0" y="0"/>
                                <a:ext cx="2490598" cy="366546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96.11pt;height:288.62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r>
              <w:rPr>
                <w:color w:val="000000" w:themeColor="text1"/>
                <w:sz w:val="22"/>
                <w:szCs w:val="22"/>
              </w:rPr>
            </w:r>
          </w:p>
          <w:p>
            <w:pPr>
              <w:pBdr/>
              <w:spacing w:line="276" w:lineRule="auto"/>
              <w:ind/>
              <w:jc w:val="center"/>
              <w:rPr>
                <w:sz w:val="22"/>
                <w:szCs w:val="22"/>
              </w:rPr>
            </w:pPr>
            <w:r>
              <w:rPr>
                <w:color w:val="000000" w:themeColor="text1"/>
                <w:sz w:val="22"/>
                <w:szCs w:val="22"/>
              </w:rPr>
            </w:r>
            <w:r>
              <w:rPr>
                <w:sz w:val="22"/>
                <w:szCs w:val="22"/>
              </w:rPr>
              <w:t xml:space="preserve">SĐT: </w:t>
            </w:r>
            <w:r>
              <w:rPr>
                <w:color w:val="000000" w:themeColor="text1"/>
                <w:sz w:val="22"/>
                <w:szCs w:val="22"/>
              </w:rPr>
              <w:t xml:space="preserve">0948.397.747</w:t>
            </w:r>
            <w:r>
              <w:rPr>
                <w:sz w:val="22"/>
                <w:szCs w:val="22"/>
              </w:rPr>
              <w:t xml:space="preserve"> </w:t>
            </w:r>
            <w:r>
              <w:rPr>
                <w:sz w:val="22"/>
                <w:szCs w:val="22"/>
              </w:rPr>
              <w:br/>
              <w:t xml:space="preserve">(Vinh Xuân Trịnh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1.764.000.000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tiếp giáp đường QL91C</w:t>
            </w:r>
            <w:r>
              <w:rPr>
                <w:sz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108,6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color w:val="000000"/>
                <w:sz w:val="22"/>
              </w:rPr>
              <w:t xml:space="preserve">Các lợi thế thương mại của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Không có lợi thế thương mại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83490" cy="3871191"/>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4883489" cy="38711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84.53pt;height:304.82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987890" cy="3874706"/>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1987889" cy="387470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56.53pt;height:305.09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mc:AlternateContent>
                <mc:Choice Requires="wpg">
                  <w:drawing>
                    <wp:inline xmlns:wp="http://schemas.openxmlformats.org/drawingml/2006/wordprocessingDrawing" distT="0" distB="0" distL="0" distR="0">
                      <wp:extent cx="2906030" cy="3874706"/>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47130" name=""/>
                              <pic:cNvPicPr>
                                <a:picLocks noChangeAspect="1"/>
                              </pic:cNvPicPr>
                              <pic:nvPr/>
                            </pic:nvPicPr>
                            <pic:blipFill rotWithShape="1">
                              <a:blip r:embed="rId37"/>
                              <a:stretch/>
                            </pic:blipFill>
                            <pic:spPr bwMode="auto">
                              <a:xfrm rot="0" flipH="0" flipV="0">
                                <a:off x="0" y="0"/>
                                <a:ext cx="2906028" cy="38747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28.82pt;height:305.09pt;mso-wrap-distance-left:0.00pt;mso-wrap-distance-top:0.00pt;mso-wrap-distance-right:0.00pt;mso-wrap-distance-bottom:0.00pt;rotation:0;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highlight w:val="none"/>
              </w:rPr>
            </w:pPr>
            <w:r>
              <w:t xml:space="preserve"> </w:t>
            </w:r>
            <w:r>
              <w:rPr>
                <w:highlight w:val="none"/>
              </w:rPr>
            </w:r>
            <w:r>
              <w:rPr>
                <w:highlight w:val="none"/>
              </w:rPr>
            </w:r>
          </w:p>
          <w:p>
            <w:pPr>
              <w:pBdr/>
              <w:spacing/>
              <w:ind/>
              <w:jc w:val="center"/>
              <w:rPr/>
            </w:pPr>
            <w:r>
              <w:rPr>
                <w:highlight w:val="none"/>
              </w:rPr>
            </w:r>
            <w:r>
              <w:rPr>
                <w:highlight w:val="none"/>
              </w:r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p>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4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7C6A5E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2297AEEC"/>
    <w:lvl w:ilvl="0">
      <w:isLgl w:val="false"/>
      <w:lvlJc w:val="left"/>
      <w:lvlText w:val="Ø"/>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0">
    <w:nsid w:val="00CCC96A"/>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1">
    <w:nsid w:val="4B6766B7"/>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2">
    <w:nsid w:val="1BFAA7A0"/>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3">
    <w:nsid w:val="75D6BBC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5">
    <w:nsid w:val="75D6BBC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9">
    <w:name w:val="Table Grid Light"/>
    <w:basedOn w:val="103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Plain Table 1"/>
    <w:basedOn w:val="103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Plain Table 2"/>
    <w:basedOn w:val="103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Plain Table 3"/>
    <w:basedOn w:val="10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Plain Table 4"/>
    <w:basedOn w:val="10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Plain Table 5"/>
    <w:basedOn w:val="10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w:basedOn w:val="103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1"/>
    <w:basedOn w:val="10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2"/>
    <w:basedOn w:val="10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1 Light - Accent 3"/>
    <w:basedOn w:val="10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1 Light - Accent 4"/>
    <w:basedOn w:val="10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1 Light - Accent 5"/>
    <w:basedOn w:val="10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1 Light - Accent 6"/>
    <w:basedOn w:val="10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w:basedOn w:val="10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1"/>
    <w:basedOn w:val="10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2"/>
    <w:basedOn w:val="10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2 - Accent 3"/>
    <w:basedOn w:val="10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2 - Accent 4"/>
    <w:basedOn w:val="10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2 - Accent 5"/>
    <w:basedOn w:val="10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2 - Accent 6"/>
    <w:basedOn w:val="10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w:basedOn w:val="10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 Accent 1"/>
    <w:basedOn w:val="10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2"/>
    <w:basedOn w:val="10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3 - Accent 3"/>
    <w:basedOn w:val="10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3 - Accent 4"/>
    <w:basedOn w:val="10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3 - Accent 5"/>
    <w:basedOn w:val="10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3 - Accent 6"/>
    <w:basedOn w:val="10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w:basedOn w:val="103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 Accent 1"/>
    <w:basedOn w:val="103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2"/>
    <w:basedOn w:val="103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4 - Accent 3"/>
    <w:basedOn w:val="103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4 - Accent 4"/>
    <w:basedOn w:val="103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4 - Accent 5"/>
    <w:basedOn w:val="103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4 - Accent 6"/>
    <w:basedOn w:val="103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Accent 1"/>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 Accent 2"/>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5 Dark - Accent 3"/>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5 Dark- Accent 4"/>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5 Dark - Accent 5"/>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5 Dark - Accent 6"/>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6 Colorful"/>
    <w:basedOn w:val="103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01">
    <w:name w:val="Grid Table 6 Colorful - Accent 1"/>
    <w:basedOn w:val="103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2">
    <w:name w:val="Grid Table 6 Colorful - Accent 2"/>
    <w:basedOn w:val="10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03">
    <w:name w:val="Grid Table 6 Colorful - Accent 3"/>
    <w:basedOn w:val="103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4">
    <w:name w:val="Grid Table 6 Colorful - Accent 4"/>
    <w:basedOn w:val="10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5">
    <w:name w:val="Grid Table 6 Colorful - Accent 5"/>
    <w:basedOn w:val="103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6">
    <w:name w:val="Grid Table 6 Colorful - Accent 6"/>
    <w:basedOn w:val="103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7">
    <w:name w:val="Grid Table 7 Colorful"/>
    <w:basedOn w:val="103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7 Colorful - Accent 1"/>
    <w:basedOn w:val="103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2"/>
    <w:basedOn w:val="103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7 Colorful - Accent 3"/>
    <w:basedOn w:val="103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7 Colorful - Accent 4"/>
    <w:basedOn w:val="103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7 Colorful - Accent 5"/>
    <w:basedOn w:val="103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7 Colorful - Accent 6"/>
    <w:basedOn w:val="103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1"/>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2"/>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1 Light - Accent 3"/>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1 Light - Accent 4"/>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1 Light - Accent 5"/>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1 Light - Accent 6"/>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w:basedOn w:val="103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1"/>
    <w:basedOn w:val="103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2"/>
    <w:basedOn w:val="103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2 - Accent 3"/>
    <w:basedOn w:val="103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2 - Accent 4"/>
    <w:basedOn w:val="103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2 - Accent 5"/>
    <w:basedOn w:val="103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2 - Accent 6"/>
    <w:basedOn w:val="103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w:basedOn w:val="10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1"/>
    <w:basedOn w:val="103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2"/>
    <w:basedOn w:val="10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3 - Accent 3"/>
    <w:basedOn w:val="103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3 - Accent 4"/>
    <w:basedOn w:val="10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3 - Accent 5"/>
    <w:basedOn w:val="103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3 - Accent 6"/>
    <w:basedOn w:val="103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w:basedOn w:val="10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1"/>
    <w:basedOn w:val="103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2"/>
    <w:basedOn w:val="103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4 - Accent 3"/>
    <w:basedOn w:val="103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4 - Accent 4"/>
    <w:basedOn w:val="103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4 - Accent 5"/>
    <w:basedOn w:val="103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4 - Accent 6"/>
    <w:basedOn w:val="103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5 Dark"/>
    <w:basedOn w:val="103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1"/>
    <w:basedOn w:val="103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2"/>
    <w:basedOn w:val="103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5 Dark - Accent 3"/>
    <w:basedOn w:val="103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6">
    <w:name w:val="List Table 5 Dark - Accent 4"/>
    <w:basedOn w:val="103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7">
    <w:name w:val="List Table 5 Dark - Accent 5"/>
    <w:basedOn w:val="103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8">
    <w:name w:val="List Table 5 Dark - Accent 6"/>
    <w:basedOn w:val="103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9">
    <w:name w:val="List Table 6 Colorful"/>
    <w:basedOn w:val="103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6 Colorful - Accent 1"/>
    <w:basedOn w:val="103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2"/>
    <w:basedOn w:val="103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6 Colorful - Accent 3"/>
    <w:basedOn w:val="103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6 Colorful - Accent 4"/>
    <w:basedOn w:val="103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6 Colorful - Accent 5"/>
    <w:basedOn w:val="103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6 Colorful - Accent 6"/>
    <w:basedOn w:val="103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7 Colorful"/>
    <w:basedOn w:val="103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7">
    <w:name w:val="List Table 7 Colorful - Accent 1"/>
    <w:basedOn w:val="103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8">
    <w:name w:val="List Table 7 Colorful - Accent 2"/>
    <w:basedOn w:val="103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9">
    <w:name w:val="List Table 7 Colorful - Accent 3"/>
    <w:basedOn w:val="103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60">
    <w:name w:val="List Table 7 Colorful - Accent 4"/>
    <w:basedOn w:val="103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61">
    <w:name w:val="List Table 7 Colorful - Accent 5"/>
    <w:basedOn w:val="103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62">
    <w:name w:val="List Table 7 Colorful - Accent 6"/>
    <w:basedOn w:val="103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63">
    <w:name w:val="Lined - Accent"/>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ned - Accent 1"/>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2"/>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ned - Accent 3"/>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ned - Accent 4"/>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ned - Accent 5"/>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ned - Accent 6"/>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w:basedOn w:val="103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1"/>
    <w:basedOn w:val="103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2"/>
    <w:basedOn w:val="103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amp; Lined - Accent 3"/>
    <w:basedOn w:val="103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amp; Lined - Accent 4"/>
    <w:basedOn w:val="103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amp; Lined - Accent 5"/>
    <w:basedOn w:val="103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amp; Lined - Accent 6"/>
    <w:basedOn w:val="103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w:basedOn w:val="103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 Accent 1"/>
    <w:basedOn w:val="10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2"/>
    <w:basedOn w:val="10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 Accent 3"/>
    <w:basedOn w:val="10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 Accent 4"/>
    <w:basedOn w:val="10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Bordered - Accent 5"/>
    <w:basedOn w:val="10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Bordered - Accent 6"/>
    <w:basedOn w:val="10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4">
    <w:name w:val="Heading 5"/>
    <w:basedOn w:val="1025"/>
    <w:next w:val="1025"/>
    <w:link w:val="98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5">
    <w:name w:val="Heading 6"/>
    <w:basedOn w:val="1025"/>
    <w:next w:val="1025"/>
    <w:link w:val="99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6">
    <w:name w:val="Heading 7"/>
    <w:basedOn w:val="1025"/>
    <w:next w:val="1025"/>
    <w:link w:val="99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7">
    <w:name w:val="Heading 8"/>
    <w:basedOn w:val="1025"/>
    <w:next w:val="1025"/>
    <w:link w:val="99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8">
    <w:name w:val="Heading 9"/>
    <w:basedOn w:val="1025"/>
    <w:next w:val="1025"/>
    <w:link w:val="99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9">
    <w:name w:val="Heading 5 Char"/>
    <w:basedOn w:val="1030"/>
    <w:link w:val="984"/>
    <w:uiPriority w:val="9"/>
    <w:pPr>
      <w:pBdr/>
      <w:spacing/>
      <w:ind/>
    </w:pPr>
    <w:rPr>
      <w:rFonts w:ascii="Arial" w:hAnsi="Arial" w:eastAsia="Arial" w:cs="Arial"/>
      <w:color w:val="0f4761" w:themeColor="accent1" w:themeShade="BF"/>
    </w:rPr>
  </w:style>
  <w:style w:type="character" w:styleId="990">
    <w:name w:val="Heading 6 Char"/>
    <w:basedOn w:val="1030"/>
    <w:link w:val="985"/>
    <w:uiPriority w:val="9"/>
    <w:pPr>
      <w:pBdr/>
      <w:spacing/>
      <w:ind/>
    </w:pPr>
    <w:rPr>
      <w:rFonts w:ascii="Arial" w:hAnsi="Arial" w:eastAsia="Arial" w:cs="Arial"/>
      <w:i/>
      <w:iCs/>
      <w:color w:val="595959" w:themeColor="text1" w:themeTint="A6"/>
    </w:rPr>
  </w:style>
  <w:style w:type="character" w:styleId="991">
    <w:name w:val="Heading 7 Char"/>
    <w:basedOn w:val="1030"/>
    <w:link w:val="986"/>
    <w:uiPriority w:val="9"/>
    <w:pPr>
      <w:pBdr/>
      <w:spacing/>
      <w:ind/>
    </w:pPr>
    <w:rPr>
      <w:rFonts w:ascii="Arial" w:hAnsi="Arial" w:eastAsia="Arial" w:cs="Arial"/>
      <w:color w:val="595959" w:themeColor="text1" w:themeTint="A6"/>
    </w:rPr>
  </w:style>
  <w:style w:type="character" w:styleId="992">
    <w:name w:val="Heading 8 Char"/>
    <w:basedOn w:val="1030"/>
    <w:link w:val="987"/>
    <w:uiPriority w:val="9"/>
    <w:pPr>
      <w:pBdr/>
      <w:spacing/>
      <w:ind/>
    </w:pPr>
    <w:rPr>
      <w:rFonts w:ascii="Arial" w:hAnsi="Arial" w:eastAsia="Arial" w:cs="Arial"/>
      <w:i/>
      <w:iCs/>
      <w:color w:val="272727" w:themeColor="text1" w:themeTint="D8"/>
    </w:rPr>
  </w:style>
  <w:style w:type="character" w:styleId="993">
    <w:name w:val="Heading 9 Char"/>
    <w:basedOn w:val="1030"/>
    <w:link w:val="988"/>
    <w:uiPriority w:val="9"/>
    <w:pPr>
      <w:pBdr/>
      <w:spacing/>
      <w:ind/>
    </w:pPr>
    <w:rPr>
      <w:rFonts w:ascii="Arial" w:hAnsi="Arial" w:eastAsia="Arial" w:cs="Arial"/>
      <w:i/>
      <w:iCs/>
      <w:color w:val="272727" w:themeColor="text1" w:themeTint="D8"/>
    </w:rPr>
  </w:style>
  <w:style w:type="paragraph" w:styleId="994">
    <w:name w:val="Subtitle"/>
    <w:basedOn w:val="1025"/>
    <w:next w:val="1025"/>
    <w:link w:val="995"/>
    <w:uiPriority w:val="11"/>
    <w:qFormat/>
    <w:pPr>
      <w:numPr>
        <w:ilvl w:val="1"/>
      </w:numPr>
      <w:pBdr/>
      <w:spacing/>
      <w:ind/>
    </w:pPr>
    <w:rPr>
      <w:color w:val="595959" w:themeColor="text1" w:themeTint="A6"/>
      <w:spacing w:val="15"/>
      <w:sz w:val="28"/>
      <w:szCs w:val="28"/>
    </w:rPr>
  </w:style>
  <w:style w:type="character" w:styleId="995">
    <w:name w:val="Subtitle Char"/>
    <w:basedOn w:val="1030"/>
    <w:link w:val="994"/>
    <w:uiPriority w:val="11"/>
    <w:pPr>
      <w:pBdr/>
      <w:spacing/>
      <w:ind/>
    </w:pPr>
    <w:rPr>
      <w:color w:val="595959" w:themeColor="text1" w:themeTint="A6"/>
      <w:spacing w:val="15"/>
      <w:sz w:val="28"/>
      <w:szCs w:val="28"/>
    </w:rPr>
  </w:style>
  <w:style w:type="paragraph" w:styleId="996">
    <w:name w:val="Quote"/>
    <w:basedOn w:val="1025"/>
    <w:next w:val="1025"/>
    <w:link w:val="997"/>
    <w:uiPriority w:val="29"/>
    <w:qFormat/>
    <w:pPr>
      <w:pBdr/>
      <w:spacing w:before="160"/>
      <w:ind/>
      <w:jc w:val="center"/>
    </w:pPr>
    <w:rPr>
      <w:i/>
      <w:iCs/>
      <w:color w:val="404040" w:themeColor="text1" w:themeTint="BF"/>
    </w:rPr>
  </w:style>
  <w:style w:type="character" w:styleId="997">
    <w:name w:val="Quote Char"/>
    <w:basedOn w:val="1030"/>
    <w:link w:val="996"/>
    <w:uiPriority w:val="29"/>
    <w:pPr>
      <w:pBdr/>
      <w:spacing/>
      <w:ind/>
    </w:pPr>
    <w:rPr>
      <w:i/>
      <w:iCs/>
      <w:color w:val="404040" w:themeColor="text1" w:themeTint="BF"/>
    </w:rPr>
  </w:style>
  <w:style w:type="character" w:styleId="998">
    <w:name w:val="Intense Emphasis"/>
    <w:basedOn w:val="1030"/>
    <w:uiPriority w:val="21"/>
    <w:qFormat/>
    <w:pPr>
      <w:pBdr/>
      <w:spacing/>
      <w:ind/>
    </w:pPr>
    <w:rPr>
      <w:i/>
      <w:iCs/>
      <w:color w:val="0f4761" w:themeColor="accent1" w:themeShade="BF"/>
    </w:rPr>
  </w:style>
  <w:style w:type="paragraph" w:styleId="999">
    <w:name w:val="Intense Quote"/>
    <w:basedOn w:val="1025"/>
    <w:next w:val="1025"/>
    <w:link w:val="100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00">
    <w:name w:val="Intense Quote Char"/>
    <w:basedOn w:val="1030"/>
    <w:link w:val="999"/>
    <w:uiPriority w:val="30"/>
    <w:pPr>
      <w:pBdr/>
      <w:spacing/>
      <w:ind/>
    </w:pPr>
    <w:rPr>
      <w:i/>
      <w:iCs/>
      <w:color w:val="0f4761" w:themeColor="accent1" w:themeShade="BF"/>
    </w:rPr>
  </w:style>
  <w:style w:type="character" w:styleId="1001">
    <w:name w:val="Intense Reference"/>
    <w:basedOn w:val="1030"/>
    <w:uiPriority w:val="32"/>
    <w:qFormat/>
    <w:pPr>
      <w:pBdr/>
      <w:spacing/>
      <w:ind/>
    </w:pPr>
    <w:rPr>
      <w:b/>
      <w:bCs/>
      <w:smallCaps/>
      <w:color w:val="0f4761" w:themeColor="accent1" w:themeShade="BF"/>
      <w:spacing w:val="5"/>
    </w:rPr>
  </w:style>
  <w:style w:type="paragraph" w:styleId="1002">
    <w:name w:val="No Spacing"/>
    <w:basedOn w:val="1025"/>
    <w:uiPriority w:val="1"/>
    <w:qFormat/>
    <w:pPr>
      <w:pBdr/>
      <w:spacing w:after="0" w:line="240" w:lineRule="auto"/>
      <w:ind/>
    </w:pPr>
  </w:style>
  <w:style w:type="character" w:styleId="1003">
    <w:name w:val="Subtle Emphasis"/>
    <w:basedOn w:val="1030"/>
    <w:uiPriority w:val="19"/>
    <w:qFormat/>
    <w:pPr>
      <w:pBdr/>
      <w:spacing/>
      <w:ind/>
    </w:pPr>
    <w:rPr>
      <w:i/>
      <w:iCs/>
      <w:color w:val="404040" w:themeColor="text1" w:themeTint="BF"/>
    </w:rPr>
  </w:style>
  <w:style w:type="character" w:styleId="1004">
    <w:name w:val="Subtle Reference"/>
    <w:basedOn w:val="1030"/>
    <w:uiPriority w:val="31"/>
    <w:qFormat/>
    <w:pPr>
      <w:pBdr/>
      <w:spacing/>
      <w:ind/>
    </w:pPr>
    <w:rPr>
      <w:smallCaps/>
      <w:color w:val="5a5a5a" w:themeColor="text1" w:themeTint="A5"/>
    </w:rPr>
  </w:style>
  <w:style w:type="character" w:styleId="1005">
    <w:name w:val="Book Title"/>
    <w:basedOn w:val="1030"/>
    <w:uiPriority w:val="33"/>
    <w:qFormat/>
    <w:pPr>
      <w:pBdr/>
      <w:spacing/>
      <w:ind/>
    </w:pPr>
    <w:rPr>
      <w:b/>
      <w:bCs/>
      <w:i/>
      <w:iCs/>
      <w:spacing w:val="5"/>
    </w:rPr>
  </w:style>
  <w:style w:type="paragraph" w:styleId="1006">
    <w:name w:val="Caption"/>
    <w:basedOn w:val="1025"/>
    <w:next w:val="1025"/>
    <w:uiPriority w:val="35"/>
    <w:unhideWhenUsed/>
    <w:qFormat/>
    <w:pPr>
      <w:pBdr/>
      <w:spacing w:after="200" w:line="240" w:lineRule="auto"/>
      <w:ind/>
    </w:pPr>
    <w:rPr>
      <w:i/>
      <w:iCs/>
      <w:color w:val="0e2841" w:themeColor="text2"/>
      <w:sz w:val="18"/>
      <w:szCs w:val="18"/>
    </w:rPr>
  </w:style>
  <w:style w:type="paragraph" w:styleId="1007">
    <w:name w:val="footnote text"/>
    <w:basedOn w:val="1025"/>
    <w:link w:val="1008"/>
    <w:uiPriority w:val="99"/>
    <w:semiHidden/>
    <w:unhideWhenUsed/>
    <w:pPr>
      <w:pBdr/>
      <w:spacing w:after="0" w:line="240" w:lineRule="auto"/>
      <w:ind/>
    </w:pPr>
    <w:rPr>
      <w:sz w:val="20"/>
      <w:szCs w:val="20"/>
    </w:rPr>
  </w:style>
  <w:style w:type="character" w:styleId="1008">
    <w:name w:val="Footnote Text Char"/>
    <w:basedOn w:val="1030"/>
    <w:link w:val="1007"/>
    <w:uiPriority w:val="99"/>
    <w:semiHidden/>
    <w:pPr>
      <w:pBdr/>
      <w:spacing/>
      <w:ind/>
    </w:pPr>
    <w:rPr>
      <w:sz w:val="20"/>
      <w:szCs w:val="20"/>
    </w:rPr>
  </w:style>
  <w:style w:type="character" w:styleId="1009">
    <w:name w:val="footnote reference"/>
    <w:basedOn w:val="1030"/>
    <w:uiPriority w:val="99"/>
    <w:semiHidden/>
    <w:unhideWhenUsed/>
    <w:pPr>
      <w:pBdr/>
      <w:spacing/>
      <w:ind/>
    </w:pPr>
    <w:rPr>
      <w:vertAlign w:val="superscript"/>
    </w:rPr>
  </w:style>
  <w:style w:type="paragraph" w:styleId="1010">
    <w:name w:val="endnote text"/>
    <w:basedOn w:val="1025"/>
    <w:link w:val="1011"/>
    <w:uiPriority w:val="99"/>
    <w:semiHidden/>
    <w:unhideWhenUsed/>
    <w:pPr>
      <w:pBdr/>
      <w:spacing w:after="0" w:line="240" w:lineRule="auto"/>
      <w:ind/>
    </w:pPr>
    <w:rPr>
      <w:sz w:val="20"/>
      <w:szCs w:val="20"/>
    </w:rPr>
  </w:style>
  <w:style w:type="character" w:styleId="1011">
    <w:name w:val="Endnote Text Char"/>
    <w:basedOn w:val="1030"/>
    <w:link w:val="1010"/>
    <w:uiPriority w:val="99"/>
    <w:semiHidden/>
    <w:pPr>
      <w:pBdr/>
      <w:spacing/>
      <w:ind/>
    </w:pPr>
    <w:rPr>
      <w:sz w:val="20"/>
      <w:szCs w:val="20"/>
    </w:rPr>
  </w:style>
  <w:style w:type="character" w:styleId="1012">
    <w:name w:val="endnote reference"/>
    <w:basedOn w:val="1030"/>
    <w:uiPriority w:val="99"/>
    <w:semiHidden/>
    <w:unhideWhenUsed/>
    <w:pPr>
      <w:pBdr/>
      <w:spacing/>
      <w:ind/>
    </w:pPr>
    <w:rPr>
      <w:vertAlign w:val="superscript"/>
    </w:rPr>
  </w:style>
  <w:style w:type="paragraph" w:styleId="1013">
    <w:name w:val="toc 1"/>
    <w:basedOn w:val="1025"/>
    <w:next w:val="1025"/>
    <w:uiPriority w:val="39"/>
    <w:unhideWhenUsed/>
    <w:pPr>
      <w:pBdr/>
      <w:spacing w:after="100"/>
      <w:ind/>
    </w:pPr>
  </w:style>
  <w:style w:type="paragraph" w:styleId="1014">
    <w:name w:val="toc 2"/>
    <w:basedOn w:val="1025"/>
    <w:next w:val="1025"/>
    <w:uiPriority w:val="39"/>
    <w:unhideWhenUsed/>
    <w:pPr>
      <w:pBdr/>
      <w:spacing w:after="100"/>
      <w:ind w:left="220"/>
    </w:pPr>
  </w:style>
  <w:style w:type="paragraph" w:styleId="1015">
    <w:name w:val="toc 3"/>
    <w:basedOn w:val="1025"/>
    <w:next w:val="1025"/>
    <w:uiPriority w:val="39"/>
    <w:unhideWhenUsed/>
    <w:pPr>
      <w:pBdr/>
      <w:spacing w:after="100"/>
      <w:ind w:left="440"/>
    </w:pPr>
  </w:style>
  <w:style w:type="paragraph" w:styleId="1016">
    <w:name w:val="toc 4"/>
    <w:basedOn w:val="1025"/>
    <w:next w:val="1025"/>
    <w:uiPriority w:val="39"/>
    <w:unhideWhenUsed/>
    <w:pPr>
      <w:pBdr/>
      <w:spacing w:after="100"/>
      <w:ind w:left="660"/>
    </w:pPr>
  </w:style>
  <w:style w:type="paragraph" w:styleId="1017">
    <w:name w:val="toc 5"/>
    <w:basedOn w:val="1025"/>
    <w:next w:val="1025"/>
    <w:uiPriority w:val="39"/>
    <w:unhideWhenUsed/>
    <w:pPr>
      <w:pBdr/>
      <w:spacing w:after="100"/>
      <w:ind w:left="880"/>
    </w:pPr>
  </w:style>
  <w:style w:type="paragraph" w:styleId="1018">
    <w:name w:val="toc 6"/>
    <w:basedOn w:val="1025"/>
    <w:next w:val="1025"/>
    <w:uiPriority w:val="39"/>
    <w:unhideWhenUsed/>
    <w:pPr>
      <w:pBdr/>
      <w:spacing w:after="100"/>
      <w:ind w:left="1100"/>
    </w:pPr>
  </w:style>
  <w:style w:type="paragraph" w:styleId="1019">
    <w:name w:val="toc 7"/>
    <w:basedOn w:val="1025"/>
    <w:next w:val="1025"/>
    <w:uiPriority w:val="39"/>
    <w:unhideWhenUsed/>
    <w:pPr>
      <w:pBdr/>
      <w:spacing w:after="100"/>
      <w:ind w:left="1320"/>
    </w:pPr>
  </w:style>
  <w:style w:type="paragraph" w:styleId="1020">
    <w:name w:val="toc 8"/>
    <w:basedOn w:val="1025"/>
    <w:next w:val="1025"/>
    <w:uiPriority w:val="39"/>
    <w:unhideWhenUsed/>
    <w:pPr>
      <w:pBdr/>
      <w:spacing w:after="100"/>
      <w:ind w:left="1540"/>
    </w:pPr>
  </w:style>
  <w:style w:type="paragraph" w:styleId="1021">
    <w:name w:val="toc 9"/>
    <w:basedOn w:val="1025"/>
    <w:next w:val="1025"/>
    <w:uiPriority w:val="39"/>
    <w:unhideWhenUsed/>
    <w:pPr>
      <w:pBdr/>
      <w:spacing w:after="100"/>
      <w:ind w:left="1760"/>
    </w:pPr>
  </w:style>
  <w:style w:type="character" w:styleId="1022">
    <w:name w:val="Placeholder Text"/>
    <w:basedOn w:val="1030"/>
    <w:uiPriority w:val="99"/>
    <w:semiHidden/>
    <w:pPr>
      <w:pBdr/>
      <w:spacing/>
      <w:ind/>
    </w:pPr>
    <w:rPr>
      <w:color w:val="666666"/>
    </w:rPr>
  </w:style>
  <w:style w:type="paragraph" w:styleId="1023">
    <w:name w:val="TOC Heading"/>
    <w:uiPriority w:val="39"/>
    <w:unhideWhenUsed/>
    <w:pPr>
      <w:pBdr/>
      <w:spacing/>
      <w:ind/>
    </w:pPr>
  </w:style>
  <w:style w:type="paragraph" w:styleId="1024">
    <w:name w:val="table of figures"/>
    <w:basedOn w:val="1025"/>
    <w:next w:val="1025"/>
    <w:uiPriority w:val="99"/>
    <w:unhideWhenUsed/>
    <w:pPr>
      <w:pBdr/>
      <w:spacing w:after="0" w:afterAutospacing="0"/>
      <w:ind/>
    </w:pPr>
  </w:style>
  <w:style w:type="paragraph" w:styleId="1025" w:default="1">
    <w:name w:val="Normal"/>
    <w:qFormat/>
    <w:pPr>
      <w:pBdr/>
      <w:spacing w:after="0" w:line="240" w:lineRule="auto"/>
      <w:ind/>
    </w:pPr>
    <w:rPr>
      <w:rFonts w:ascii="Times New Roman" w:hAnsi="Times New Roman" w:eastAsia="Times New Roman" w:cs="Times New Roman"/>
      <w:sz w:val="24"/>
      <w:szCs w:val="24"/>
    </w:rPr>
  </w:style>
  <w:style w:type="paragraph" w:styleId="1026">
    <w:name w:val="Heading 1"/>
    <w:basedOn w:val="1025"/>
    <w:next w:val="1025"/>
    <w:link w:val="1033"/>
    <w:qFormat/>
    <w:pPr>
      <w:keepNext w:val="true"/>
      <w:pBdr/>
      <w:spacing w:after="120" w:before="120"/>
      <w:ind/>
      <w:jc w:val="center"/>
      <w:outlineLvl w:val="0"/>
    </w:pPr>
    <w:rPr>
      <w:b/>
      <w:bCs/>
      <w:sz w:val="27"/>
      <w:szCs w:val="27"/>
    </w:rPr>
  </w:style>
  <w:style w:type="paragraph" w:styleId="1027">
    <w:name w:val="Heading 2"/>
    <w:basedOn w:val="1025"/>
    <w:next w:val="1025"/>
    <w:link w:val="103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8">
    <w:name w:val="Heading 3"/>
    <w:basedOn w:val="1025"/>
    <w:next w:val="1025"/>
    <w:link w:val="1035"/>
    <w:qFormat/>
    <w:pPr>
      <w:keepNext w:val="true"/>
      <w:pBdr/>
      <w:spacing w:before="60"/>
      <w:ind/>
      <w:outlineLvl w:val="2"/>
    </w:pPr>
    <w:rPr>
      <w:sz w:val="28"/>
      <w:szCs w:val="28"/>
    </w:rPr>
  </w:style>
  <w:style w:type="paragraph" w:styleId="1029">
    <w:name w:val="Heading 4"/>
    <w:basedOn w:val="1025"/>
    <w:next w:val="1025"/>
    <w:link w:val="1036"/>
    <w:qFormat/>
    <w:pPr>
      <w:keepNext w:val="true"/>
      <w:pBdr/>
      <w:spacing/>
      <w:ind/>
      <w:jc w:val="center"/>
      <w:outlineLvl w:val="3"/>
    </w:pPr>
    <w:rPr>
      <w:b/>
      <w:bCs/>
    </w:rPr>
  </w:style>
  <w:style w:type="character" w:styleId="1030" w:default="1">
    <w:name w:val="Default Paragraph Font"/>
    <w:uiPriority w:val="1"/>
    <w:semiHidden/>
    <w:unhideWhenUsed/>
    <w:pPr>
      <w:pBdr/>
      <w:spacing/>
      <w:ind/>
    </w:pPr>
  </w:style>
  <w:style w:type="table" w:styleId="103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2" w:default="1">
    <w:name w:val="No List"/>
    <w:uiPriority w:val="99"/>
    <w:semiHidden/>
    <w:unhideWhenUsed/>
    <w:pPr>
      <w:pBdr/>
      <w:spacing/>
      <w:ind/>
    </w:pPr>
  </w:style>
  <w:style w:type="character" w:styleId="1033" w:customStyle="1">
    <w:name w:val="Heading 1 Char"/>
    <w:basedOn w:val="1030"/>
    <w:link w:val="1026"/>
    <w:pPr>
      <w:pBdr/>
      <w:spacing/>
      <w:ind/>
    </w:pPr>
    <w:rPr>
      <w:rFonts w:ascii="Times New Roman" w:hAnsi="Times New Roman" w:eastAsia="Times New Roman" w:cs="Times New Roman"/>
      <w:b/>
      <w:bCs/>
      <w:sz w:val="27"/>
      <w:szCs w:val="27"/>
    </w:rPr>
  </w:style>
  <w:style w:type="character" w:styleId="1034" w:customStyle="1">
    <w:name w:val="Heading 2 Char"/>
    <w:basedOn w:val="1030"/>
    <w:link w:val="1027"/>
    <w:uiPriority w:val="9"/>
    <w:pPr>
      <w:pBdr/>
      <w:spacing/>
      <w:ind/>
    </w:pPr>
    <w:rPr>
      <w:rFonts w:asciiTheme="majorHAnsi" w:hAnsiTheme="majorHAnsi" w:eastAsiaTheme="majorEastAsia" w:cstheme="majorBidi"/>
      <w:color w:val="365f91" w:themeColor="accent1" w:themeShade="BF"/>
      <w:sz w:val="26"/>
      <w:szCs w:val="26"/>
    </w:rPr>
  </w:style>
  <w:style w:type="character" w:styleId="1035" w:customStyle="1">
    <w:name w:val="Heading 3 Char"/>
    <w:basedOn w:val="1030"/>
    <w:link w:val="1028"/>
    <w:pPr>
      <w:pBdr/>
      <w:spacing/>
      <w:ind/>
    </w:pPr>
    <w:rPr>
      <w:rFonts w:ascii="Times New Roman" w:hAnsi="Times New Roman" w:eastAsia="Times New Roman" w:cs="Times New Roman"/>
      <w:sz w:val="28"/>
      <w:szCs w:val="28"/>
    </w:rPr>
  </w:style>
  <w:style w:type="character" w:styleId="1036" w:customStyle="1">
    <w:name w:val="Heading 4 Char"/>
    <w:basedOn w:val="1030"/>
    <w:link w:val="1029"/>
    <w:pPr>
      <w:pBdr/>
      <w:spacing/>
      <w:ind/>
    </w:pPr>
    <w:rPr>
      <w:rFonts w:ascii="Times New Roman" w:hAnsi="Times New Roman" w:eastAsia="Times New Roman" w:cs="Times New Roman"/>
      <w:b/>
      <w:bCs/>
      <w:sz w:val="24"/>
      <w:szCs w:val="24"/>
    </w:rPr>
  </w:style>
  <w:style w:type="character" w:styleId="1037">
    <w:name w:val="Hyperlink"/>
    <w:uiPriority w:val="99"/>
    <w:pPr>
      <w:pBdr/>
      <w:spacing/>
      <w:ind/>
    </w:pPr>
    <w:rPr>
      <w:color w:val="000000"/>
      <w:u w:val="single"/>
    </w:rPr>
  </w:style>
  <w:style w:type="character" w:styleId="1038">
    <w:name w:val="Strong"/>
    <w:uiPriority w:val="22"/>
    <w:qFormat/>
    <w:pPr>
      <w:pBdr/>
      <w:spacing/>
      <w:ind/>
    </w:pPr>
    <w:rPr>
      <w:b/>
      <w:bCs/>
    </w:rPr>
  </w:style>
  <w:style w:type="paragraph" w:styleId="1039">
    <w:name w:val="Balloon Text"/>
    <w:basedOn w:val="1025"/>
    <w:link w:val="1040"/>
    <w:uiPriority w:val="99"/>
    <w:semiHidden/>
    <w:unhideWhenUsed/>
    <w:pPr>
      <w:pBdr/>
      <w:spacing/>
      <w:ind/>
    </w:pPr>
    <w:rPr>
      <w:rFonts w:ascii="Tahoma" w:hAnsi="Tahoma" w:cs="Tahoma"/>
      <w:sz w:val="16"/>
      <w:szCs w:val="16"/>
    </w:rPr>
  </w:style>
  <w:style w:type="character" w:styleId="1040" w:customStyle="1">
    <w:name w:val="Balloon Text Char"/>
    <w:basedOn w:val="1030"/>
    <w:link w:val="1039"/>
    <w:uiPriority w:val="99"/>
    <w:semiHidden/>
    <w:pPr>
      <w:pBdr/>
      <w:spacing/>
      <w:ind/>
    </w:pPr>
    <w:rPr>
      <w:rFonts w:ascii="Tahoma" w:hAnsi="Tahoma" w:eastAsia="Times New Roman" w:cs="Tahoma"/>
      <w:sz w:val="16"/>
      <w:szCs w:val="16"/>
    </w:rPr>
  </w:style>
  <w:style w:type="paragraph" w:styleId="1041">
    <w:name w:val="Header"/>
    <w:basedOn w:val="1025"/>
    <w:link w:val="1042"/>
    <w:unhideWhenUsed/>
    <w:pPr>
      <w:pBdr/>
      <w:tabs>
        <w:tab w:val="center" w:leader="none" w:pos="4680"/>
        <w:tab w:val="right" w:leader="none" w:pos="9360"/>
      </w:tabs>
      <w:spacing/>
      <w:ind/>
    </w:pPr>
  </w:style>
  <w:style w:type="character" w:styleId="1042" w:customStyle="1">
    <w:name w:val="Header Char"/>
    <w:basedOn w:val="1030"/>
    <w:link w:val="1041"/>
    <w:pPr>
      <w:pBdr/>
      <w:spacing/>
      <w:ind/>
    </w:pPr>
    <w:rPr>
      <w:rFonts w:ascii="Times New Roman" w:hAnsi="Times New Roman" w:eastAsia="Times New Roman" w:cs="Times New Roman"/>
      <w:sz w:val="24"/>
      <w:szCs w:val="24"/>
    </w:rPr>
  </w:style>
  <w:style w:type="paragraph" w:styleId="1043">
    <w:name w:val="Footer"/>
    <w:basedOn w:val="1025"/>
    <w:link w:val="1044"/>
    <w:uiPriority w:val="99"/>
    <w:unhideWhenUsed/>
    <w:pPr>
      <w:pBdr/>
      <w:tabs>
        <w:tab w:val="center" w:leader="none" w:pos="4680"/>
        <w:tab w:val="right" w:leader="none" w:pos="9360"/>
      </w:tabs>
      <w:spacing/>
      <w:ind/>
    </w:pPr>
  </w:style>
  <w:style w:type="character" w:styleId="1044" w:customStyle="1">
    <w:name w:val="Footer Char"/>
    <w:basedOn w:val="1030"/>
    <w:link w:val="1043"/>
    <w:uiPriority w:val="99"/>
    <w:pPr>
      <w:pBdr/>
      <w:spacing/>
      <w:ind/>
    </w:pPr>
    <w:rPr>
      <w:rFonts w:ascii="Times New Roman" w:hAnsi="Times New Roman" w:eastAsia="Times New Roman" w:cs="Times New Roman"/>
      <w:sz w:val="24"/>
      <w:szCs w:val="24"/>
    </w:rPr>
  </w:style>
  <w:style w:type="character" w:styleId="1045" w:customStyle="1">
    <w:name w:val="normal-h1"/>
    <w:pPr>
      <w:pBdr/>
      <w:spacing/>
      <w:ind/>
    </w:pPr>
    <w:rPr>
      <w:rFonts w:hint="default" w:ascii=".VnTime" w:hAnsi=".VnTime"/>
      <w:color w:val="0000ff"/>
      <w:sz w:val="24"/>
      <w:szCs w:val="24"/>
    </w:rPr>
  </w:style>
  <w:style w:type="paragraph" w:styleId="1046" w:customStyle="1">
    <w:name w:val="normal-p"/>
    <w:basedOn w:val="1025"/>
    <w:pPr>
      <w:pBdr/>
      <w:spacing/>
      <w:ind/>
      <w:jc w:val="both"/>
    </w:pPr>
    <w:rPr>
      <w:sz w:val="20"/>
      <w:szCs w:val="20"/>
    </w:rPr>
  </w:style>
  <w:style w:type="paragraph" w:styleId="1047">
    <w:name w:val="List Paragraph"/>
    <w:basedOn w:val="1025"/>
    <w:link w:val="1134"/>
    <w:uiPriority w:val="34"/>
    <w:qFormat/>
    <w:pPr>
      <w:pBdr/>
      <w:spacing/>
      <w:ind w:left="720"/>
    </w:pPr>
  </w:style>
  <w:style w:type="paragraph" w:styleId="1048">
    <w:name w:val="Normal (Web)"/>
    <w:basedOn w:val="1025"/>
    <w:uiPriority w:val="99"/>
    <w:pPr>
      <w:pBdr/>
      <w:spacing w:after="100" w:afterAutospacing="1" w:before="100" w:beforeAutospacing="1"/>
      <w:ind/>
    </w:pPr>
  </w:style>
  <w:style w:type="paragraph" w:styleId="1049">
    <w:name w:val="Body Text"/>
    <w:basedOn w:val="1025"/>
    <w:link w:val="1050"/>
    <w:pPr>
      <w:pBdr/>
      <w:spacing w:after="120"/>
      <w:ind/>
      <w:jc w:val="both"/>
    </w:pPr>
  </w:style>
  <w:style w:type="character" w:styleId="1050" w:customStyle="1">
    <w:name w:val="Body Text Char"/>
    <w:basedOn w:val="1030"/>
    <w:link w:val="1049"/>
    <w:pPr>
      <w:pBdr/>
      <w:spacing/>
      <w:ind/>
    </w:pPr>
    <w:rPr>
      <w:rFonts w:ascii="Times New Roman" w:hAnsi="Times New Roman" w:eastAsia="Times New Roman" w:cs="Times New Roman"/>
      <w:sz w:val="24"/>
      <w:szCs w:val="24"/>
    </w:rPr>
  </w:style>
  <w:style w:type="table" w:styleId="1051">
    <w:name w:val="Table Grid"/>
    <w:basedOn w:val="103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53">
    <w:name w:val="annotation reference"/>
    <w:basedOn w:val="1030"/>
    <w:uiPriority w:val="99"/>
    <w:semiHidden/>
    <w:unhideWhenUsed/>
    <w:pPr>
      <w:pBdr/>
      <w:spacing/>
      <w:ind/>
    </w:pPr>
    <w:rPr>
      <w:sz w:val="16"/>
      <w:szCs w:val="16"/>
    </w:rPr>
  </w:style>
  <w:style w:type="paragraph" w:styleId="1054">
    <w:name w:val="annotation text"/>
    <w:basedOn w:val="1025"/>
    <w:link w:val="1055"/>
    <w:uiPriority w:val="99"/>
    <w:unhideWhenUsed/>
    <w:pPr>
      <w:pBdr/>
      <w:spacing/>
      <w:ind/>
    </w:pPr>
    <w:rPr>
      <w:sz w:val="20"/>
      <w:szCs w:val="20"/>
    </w:rPr>
  </w:style>
  <w:style w:type="character" w:styleId="1055" w:customStyle="1">
    <w:name w:val="Comment Text Char"/>
    <w:basedOn w:val="1030"/>
    <w:link w:val="1054"/>
    <w:uiPriority w:val="99"/>
    <w:pPr>
      <w:pBdr/>
      <w:spacing/>
      <w:ind/>
    </w:pPr>
    <w:rPr>
      <w:rFonts w:ascii="Times New Roman" w:hAnsi="Times New Roman" w:eastAsia="Times New Roman" w:cs="Times New Roman"/>
      <w:sz w:val="20"/>
      <w:szCs w:val="20"/>
    </w:rPr>
  </w:style>
  <w:style w:type="paragraph" w:styleId="1056">
    <w:name w:val="annotation subject"/>
    <w:basedOn w:val="1054"/>
    <w:next w:val="1054"/>
    <w:link w:val="1057"/>
    <w:uiPriority w:val="99"/>
    <w:semiHidden/>
    <w:unhideWhenUsed/>
    <w:pPr>
      <w:pBdr/>
      <w:spacing/>
      <w:ind/>
    </w:pPr>
    <w:rPr>
      <w:b/>
      <w:bCs/>
    </w:rPr>
  </w:style>
  <w:style w:type="character" w:styleId="1057" w:customStyle="1">
    <w:name w:val="Comment Subject Char"/>
    <w:basedOn w:val="1055"/>
    <w:link w:val="1056"/>
    <w:uiPriority w:val="99"/>
    <w:semiHidden/>
    <w:pPr>
      <w:pBdr/>
      <w:spacing/>
      <w:ind/>
    </w:pPr>
    <w:rPr>
      <w:rFonts w:ascii="Times New Roman" w:hAnsi="Times New Roman" w:eastAsia="Times New Roman" w:cs="Times New Roman"/>
      <w:b/>
      <w:bCs/>
      <w:sz w:val="20"/>
      <w:szCs w:val="20"/>
    </w:rPr>
  </w:style>
  <w:style w:type="paragraph" w:styleId="1058" w:customStyle="1">
    <w:name w:val="font5"/>
    <w:basedOn w:val="1025"/>
    <w:pPr>
      <w:pBdr/>
      <w:spacing w:after="100" w:afterAutospacing="1" w:before="100" w:beforeAutospacing="1"/>
      <w:ind/>
    </w:pPr>
    <w:rPr>
      <w:rFonts w:ascii="Tahoma" w:hAnsi="Tahoma" w:cs="Tahoma"/>
      <w:color w:val="000000"/>
      <w:sz w:val="18"/>
      <w:szCs w:val="18"/>
    </w:rPr>
  </w:style>
  <w:style w:type="paragraph" w:styleId="1059" w:customStyle="1">
    <w:name w:val="font6"/>
    <w:basedOn w:val="1025"/>
    <w:pPr>
      <w:pBdr/>
      <w:spacing w:after="100" w:afterAutospacing="1" w:before="100" w:beforeAutospacing="1"/>
      <w:ind/>
    </w:pPr>
    <w:rPr>
      <w:rFonts w:ascii="Tahoma" w:hAnsi="Tahoma" w:cs="Tahoma"/>
      <w:b/>
      <w:bCs/>
      <w:color w:val="000000"/>
      <w:sz w:val="18"/>
      <w:szCs w:val="18"/>
    </w:rPr>
  </w:style>
  <w:style w:type="paragraph" w:styleId="1060" w:customStyle="1">
    <w:name w:val="xl233"/>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34"/>
    <w:basedOn w:val="1025"/>
    <w:pPr>
      <w:pBdr/>
      <w:spacing w:after="100" w:afterAutospacing="1" w:before="100" w:beforeAutospacing="1"/>
      <w:ind/>
      <w:jc w:val="center"/>
    </w:pPr>
  </w:style>
  <w:style w:type="paragraph" w:styleId="1062" w:customStyle="1">
    <w:name w:val="xl235"/>
    <w:basedOn w:val="1025"/>
    <w:pPr>
      <w:pBdr/>
      <w:spacing w:after="100" w:afterAutospacing="1" w:before="100" w:beforeAutospacing="1"/>
      <w:ind/>
      <w:jc w:val="center"/>
    </w:pPr>
    <w:rPr>
      <w:b/>
      <w:bCs/>
    </w:rPr>
  </w:style>
  <w:style w:type="paragraph" w:styleId="1063" w:customStyle="1">
    <w:name w:val="xl236"/>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37"/>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5" w:customStyle="1">
    <w:name w:val="xl238"/>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6" w:customStyle="1">
    <w:name w:val="xl239"/>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7" w:customStyle="1">
    <w:name w:val="xl240"/>
    <w:basedOn w:val="1025"/>
    <w:pPr>
      <w:pBdr/>
      <w:spacing w:after="100" w:afterAutospacing="1" w:before="100" w:beforeAutospacing="1"/>
      <w:ind/>
    </w:pPr>
  </w:style>
  <w:style w:type="paragraph" w:styleId="1068" w:customStyle="1">
    <w:name w:val="xl241"/>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9" w:customStyle="1">
    <w:name w:val="xl242"/>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43"/>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44"/>
    <w:basedOn w:val="1025"/>
    <w:pPr>
      <w:pBdr/>
      <w:spacing w:after="100" w:afterAutospacing="1" w:before="100" w:beforeAutospacing="1"/>
      <w:ind/>
    </w:pPr>
    <w:rPr>
      <w:b/>
      <w:bCs/>
    </w:rPr>
  </w:style>
  <w:style w:type="paragraph" w:styleId="1072" w:customStyle="1">
    <w:name w:val="xl245"/>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3" w:customStyle="1">
    <w:name w:val="xl246"/>
    <w:basedOn w:val="102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47"/>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5" w:customStyle="1">
    <w:name w:val="xl248"/>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49"/>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50"/>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51"/>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52"/>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0" w:customStyle="1">
    <w:name w:val="xl253"/>
    <w:basedOn w:val="102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54"/>
    <w:basedOn w:val="102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55"/>
    <w:basedOn w:val="102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56"/>
    <w:basedOn w:val="102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4" w:customStyle="1">
    <w:name w:val="xl257"/>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58"/>
    <w:basedOn w:val="102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59"/>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7" w:customStyle="1">
    <w:name w:val="xl260"/>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61"/>
    <w:basedOn w:val="102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9" w:customStyle="1">
    <w:name w:val="xl262"/>
    <w:basedOn w:val="102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63"/>
    <w:basedOn w:val="1025"/>
    <w:pPr>
      <w:pBdr/>
      <w:shd w:val="clear" w:color="000000" w:fill="ffffff"/>
      <w:spacing w:after="100" w:afterAutospacing="1" w:before="100" w:beforeAutospacing="1"/>
      <w:ind/>
    </w:pPr>
  </w:style>
  <w:style w:type="paragraph" w:styleId="1091" w:customStyle="1">
    <w:name w:val="xl264"/>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65"/>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66"/>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4" w:customStyle="1">
    <w:name w:val="xl267"/>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68"/>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6" w:customStyle="1">
    <w:name w:val="xl269"/>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7" w:customStyle="1">
    <w:name w:val="xl270"/>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71"/>
    <w:basedOn w:val="102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9" w:customStyle="1">
    <w:name w:val="xl272"/>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00" w:customStyle="1">
    <w:name w:val="xl273"/>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1" w:customStyle="1">
    <w:name w:val="xl274"/>
    <w:basedOn w:val="102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75"/>
    <w:basedOn w:val="1025"/>
    <w:pPr>
      <w:pBdr/>
      <w:spacing w:after="100" w:afterAutospacing="1" w:before="100" w:beforeAutospacing="1"/>
      <w:ind/>
    </w:pPr>
  </w:style>
  <w:style w:type="paragraph" w:styleId="1103" w:customStyle="1">
    <w:name w:val="xl276"/>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4" w:customStyle="1">
    <w:name w:val="xl277"/>
    <w:basedOn w:val="102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5" w:customStyle="1">
    <w:name w:val="xl278"/>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customStyle="1">
    <w:name w:val="xl279"/>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7" w:customStyle="1">
    <w:name w:val="xl280"/>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8" w:customStyle="1">
    <w:name w:val="xl281"/>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9" w:customStyle="1">
    <w:name w:val="xl282"/>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0" w:customStyle="1">
    <w:name w:val="xl283"/>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84"/>
    <w:basedOn w:val="1025"/>
    <w:pPr>
      <w:pBdr>
        <w:left w:val="single" w:color="000000" w:sz="4" w:space="0"/>
        <w:bottom w:val="single" w:color="000000" w:sz="4" w:space="0"/>
        <w:right w:val="single" w:color="000000" w:sz="4" w:space="0"/>
      </w:pBdr>
      <w:spacing w:after="100" w:afterAutospacing="1" w:before="100" w:beforeAutospacing="1"/>
      <w:ind/>
    </w:pPr>
  </w:style>
  <w:style w:type="paragraph" w:styleId="1112" w:customStyle="1">
    <w:name w:val="xl285"/>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3" w:customStyle="1">
    <w:name w:val="xl286"/>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customStyle="1">
    <w:name w:val="xl287"/>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5" w:customStyle="1">
    <w:name w:val="xl288"/>
    <w:basedOn w:val="1025"/>
    <w:pPr>
      <w:pBdr>
        <w:top w:val="single" w:color="000000" w:sz="4" w:space="0"/>
        <w:left w:val="single" w:color="000000" w:sz="4" w:space="0"/>
        <w:right w:val="single" w:color="000000" w:sz="4" w:space="0"/>
      </w:pBdr>
      <w:spacing w:after="100" w:afterAutospacing="1" w:before="100" w:beforeAutospacing="1"/>
      <w:ind/>
    </w:pPr>
  </w:style>
  <w:style w:type="paragraph" w:styleId="1116" w:customStyle="1">
    <w:name w:val="xl289"/>
    <w:basedOn w:val="1025"/>
    <w:pPr>
      <w:pBdr>
        <w:left w:val="single" w:color="000000" w:sz="4" w:space="0"/>
        <w:right w:val="single" w:color="000000" w:sz="4" w:space="0"/>
      </w:pBdr>
      <w:spacing w:after="100" w:afterAutospacing="1" w:before="100" w:beforeAutospacing="1"/>
      <w:ind/>
    </w:pPr>
    <w:rPr>
      <w:b/>
      <w:bCs/>
    </w:rPr>
  </w:style>
  <w:style w:type="paragraph" w:styleId="1117" w:customStyle="1">
    <w:name w:val="xl290"/>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8" w:customStyle="1">
    <w:name w:val="xl291"/>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9" w:customStyle="1">
    <w:name w:val="xl292"/>
    <w:basedOn w:val="1025"/>
    <w:pPr>
      <w:pBdr>
        <w:top w:val="single" w:color="000000" w:sz="4" w:space="0"/>
        <w:left w:val="single" w:color="000000" w:sz="4" w:space="0"/>
        <w:right w:val="single" w:color="000000" w:sz="4" w:space="0"/>
      </w:pBdr>
      <w:spacing w:after="100" w:afterAutospacing="1" w:before="100" w:beforeAutospacing="1"/>
      <w:ind/>
    </w:pPr>
  </w:style>
  <w:style w:type="paragraph" w:styleId="1120" w:customStyle="1">
    <w:name w:val="xl293"/>
    <w:basedOn w:val="1025"/>
    <w:pPr>
      <w:pBdr>
        <w:left w:val="single" w:color="000000" w:sz="4" w:space="0"/>
        <w:bottom w:val="single" w:color="000000" w:sz="4" w:space="0"/>
        <w:right w:val="single" w:color="000000" w:sz="4" w:space="0"/>
      </w:pBdr>
      <w:spacing w:after="100" w:afterAutospacing="1" w:before="100" w:beforeAutospacing="1"/>
      <w:ind/>
    </w:pPr>
  </w:style>
  <w:style w:type="paragraph" w:styleId="1121" w:customStyle="1">
    <w:name w:val="xl294"/>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2">
    <w:name w:val="Title"/>
    <w:basedOn w:val="1025"/>
    <w:link w:val="1123"/>
    <w:qFormat/>
    <w:pPr>
      <w:pBdr/>
      <w:spacing/>
      <w:ind/>
      <w:jc w:val="center"/>
    </w:pPr>
    <w:rPr>
      <w:b/>
      <w:bCs/>
      <w:sz w:val="32"/>
      <w:szCs w:val="26"/>
    </w:rPr>
  </w:style>
  <w:style w:type="character" w:styleId="1123" w:customStyle="1">
    <w:name w:val="Title Char"/>
    <w:basedOn w:val="1030"/>
    <w:link w:val="1122"/>
    <w:pPr>
      <w:pBdr/>
      <w:spacing/>
      <w:ind/>
    </w:pPr>
    <w:rPr>
      <w:rFonts w:ascii="Times New Roman" w:hAnsi="Times New Roman" w:eastAsia="Times New Roman" w:cs="Times New Roman"/>
      <w:b/>
      <w:bCs/>
      <w:sz w:val="32"/>
      <w:szCs w:val="26"/>
    </w:rPr>
  </w:style>
  <w:style w:type="character" w:styleId="1124" w:customStyle="1">
    <w:name w:val="Unresolved Mention1"/>
    <w:basedOn w:val="1030"/>
    <w:uiPriority w:val="99"/>
    <w:semiHidden/>
    <w:unhideWhenUsed/>
    <w:pPr>
      <w:pBdr/>
      <w:spacing/>
      <w:ind/>
    </w:pPr>
    <w:rPr>
      <w:color w:val="605e5c"/>
      <w:shd w:val="clear" w:color="auto" w:fill="e1dfdd"/>
    </w:rPr>
  </w:style>
  <w:style w:type="character" w:styleId="1125" w:customStyle="1">
    <w:name w:val="Body text (3)_"/>
    <w:link w:val="1126"/>
    <w:pPr>
      <w:pBdr/>
      <w:spacing/>
      <w:ind/>
    </w:pPr>
    <w:rPr>
      <w:rFonts w:ascii="Times New Roman" w:hAnsi="Times New Roman" w:cs="Times New Roman"/>
      <w:i/>
      <w:iCs/>
      <w:spacing w:val="4"/>
      <w:shd w:val="clear" w:color="auto" w:fill="ffffff"/>
    </w:rPr>
  </w:style>
  <w:style w:type="paragraph" w:styleId="1126" w:customStyle="1">
    <w:name w:val="Body text (3)1"/>
    <w:basedOn w:val="1025"/>
    <w:link w:val="112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7" w:customStyle="1">
    <w:name w:val="t-j"/>
    <w:basedOn w:val="1025"/>
    <w:pPr>
      <w:pBdr/>
      <w:spacing w:after="100" w:afterAutospacing="1" w:before="100" w:beforeAutospacing="1"/>
      <w:ind/>
    </w:pPr>
  </w:style>
  <w:style w:type="character" w:styleId="1128" w:customStyle="1">
    <w:name w:val="Unresolved Mention2"/>
    <w:basedOn w:val="1030"/>
    <w:uiPriority w:val="99"/>
    <w:semiHidden/>
    <w:unhideWhenUsed/>
    <w:pPr>
      <w:pBdr/>
      <w:spacing/>
      <w:ind/>
    </w:pPr>
    <w:rPr>
      <w:color w:val="605e5c"/>
      <w:shd w:val="clear" w:color="auto" w:fill="e1dfdd"/>
    </w:rPr>
  </w:style>
  <w:style w:type="character" w:styleId="1129">
    <w:name w:val="FollowedHyperlink"/>
    <w:basedOn w:val="1030"/>
    <w:uiPriority w:val="99"/>
    <w:semiHidden/>
    <w:unhideWhenUsed/>
    <w:pPr>
      <w:pBdr/>
      <w:spacing/>
      <w:ind/>
    </w:pPr>
    <w:rPr>
      <w:color w:val="800080" w:themeColor="followedHyperlink"/>
      <w:u w:val="single"/>
    </w:rPr>
  </w:style>
  <w:style w:type="character" w:styleId="1130" w:customStyle="1">
    <w:name w:val="text"/>
    <w:basedOn w:val="1030"/>
    <w:pPr>
      <w:pBdr/>
      <w:spacing/>
      <w:ind/>
    </w:pPr>
  </w:style>
  <w:style w:type="character" w:styleId="1131" w:customStyle="1">
    <w:name w:val="card-send-time__sendtime"/>
    <w:basedOn w:val="1030"/>
    <w:pPr>
      <w:pBdr/>
      <w:spacing/>
      <w:ind/>
    </w:pPr>
  </w:style>
  <w:style w:type="character" w:styleId="1132" w:customStyle="1">
    <w:name w:val="Đề cập Chưa giải quyết1"/>
    <w:basedOn w:val="1030"/>
    <w:uiPriority w:val="99"/>
    <w:semiHidden/>
    <w:unhideWhenUsed/>
    <w:pPr>
      <w:pBdr/>
      <w:spacing/>
      <w:ind/>
    </w:pPr>
    <w:rPr>
      <w:color w:val="605e5c"/>
      <w:shd w:val="clear" w:color="auto" w:fill="e1dfdd"/>
    </w:rPr>
  </w:style>
  <w:style w:type="paragraph" w:styleId="1133" w:customStyle="1">
    <w:name w:val="nqtitle"/>
    <w:basedOn w:val="1025"/>
    <w:pPr>
      <w:pBdr/>
      <w:spacing w:after="100" w:afterAutospacing="1" w:before="100" w:beforeAutospacing="1"/>
      <w:ind/>
    </w:pPr>
    <w:rPr>
      <w:lang w:val="vi-VN" w:eastAsia="vi-VN"/>
    </w:rPr>
  </w:style>
  <w:style w:type="character" w:styleId="1134" w:customStyle="1">
    <w:name w:val="List Paragraph Char"/>
    <w:link w:val="1047"/>
    <w:uiPriority w:val="34"/>
    <w:qFormat/>
    <w:pPr>
      <w:pBdr/>
      <w:spacing/>
      <w:ind/>
    </w:pPr>
    <w:rPr>
      <w:rFonts w:ascii="Times New Roman" w:hAnsi="Times New Roman" w:eastAsia="Times New Roman" w:cs="Times New Roman"/>
      <w:sz w:val="24"/>
      <w:szCs w:val="24"/>
    </w:rPr>
  </w:style>
  <w:style w:type="character" w:styleId="1135" w:customStyle="1">
    <w:name w:val="Đề cập Chưa giải quyết2"/>
    <w:basedOn w:val="1030"/>
    <w:uiPriority w:val="99"/>
    <w:semiHidden/>
    <w:unhideWhenUsed/>
    <w:pPr>
      <w:pBdr/>
      <w:spacing/>
      <w:ind/>
    </w:pPr>
    <w:rPr>
      <w:color w:val="605e5c"/>
      <w:shd w:val="clear" w:color="auto" w:fill="e1dfdd"/>
    </w:rPr>
  </w:style>
  <w:style w:type="character" w:styleId="1136" w:customStyle="1">
    <w:name w:val="Unresolved Mention3"/>
    <w:basedOn w:val="1030"/>
    <w:uiPriority w:val="99"/>
    <w:semiHidden/>
    <w:unhideWhenUsed/>
    <w:pPr>
      <w:pBdr/>
      <w:spacing/>
      <w:ind/>
    </w:pPr>
    <w:rPr>
      <w:color w:val="605e5c"/>
      <w:shd w:val="clear" w:color="auto" w:fill="e1dfdd"/>
    </w:rPr>
  </w:style>
  <w:style w:type="character" w:styleId="1137" w:customStyle="1">
    <w:name w:val="copy"/>
    <w:basedOn w:val="1030"/>
    <w:pPr>
      <w:pBdr/>
      <w:spacing/>
      <w:ind/>
    </w:pPr>
  </w:style>
  <w:style w:type="paragraph" w:styleId="1138" w:customStyle="1">
    <w:name w:val="align-justify"/>
    <w:basedOn w:val="1025"/>
    <w:pPr>
      <w:pBdr/>
      <w:spacing w:after="100" w:afterAutospacing="1" w:before="100" w:beforeAutospacing="1"/>
      <w:ind/>
    </w:pPr>
  </w:style>
  <w:style w:type="character" w:styleId="1139" w:customStyle="1">
    <w:name w:val="btn"/>
    <w:basedOn w:val="1030"/>
    <w:pPr>
      <w:pBdr/>
      <w:spacing/>
      <w:ind/>
    </w:pPr>
  </w:style>
  <w:style w:type="character" w:styleId="1140" w:customStyle="1">
    <w:name w:val="hide_mobile"/>
    <w:basedOn w:val="1030"/>
    <w:pPr>
      <w:pBdr/>
      <w:spacing/>
      <w:ind/>
    </w:pPr>
  </w:style>
  <w:style w:type="character" w:styleId="1141">
    <w:name w:val="Emphasis"/>
    <w:basedOn w:val="1030"/>
    <w:uiPriority w:val="20"/>
    <w:qFormat/>
    <w:pPr>
      <w:pBdr/>
      <w:spacing/>
      <w:ind/>
    </w:pPr>
    <w:rPr>
      <w:i/>
      <w:iCs/>
    </w:rPr>
  </w:style>
  <w:style w:type="character" w:styleId="1142" w:customStyle="1">
    <w:name w:val="t1"/>
    <w:basedOn w:val="1030"/>
    <w:pPr>
      <w:pBdr/>
      <w:spacing/>
      <w:ind/>
    </w:pPr>
  </w:style>
  <w:style w:type="character" w:styleId="1143" w:customStyle="1">
    <w:name w:val="Unresolved Mention4"/>
    <w:basedOn w:val="1030"/>
    <w:uiPriority w:val="99"/>
    <w:semiHidden/>
    <w:unhideWhenUsed/>
    <w:pPr>
      <w:pBdr/>
      <w:spacing/>
      <w:ind/>
    </w:pPr>
    <w:rPr>
      <w:color w:val="605e5c"/>
      <w:shd w:val="clear" w:color="auto" w:fill="e1dfdd"/>
    </w:rPr>
  </w:style>
  <w:style w:type="character" w:styleId="1144">
    <w:name w:val="Unresolved Mention"/>
    <w:basedOn w:val="103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293</cp:revision>
  <dcterms:created xsi:type="dcterms:W3CDTF">2025-09-15T09:58:00Z</dcterms:created>
  <dcterms:modified xsi:type="dcterms:W3CDTF">2026-04-20T06:40:31Z</dcterms:modified>
</cp:coreProperties>
</file>