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540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540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275/2026/0584/VFI-CT.36.A</w:t>
                            </w:r>
                            <w:r>
                              <w:rPr>
                                <w:b/>
                              </w:rPr>
                            </w:r>
                            <w:r>
                              <w:rPr>
                                <w:b/>
                              </w:rPr>
                            </w:r>
                          </w:p>
                          <w:p>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 </w:t>
                            </w:r>
                            <w:r>
                              <w:rPr>
                                <w:rFonts w:ascii="Times New Roman Bold" w:hAnsi="Times New Roman Bold"/>
                                <w:b/>
                                <w:bCs/>
                                <w:color w:val="000000" w:themeColor="text1"/>
                                <w:lang w:val="pt-BR"/>
                              </w:rPr>
                            </w:r>
                            <w:r>
                              <w:rPr>
                                <w:rFonts w:ascii="Times New Roman Bold" w:hAnsi="Times New Roman Bold"/>
                                <w:b/>
                                <w:bCs/>
                                <w:color w:val="000000" w:themeColor="text1"/>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CÔNG TY CỔ PHẦN TẬP ĐOÀN VIETSOFTPRO</w:t>
                            </w:r>
                            <w:r>
                              <w:rPr>
                                <w:rFonts w:ascii="Times New Roman Bold" w:hAnsi="Times New Roman Bold"/>
                                <w:b/>
                                <w:bCs/>
                                <w:lang w:val="pt-BR"/>
                              </w:rPr>
                            </w:r>
                            <w:r>
                              <w:rPr>
                                <w:rFonts w:ascii="Times New Roman Bold" w:hAnsi="Times New Roman Bold"/>
                                <w:b/>
                                <w:bCs/>
                                <w:lang w:val="pt-BR"/>
                              </w:rPr>
                            </w:r>
                          </w:p>
                          <w:p>
                            <w:pPr>
                              <w:pBdr/>
                              <w:spacing w:after="120" w:before="120" w:line="360" w:lineRule="auto"/>
                              <w:ind/>
                              <w:jc w:val="both"/>
                              <w:rPr>
                                <w:bCs/>
                                <w:i/>
                                <w:iCs/>
                              </w:rPr>
                            </w:pPr>
                            <w:r>
                              <w:rPr>
                                <w:b/>
                              </w:rPr>
                              <w:t xml:space="preserve">Tài sản thẩm </w:t>
                            </w:r>
                            <w:r>
                              <w:rPr>
                                <w:b/>
                              </w:rPr>
                              <w:t xml:space="preserve">định: </w:t>
                            </w:r>
                            <w:r>
                              <w:rPr>
                                <w:b w:val="0"/>
                                <w:bCs w:val="0"/>
                              </w:rPr>
                              <w:t xml:space="preserve">Q</w:t>
                            </w:r>
                            <w:r>
                              <w:rPr>
                                <w:b w:val="0"/>
                                <w:bCs w:val="0"/>
                              </w:rPr>
                              <w:t xml:space="preserve">uyền sử dụng đất tại thửa đất số: 202, tờ bản đồ s</w:t>
                            </w:r>
                            <w:r>
                              <w:rPr>
                                <w:b w:val="0"/>
                                <w:bCs w:val="0"/>
                                <w:highlight w:val="white"/>
                              </w:rPr>
                              <w:t xml:space="preserve">ố </w:t>
                            </w:r>
                            <w:r>
                              <w:rPr>
                                <w:b w:val="0"/>
                                <w:bCs w:val="0"/>
                                <w:highlight w:val="white"/>
                              </w:rPr>
                              <w:t xml:space="preserve">4</w:t>
                            </w:r>
                            <w:r>
                              <w:rPr>
                                <w:b w:val="0"/>
                                <w:bCs w:val="0"/>
                                <w:highlight w:val="white"/>
                              </w:rPr>
                              <w:t xml:space="preserve"> </w:t>
                            </w:r>
                            <w:r>
                              <w:rPr>
                                <w:b w:val="0"/>
                                <w:bCs w:val="0"/>
                              </w:rPr>
                              <w:t xml:space="preserve">có địa chỉ: Khu 1B, phường Vân Phú, thành phố Việt Trì, tỉnh Phú Thọ (Nay là: Phường Vân Phú, tỉnh Phú Thọ) theo Giấy chứng nhận quyền sử dụng đất, quyền sở hữu tài sản gắn liền với đất số: AA 02358661</w:t>
                            </w:r>
                            <w:r>
                              <w:rPr>
                                <w:b w:val="0"/>
                                <w:bCs w:val="0"/>
                              </w:rPr>
                              <w:t xml:space="preserve">, số vào sổ cấp GCN: CN 893 do Chi nhánh văn phòng đăng kí đất đai Thành phố Việt Trì cấp ngày 02/6/2025; Chủ sử dụng đất là Ông Hoàng Quốc Việt.</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9.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275/2026/0584/VFI-CT.36.A</w:t>
                      </w:r>
                      <w:r>
                        <w:rPr>
                          <w:b/>
                        </w:rPr>
                      </w:r>
                      <w:r>
                        <w:rPr>
                          <w:b/>
                        </w:rPr>
                      </w:r>
                    </w:p>
                    <w:p>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 </w:t>
                      </w:r>
                      <w:r>
                        <w:rPr>
                          <w:rFonts w:ascii="Times New Roman Bold" w:hAnsi="Times New Roman Bold"/>
                          <w:b/>
                          <w:bCs/>
                          <w:color w:val="000000" w:themeColor="text1"/>
                          <w:lang w:val="pt-BR"/>
                        </w:rPr>
                      </w:r>
                      <w:r>
                        <w:rPr>
                          <w:rFonts w:ascii="Times New Roman Bold" w:hAnsi="Times New Roman Bold"/>
                          <w:b/>
                          <w:bCs/>
                          <w:color w:val="000000" w:themeColor="text1"/>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CÔNG TY CỔ PHẦN TẬP ĐOÀN VIETSOFTPRO</w:t>
                      </w:r>
                      <w:r>
                        <w:rPr>
                          <w:rFonts w:ascii="Times New Roman Bold" w:hAnsi="Times New Roman Bold"/>
                          <w:b/>
                          <w:bCs/>
                          <w:lang w:val="pt-BR"/>
                        </w:rPr>
                      </w:r>
                      <w:r>
                        <w:rPr>
                          <w:rFonts w:ascii="Times New Roman Bold" w:hAnsi="Times New Roman Bold"/>
                          <w:b/>
                          <w:bCs/>
                          <w:lang w:val="pt-BR"/>
                        </w:rPr>
                      </w:r>
                    </w:p>
                    <w:p>
                      <w:pPr>
                        <w:pBdr/>
                        <w:spacing w:after="120" w:before="120" w:line="360" w:lineRule="auto"/>
                        <w:ind/>
                        <w:jc w:val="both"/>
                        <w:rPr>
                          <w:bCs/>
                          <w:i/>
                          <w:iCs/>
                        </w:rPr>
                      </w:pPr>
                      <w:r>
                        <w:rPr>
                          <w:b/>
                        </w:rPr>
                        <w:t xml:space="preserve">Tài sản thẩm </w:t>
                      </w:r>
                      <w:r>
                        <w:rPr>
                          <w:b/>
                        </w:rPr>
                        <w:t xml:space="preserve">định: </w:t>
                      </w:r>
                      <w:r>
                        <w:rPr>
                          <w:b w:val="0"/>
                          <w:bCs w:val="0"/>
                        </w:rPr>
                        <w:t xml:space="preserve">Q</w:t>
                      </w:r>
                      <w:r>
                        <w:rPr>
                          <w:b w:val="0"/>
                          <w:bCs w:val="0"/>
                        </w:rPr>
                        <w:t xml:space="preserve">uyền sử dụng đất tại thửa đất số: 202, tờ bản đồ s</w:t>
                      </w:r>
                      <w:r>
                        <w:rPr>
                          <w:b w:val="0"/>
                          <w:bCs w:val="0"/>
                          <w:highlight w:val="white"/>
                        </w:rPr>
                        <w:t xml:space="preserve">ố </w:t>
                      </w:r>
                      <w:r>
                        <w:rPr>
                          <w:b w:val="0"/>
                          <w:bCs w:val="0"/>
                          <w:highlight w:val="white"/>
                        </w:rPr>
                        <w:t xml:space="preserve">4</w:t>
                      </w:r>
                      <w:r>
                        <w:rPr>
                          <w:b w:val="0"/>
                          <w:bCs w:val="0"/>
                          <w:highlight w:val="white"/>
                        </w:rPr>
                        <w:t xml:space="preserve"> </w:t>
                      </w:r>
                      <w:r>
                        <w:rPr>
                          <w:b w:val="0"/>
                          <w:bCs w:val="0"/>
                        </w:rPr>
                        <w:t xml:space="preserve">có địa chỉ: Khu 1B, phường Vân Phú, thành phố Việt Trì, tỉnh Phú Thọ (Nay là: Phường Vân Phú, tỉnh Phú Thọ) theo Giấy chứng nhận quyền sử dụng đất, quyền sở hữu tài sản gắn liền với đất số: AA 02358661</w:t>
                      </w:r>
                      <w:r>
                        <w:rPr>
                          <w:b w:val="0"/>
                          <w:bCs w:val="0"/>
                        </w:rPr>
                        <w:t xml:space="preserve">, số vào sổ cấp GCN: CN 893 do Chi nhánh văn phòng đăng kí đất đai Thành phố Việt Trì cấp ngày 02/6/2025; Chủ sử dụng đất là Ông Hoàng Quốc Việt.</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3966" w:type="dxa"/>
        <w:tblBorders/>
        <w:tblLayout w:type="fixed"/>
        <w:tblLook w:val="04A0" w:firstRow="1" w:lastRow="0" w:firstColumn="1" w:lastColumn="0" w:noHBand="0" w:noVBand="1"/>
      </w:tblPr>
      <w:tblGrid>
        <w:gridCol w:w="856"/>
        <w:gridCol w:w="781"/>
        <w:gridCol w:w="4122"/>
        <w:gridCol w:w="4084"/>
        <w:gridCol w:w="4124"/>
      </w:tblGrid>
      <w:tr>
        <w:trPr>
          <w:trHeight w:val="1152"/>
        </w:trPr>
        <w:tc>
          <w:tcPr>
            <w:gridSpan w:val="2"/>
            <w:tcBorders/>
            <w:tcW w:w="163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1233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903"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275/2026/0584/VFI-CT.36.A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15 tháng 4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tabs>
          <w:tab w:val="left" w:leader="none" w:pos="3002"/>
        </w:tabs>
        <w:spacing w:after="120" w:before="120" w:line="276" w:lineRule="auto"/>
        <w:ind/>
        <w:jc w:val="center"/>
        <w:rPr>
          <w:rFonts w:ascii="Times New Roman Bold" w:hAnsi="Times New Roman Bold"/>
          <w:b/>
          <w:bCs/>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TẬP ĐOÀN VIETSOFTPRO</w:t>
      </w:r>
      <w:r>
        <w:rPr>
          <w:rFonts w:ascii="Times New Roman Bold" w:hAnsi="Times New Roman Bold"/>
          <w:b/>
          <w:bCs/>
          <w:lang w:val="pt-BR"/>
        </w:rPr>
      </w:r>
      <w:r>
        <w:rPr>
          <w:rFonts w:ascii="Times New Roman Bold" w:hAnsi="Times New Roman Bold"/>
          <w:b/>
          <w:bCs/>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275/2026/0584/VFI-HĐTĐ.36.A</w:t>
      </w:r>
      <w:r>
        <w:rPr>
          <w:spacing w:val="-4"/>
          <w:lang w:val="vi-VN"/>
        </w:rPr>
        <w:t xml:space="preserve"> ký ngày </w:t>
      </w:r>
      <w:r>
        <w:rPr>
          <w:color w:val="000000" w:themeColor="text1"/>
          <w:spacing w:val="-4"/>
        </w:rPr>
        <w:t xml:space="preserve">9 tháng 4 năm 2026</w:t>
      </w:r>
      <w:r>
        <w:rPr>
          <w:spacing w:val="-4"/>
          <w:lang w:val="vi-VN"/>
        </w:rPr>
        <w:t xml:space="preserve"> </w:t>
      </w:r>
      <w:r>
        <w:rPr>
          <w:spacing w:val="-4"/>
          <w:lang w:val="vi-VN"/>
        </w:rPr>
        <w:t xml:space="preserve">giữa </w:t>
      </w:r>
      <w:r>
        <w:rPr>
          <w:color w:val="000000" w:themeColor="text1"/>
          <w:spacing w:val="-4"/>
        </w:rPr>
        <w:t xml:space="preserve">Công ty cổ phần Tập đoàn VIETSORTPRO</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275/2026/0584/VFI-BC.36.A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15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CÔNG TY CỔ PHẦN TẬP ĐOÀN VIETSOFTPRO</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themeColor="text1"/>
                <w:lang w:val="vi-VN"/>
              </w:rPr>
              <w:t xml:space="preserve">0102216907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themeColor="text1"/>
                <w:lang w:val="vi-VN"/>
              </w:rPr>
              <w:t xml:space="preserve">Số 12, ngõ 71 phố Láng Hạ, , Thành phố Hà Nội, Việt Nam</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b/>
                <w:bCs/>
                <w:color w:val="ff0000"/>
              </w:rPr>
            </w:pPr>
            <w:r>
              <w:rPr>
                <w:b/>
                <w:bCs/>
                <w:color w:val="000000" w:themeColor="text1"/>
                <w:lang w:val="vi-VN"/>
              </w:rPr>
              <w:t xml:space="preserve">Ông Hoàng Quốc Việt      Chức vụ: Tổng Giám đốc</w:t>
            </w:r>
            <w:r>
              <w:rPr>
                <w:b/>
                <w:bCs/>
                <w:color w:val="ff0000"/>
              </w:rPr>
            </w:r>
            <w:r>
              <w:rPr>
                <w:b/>
                <w:bCs/>
                <w:color w:val="ff0000"/>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b w:val="0"/>
          <w:bCs w:val="0"/>
        </w:rPr>
        <w:t xml:space="preserve">Q</w:t>
      </w:r>
      <w:r>
        <w:rPr>
          <w:b w:val="0"/>
          <w:bCs w:val="0"/>
        </w:rPr>
        <w:t xml:space="preserve">uyền sử dụng đất tại thửa đất số: 202, tờ bản đồ số 4 có địa chỉ: Khu 1B, phường Vân Phú, thành phố Việt Trì, tỉnh Phú Thọ (Nay là: Phường Vân Phú, tỉnh Phú Thọ) theo Giấy chứng nhận quyền sử dụng đất, quyền sở hữu tài sản gắn liền với đất số: AA 02358661</w:t>
      </w:r>
      <w:r>
        <w:rPr>
          <w:b w:val="0"/>
          <w:bCs w:val="0"/>
        </w:rPr>
        <w:t xml:space="preserve">, số vào sổ cấp GCN: CN 893 do Chi nhánh văn phòng đăng kí đất đai Thành phố Việt Trì cấp ngày 02/6/2025; Chủ sử dụng đất là Ông Hoàng Quốc Việt.</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r>
      <w:r>
        <w:rPr>
          <w:bCs/>
          <w:color w:val="000000" w:themeColor="text1"/>
          <w:spacing w:val="-4"/>
        </w:rPr>
        <w:t xml:space="preserve">Kết quả thẩm định giá xác định giá trị  tài sản đảm bảo để cấp tín dụng tại ngân hàng SHB</w:t>
      </w:r>
      <w:r>
        <w:rPr>
          <w:bCs/>
          <w:color w:val="000000" w:themeColor="text1"/>
          <w:spacing w:val="-4"/>
        </w:rPr>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5"/>
        <w:gridCol w:w="3402"/>
        <w:gridCol w:w="1559"/>
        <w:gridCol w:w="1843"/>
        <w:gridCol w:w="2127"/>
      </w:tblGrid>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402"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5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27"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803" w:type="dxa"/>
            <w:vAlign w:val="center"/>
            <w:textDirection w:val="lrTb"/>
            <w:noWrap w:val="false"/>
          </w:tcPr>
          <w:p>
            <w:pPr>
              <w:pBdr/>
              <w:spacing w:after="40" w:before="40" w:line="288" w:lineRule="auto"/>
              <w:ind/>
              <w:jc w:val="both"/>
              <w:rPr>
                <w:b/>
                <w:bCs/>
              </w:rPr>
            </w:pPr>
            <w:r>
              <w:rPr>
                <w:color w:val="000000"/>
              </w:rPr>
            </w:r>
            <w:r>
              <w:rPr>
                <w:b/>
                <w:bCs/>
              </w:rPr>
              <w:t xml:space="preserve">Q</w:t>
            </w:r>
            <w:r>
              <w:rPr>
                <w:b/>
                <w:bCs/>
              </w:rPr>
              <w:t xml:space="preserve">uyền sử dụng đất tại thửa đất số: 202, tờ bản đồ số 4 có địa chỉ: Khu 1B, phường Vân Phú, thành phố Việt Trì, tỉnh Phú Thọ (Nay là: Phường Vân Phú, tỉnh Phú Thọ) theo Giấy chứng nhận quyền sử dụng đất, quyền sở hữu tài sản gắn liền với đất số: AA 02358661</w:t>
            </w:r>
            <w:r>
              <w:rPr>
                <w:b/>
                <w:bCs/>
              </w:rPr>
              <w:t xml:space="preserve">, số vào sổ cấp GCN: CN 893 do Chi nhánh văn phòng đăng kí đất đai Thành phố Việt Trì cấp ngày 02/6/2025; Chủ sử dụng đất là Ông Hoàng Quốc Việt.</w:t>
            </w:r>
            <w:r>
              <w:rPr>
                <w:b/>
                <w:bCs/>
              </w:rPr>
            </w:r>
            <w:r>
              <w:rPr>
                <w:b/>
                <w:bCs/>
              </w:rPr>
            </w:r>
          </w:p>
        </w:tc>
        <w:tc>
          <w:tcPr>
            <w:shd w:val="clear" w:color="000000" w:fill="ffffff"/>
            <w:tcBorders/>
            <w:tcW w:w="2127"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617"/>
        </w:trPr>
        <w:tc>
          <w:tcPr>
            <w:shd w:val="clear" w:color="000000" w:fill="ffffff"/>
            <w:tcBorders/>
            <w:tcW w:w="595"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3402" w:type="dxa"/>
            <w:vAlign w:val="center"/>
            <w:textDirection w:val="lrTb"/>
            <w:noWrap w:val="false"/>
          </w:tcPr>
          <w:p>
            <w:pPr>
              <w:pBdr/>
              <w:spacing w:after="40" w:before="40" w:line="288" w:lineRule="auto"/>
              <w:ind/>
              <w:rPr>
                <w:b w:val="0"/>
                <w:bCs w:val="0"/>
              </w:rPr>
            </w:pPr>
            <w:r>
              <w:rPr>
                <w:b w:val="0"/>
                <w:bCs w:val="0"/>
              </w:rPr>
              <w:t xml:space="preserve">Đất ở tại đô thị nằm ngoài chỉ giới quy hoạch chung Đường giao thông</w:t>
            </w:r>
            <w:r>
              <w:rPr>
                <w:b w:val="0"/>
                <w:bCs w:val="0"/>
              </w:rPr>
            </w:r>
            <w:r>
              <w:rPr>
                <w:b w:val="0"/>
                <w:bCs w:val="0"/>
              </w:rPr>
            </w:r>
          </w:p>
        </w:tc>
        <w:tc>
          <w:tcPr>
            <w:tcBorders/>
            <w:tcW w:w="1559" w:type="dxa"/>
            <w:vAlign w:val="center"/>
            <w:textDirection w:val="lrTb"/>
            <w:noWrap/>
          </w:tcPr>
          <w:p>
            <w:pPr>
              <w:pBdr/>
              <w:spacing w:after="40" w:before="40" w:line="288" w:lineRule="auto"/>
              <w:ind/>
              <w:jc w:val="center"/>
              <w:rPr>
                <w:color w:val="000000"/>
              </w:rPr>
            </w:pPr>
            <w:r>
              <w:rPr>
                <w:color w:val="000000" w:themeColor="text1"/>
              </w:rPr>
              <w:t xml:space="preserve">156,8</w:t>
            </w:r>
            <w:r>
              <w:rPr>
                <w:color w:val="000000"/>
              </w:rPr>
            </w:r>
            <w:r>
              <w:rPr>
                <w:color w:val="000000"/>
              </w:rPr>
            </w:r>
          </w:p>
        </w:tc>
        <w:tc>
          <w:tcPr>
            <w:shd w:val="clear" w:color="000000" w:fill="ffffff"/>
            <w:tcBorders/>
            <w:tcW w:w="1843" w:type="dxa"/>
            <w:vAlign w:val="center"/>
            <w:textDirection w:val="lrTb"/>
            <w:noWrap w:val="false"/>
          </w:tcPr>
          <w:p>
            <w:pPr>
              <w:pBdr/>
              <w:spacing w:after="40" w:before="40" w:line="288" w:lineRule="auto"/>
              <w:ind/>
              <w:jc w:val="center"/>
              <w:rPr/>
            </w:pPr>
            <w:r>
              <w:rPr>
                <w:color w:val="000000" w:themeColor="text1"/>
              </w:rPr>
              <w:t xml:space="preserve">58.500.000</w:t>
            </w:r>
            <w:r/>
          </w:p>
        </w:tc>
        <w:tc>
          <w:tcPr>
            <w:shd w:val="clear" w:color="000000" w:fill="ffffff"/>
            <w:tcBorders/>
            <w:tcW w:w="2127" w:type="dxa"/>
            <w:vAlign w:val="center"/>
            <w:textDirection w:val="lrTb"/>
            <w:noWrap w:val="false"/>
          </w:tcPr>
          <w:p>
            <w:pPr>
              <w:pBdr/>
              <w:spacing w:after="40" w:before="40" w:line="288" w:lineRule="auto"/>
              <w:ind/>
              <w:jc w:val="center"/>
              <w:rPr/>
            </w:pPr>
            <w:r>
              <w:rPr>
                <w:color w:val="000000" w:themeColor="text1"/>
              </w:rPr>
            </w:r>
            <w:r>
              <w:rPr>
                <w:rFonts w:ascii="Times New Roman" w:hAnsi="Times New Roman" w:eastAsia="Times New Roman" w:cs="Times New Roman"/>
                <w:color w:val="000000"/>
                <w:sz w:val="24"/>
              </w:rPr>
              <w:t xml:space="preserve">9.172.800.000</w:t>
            </w:r>
            <w:r>
              <w:rPr>
                <w:color w:val="000000" w:themeColor="text1"/>
              </w:rPr>
            </w:r>
            <w:r/>
          </w:p>
        </w:tc>
      </w:tr>
      <w:tr>
        <w:trPr>
          <w:trHeight w:val="432"/>
        </w:trPr>
        <w:tc>
          <w:tcPr>
            <w:shd w:val="clear" w:color="000000" w:fill="ffffff"/>
            <w:tcBorders/>
            <w:tcW w:w="595" w:type="dxa"/>
            <w:vAlign w:val="center"/>
            <w:vMerge w:val="restart"/>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3402" w:type="dxa"/>
            <w:vAlign w:val="center"/>
            <w:vMerge w:val="restart"/>
            <w:textDirection w:val="lrTb"/>
            <w:noWrap w:val="false"/>
          </w:tcPr>
          <w:p>
            <w:pPr>
              <w:pBdr/>
              <w:spacing w:after="40" w:before="40" w:line="288" w:lineRule="auto"/>
              <w:ind/>
              <w:rPr>
                <w:b w:val="0"/>
                <w:bCs w:val="0"/>
              </w:rPr>
            </w:pPr>
            <w:r>
              <w:rPr>
                <w:b w:val="0"/>
                <w:bCs w:val="0"/>
              </w:rPr>
              <w:t xml:space="preserve">Đất ở tại đô thị nằm trong chỉ giới quy hoạch chung Đường giao thông</w:t>
            </w:r>
            <w:r>
              <w:rPr>
                <w:b w:val="0"/>
                <w:bCs w:val="0"/>
              </w:rPr>
            </w:r>
            <w:r>
              <w:rPr>
                <w:b w:val="0"/>
                <w:bCs w:val="0"/>
              </w:rPr>
            </w:r>
          </w:p>
        </w:tc>
        <w:tc>
          <w:tcPr>
            <w:tcBorders/>
            <w:tcW w:w="1559"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10,9</w:t>
            </w:r>
            <w:r>
              <w:rPr>
                <w:color w:val="000000" w:themeColor="text1"/>
              </w:rPr>
            </w:r>
            <w:r>
              <w:rPr>
                <w:color w:val="000000" w:themeColor="text1"/>
              </w:rPr>
            </w:r>
          </w:p>
        </w:tc>
        <w:tc>
          <w:tcPr>
            <w:shd w:val="clear" w:color="000000" w:fill="ffffff"/>
            <w:tcBorders/>
            <w:tcW w:w="1843"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25.000.000</w:t>
            </w:r>
            <w:r>
              <w:rPr>
                <w:color w:val="000000" w:themeColor="text1"/>
              </w:rPr>
            </w:r>
            <w:r>
              <w:rPr>
                <w:color w:val="000000" w:themeColor="text1"/>
              </w:rPr>
            </w:r>
          </w:p>
        </w:tc>
        <w:tc>
          <w:tcPr>
            <w:shd w:val="clear" w:color="000000" w:fill="ffffff"/>
            <w:tcBorders/>
            <w:tcW w:w="2127"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272.500.000</w:t>
            </w:r>
            <w:r>
              <w:rPr>
                <w:color w:val="000000" w:themeColor="text1"/>
              </w:rPr>
            </w:r>
            <w:r>
              <w:rPr>
                <w:color w:val="000000" w:themeColor="text1"/>
              </w:rPr>
            </w:r>
          </w:p>
        </w:tc>
      </w:tr>
      <w:tr>
        <w:trPr>
          <w:trHeight w:val="20"/>
        </w:trPr>
        <w:tc>
          <w:tcPr>
            <w:gridSpan w:val="4"/>
            <w:tcBorders/>
            <w:tcW w:w="739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27" w:type="dxa"/>
            <w:vAlign w:val="center"/>
            <w:textDirection w:val="lrTb"/>
            <w:noWrap/>
          </w:tcPr>
          <w:p>
            <w:pPr>
              <w:pBdr/>
              <w:spacing w:after="40" w:before="40" w:line="288" w:lineRule="auto"/>
              <w:ind/>
              <w:jc w:val="center"/>
              <w:rPr>
                <w:b/>
                <w:bCs/>
                <w:color w:val="000000"/>
              </w:rPr>
            </w:pPr>
            <w:r>
              <w:rPr>
                <w:rFonts w:ascii="Times New Roman" w:hAnsi="Times New Roman" w:eastAsia="Times New Roman" w:cs="Times New Roman"/>
                <w:b/>
                <w:bCs/>
                <w:color w:val="000000"/>
                <w:sz w:val="24"/>
              </w:rPr>
              <w:t xml:space="preserve">9.445.300.000</w:t>
            </w:r>
            <w:r>
              <w:rPr>
                <w:b/>
                <w:bCs/>
                <w:color w:val="000000"/>
              </w:rPr>
            </w:r>
            <w:r>
              <w:rPr>
                <w:b/>
                <w:bCs/>
                <w:color w:val="000000"/>
              </w:rPr>
            </w:r>
          </w:p>
        </w:tc>
      </w:tr>
      <w:tr>
        <w:trPr>
          <w:trHeight w:val="20"/>
        </w:trPr>
        <w:tc>
          <w:tcPr>
            <w:gridSpan w:val="4"/>
            <w:tcBorders/>
            <w:tcW w:w="7398"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27" w:type="dxa"/>
            <w:vAlign w:val="center"/>
            <w:textDirection w:val="lrTb"/>
            <w:noWrap/>
          </w:tcPr>
          <w:p>
            <w:pPr>
              <w:pBdr/>
              <w:spacing w:after="40" w:before="40" w:line="288" w:lineRule="auto"/>
              <w:ind/>
              <w:jc w:val="center"/>
              <w:rPr>
                <w:b/>
                <w:bCs/>
                <w:color w:val="000000"/>
              </w:rPr>
            </w:pPr>
            <w:r>
              <w:rPr>
                <w:b/>
                <w:bCs/>
                <w:color w:val="000000"/>
              </w:rPr>
            </w:r>
            <w:r>
              <w:rPr>
                <w:rFonts w:ascii="Times New Roman" w:hAnsi="Times New Roman" w:eastAsia="Times New Roman" w:cs="Times New Roman"/>
                <w:b/>
                <w:color w:val="000000"/>
                <w:sz w:val="24"/>
              </w:rPr>
              <w:t xml:space="preserve">9.445.000.000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rFonts w:ascii="Times New Roman" w:hAnsi="Times New Roman" w:eastAsia="Times New Roman" w:cs="Times New Roman"/>
                <w:b/>
                <w:i/>
                <w:color w:val="000000"/>
                <w:sz w:val="24"/>
              </w:rPr>
              <w:t xml:space="preserve">Chín tỷ bốn trăm bốn mươi</w:t>
            </w:r>
            <w:r>
              <w:rPr>
                <w:rFonts w:ascii="Times New Roman" w:hAnsi="Times New Roman" w:eastAsia="Times New Roman" w:cs="Times New Roman"/>
                <w:b/>
                <w:i/>
                <w:color w:val="000000"/>
                <w:sz w:val="24"/>
                <w:highlight w:val="white"/>
              </w:rPr>
              <w:t xml:space="preserve"> </w:t>
            </w:r>
            <w:r>
              <w:rPr>
                <w:rFonts w:ascii="Times New Roman" w:hAnsi="Times New Roman" w:eastAsia="Times New Roman" w:cs="Times New Roman"/>
                <w:b/>
                <w:i/>
                <w:color w:val="000000"/>
                <w:sz w:val="24"/>
                <w:highlight w:val="white"/>
              </w:rPr>
              <w:t xml:space="preserve">l</w:t>
            </w:r>
            <w:r>
              <w:rPr>
                <w:rFonts w:ascii="Times New Roman" w:hAnsi="Times New Roman" w:eastAsia="Times New Roman" w:cs="Times New Roman"/>
                <w:b/>
                <w:i/>
                <w:color w:val="000000"/>
                <w:sz w:val="24"/>
                <w:highlight w:val="white"/>
              </w:rPr>
              <w:t xml:space="preserve">ăm</w:t>
            </w:r>
            <w:r>
              <w:rPr>
                <w:rFonts w:ascii="Times New Roman" w:hAnsi="Times New Roman" w:eastAsia="Times New Roman" w:cs="Times New Roman"/>
                <w:b/>
                <w:i/>
                <w:color w:val="000000"/>
                <w:sz w:val="24"/>
              </w:rPr>
              <w:t xml:space="preserve">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right="0" w:firstLine="0" w:left="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275/2026/0584/VFI-BC.36.A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15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8"/>
              <w:pBdr/>
              <w:spacing w:after="60"/>
              <w:ind/>
              <w:rPr>
                <w:rStyle w:val="1027"/>
                <w:rFonts w:ascii="Times New Roman" w:hAnsi="Times New Roman"/>
                <w:color w:val="000000" w:themeColor="text1"/>
                <w:lang w:val="pt-BR"/>
              </w:rPr>
            </w:pPr>
            <w:r>
              <w:rPr>
                <w:rStyle w:val="1027"/>
                <w:rFonts w:ascii="Times New Roman" w:hAnsi="Times New Roman"/>
                <w:color w:val="000000" w:themeColor="text1"/>
                <w:lang w:val="pt-BR"/>
              </w:rPr>
            </w:r>
            <w:r>
              <w:rPr>
                <w:rStyle w:val="1027"/>
                <w:rFonts w:ascii="Times New Roman" w:hAnsi="Times New Roman"/>
                <w:color w:val="000000" w:themeColor="text1"/>
                <w:lang w:val="pt-BR"/>
              </w:rPr>
            </w:r>
            <w:r>
              <w:rPr>
                <w:rStyle w:val="1027"/>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8"/>
              <w:pBdr/>
              <w:spacing w:after="60"/>
              <w:ind w:right="-56"/>
              <w:rPr>
                <w:rStyle w:val="1027"/>
                <w:rFonts w:ascii="Times New Roman" w:hAnsi="Times New Roman"/>
                <w:i/>
                <w:color w:val="auto"/>
              </w:rPr>
            </w:pPr>
            <w:r>
              <w:rPr>
                <w:rFonts w:ascii="Times New Roman" w:hAnsi="Times New Roman"/>
                <w:i/>
                <w:color w:val="auto"/>
              </w:rPr>
            </w:r>
            <w:r>
              <w:rPr>
                <w:rStyle w:val="1027"/>
                <w:rFonts w:ascii="Times New Roman" w:hAnsi="Times New Roman"/>
                <w:i/>
                <w:color w:val="auto"/>
              </w:rPr>
            </w:r>
            <w:r>
              <w:rPr>
                <w:rStyle w:val="1027"/>
                <w:rFonts w:ascii="Times New Roman" w:hAnsi="Times New Roman"/>
                <w:i/>
                <w:color w:val="auto"/>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iCs/>
          <w:color w:val="000000" w:themeColor="text1"/>
          <w:spacing w:val="-6"/>
          <w:sz w:val="24"/>
          <w:szCs w:val="24"/>
          <w:lang w:val="pt-BR"/>
        </w:rPr>
        <w:t xml:space="preserve">275/2026/0584/VFI-CT.36.A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15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CÔNG TY CỔ PHẦN TẬP ĐOÀN VIETSOFTPRO</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themeColor="text1"/>
                <w:lang w:val="vi-VN"/>
              </w:rPr>
              <w:t xml:space="preserve">0102216907</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themeColor="text1"/>
                <w:lang w:val="vi-VN"/>
              </w:rPr>
              <w:t xml:space="preserve">Số 12, ngõ 71 phố Láng Hạ, , Thành phố Hà Nội, Việt Nam</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b/>
                <w:bCs/>
                <w:color w:val="ff0000"/>
              </w:rPr>
            </w:pPr>
            <w:r>
              <w:rPr>
                <w:b/>
                <w:bCs/>
                <w:color w:val="000000" w:themeColor="text1"/>
                <w:lang w:val="vi-VN"/>
              </w:rPr>
              <w:t xml:space="preserve">Ông Hoàng Quốc Việt      Chức vụ: Tổng Giám đốc</w:t>
            </w:r>
            <w:r>
              <w:rPr>
                <w:b/>
                <w:bCs/>
                <w:color w:val="ff0000"/>
              </w:rPr>
            </w:r>
            <w:r>
              <w:rPr>
                <w:b/>
                <w:bCs/>
                <w:color w:val="ff000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bCs/>
              </w:rPr>
            </w:pPr>
            <w:r>
              <w:rPr>
                <w:color w:val="000000"/>
              </w:rPr>
            </w:r>
            <w:r>
              <w:rPr>
                <w:b w:val="0"/>
                <w:bCs w:val="0"/>
              </w:rPr>
              <w:t xml:space="preserve">Q</w:t>
            </w:r>
            <w:r>
              <w:rPr>
                <w:b w:val="0"/>
                <w:bCs w:val="0"/>
              </w:rPr>
              <w:t xml:space="preserve">uyền sử dụng đất tại thửa đất số: 202, tờ bản đồ số 4 có địa chỉ: Khu 1B, phường Vân Phú, thành phố Việt Trì, tỉnh Phú Thọ (Nay là: Phường Vân Phú, tỉnh Phú Thọ) theo Giấy chứng nhận quyền sử dụng đất, quyền sở hữu tài sản gắn liền với đất số: AA 02358661</w:t>
            </w:r>
            <w:r>
              <w:rPr>
                <w:b w:val="0"/>
                <w:bCs w:val="0"/>
              </w:rPr>
              <w:t xml:space="preserve">, số vào sổ cấp GCN: CN 893 do Chi nhánh văn phòng đăng kí đất đai Thành phố Việt Trì cấp ngày 02/6/2025; Chủ sử dụng đất là Ông Hoàng Quốc Việt.</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r>
            <w:r>
              <w:rPr>
                <w:bCs/>
                <w:color w:val="000000" w:themeColor="text1"/>
                <w:spacing w:val="-4"/>
              </w:rPr>
              <w:t xml:space="preserve">Kết quả thẩm định giá xác định giá trị  tài sản đảm bảo để cấp tín dụng tại ngân hàng SHB</w:t>
            </w:r>
            <w:r>
              <w:rPr>
                <w:bCs/>
                <w:color w:val="000000" w:themeColor="text1"/>
                <w:spacing w:val="-4"/>
              </w:rPr>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Vân Phú, tỉnh Phú Thọ</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21.3506479, 105.3574864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highlight w:val="none"/>
          <w:lang w:val="pt-BR" w:bidi="pt-BR"/>
        </w:rPr>
      </w:r>
      <w:r>
        <w:rPr>
          <w:rFonts w:ascii="Times New Roman" w:hAnsi="Times New Roman" w:eastAsia="Times New Roman" w:cs="Times New Roman"/>
          <w:color w:val="000000"/>
          <w:spacing w:val="-4"/>
          <w:sz w:val="24"/>
        </w:rPr>
        <w:t xml:space="preserve">Quyết định số 425/QĐ-BXD ngày 30/3/2026 của Bộ Xây dựng về việc Công bố suất vốn đầu tư xây dựng công trình và giá xây dựng tổng hợp bộ phận kết cấu công trình năm 2025</w:t>
      </w:r>
      <w:r>
        <w:rPr>
          <w:spacing w:val="-4"/>
          <w:highlight w:val="none"/>
          <w:lang w:val="pt-BR" w:bidi="pt-BR"/>
        </w:rPr>
        <w:t xml:space="preserve">.</w:t>
      </w:r>
      <w:r>
        <w:rPr>
          <w:spacing w:val="-4"/>
          <w:lang w:val="pt-BR"/>
        </w:rPr>
      </w:r>
      <w:r>
        <w:rPr>
          <w:spacing w:val="-4"/>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highlight w:val="none"/>
          <w:lang w:val="pt-BR" w:bidi="pt-BR"/>
        </w:rPr>
        <w:t xml:space="preserve">Quyết định số 85/2025/NQ-HĐND ngày 30/12/2025 của Hội đồng nhân dân tỉnh Phú Thọ về Nghị quyết Quyết định Bảng giá đất lần đầu áp dụng từ ngày 01/01/2026 trên địa bàn tỉnh Phú Thọ;</w:t>
      </w:r>
      <w:r>
        <w:rPr>
          <w:spacing w:val="-4"/>
          <w:lang w:val="pt-BR"/>
        </w:rPr>
      </w:r>
      <w:r>
        <w:rPr>
          <w:spacing w:val="-4"/>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Giấy chứng nhận quyền sử dụng đất, quyền sở hữu tài sản gắn liền với đất số: AA 02358661</w:t>
      </w:r>
      <w:r>
        <w:rPr>
          <w:bCs/>
          <w:color w:val="000000" w:themeColor="text1"/>
          <w:lang w:val="pt-BR"/>
        </w:rPr>
        <w:t xml:space="preserve">, số vào sổ cấp GCN: CN 893 do Chi nhánh văn phòng đăng kí đất đai Thành phố Việt Trì cấp ngày 02/6/2025; Chủ sử dụng đất là Ông Hoàng Quốc Việt.</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lang w:val="pt-BR"/>
        </w:rPr>
        <w:t xml:space="preserve">275/2026/0584/VFI-HĐTĐ.36.A</w:t>
      </w:r>
      <w:r>
        <w:rPr>
          <w:color w:val="000000" w:themeColor="text1"/>
          <w:lang w:val="pt-BR"/>
        </w:rPr>
        <w:t xml:space="preserve"> ngày 09/04/2026 giữa Công ty cổ phần Tập đoàn VIETSOFTPRO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Thị trường đất nền Phú Thọ trong thời gian gần đây đang thu hút sự quan tâm lớn của giới đầu tư bất động sản, đặc biệt là các nhà đầu tư đến từ Hà Nội và các tỉnh lân cận. Với vị trí địa lý thuận lợi, nằm trong vùng trung du và miền nú</w:t>
      </w:r>
      <w:r>
        <w:rPr>
          <w:shd w:val="clear" w:color="auto" w:fill="ffffff"/>
        </w:rPr>
        <w:t xml:space="preserve">i phía Bắc, cách Hà Nội khoảng 80 km và có khả năng kết nối nhanh tới sân bay Nội Bài, Phú Thọ được đánh giá là địa phương có nhiều tiềm năng phát triển dài hạn về kinh tế – xã hội cũng như bất động sản.</w:t>
      </w:r>
      <w:r>
        <w:rPr>
          <w:iCs/>
        </w:rPr>
      </w:r>
      <w:r>
        <w:rPr>
          <w:iCs/>
        </w:rPr>
      </w:r>
    </w:p>
    <w:p>
      <w:pPr>
        <w:pBdr/>
        <w:tabs>
          <w:tab w:val="left" w:leader="none" w:pos="426"/>
        </w:tabs>
        <w:spacing w:after="120" w:before="120" w:line="276" w:lineRule="auto"/>
        <w:ind/>
        <w:jc w:val="both"/>
        <w:rPr/>
      </w:pPr>
      <w:r>
        <w:rPr>
          <w:shd w:val="clear" w:color="auto" w:fill="ffffff"/>
        </w:rPr>
        <w:t xml:space="preserve">Một trong những yếu tố quan trọng thúc đẩy thị trườn</w:t>
      </w:r>
      <w:r>
        <w:rPr>
          <w:shd w:val="clear" w:color="auto" w:fill="ffffff"/>
        </w:rPr>
        <w:t xml:space="preserve">g đất nền Phú Thọ là sự phát triển mạnh mẽ của hạ tầng giao thông. Các tuyến đường huyết mạch như cao tốc Nội Bài – Lào Cai, Quốc lộ 2, Quốc lộ 32C cùng hệ thống đường liên tỉnh, liên huyện ngày càng được đầu tư và hoàn thiện. Nhờ đó, khả năng kết nối giữa</w:t>
      </w:r>
      <w:r>
        <w:rPr>
          <w:shd w:val="clear" w:color="auto" w:fill="ffffff"/>
        </w:rPr>
        <w:t xml:space="preserve"> Phú Thọ với Hà Nội và các tỉnh trong vùng được cải thiện rõ rệt, góp phần làm gia tăng giá trị đất đai tại nhiều khu vực.</w:t>
      </w:r>
      <w:r/>
    </w:p>
    <w:p>
      <w:pPr>
        <w:pBdr/>
        <w:tabs>
          <w:tab w:val="left" w:leader="none" w:pos="426"/>
        </w:tabs>
        <w:spacing w:after="120" w:before="120" w:line="276" w:lineRule="auto"/>
        <w:ind/>
        <w:jc w:val="both"/>
        <w:rPr/>
      </w:pPr>
      <w:r>
        <w:rPr>
          <w:shd w:val="clear" w:color="auto" w:fill="ffffff"/>
        </w:rPr>
        <w:t xml:space="preserve">Bên cạnh hạ tầng giao thông, Phú Thọ cũng chú trọng phát triển các khu công nghiệp, khu đô thị mới và các cụm dịch vụ – thương mại. S</w:t>
      </w:r>
      <w:r>
        <w:rPr>
          <w:shd w:val="clear" w:color="auto" w:fill="ffffff"/>
        </w:rPr>
        <w:t xml:space="preserve">ự xuất hiện của các khu công nghiệp lớn đã thu hút lao động, chuyên gia và doanh nghiệp đến sinh sống, làm việc, từ đó làm tăng nhu cầu về nhà ở và đất nền. Đây được xem là động lực quan trọng giúp thị trường bất động sản, đặc biệt là phân khúc đất nền, du</w:t>
      </w:r>
      <w:r>
        <w:rPr>
          <w:shd w:val="clear" w:color="auto" w:fill="ffffff"/>
        </w:rPr>
        <w:t xml:space="preserve">y trì sức hút trong thời gian qua.</w:t>
      </w:r>
      <w:r/>
    </w:p>
    <w:p>
      <w:pPr>
        <w:pBdr/>
        <w:tabs>
          <w:tab w:val="left" w:leader="none" w:pos="426"/>
        </w:tabs>
        <w:spacing w:after="120" w:before="120" w:line="276" w:lineRule="auto"/>
        <w:ind/>
        <w:jc w:val="both"/>
        <w:rPr/>
      </w:pPr>
      <w:r>
        <w:rPr>
          <w:shd w:val="clear" w:color="auto" w:fill="ffffff"/>
        </w:rPr>
        <w:t xml:space="preserve">Ở các huyện và khu vực đang phát triển công nghiệp như Lâm Thao, Thanh Thủy, Hạ Hòa, mặt bằng giá đất nền thấp hơn so với Việt Trì, dao động khoảng từ 11 đến 14 triệu đồng/m². Đây được xem là những khu vực có dư địa tăng </w:t>
      </w:r>
      <w:r>
        <w:rPr>
          <w:shd w:val="clear" w:color="auto" w:fill="ffffff"/>
        </w:rPr>
        <w:t xml:space="preserve">trưởng trong trung và dài hạn, đặc biệt khi hạ tầng tiếp tục được đầu tư và các khu công nghiệp đi vào hoạt động ổn định.</w:t>
      </w:r>
      <w:r/>
    </w:p>
    <w:p>
      <w:pPr>
        <w:pBdr/>
        <w:tabs>
          <w:tab w:val="left" w:leader="none" w:pos="426"/>
        </w:tabs>
        <w:spacing w:after="120" w:before="120" w:line="276" w:lineRule="auto"/>
        <w:ind/>
        <w:jc w:val="both"/>
        <w:rPr/>
      </w:pPr>
      <w:r>
        <w:rPr>
          <w:shd w:val="clear" w:color="auto" w:fill="ffffff"/>
        </w:rPr>
        <w:t xml:space="preserve">Về nguồn cung, bài viết nhận định rằng quỹ đất nền có pháp lý rõ ràng, quy hoạch bài bản tại Phú Thọ đang dần trở nên khan hiếm. Nguyê</w:t>
      </w:r>
      <w:r>
        <w:rPr>
          <w:shd w:val="clear" w:color="auto" w:fill="ffffff"/>
        </w:rPr>
        <w:t xml:space="preserve">n nhân đến từ việc siết chặt quản lý đất đai, hạn chế phân lô bán nền tràn lan, cùng với nhu cầu đầu tư ngày càng tăng. Điều này được dự báo sẽ tạo áp lực tăng giá trong thời gian tới, nhất là đối với những khu vực có vị trí tốt và hạ tầng hoàn chỉnh.</w:t>
        <w:br/>
        <w:t xml:space="preserve">Tuy </w:t>
      </w:r>
      <w:r>
        <w:rPr>
          <w:shd w:val="clear" w:color="auto" w:fill="ffffff"/>
        </w:rPr>
        <w:t xml:space="preserve">nhiên, bài viết cũng đưa ra khuyến nghị rằng nhà đầu tư cần thận trọng, tránh chạy theo tâm lý đám đông hoặc các cơn “sốt đất” ngắn hạn do tin đồn quy hoạch. Việc tìm hiểu kỹ thông tin pháp lý, quy hoạch sử dụng đất, tiềm năng phát triển thực tế của khu vự</w:t>
      </w:r>
      <w:r>
        <w:rPr>
          <w:shd w:val="clear" w:color="auto" w:fill="ffffff"/>
        </w:rPr>
        <w:t xml:space="preserve">c và khả năng tài chính cá nhân là yếu tố then chốt để đầu tư hiệu quả và bền vững.</w:t>
      </w:r>
      <w:r/>
    </w:p>
    <w:p>
      <w:pPr>
        <w:pBdr/>
        <w:tabs>
          <w:tab w:val="left" w:leader="none" w:pos="426"/>
        </w:tabs>
        <w:spacing w:after="120" w:before="120" w:line="276" w:lineRule="auto"/>
        <w:ind/>
        <w:jc w:val="both"/>
        <w:rPr/>
      </w:pPr>
      <w:r>
        <w:rPr>
          <w:shd w:val="clear" w:color="auto" w:fill="ffffff"/>
        </w:rPr>
        <w:t xml:space="preserve">Tổng thể, thị trường đất nền Phú Thọ đang sở hữu nhiều yếu tố tích cực như hạ tầng phát triển, giá còn tương đối “mềm” so với các tỉnh giáp Hà Nội và tiềm năng tăng trưởng </w:t>
      </w:r>
      <w:r>
        <w:rPr>
          <w:shd w:val="clear" w:color="auto" w:fill="ffffff"/>
        </w:rPr>
        <w:t xml:space="preserve">dài hạn. Tuy vậy, để đạt được hiệu quả đầu tư tốt, nhà đầu tư cần có tầm nhìn dài hạn, lựa chọn khu vực phù hợp và quản trị rủi ro một cách cẩn trọng.</w:t>
      </w:r>
      <w:r/>
    </w:p>
    <w:p>
      <w:pPr>
        <w:pBdr/>
        <w:tabs>
          <w:tab w:val="left" w:leader="none" w:pos="426"/>
        </w:tabs>
        <w:spacing w:after="120" w:before="120" w:line="276" w:lineRule="auto"/>
        <w:ind/>
        <w:jc w:val="center"/>
        <w:rPr/>
      </w:pPr>
      <w:r>
        <w:rPr>
          <w:shd w:val="clear" w:color="auto" w:fill="ffffff"/>
        </w:rPr>
      </w:r>
      <w:r>
        <w:rPr>
          <w:shd w:val="clear" w:color="auto" w:fill="ffffff"/>
        </w:rPr>
        <w:t xml:space="preserve">(Nguồn: https://onehousing.vn/blog/tong-quan-tinh-hinh-thi-truong-dat-nen-phu-tho-cap-nhat-moi-nhat-n17t)</w:t>
      </w:r>
      <w:r>
        <w:rPr>
          <w:iCs/>
        </w:rPr>
      </w: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5"/>
        <w:gridCol w:w="2320"/>
        <w:gridCol w:w="2038"/>
        <w:gridCol w:w="2438"/>
        <w:gridCol w:w="2404"/>
      </w:tblGrid>
      <w:tr>
        <w:trPr>
          <w:trHeight w:val="1442"/>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I.</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00"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202, tờ bản đồ số 4 có địa chỉ: Khu 1B, phường Vân Phú, thành phố Việt Trì, tỉnh Phú Thọ (Nay là: Phường Vân Phú, tỉnh Phú Thọ) theo Giấy chứng nhận quyền sử dụng đất, quyền sở hữu tài sản gắn liền với đất số: AA 0235866</w:t>
            </w:r>
            <w:r>
              <w:rPr>
                <w:rFonts w:ascii="Times New Roman" w:hAnsi="Times New Roman" w:eastAsia="Times New Roman" w:cs="Times New Roman"/>
                <w:b/>
                <w:color w:val="000000"/>
                <w:sz w:val="24"/>
              </w:rPr>
              <w:t xml:space="preserve">1, số vào sổ cấp GCN: CN 893 do Chi nhánh văn phòng đăng kí đất đai Thành phố Việt Trì cấp ngày 02/6/2025; Chủ sử dụng đất là Ông Hoàng Quốc Việt.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202</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Khu 1B, phường Vân Phú, thành phố Việt Trì, tỉnh Phú Thọ (Nay là: Phường Vân Phú, tỉnh Phú Thọ)</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6" w:space="0"/>
              <w:right w:val="single" w:color="000000" w:sz="6"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167,7</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518"/>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Nhận chuyển nhượng đất được công nhận QSDĐ như giao đất có thu tiền sử dụng đất</w:t>
            </w:r>
            <w:r/>
          </w:p>
        </w:tc>
      </w:tr>
      <w:tr>
        <w:trPr>
          <w:trHeight w:val="835"/>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tại trang 2 của GCN AA 02358661, tổ thẩm định nhận thấy có khoảng 10,9m2 đất nằm trong chỉ giới quy hoạch chung Đường giao thông.</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nhựa có vỉa hè 2 bên</w:t>
            </w:r>
            <w:r/>
          </w:p>
        </w:tc>
        <w:tc>
          <w:tcPr>
            <w:tcBorders>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1240"/>
        </w:trPr>
        <w:tc>
          <w:tcPr>
            <w:tcBorders>
              <w:left w:val="single" w:color="000000" w:sz="6" w:space="0"/>
              <w:bottom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22m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22m</w:t>
            </w:r>
            <w:r/>
          </w:p>
        </w:tc>
      </w:tr>
      <w:tr>
        <w:trPr>
          <w:trHeight w:val="72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8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trên mặt đường Đại lộ Hùng Vương.</w:t>
            </w:r>
            <w:r/>
          </w:p>
        </w:tc>
      </w:tr>
      <w:tr>
        <w:trPr>
          <w:trHeight w:val="73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80"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Tây Nam: tiếp giáp với đường nhựa rộng 22m;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Các hướng còn lại: tiếp giáp với thửa đất khác.</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21.361168637600336, 105.3502333241515</w:t>
            </w:r>
            <w:r/>
          </w:p>
        </w:tc>
      </w:tr>
      <w:tr>
        <w:trPr>
          <w:trHeight w:val="3958"/>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568865" cy="292046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71976" name=""/>
                              <pic:cNvPicPr>
                                <a:picLocks noChangeAspect="1"/>
                              </pic:cNvPicPr>
                              <pic:nvPr/>
                            </pic:nvPicPr>
                            <pic:blipFill rotWithShape="1">
                              <a:blip r:embed="rId17"/>
                              <a:stretch/>
                            </pic:blipFill>
                            <pic:spPr bwMode="auto">
                              <a:xfrm flipH="0" flipV="0">
                                <a:off x="0" y="0"/>
                                <a:ext cx="5568865" cy="29204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8.49pt;height:229.96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6" w:space="0"/>
              <w:right w:val="single" w:color="000000" w:sz="6"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167,7</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6" w:space="0"/>
              <w:right w:val="single" w:color="000000" w:sz="6"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5,01</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31,3</w:t>
            </w:r>
            <w:r/>
          </w:p>
        </w:tc>
      </w:tr>
      <w:tr>
        <w:trPr>
          <w:trHeight w:val="275"/>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6" w:space="0"/>
              <w:right w:val="single" w:color="000000" w:sz="6"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Vuông vức</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Tây Nam</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6" w:space="0"/>
              <w:right w:val="single" w:color="000000" w:sz="6"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13"/>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Tài sản gắn liền với đất</w:t>
            </w:r>
            <w:r/>
          </w:p>
        </w:tc>
      </w:tr>
      <w:tr>
        <w:trPr>
          <w:trHeight w:val="261"/>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00" w:type="dxa"/>
            <w:vAlign w:val="top"/>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 Đất trống</w:t>
            </w:r>
            <w:r/>
          </w:p>
        </w:tc>
      </w:tr>
    </w:tbl>
    <w:p>
      <w:pPr>
        <w:pBdr/>
        <w:spacing w:line="235" w:lineRule="auto"/>
        <w:ind w:left="0"/>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w:t>
      </w:r>
      <w:r>
        <w:rPr>
          <w:b/>
          <w:bCs/>
          <w:shd w:val="clear" w:color="auto" w:fill="ffffff"/>
        </w:rPr>
        <w:t xml:space="preserve">thực trạng và pháp lý tài sả</w:t>
      </w:r>
      <w:r>
        <w:rPr>
          <w:b/>
          <w:bCs/>
          <w:shd w:val="clear" w:color="auto" w:fill="ffffff"/>
        </w:rPr>
        <w:t xml:space="preserve">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3"/>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w:t>
            </w:r>
            <w:r/>
          </w:p>
        </w:tc>
        <w:tc>
          <w:tcPr>
            <w:tcBorders/>
            <w:tcW w:w="1560" w:type="dxa"/>
            <w:vAlign w:val="center"/>
            <w:textDirection w:val="lrTb"/>
            <w:noWrap w:val="false"/>
          </w:tcPr>
          <w:p>
            <w:pPr>
              <w:pBdr/>
              <w:spacing/>
              <w:ind/>
              <w:jc w:val="center"/>
              <w:rPr/>
            </w:pPr>
            <w:r>
              <w:t xml:space="preserve">Khu 1B, phường Vân Phú, Thành phố Việt Trì, tỉnh Phú Thọ </w:t>
            </w:r>
            <w:r/>
          </w:p>
        </w:tc>
        <w:tc>
          <w:tcPr>
            <w:tcBorders/>
            <w:tcW w:w="1605" w:type="dxa"/>
            <w:vAlign w:val="center"/>
            <w:textDirection w:val="lrTb"/>
            <w:noWrap w:val="false"/>
          </w:tcPr>
          <w:p>
            <w:pPr>
              <w:pBdr/>
              <w:spacing/>
              <w:ind/>
              <w:jc w:val="center"/>
              <w:rPr/>
            </w:pPr>
            <w:r>
              <w:t xml:space="preserve">Phường Vân Phú, tỉnh Phú Thọ </w:t>
            </w:r>
            <w:r>
              <w:t xml:space="preserve">✔</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Thay đổi địa giới hành chính</w:t>
            </w: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2</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Địa chỉ thực tế</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 Khu 1B, Phường Vân Phú, Thành phố Việt Trì, Tỉnh Phú Thọ</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Tài sản nằm trên mặt đường Đại lộ Hùng Vương, Khu 1B, Phường Vân Phú, tỉnh Phú Thọ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none"/>
              </w:rPr>
              <w:t xml:space="preserve">Có</w:t>
            </w:r>
            <w:r>
              <w:rPr>
                <w:highlight w:val="white"/>
              </w:rPr>
            </w:r>
            <w:r>
              <w:rPr>
                <w:highlight w:val="white"/>
              </w:rPr>
            </w:r>
          </w:p>
        </w:tc>
        <w:tc>
          <w:tcPr>
            <w:tcBorders/>
            <w:tcW w:w="2149" w:type="dxa"/>
            <w:vAlign w:val="center"/>
            <w:textDirection w:val="lrTb"/>
            <w:noWrap w:val="false"/>
          </w:tcPr>
          <w:p>
            <w:pPr>
              <w:pBdr/>
              <w:spacing/>
              <w:ind/>
              <w:jc w:val="center"/>
              <w:rPr/>
            </w:pPr>
            <w:r>
              <w:t xml:space="preserve">Thay đổi địa giới hành chính</w:t>
            </w:r>
            <w:r/>
          </w:p>
          <w:p>
            <w:pPr>
              <w:pBdr/>
              <w:spacing/>
              <w:ind/>
              <w:jc w:val="center"/>
              <w:rPr>
                <w:highlight w:val="yellow"/>
              </w:rPr>
            </w:pPr>
            <w:r>
              <w:rPr>
                <w:highlight w:val="yellow"/>
              </w:rPr>
            </w:r>
            <w:r>
              <w:rPr>
                <w:highlight w:val="yellow"/>
              </w:rPr>
            </w:r>
            <w:r>
              <w:rPr>
                <w:highlight w:val="yellow"/>
              </w:rP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highlight w:val="yellow"/>
              </w:rPr>
            </w:pPr>
            <w:r>
              <w:rPr>
                <w:highlight w:val="yellow"/>
              </w:rPr>
            </w:r>
            <w:r>
              <w:t xml:space="preserve">Giấy chứng nhận quyền sử dụng đất, quyền sở hữu tài sản gắn liền với đất</w:t>
            </w:r>
            <w:r>
              <w:rPr>
                <w:highlight w:val="yellow"/>
              </w:rPr>
            </w:r>
            <w:r>
              <w:rPr>
                <w:highlight w:val="yellow"/>
              </w:rPr>
            </w:r>
          </w:p>
        </w:tc>
        <w:tc>
          <w:tcPr>
            <w:tcBorders/>
            <w:tcW w:w="1605"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371" w:type="dxa"/>
            <w:vAlign w:val="center"/>
            <w:textDirection w:val="lrTb"/>
            <w:noWrap w:val="false"/>
          </w:tcPr>
          <w:p>
            <w:pPr>
              <w:pBdr/>
              <w:spacing/>
              <w:ind/>
              <w:jc w:val="center"/>
              <w:rPr>
                <w:highlight w:val="yellow"/>
              </w:rPr>
            </w:pPr>
            <w:r>
              <w:rPr>
                <w:highlight w:val="none"/>
              </w:rPr>
              <w:t xml:space="preserve">Không</w:t>
            </w:r>
            <w:r>
              <w:rPr>
                <w:highlight w:val="yellow"/>
              </w:rPr>
            </w:r>
            <w:r>
              <w:rPr>
                <w:highlight w:val="yellow"/>
              </w:rP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167,7</w:t>
            </w:r>
            <w:r/>
          </w:p>
        </w:tc>
        <w:tc>
          <w:tcPr>
            <w:tcBorders/>
            <w:tcW w:w="1605" w:type="dxa"/>
            <w:vAlign w:val="center"/>
            <w:textDirection w:val="lrTb"/>
            <w:noWrap w:val="false"/>
          </w:tcPr>
          <w:p>
            <w:pPr>
              <w:pBdr/>
              <w:spacing/>
              <w:ind/>
              <w:jc w:val="center"/>
              <w:rPr/>
            </w:pPr>
            <w:r>
              <w:t xml:space="preserve">167,7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5,01</w:t>
            </w:r>
            <w:r/>
          </w:p>
        </w:tc>
        <w:tc>
          <w:tcPr>
            <w:tcBorders/>
            <w:tcW w:w="1605" w:type="dxa"/>
            <w:vAlign w:val="center"/>
            <w:textDirection w:val="lrTb"/>
            <w:noWrap w:val="false"/>
          </w:tcPr>
          <w:p>
            <w:pPr>
              <w:pBdr/>
              <w:spacing/>
              <w:ind/>
              <w:jc w:val="center"/>
              <w:rPr/>
            </w:pPr>
            <w:r>
              <w:t xml:space="preserve">5,01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31,3</w:t>
            </w:r>
            <w:r/>
          </w:p>
        </w:tc>
        <w:tc>
          <w:tcPr>
            <w:tcBorders/>
            <w:tcW w:w="1605" w:type="dxa"/>
            <w:vAlign w:val="center"/>
            <w:textDirection w:val="lrTb"/>
            <w:noWrap w:val="false"/>
          </w:tcPr>
          <w:p>
            <w:pPr>
              <w:pBdr/>
              <w:spacing/>
              <w:ind/>
              <w:jc w:val="center"/>
              <w:rPr/>
            </w:pPr>
            <w:r>
              <w:t xml:space="preserve">31,3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Tây Nam</w:t>
            </w:r>
            <w:r/>
          </w:p>
        </w:tc>
        <w:tc>
          <w:tcPr>
            <w:tcBorders/>
            <w:tcW w:w="1605" w:type="dxa"/>
            <w:vAlign w:val="center"/>
            <w:textDirection w:val="lrTb"/>
            <w:noWrap w:val="false"/>
          </w:tcPr>
          <w:p>
            <w:pPr>
              <w:pBdr/>
              <w:spacing/>
              <w:ind/>
              <w:jc w:val="center"/>
              <w:rPr/>
            </w:pPr>
            <w:r>
              <w:t xml:space="preserve">Tây Nam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t xml:space="preserve">Tại trang 2 mục 4. Sơ đồ thửa đất của GCN số </w:t>
      </w:r>
      <w:r>
        <w:rPr>
          <w:spacing w:val="-2"/>
          <w:highlight w:val="none"/>
          <w:lang w:val="pt-BR" w:bidi="pt-BR"/>
        </w:rPr>
        <w:t xml:space="preserve">AA 02358661</w:t>
      </w:r>
      <w:r>
        <w:rPr>
          <w:spacing w:val="-2"/>
          <w:highlight w:val="none"/>
          <w:lang w:val="pt-BR" w:bidi="pt-BR"/>
        </w:rPr>
        <w:t xml:space="preserve">, tổ thẩm định nhận thấy có khoảng 10,9</w:t>
      </w:r>
      <w:r>
        <w:rPr>
          <w:rFonts w:ascii="Times New Roman" w:hAnsi="Times New Roman" w:eastAsia="Times New Roman" w:cs="Times New Roman"/>
          <w:color w:val="000000"/>
          <w:sz w:val="24"/>
        </w:rPr>
        <w:t xml:space="preserve">m²</w:t>
      </w:r>
      <w:r>
        <w:rPr>
          <w:spacing w:val="-2"/>
          <w:highlight w:val="none"/>
          <w:lang w:val="pt-BR" w:bidi="pt-BR"/>
        </w:rPr>
        <w:t xml:space="preserve"> nằm trong chỉ giới quy hoạch chung Đường giao thông. </w:t>
      </w:r>
      <w:r>
        <w:rPr>
          <w:rFonts w:ascii="Times New Roman" w:hAnsi="Times New Roman" w:eastAsia="Times New Roman" w:cs="Times New Roman"/>
          <w:color w:val="000000"/>
          <w:sz w:val="24"/>
        </w:rPr>
        <w:t xml:space="preserve">Hiện nay chưa có thông báo thu hồi đất/quyết định thu hồi đất/phương án giải tỏa bồi thường. Theo đề nghị của Ngân hàng/Khách hàng, tổ thẩm định xác định giá trị tài sản theo thông tin quy hoạch nêu trên. Đối với diện tích nằm ngoài chỉ giới tổ thẩm định </w:t>
      </w:r>
      <w:r>
        <w:rPr>
          <w:rFonts w:ascii="Times New Roman" w:hAnsi="Times New Roman" w:eastAsia="Times New Roman" w:cs="Times New Roman"/>
          <w:color w:val="000000"/>
          <w:sz w:val="24"/>
        </w:rPr>
        <w:t xml:space="preserve">đánh giá theo giá trị thị trường, đối với phần nằm trong chỉ giới tổ thẩm định đánh giá theo giá UBND từng thời kỳ, giá trị đền bù thực tế còn phụ thuộc vào thỏa thuận các bên tại thời điểm Nhà nước giải phóng mặt bằng thực hiện quy hoạch. Đề nghị đơn vị </w:t>
      </w:r>
      <w:r>
        <w:rPr>
          <w:rFonts w:ascii="Times New Roman" w:hAnsi="Times New Roman" w:eastAsia="Times New Roman" w:cs="Times New Roman"/>
          <w:color w:val="000000"/>
          <w:sz w:val="24"/>
        </w:rPr>
        <w:t xml:space="preserve">sử dụng k</w:t>
      </w:r>
      <w:r>
        <w:rPr>
          <w:rFonts w:ascii="Times New Roman" w:hAnsi="Times New Roman" w:eastAsia="Times New Roman" w:cs="Times New Roman"/>
          <w:color w:val="000000"/>
          <w:sz w:val="24"/>
        </w:rPr>
        <w:t xml:space="preserve">ết quả lưu ý kiểm tra xác minh thêm thông tin quy hoạch nếu thấy cần thiết. Trong trường hợp Khách hàng/Ngân hàng cung cấp được Văn bản xác nhận rõ phần diện tích thuộc chỉ giới quy hoạch mà có sự sai khác so với số liệu nêu trên thì kết quả thẩm định giá </w:t>
      </w:r>
      <w:r>
        <w:rPr>
          <w:rFonts w:ascii="Times New Roman" w:hAnsi="Times New Roman" w:eastAsia="Times New Roman" w:cs="Times New Roman"/>
          <w:color w:val="000000"/>
          <w:sz w:val="24"/>
        </w:rPr>
        <w:t xml:space="preserve">cần được xem xét, điều chỉnh phù hợp, chúng tôi bảo lưu quyền xem xét lại kết quả thẩm định giá</w:t>
      </w:r>
      <w:r>
        <w:rPr>
          <w:spacing w:val="-2"/>
          <w:highlight w:val="none"/>
          <w:lang w:val="pt-BR" w:bidi="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 nằm ngoài chỉ giới quy hoạch chung Đường giao thông</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2409"/>
        <w:gridCol w:w="1630"/>
        <w:gridCol w:w="1630"/>
        <w:gridCol w:w="1630"/>
        <w:gridCol w:w="1630"/>
      </w:tblGrid>
      <w:tr>
        <w:trPr>
          <w:trHeight w:val="3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2409"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0" w:type="dxa"/>
              <w:top w:w="0" w:type="dxa"/>
              <w:right w:w="0" w:type="dxa"/>
              <w:bottom w:w="0" w:type="dxa"/>
            </w:tcMar>
            <w:tcW w:w="1630"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0" w:type="dxa"/>
              <w:top w:w="0" w:type="dxa"/>
              <w:right w:w="0" w:type="dxa"/>
              <w:bottom w:w="0" w:type="dxa"/>
            </w:tcMar>
            <w:tcW w:w="1630"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0" w:type="dxa"/>
              <w:top w:w="0" w:type="dxa"/>
              <w:right w:w="0" w:type="dxa"/>
              <w:bottom w:w="0" w:type="dxa"/>
            </w:tcMar>
            <w:tcW w:w="1630"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2409"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0" w:type="dxa"/>
              <w:top w:w="0" w:type="dxa"/>
              <w:right w:w="0" w:type="dxa"/>
              <w:bottom w:w="0" w:type="dxa"/>
            </w:tcMar>
            <w:tcW w:w="1630"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96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r>
            <w:commentRangeStart w:id="0"/>
            <w:r>
              <w:rPr>
                <w:rFonts w:ascii="Times New Roman" w:hAnsi="Times New Roman" w:eastAsia="Times New Roman" w:cs="Times New Roman"/>
                <w:color w:val="000000"/>
                <w:sz w:val="22"/>
              </w:rPr>
              <w:t xml:space="preserve">Địa chỉ</w:t>
            </w:r>
            <w:commentRangeEnd w:id="0"/>
            <w:r>
              <w:commentReference w:id="0"/>
            </w:r>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trên mặt đường Đại lộ Hùng Vương, Khu 1B, Phường Vân Phú, tỉnh Phú Thọ</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Vân Phú, Tỉnh Phú Thọ</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số nhà 3585, Khu 4B, Đường Hùng Vương, Phường Vân Phú, tỉnh Phú Thọ</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4A, Đường Hùng Vương, Phường Vân Phú, tỉnh Phú Thọ</w:t>
            </w:r>
            <w:r/>
          </w:p>
        </w:tc>
      </w:tr>
      <w:tr>
        <w:trPr>
          <w:trHeight w:val="140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https://www.facebook.com/groups/batdongsanvietriphutho/posts/4243926785938082/</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https://www.facebook.com/groups/543432556201285/posts/2091485481395977/</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0876222234 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0944264850</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0964938691</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04/2026</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04/2026</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04/2026</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Giấy chứng nhận quyền sử dụng đất, quyền sở hữu tài sản gắn liền với đất</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Giấy chứng nhận quyền sử dụng đất</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G</w:t>
            </w:r>
            <w:r>
              <w:rPr>
                <w:rFonts w:ascii="Times New Roman" w:hAnsi="Times New Roman" w:eastAsia="Times New Roman" w:cs="Times New Roman"/>
                <w:color w:val="000000"/>
                <w:sz w:val="22"/>
                <w:highlight w:val="white"/>
              </w:rPr>
              <w:t xml:space="preserve">iấy chứng nhận quyền sử dụng đất</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G</w:t>
            </w:r>
            <w:r>
              <w:rPr>
                <w:rFonts w:ascii="Times New Roman" w:hAnsi="Times New Roman" w:eastAsia="Times New Roman" w:cs="Times New Roman"/>
                <w:color w:val="000000"/>
                <w:sz w:val="22"/>
                <w:highlight w:val="white"/>
              </w:rPr>
              <w:t xml:space="preserve">iấy chứng nhận quyền sử dụng đất</w:t>
            </w:r>
            <w:r>
              <w:rPr>
                <w:highlight w:val="white"/>
              </w:rPr>
            </w:r>
            <w:r>
              <w:rPr>
                <w:highlight w:val="white"/>
              </w:rP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252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trên mặt đường Đại lộ Hùng Vương, Phường Vân Phú, </w:t>
            </w:r>
            <w:r>
              <w:rPr>
                <w:rFonts w:ascii="Times New Roman" w:hAnsi="Times New Roman" w:eastAsia="Times New Roman" w:cs="Times New Roman"/>
                <w:color w:val="000000"/>
                <w:sz w:val="22"/>
              </w:rPr>
              <w:t xml:space="preserve"> Tỉnh Phú Thọ</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trên mặt đường Đại lộ Hùng Vương, Phường Vân Phú, </w:t>
            </w:r>
            <w:r>
              <w:rPr>
                <w:rFonts w:ascii="Times New Roman" w:hAnsi="Times New Roman" w:eastAsia="Times New Roman" w:cs="Times New Roman"/>
                <w:color w:val="000000"/>
                <w:sz w:val="22"/>
              </w:rPr>
              <w:t xml:space="preserve">Tỉnh Phú Thọ</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trên mặt đường Đại lộ Hùng Vương, số nhà 3585, Khu 4B, Đường Hùng Vương, Phường Vân Phú, </w:t>
            </w:r>
            <w:r>
              <w:rPr>
                <w:rFonts w:ascii="Times New Roman" w:hAnsi="Times New Roman" w:eastAsia="Times New Roman" w:cs="Times New Roman"/>
                <w:color w:val="000000"/>
                <w:sz w:val="22"/>
              </w:rPr>
              <w:t xml:space="preserve">Tỉnh Phú Thọ</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trên mặt đường Đại lộ Hùng Vương,  Khu 4A, Đường Hùng Vương, Phường Vân Phú,</w:t>
            </w:r>
            <w:r>
              <w:rPr>
                <w:rFonts w:ascii="Times New Roman" w:hAnsi="Times New Roman" w:eastAsia="Times New Roman" w:cs="Times New Roman"/>
                <w:color w:val="000000"/>
                <w:sz w:val="22"/>
              </w:rPr>
              <w:t xml:space="preserve"> Tỉnh Phú Thọ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22m</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22m</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22m</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22m</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diện tích đất (m²)</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167,7</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54</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102,4</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72,4</w:t>
            </w:r>
            <w:r/>
          </w:p>
        </w:tc>
      </w:tr>
      <w:tr>
        <w:trPr>
          <w:trHeight w:val="112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11.1</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nằm ngoài chỉ giới quy hoạch chung Đường giao thông (m²)</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156,8</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54</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92,2</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63,76</w:t>
            </w:r>
            <w:r/>
          </w:p>
        </w:tc>
      </w:tr>
      <w:tr>
        <w:trPr>
          <w:trHeight w:val="112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11.2</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nằm trong chỉ giới quy hoạch chung Đường giao thông (m²)</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10,9</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12,2</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8,64</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5,01</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52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Chiều sâu (m)</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31,1</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13,5</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18,04</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14,83</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1 tầng</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sử dụng (m²)</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102,4</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3.850.000.000</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7.200.000.000</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4.380.000.000</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3.542.000.000</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6.588.000.000</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4.029.600.000</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324.313.651</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1453"/>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425/QĐ-BXD ngày 30/3/2026 của Bộ Xây Dựng (đồng/m²)</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6.032.620</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52,5%</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r>
      <w:tr>
        <w:trPr>
          <w:trHeight w:val="112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 Giá trị đất nằm trong chỉ giới quy hoạch chung Đường giao thông (đồng)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305.000.000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216.000.000</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Đơn giá đất UBND tỉnh ban hành (đồng)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25.000.000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25.000.000</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nằm ngoài chỉ giới quy hoạch chung Đường giao thông (đồng)</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3.542.000.000</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5.958.686.349</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3.813.600.000</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65.592.593</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64.627.835</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59.811.794</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nằm ngoài chỉ giới quy hoạch chung Đường giao thông (m²)</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Chiều sâu (m)</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p>
      <w:pPr>
        <w:pBdr/>
        <w:tabs>
          <w:tab w:val="left" w:leader="none" w:pos="720"/>
        </w:tabs>
        <w:spacing w:after="120" w:before="120" w:line="276" w:lineRule="auto"/>
        <w:ind w:firstLine="0" w:left="284"/>
        <w:jc w:val="both"/>
        <w:rPr>
          <w:b/>
          <w:bCs/>
          <w:lang w:val="nl-NL"/>
        </w:rPr>
      </w:pPr>
      <w:r>
        <w:rPr>
          <w:b/>
          <w:highlight w:val="none"/>
          <w:lang w:val="nl-NL" w:bidi="nl-NL"/>
        </w:rPr>
      </w:r>
      <w:r>
        <w:rPr>
          <w:b/>
          <w:highlight w:val="none"/>
          <w:lang w:val="nl-NL"/>
        </w:rPr>
      </w:r>
      <w:r>
        <w:rPr>
          <w:b/>
          <w:bCs/>
          <w:lang w:val="nl-NL"/>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2"/>
        <w:gridCol w:w="1892"/>
        <w:gridCol w:w="937"/>
        <w:gridCol w:w="2205"/>
        <w:gridCol w:w="2217"/>
        <w:gridCol w:w="2217"/>
        <w:gridCol w:w="2218"/>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3.542.000.000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5.958.686.349</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3.813.600.000</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65.592.593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64.627.835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59.811.794</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b/>
                <w:bCs/>
                <w:highlight w:val="white"/>
              </w:rPr>
            </w:pPr>
            <w:r>
              <w:rPr>
                <w:rFonts w:ascii="Times New Roman" w:hAnsi="Times New Roman" w:eastAsia="Times New Roman" w:cs="Times New Roman"/>
                <w:b/>
                <w:bCs/>
                <w:color w:val="000000"/>
                <w:sz w:val="22"/>
                <w:highlight w:val="white"/>
              </w:rPr>
              <w:t xml:space="preserve">Giấy chứng nhận quyền sử dụng đất, quyền sở hữu tài sản gắn liền với đất</w:t>
            </w:r>
            <w:r>
              <w:rPr>
                <w:b/>
                <w:bCs/>
                <w:highlight w:val="white"/>
              </w:rPr>
            </w:r>
            <w:r>
              <w:rPr>
                <w:b/>
                <w:bCs/>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b/>
                <w:bCs/>
                <w:highlight w:val="white"/>
              </w:rPr>
            </w:pPr>
            <w:r>
              <w:rPr>
                <w:rFonts w:ascii="Times New Roman" w:hAnsi="Times New Roman" w:eastAsia="Times New Roman" w:cs="Times New Roman"/>
                <w:b/>
                <w:bCs/>
                <w:color w:val="000000"/>
                <w:sz w:val="22"/>
                <w:highlight w:val="white"/>
              </w:rPr>
              <w:t xml:space="preserve">Giấy chứng nhận quyền sử dụng đất</w:t>
            </w:r>
            <w:r>
              <w:rPr>
                <w:b/>
                <w:bCs/>
                <w:highlight w:val="white"/>
              </w:rPr>
            </w:r>
            <w:r>
              <w:rPr>
                <w:b/>
                <w:bCs/>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b/>
                <w:bCs/>
                <w:highlight w:val="white"/>
              </w:rPr>
            </w:pPr>
            <w:r>
              <w:rPr>
                <w:rFonts w:ascii="Times New Roman" w:hAnsi="Times New Roman" w:eastAsia="Times New Roman" w:cs="Times New Roman"/>
                <w:b/>
                <w:bCs/>
                <w:color w:val="000000"/>
                <w:sz w:val="22"/>
                <w:highlight w:val="white"/>
              </w:rPr>
              <w:t xml:space="preserve">G</w:t>
            </w:r>
            <w:r>
              <w:rPr>
                <w:rFonts w:ascii="Times New Roman" w:hAnsi="Times New Roman" w:eastAsia="Times New Roman" w:cs="Times New Roman"/>
                <w:b/>
                <w:bCs/>
                <w:color w:val="000000"/>
                <w:sz w:val="22"/>
                <w:highlight w:val="white"/>
              </w:rPr>
              <w:t xml:space="preserve">iấy chứng nhận quyền sử dụng đất</w:t>
            </w:r>
            <w:r>
              <w:rPr>
                <w:b/>
                <w:bCs/>
                <w:highlight w:val="white"/>
              </w:rPr>
            </w:r>
            <w:r>
              <w:rPr>
                <w:b/>
                <w:bCs/>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b/>
                <w:bCs/>
                <w:highlight w:val="white"/>
              </w:rPr>
            </w:pPr>
            <w:r>
              <w:rPr>
                <w:rFonts w:ascii="Times New Roman" w:hAnsi="Times New Roman" w:eastAsia="Times New Roman" w:cs="Times New Roman"/>
                <w:b/>
                <w:bCs/>
                <w:color w:val="000000"/>
                <w:sz w:val="22"/>
                <w:highlight w:val="white"/>
              </w:rPr>
              <w:t xml:space="preserve">G</w:t>
            </w:r>
            <w:r>
              <w:rPr>
                <w:rFonts w:ascii="Times New Roman" w:hAnsi="Times New Roman" w:eastAsia="Times New Roman" w:cs="Times New Roman"/>
                <w:b/>
                <w:bCs/>
                <w:color w:val="000000"/>
                <w:sz w:val="22"/>
                <w:highlight w:val="white"/>
              </w:rPr>
              <w:t xml:space="preserve">iấy chứng nhận quyền sử dụng đất</w:t>
            </w:r>
            <w:r>
              <w:rPr>
                <w:b/>
                <w:bCs/>
                <w:highlight w:val="white"/>
              </w:rPr>
            </w:r>
            <w:r>
              <w:rPr>
                <w:b/>
                <w:bCs/>
                <w:highlight w:val="white"/>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65.592.593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64.627.835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59.811.794 </w:t>
            </w:r>
            <w:r/>
          </w:p>
        </w:tc>
      </w:tr>
      <w:tr>
        <w:trPr>
          <w:trHeight w:val="207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trên mặt đường Đại lộ Hùng Vương, Phường Vân Phú, </w:t>
            </w:r>
            <w:r>
              <w:rPr>
                <w:rFonts w:ascii="Times New Roman" w:hAnsi="Times New Roman" w:eastAsia="Times New Roman" w:cs="Times New Roman"/>
                <w:b/>
                <w:color w:val="000000"/>
                <w:sz w:val="22"/>
              </w:rPr>
              <w:t xml:space="preserve"> Tỉnh Phú Thọ</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trên mặt đường Đại lộ Hùng Vương, Phường Vân Phú, Tỉnh Phú Thọ</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trên mặt đường Đại lộ Hùng Vương, số nhà 3585, Khu 4B, Đường Hùng Vương, Phường Vân Phú, Tỉnh Phú Thọ</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trên mặt đường Đại lộ Hùng Vương,  Khu 4A, Đường Hùng Vương, Phường Vân Phú, Tỉnh Phú Thọ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65.592.593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64.627.835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59.811.794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22m</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22m</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22m</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22m</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65.592.593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64.627.835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59.811.794 </w:t>
            </w:r>
            <w:r/>
          </w:p>
        </w:tc>
      </w:tr>
      <w:tr>
        <w:trPr>
          <w:trHeight w:val="153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đất nằm ngoài chỉ giới quy hoạch chung Đường giao thông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156,8</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54</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92,2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63,76</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-5.247.407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-3.231.392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-4.784.944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60.345.185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61.396.443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55.026.851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5,01</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4,3</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1.967.778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1.794.354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62.312.963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61.396.443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56.821.205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62.312.963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61.396.443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56.821.205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62.312.963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61.396.443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56.821.205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Chiều sâu (m)</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31,1</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13,5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18,04</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14,83</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-1.967.778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-1.292.557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-1.794.354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60.345.185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60.103.886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55.026.851 </w:t>
            </w:r>
            <w:r/>
          </w:p>
        </w:tc>
      </w:tr>
      <w:tr>
        <w:trPr>
          <w:trHeight w:val="84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60.345.185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60.103.886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55.026.851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60.345.185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60.103.886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55.026.851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6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58.491.974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2,8%</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-5,9%</w:t>
            </w:r>
            <w:r/>
          </w:p>
        </w:tc>
      </w:tr>
      <w:tr>
        <w:trPr>
          <w:trHeight w:val="489"/>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6" w:space="0"/>
              <w:right w:val="single" w:color="000000" w:sz="6" w:space="0"/>
            </w:tcBorders>
            <w:tcMar>
              <w:left w:w="0" w:type="dxa"/>
              <w:top w:w="0" w:type="dxa"/>
              <w:right w:w="0" w:type="dxa"/>
              <w:bottom w:w="0" w:type="dxa"/>
            </w:tcMar>
            <w:tcW w:w="891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rPr>
                <w:rFonts w:ascii="Times New Roman" w:hAnsi="Times New Roman" w:eastAsia="Times New Roman" w:cs="Times New Roman"/>
                <w:b/>
                <w:color w:val="000000"/>
                <w:sz w:val="22"/>
              </w:rPr>
              <w:t xml:space="preserve"> </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9.182.963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4.523.948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8.373.651 </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- 8%</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 - 5%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- 8%</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5.247.407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4.523.948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4.784.944 </w:t>
            </w:r>
            <w:r/>
          </w:p>
        </w:tc>
      </w:tr>
    </w:tbl>
    <w:p>
      <w:pPr>
        <w:pBdr/>
        <w:spacing w:after="120" w:before="120" w:line="276" w:lineRule="auto"/>
        <w:ind/>
        <w:jc w:val="both"/>
        <w:rPr>
          <w:b/>
          <w:bCs/>
          <w:i/>
          <w:iCs/>
          <w:highlight w:val="none"/>
        </w:rPr>
      </w:pPr>
      <w:r>
        <w:rPr>
          <w:i/>
          <w:iCs/>
          <w:u w:val="single"/>
        </w:rPr>
        <w:t xml:space="preserve"> </w:t>
      </w:r>
      <w:r>
        <w:rPr>
          <w:b/>
          <w:bCs/>
          <w:i/>
          <w:iCs/>
          <w:u w:val="single"/>
        </w:rPr>
        <w:t xml:space="preserve">Về nguyên tắc khống chế</w:t>
      </w:r>
      <w:r>
        <w:rPr>
          <w:b/>
          <w:bCs/>
          <w:i/>
          <w:iCs/>
        </w:rPr>
        <w:t xml:space="preserve">: </w:t>
      </w:r>
      <w:r>
        <w:rPr>
          <w:b/>
          <w:bCs/>
          <w:i/>
          <w:iCs/>
          <w:highlight w:val="none"/>
        </w:rPr>
      </w:r>
      <w:r>
        <w:rPr>
          <w:b/>
          <w:bCs/>
          <w:i/>
          <w:iCs/>
          <w:highlight w:val="none"/>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-5,9</w:t>
      </w:r>
      <w:r>
        <w:t xml:space="preserve">% đến</w:t>
      </w:r>
      <w:r>
        <w:t xml:space="preserve"> </w:t>
      </w:r>
      <w:r>
        <w:t xml:space="preserve"> </w:t>
      </w:r>
      <w:r>
        <w:t xml:space="preserve">3,2</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1"/>
        <w:gridCol w:w="2214"/>
        <w:gridCol w:w="2223"/>
        <w:gridCol w:w="2218"/>
        <w:gridCol w:w="2224"/>
      </w:tblGrid>
      <w:tr>
        <w:trPr>
          <w:trHeight w:val="90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60.345.185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20.115.062</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60.103.886</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20.034.629</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55.026.851</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18.342.284</w:t>
            </w:r>
            <w:r/>
          </w:p>
        </w:tc>
      </w:tr>
      <w:tr>
        <w:trPr>
          <w:trHeight w:val="300"/>
        </w:trPr>
        <w:tc>
          <w:tcPr>
            <w:gridSpan w:val="4"/>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58.491.974</w:t>
            </w:r>
            <w:r/>
          </w:p>
        </w:tc>
      </w:tr>
      <w:tr>
        <w:trPr>
          <w:trHeight w:val="300"/>
        </w:trPr>
        <w:tc>
          <w:tcPr>
            <w:gridSpan w:val="4"/>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58.500.000</w:t>
            </w: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58.500.000</w:t>
      </w:r>
      <w:r>
        <w:rPr>
          <w:b/>
          <w:bCs/>
          <w:color w:val="000000" w:themeColor="text1"/>
        </w:rPr>
        <w:t xml:space="preserve"> </w:t>
      </w:r>
      <w:r>
        <w:rPr>
          <w:b/>
          <w:bCs/>
        </w:rPr>
        <w:t xml:space="preserve">đồng/m².</w:t>
      </w:r>
      <w:r>
        <w:rPr>
          <w:b/>
          <w:bCs/>
          <w:highlight w:val="none"/>
        </w:rPr>
      </w:r>
      <w:r>
        <w:rPr>
          <w:b/>
          <w:bCs/>
          <w:highlight w:val="none"/>
        </w:rPr>
      </w:r>
    </w:p>
    <w:p>
      <w:pPr>
        <w:pStyle w:val="1029"/>
        <w:numPr>
          <w:ilvl w:val="0"/>
          <w:numId w:val="26"/>
        </w:numPr>
        <w:pBdr/>
        <w:spacing w:after="120" w:before="120" w:line="276" w:lineRule="auto"/>
        <w:ind w:hanging="357" w:left="357"/>
        <w:jc w:val="both"/>
        <w:rPr>
          <w:b/>
          <w:lang w:val="pt-BR"/>
        </w:rPr>
      </w:pPr>
      <w:r>
        <w:rPr>
          <w:b/>
          <w:lang w:val="pt-BR"/>
        </w:rPr>
        <w:t xml:space="preserve">Xác định đơn giá đất ở nằm trong chỉ giới quy hoạch chung Đường giao thông:</w:t>
      </w:r>
      <w:r>
        <w:rPr>
          <w:b/>
          <w:lang w:val="pt-BR"/>
        </w:rPr>
      </w:r>
      <w:r>
        <w:rPr>
          <w:b/>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Cho mục đích định giá tại báo cáo này, đối với đất nằm trong chỉ giới quy hoạch chung Đường giao thông, tổ thẩm định đề xuất xác định theo Bảng giá đất của UBND tỉnh Phú Thọ.</w:t>
      </w:r>
      <w:r/>
    </w:p>
    <w:p>
      <w:pPr>
        <w:pBdr/>
        <w:spacing w:after="120" w:before="120" w:line="276" w:lineRule="auto"/>
        <w:ind w:firstLine="0" w:left="0"/>
        <w:jc w:val="both"/>
        <w:rPr>
          <w:rFonts w:ascii="Times New Roman" w:hAnsi="Times New Roman" w:eastAsia="Times New Roman" w:cs="Times New Roman"/>
          <w:b/>
          <w:bCs/>
          <w:color w:val="000000"/>
          <w:sz w:val="20"/>
          <w:szCs w:val="20"/>
          <w:highlight w:val="none"/>
          <w:vertAlign w:val="superscript"/>
        </w:rPr>
      </w:pPr>
      <w:r>
        <w:rPr>
          <w:rFonts w:ascii="Times New Roman" w:hAnsi="Times New Roman" w:eastAsia="Times New Roman" w:cs="Times New Roman"/>
          <w:color w:val="000000"/>
          <w:sz w:val="24"/>
        </w:rPr>
        <w:t xml:space="preserve">Căn cứ Nghị quyết  </w:t>
      </w:r>
      <w:r>
        <w:rPr>
          <w:rFonts w:ascii="Times New Roman" w:hAnsi="Times New Roman" w:eastAsia="Times New Roman" w:cs="Times New Roman"/>
          <w:color w:val="000000"/>
          <w:sz w:val="24"/>
        </w:rPr>
        <w:t xml:space="preserve">Quyết định số 85/2025/NQ-HĐND ngày 30/12/2025 của Hội đồng nhân dân tỉnh Phú Thọ về Nghị quyết Quyết định Bảng giá đất lần đầu áp dụng từ ngày 01/01/2026 trên địa bàn tỉnh Phú Thọ</w:t>
      </w:r>
      <w:r>
        <w:rPr>
          <w:rFonts w:ascii="Times New Roman" w:hAnsi="Times New Roman" w:eastAsia="Times New Roman" w:cs="Times New Roman"/>
          <w:color w:val="000000"/>
          <w:sz w:val="24"/>
        </w:rPr>
        <w:t xml:space="preserve">, đơn giá đất ở tại đường Hùng Vương “</w:t>
      </w:r>
      <w:r>
        <w:rPr>
          <w:rFonts w:ascii="Times New Roman" w:hAnsi="Times New Roman" w:eastAsia="Times New Roman" w:cs="Times New Roman"/>
          <w:i/>
          <w:iCs/>
          <w:color w:val="000000"/>
          <w:sz w:val="24"/>
        </w:rPr>
        <w:t xml:space="preserve">Đoạn đường từ Cầu Phú Năng đến hết Phường Vân Phú, giáp địa giới hành chính xã Phú Ninh</w:t>
      </w:r>
      <w:r>
        <w:rPr>
          <w:rFonts w:ascii="Times New Roman" w:hAnsi="Times New Roman" w:eastAsia="Times New Roman" w:cs="Times New Roman"/>
          <w:color w:val="000000"/>
          <w:sz w:val="24"/>
        </w:rPr>
        <w:t xml:space="preserve">” là: </w:t>
      </w:r>
      <w:r>
        <w:rPr>
          <w:rFonts w:ascii="Times New Roman" w:hAnsi="Times New Roman" w:eastAsia="Times New Roman" w:cs="Times New Roman"/>
          <w:b/>
          <w:color w:val="000000"/>
          <w:sz w:val="24"/>
        </w:rPr>
        <w:t xml:space="preserve">25.000.000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bCs/>
          <w:color w:val="000000"/>
          <w:sz w:val="20"/>
          <w:szCs w:val="20"/>
          <w:highlight w:val="none"/>
          <w:vertAlign w:val="superscript"/>
        </w:rPr>
      </w:r>
      <w:r>
        <w:rPr>
          <w:rFonts w:ascii="Times New Roman" w:hAnsi="Times New Roman" w:eastAsia="Times New Roman" w:cs="Times New Roman"/>
          <w:b/>
          <w:bCs/>
          <w:color w:val="000000"/>
          <w:sz w:val="20"/>
          <w:szCs w:val="20"/>
          <w:highlight w:val="none"/>
          <w:vertAlign w:val="superscript"/>
        </w:rPr>
      </w:r>
    </w:p>
    <w:p>
      <w:pPr>
        <w:pStyle w:val="1029"/>
        <w:numPr>
          <w:ilvl w:val="0"/>
          <w:numId w:val="39"/>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rPr>
          <w:highlight w:val="none"/>
        </w:rPr>
      </w:r>
      <w:r>
        <w:rPr>
          <w:highlight w:val="none"/>
        </w:rPr>
      </w:r>
    </w:p>
    <w:tbl>
      <w:tblPr>
        <w:tblStyle w:val="1033"/>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95"/>
        <w:gridCol w:w="3402"/>
        <w:gridCol w:w="1559"/>
        <w:gridCol w:w="1843"/>
        <w:gridCol w:w="2127"/>
        <w:gridCol w:w="138646"/>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4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38646" w:type="dxa"/>
            <w:vAlign w:val="center"/>
            <w:textDirection w:val="lrTb"/>
            <w:noWrap w:val="false"/>
          </w:tcPr>
          <w:p>
            <w:pPr>
              <w:pBdr/>
              <w:spacing w:after="0" w:before="0" w:line="240" w:lineRule="auto"/>
              <w:ind/>
              <w:rPr/>
            </w:pPr>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202, tờ bản đồ số 04 có địa chỉ: Khu 1B, phường Vân Phú, thành phố Việt Trì, tỉnh Phú Thọ (Nay là: Phường Vân Phú, tỉnh Phú Thọ) theo Giấy chứng nhận quyền sử dụng đất, quyền sở hữu tài sản gắn liền với đất số: AA 0235866</w:t>
            </w:r>
            <w:r>
              <w:rPr>
                <w:rFonts w:ascii="Times New Roman" w:hAnsi="Times New Roman" w:eastAsia="Times New Roman" w:cs="Times New Roman"/>
                <w:b/>
                <w:color w:val="000000"/>
                <w:sz w:val="24"/>
              </w:rPr>
              <w:t xml:space="preserve">1, số vào sổ cấp GCN: CN 893 do Chi nhánh văn phòng đăng kí đất đai Thành phố Việt Trì cấp ngày 02/6/2025; Chủ sử dụng đất là Ông Hoàng Quốc Việt.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38646" w:type="dxa"/>
            <w:vAlign w:val="center"/>
            <w:textDirection w:val="lrTb"/>
            <w:noWrap w:val="false"/>
          </w:tcPr>
          <w:p>
            <w:pPr>
              <w:pBdr/>
              <w:spacing w:after="0" w:before="0" w:line="240" w:lineRule="auto"/>
              <w:ind/>
              <w:rPr/>
            </w:pPr>
            <w:r/>
            <w:r/>
          </w:p>
        </w:tc>
      </w:tr>
      <w:tr>
        <w:trPr>
          <w:trHeight w:val="142"/>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b w:val="0"/>
                <w:bCs w:val="0"/>
              </w:rPr>
            </w:pPr>
            <w:r>
              <w:rPr>
                <w:rFonts w:ascii="Times New Roman" w:hAnsi="Times New Roman" w:eastAsia="Times New Roman" w:cs="Times New Roman"/>
                <w:b w:val="0"/>
                <w:bCs w:val="0"/>
                <w:color w:val="000000"/>
                <w:sz w:val="24"/>
              </w:rPr>
              <w:t xml:space="preserve">01</w:t>
            </w:r>
            <w:r>
              <w:rPr>
                <w:b w:val="0"/>
                <w:bCs w:val="0"/>
              </w:rPr>
            </w:r>
            <w:r>
              <w:rPr>
                <w:b w:val="0"/>
                <w:bCs w:val="0"/>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4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b w:val="0"/>
                <w:bCs w:val="0"/>
              </w:rPr>
            </w:pPr>
            <w:r>
              <w:rPr>
                <w:rFonts w:ascii="Times New Roman" w:hAnsi="Times New Roman" w:eastAsia="Times New Roman" w:cs="Times New Roman"/>
                <w:b w:val="0"/>
                <w:bCs w:val="0"/>
                <w:color w:val="000000"/>
                <w:sz w:val="24"/>
              </w:rPr>
              <w:t xml:space="preserve">Đất ở tại đô thị nằm ngoài chỉ giới quy hoạch chung Đường giao thông</w:t>
            </w:r>
            <w:r>
              <w:rPr>
                <w:b w:val="0"/>
                <w:bCs w:val="0"/>
              </w:rPr>
            </w:r>
            <w:r>
              <w:rPr>
                <w:b w:val="0"/>
                <w:bCs w:val="0"/>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156,8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58.500.000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9.172.800.000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38646" w:type="dxa"/>
            <w:vAlign w:val="center"/>
            <w:textDirection w:val="lrTb"/>
            <w:noWrap w:val="false"/>
          </w:tcPr>
          <w:p>
            <w:pPr>
              <w:pBdr/>
              <w:spacing w:after="0" w:before="0" w:line="240" w:lineRule="auto"/>
              <w:ind/>
              <w:rPr/>
            </w:pPr>
            <w:r/>
            <w:r/>
          </w:p>
        </w:tc>
      </w:tr>
      <w:tr>
        <w:trPr>
          <w:trHeight w:val="432"/>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b w:val="0"/>
                <w:bCs w:val="0"/>
              </w:rPr>
            </w:pPr>
            <w:r>
              <w:rPr>
                <w:rFonts w:ascii="Times New Roman" w:hAnsi="Times New Roman" w:eastAsia="Times New Roman" w:cs="Times New Roman"/>
                <w:b w:val="0"/>
                <w:bCs w:val="0"/>
                <w:color w:val="000000"/>
                <w:sz w:val="24"/>
              </w:rPr>
              <w:t xml:space="preserve">02</w:t>
            </w:r>
            <w:r>
              <w:rPr>
                <w:b w:val="0"/>
                <w:bCs w:val="0"/>
              </w:rPr>
            </w:r>
            <w:r>
              <w:rPr>
                <w:b w:val="0"/>
                <w:bCs w:val="0"/>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4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b w:val="0"/>
                <w:bCs w:val="0"/>
              </w:rPr>
            </w:pPr>
            <w:r>
              <w:rPr>
                <w:rFonts w:ascii="Times New Roman" w:hAnsi="Times New Roman" w:eastAsia="Times New Roman" w:cs="Times New Roman"/>
                <w:b w:val="0"/>
                <w:bCs w:val="0"/>
                <w:color w:val="000000"/>
                <w:sz w:val="24"/>
              </w:rPr>
              <w:t xml:space="preserve">Đất ở tại đô thị nằm trong chỉ giới quy hoạch chung Đường giao thông</w:t>
            </w:r>
            <w:r>
              <w:rPr>
                <w:b w:val="0"/>
                <w:bCs w:val="0"/>
              </w:rPr>
            </w:r>
            <w:r>
              <w:rPr>
                <w:b w:val="0"/>
                <w:bCs w:val="0"/>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10,9</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25.000.000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272.500.000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38646" w:type="dxa"/>
            <w:vAlign w:val="center"/>
            <w:textDirection w:val="lrTb"/>
            <w:noWrap w:val="false"/>
          </w:tcPr>
          <w:p>
            <w:pPr>
              <w:pBdr/>
              <w:spacing w:after="0" w:before="0" w:line="240" w:lineRule="auto"/>
              <w:ind/>
              <w:rPr/>
            </w:pPr>
            <w:r/>
            <w:r/>
          </w:p>
        </w:tc>
      </w:tr>
      <w:tr>
        <w:trPr>
          <w:trHeight w:val="20"/>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99"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7"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b/>
                <w:bCs/>
              </w:rPr>
            </w:pPr>
            <w:r>
              <w:rPr>
                <w:rFonts w:ascii="Times New Roman" w:hAnsi="Times New Roman" w:eastAsia="Times New Roman" w:cs="Times New Roman"/>
                <w:b/>
                <w:bCs/>
                <w:color w:val="000000"/>
                <w:sz w:val="24"/>
              </w:rPr>
              <w:t xml:space="preserve">9.445.300.000</w:t>
            </w:r>
            <w:r>
              <w:rPr>
                <w:b/>
                <w:bCs/>
              </w:rPr>
            </w:r>
            <w:r>
              <w:rPr>
                <w:b/>
                <w:bCs/>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38646" w:type="dxa"/>
            <w:vAlign w:val="center"/>
            <w:textDirection w:val="lrTb"/>
            <w:noWrap w:val="false"/>
          </w:tcPr>
          <w:p>
            <w:pPr>
              <w:pBdr/>
              <w:spacing w:after="0" w:before="0" w:line="240" w:lineRule="auto"/>
              <w:ind/>
              <w:rPr/>
            </w:pPr>
            <w:r/>
            <w:r/>
          </w:p>
        </w:tc>
      </w:tr>
      <w:tr>
        <w:trPr>
          <w:trHeight w:val="20"/>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99"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7"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b/>
                <w:bCs/>
              </w:rPr>
            </w:pPr>
            <w:r>
              <w:rPr>
                <w:rFonts w:ascii="Times New Roman" w:hAnsi="Times New Roman" w:eastAsia="Times New Roman" w:cs="Times New Roman"/>
                <w:b/>
                <w:bCs/>
                <w:color w:val="000000"/>
                <w:sz w:val="24"/>
              </w:rPr>
              <w:t xml:space="preserve">9.445.000.000</w:t>
            </w:r>
            <w:r>
              <w:rPr>
                <w:b/>
                <w:bCs/>
              </w:rPr>
            </w:r>
            <w:r>
              <w:rPr>
                <w:b/>
                <w:bCs/>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38646" w:type="dxa"/>
            <w:vAlign w:val="center"/>
            <w:textDirection w:val="lrTb"/>
            <w:noWrap w:val="false"/>
          </w:tcPr>
          <w:p>
            <w:pPr>
              <w:pBdr/>
              <w:spacing w:after="0" w:before="0" w:line="240" w:lineRule="auto"/>
              <w:ind/>
              <w:rPr/>
            </w:pPr>
            <w:r/>
            <w:r/>
          </w:p>
        </w:tc>
      </w:tr>
      <w:tr>
        <w:trPr>
          <w:trHeight w:val="2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5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rPr>
              <w:t xml:space="preserve">(Bằng chữ: Chín tỷ bốn trăm</w:t>
            </w:r>
            <w:r>
              <w:rPr>
                <w:rFonts w:ascii="Times New Roman" w:hAnsi="Times New Roman" w:eastAsia="Times New Roman" w:cs="Times New Roman"/>
                <w:b/>
                <w:i/>
                <w:color w:val="000000"/>
                <w:sz w:val="24"/>
                <w:highlight w:val="white"/>
              </w:rPr>
              <w:t xml:space="preserve"> bốn mươi </w:t>
            </w:r>
            <w:r>
              <w:rPr>
                <w:rFonts w:ascii="Times New Roman" w:hAnsi="Times New Roman" w:eastAsia="Times New Roman" w:cs="Times New Roman"/>
                <w:b/>
                <w:i/>
                <w:color w:val="000000"/>
                <w:sz w:val="24"/>
                <w:highlight w:val="white"/>
              </w:rPr>
              <w:t xml:space="preserve">l</w:t>
            </w:r>
            <w:r>
              <w:rPr>
                <w:rFonts w:ascii="Times New Roman" w:hAnsi="Times New Roman" w:eastAsia="Times New Roman" w:cs="Times New Roman"/>
                <w:b/>
                <w:i/>
                <w:color w:val="000000"/>
                <w:sz w:val="24"/>
                <w:highlight w:val="white"/>
              </w:rPr>
              <w:t xml:space="preserve">ăm</w:t>
            </w:r>
            <w:r>
              <w:rPr>
                <w:rFonts w:ascii="Times New Roman" w:hAnsi="Times New Roman" w:eastAsia="Times New Roman" w:cs="Times New Roman"/>
                <w:b/>
                <w:i/>
                <w:color w:val="000000"/>
                <w:sz w:val="24"/>
                <w:highlight w:val="white"/>
              </w:rPr>
              <w:t xml:space="preserve"> tri</w:t>
            </w:r>
            <w:r>
              <w:rPr>
                <w:rFonts w:ascii="Times New Roman" w:hAnsi="Times New Roman" w:eastAsia="Times New Roman" w:cs="Times New Roman"/>
                <w:b/>
                <w:i/>
                <w:color w:val="000000"/>
                <w:sz w:val="24"/>
              </w:rPr>
              <w:t xml:space="preserve">ệu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38646" w:type="dxa"/>
            <w:vAlign w:val="center"/>
            <w:textDirection w:val="lrTb"/>
            <w:noWrap w:val="false"/>
          </w:tcPr>
          <w:p>
            <w:pPr>
              <w:pBdr/>
              <w:spacing w:after="0" w:before="0" w:line="240" w:lineRule="auto"/>
              <w:ind/>
              <w:rPr/>
            </w:pPr>
            <w: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5"/>
        </w:numPr>
        <w:pBdr/>
        <w:tabs>
          <w:tab w:val="left" w:leader="none" w:pos="993"/>
        </w:tabs>
        <w:spacing w:after="120" w:before="120" w:line="288" w:lineRule="auto"/>
        <w:ind/>
        <w:jc w:val="both"/>
        <w:rPr>
          <w:bCs/>
          <w:spacing w:val="-2"/>
          <w:lang w:val="pt-BR"/>
        </w:rPr>
      </w:pPr>
      <w:r>
        <w:rPr>
          <w:bCs/>
          <w:spacing w:val="-2"/>
          <w:lang w:val="pt-BR"/>
        </w:rPr>
      </w:r>
      <w:r>
        <w:rPr>
          <w:spacing w:val="-2"/>
          <w:highlight w:val="none"/>
          <w:lang w:val="pt-BR" w:bidi="pt-BR"/>
        </w:rPr>
        <w:t xml:space="preserve">Tại trang 2 mục 4. Sơ đồ thửa đất của GCN số </w:t>
      </w:r>
      <w:r>
        <w:rPr>
          <w:spacing w:val="-2"/>
          <w:highlight w:val="none"/>
          <w:lang w:val="pt-BR" w:bidi="pt-BR"/>
        </w:rPr>
        <w:t xml:space="preserve">AA 02358661</w:t>
      </w:r>
      <w:r>
        <w:rPr>
          <w:spacing w:val="-2"/>
          <w:highlight w:val="none"/>
          <w:lang w:val="pt-BR" w:bidi="pt-BR"/>
        </w:rPr>
        <w:t xml:space="preserve">, tổ thẩm định nhận thấy có khoảng 10,9</w:t>
      </w:r>
      <w:r>
        <w:rPr>
          <w:rFonts w:ascii="Times New Roman" w:hAnsi="Times New Roman" w:eastAsia="Times New Roman" w:cs="Times New Roman"/>
          <w:color w:val="000000"/>
          <w:sz w:val="24"/>
        </w:rPr>
        <w:t xml:space="preserve">m²</w:t>
      </w:r>
      <w:r>
        <w:rPr>
          <w:spacing w:val="-2"/>
          <w:highlight w:val="none"/>
          <w:lang w:val="pt-BR" w:bidi="pt-BR"/>
        </w:rPr>
        <w:t xml:space="preserve"> nằm trong chỉ giới quy hoạch chung Đường giao thông. </w:t>
      </w:r>
      <w:r>
        <w:rPr>
          <w:rFonts w:ascii="Times New Roman" w:hAnsi="Times New Roman" w:eastAsia="Times New Roman" w:cs="Times New Roman"/>
          <w:color w:val="000000"/>
          <w:sz w:val="24"/>
        </w:rPr>
        <w:t xml:space="preserve">Hiện nay chưa có thông báo thu hồi đất/quyết định thu hồi đất/phương án giải tỏa bồi thường. Theo đề nghị của Ngân hàng/Khách hàng, tổ thẩm định xác định giá trị tài sản theo thông tin quy hoạch nêu trên. Đối với diện tích nằm ngoài chỉ giới tổ thẩm định </w:t>
      </w:r>
      <w:r>
        <w:rPr>
          <w:rFonts w:ascii="Times New Roman" w:hAnsi="Times New Roman" w:eastAsia="Times New Roman" w:cs="Times New Roman"/>
          <w:color w:val="000000"/>
          <w:sz w:val="24"/>
        </w:rPr>
        <w:t xml:space="preserve">đánh giá theo giá trị thị trường, đối với phần nằm trong chỉ giới tổ thẩm định đánh giá theo giá UBND từng thời kỳ, giá trị đền bù thực tế còn phụ thuộc vào thỏa thuận các bên tại thời điểm Nhà nước giải phóng mặt bằng thực hiện quy hoạch. Đề nghị đơn vị </w:t>
      </w:r>
      <w:r>
        <w:rPr>
          <w:rFonts w:ascii="Times New Roman" w:hAnsi="Times New Roman" w:eastAsia="Times New Roman" w:cs="Times New Roman"/>
          <w:color w:val="000000"/>
          <w:sz w:val="24"/>
        </w:rPr>
        <w:t xml:space="preserve">sử dụng k</w:t>
      </w:r>
      <w:r>
        <w:rPr>
          <w:rFonts w:ascii="Times New Roman" w:hAnsi="Times New Roman" w:eastAsia="Times New Roman" w:cs="Times New Roman"/>
          <w:color w:val="000000"/>
          <w:sz w:val="24"/>
        </w:rPr>
        <w:t xml:space="preserve">ết quả lưu ý kiểm tra xác minh thêm thông tin quy hoạch nếu thấy cần thiết. Trong trường hợp Khách hàng/Ngân hàng cung cấp được Văn bản xác nhận rõ phần diện tích thuộc chỉ giới quy hoạch mà có sự sai khác so với số liệu nêu trên thì kết quả thẩm định giá </w:t>
      </w:r>
      <w:r>
        <w:rPr>
          <w:rFonts w:ascii="Times New Roman" w:hAnsi="Times New Roman" w:eastAsia="Times New Roman" w:cs="Times New Roman"/>
          <w:color w:val="000000"/>
          <w:sz w:val="24"/>
        </w:rPr>
        <w:t xml:space="preserve">cần được xem xét, điều chỉnh phù hợp, chúng tôi bảo lưu quyền xem xét lại kết quả thẩm định giá</w:t>
      </w:r>
      <w:r>
        <w:rPr>
          <w:bCs/>
          <w:spacing w:val="-2"/>
          <w:lang w:val="pt-BR"/>
        </w:rPr>
        <w:t xml:space="preserve">.</w:t>
      </w:r>
      <w:r>
        <w:rPr>
          <w:bCs/>
          <w:spacing w:val="-2"/>
          <w:lang w:val="pt-BR"/>
        </w:rPr>
      </w:r>
      <w:r>
        <w:rPr>
          <w:bCs/>
          <w:spacing w:val="-2"/>
          <w:lang w:val="pt-BR"/>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lang w:val="vi-VN"/>
        </w:rPr>
        <w:t xml:space="preserve">275/2026/0584/VFI-CT.36.A</w:t>
      </w:r>
      <w:r>
        <w:rPr>
          <w:color w:val="ff0000"/>
          <w:lang w:val="vi-VN"/>
        </w:rPr>
        <w:t xml:space="preserve"> </w:t>
      </w:r>
      <w:r>
        <w:rPr>
          <w:color w:val="000000" w:themeColor="text1"/>
        </w:rPr>
        <w:t xml:space="preserve">ngày 15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Tấn Sang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commentRangeStart w:id="1"/>
      <w:r>
        <w:rPr>
          <w:b/>
          <w:lang w:val="vi-VN"/>
        </w:rPr>
        <w:t xml:space="preserve"> HIỆN TRẠN</w:t>
      </w:r>
      <w:commentRangeEnd w:id="1"/>
      <w:r>
        <w:commentReference w:id="1"/>
      </w:r>
      <w:r>
        <w:rPr>
          <w:b/>
          <w:lang w:val="vi-VN"/>
        </w:rPr>
        <w:t xml:space="preserve">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275/2026/0584/VFI-BC.36.A ngày</w:t>
      </w:r>
      <w:r>
        <w:rPr>
          <w:i/>
          <w:lang w:val="pt-BR"/>
        </w:rPr>
        <w:t xml:space="preserve"> </w:t>
      </w:r>
      <w:r>
        <w:rPr>
          <w:i/>
          <w:lang w:val="pt-BR"/>
        </w:rPr>
        <w:t xml:space="preserve">15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rHeight w:val="5359"/>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99167" cy="271323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986536" name=""/>
                              <pic:cNvPicPr>
                                <a:picLocks noChangeAspect="1"/>
                              </pic:cNvPicPr>
                              <pic:nvPr/>
                            </pic:nvPicPr>
                            <pic:blipFill rotWithShape="1">
                              <a:blip r:embed="rId18"/>
                              <a:stretch/>
                            </pic:blipFill>
                            <pic:spPr bwMode="auto">
                              <a:xfrm flipH="0" flipV="0">
                                <a:off x="0" y="0"/>
                                <a:ext cx="2699167" cy="27132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12.53pt;height:213.64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left"/>
              <w:rPr>
                <w:i/>
                <w:lang w:val="pt-BR"/>
              </w:rPr>
            </w:pPr>
            <w:r>
              <w:rPr>
                <w:i/>
                <w:lang w:val="pt-BR"/>
              </w:rPr>
            </w:r>
            <w:r>
              <mc:AlternateContent>
                <mc:Choice Requires="wpg">
                  <w:drawing>
                    <wp:inline xmlns:wp="http://schemas.openxmlformats.org/drawingml/2006/wordprocessingDrawing" distT="0" distB="0" distL="0" distR="0">
                      <wp:extent cx="2934036" cy="290867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12096" name=""/>
                              <pic:cNvPicPr>
                                <a:picLocks noChangeAspect="1"/>
                              </pic:cNvPicPr>
                              <pic:nvPr/>
                            </pic:nvPicPr>
                            <pic:blipFill rotWithShape="1">
                              <a:blip r:embed="rId19"/>
                              <a:stretch/>
                            </pic:blipFill>
                            <pic:spPr bwMode="auto">
                              <a:xfrm flipH="0" flipV="0">
                                <a:off x="0" y="0"/>
                                <a:ext cx="2934036" cy="29086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1.03pt;height:229.03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rHeight w:val="4565"/>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0430" cy="253021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852782" name=""/>
                              <pic:cNvPicPr>
                                <a:picLocks noChangeAspect="1"/>
                              </pic:cNvPicPr>
                              <pic:nvPr/>
                            </pic:nvPicPr>
                            <pic:blipFill rotWithShape="1">
                              <a:blip r:embed="rId20"/>
                              <a:stretch/>
                            </pic:blipFill>
                            <pic:spPr bwMode="auto">
                              <a:xfrm flipH="0" flipV="0">
                                <a:off x="0" y="0"/>
                                <a:ext cx="2840429" cy="25302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3.66pt;height:199.23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31102" cy="243733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937553" name=""/>
                              <pic:cNvPicPr>
                                <a:picLocks noChangeAspect="1"/>
                              </pic:cNvPicPr>
                              <pic:nvPr/>
                            </pic:nvPicPr>
                            <pic:blipFill rotWithShape="1">
                              <a:blip r:embed="rId21"/>
                              <a:stretch/>
                            </pic:blipFill>
                            <pic:spPr bwMode="auto">
                              <a:xfrm flipH="0" flipV="0">
                                <a:off x="0" y="0"/>
                                <a:ext cx="2731102" cy="24373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5.05pt;height:191.92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22610" cy="196161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213747" name=""/>
                              <pic:cNvPicPr>
                                <a:picLocks noChangeAspect="1"/>
                              </pic:cNvPicPr>
                              <pic:nvPr/>
                            </pic:nvPicPr>
                            <pic:blipFill rotWithShape="1">
                              <a:blip r:embed="rId22"/>
                              <a:stretch/>
                            </pic:blipFill>
                            <pic:spPr bwMode="auto">
                              <a:xfrm flipH="0" flipV="0">
                                <a:off x="0" y="0"/>
                                <a:ext cx="2922609" cy="19616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0.13pt;height:154.46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78192" cy="192378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304249" name=""/>
                              <pic:cNvPicPr>
                                <a:picLocks noChangeAspect="1"/>
                              </pic:cNvPicPr>
                              <pic:nvPr/>
                            </pic:nvPicPr>
                            <pic:blipFill rotWithShape="1">
                              <a:blip r:embed="rId23"/>
                              <a:stretch/>
                            </pic:blipFill>
                            <pic:spPr bwMode="auto">
                              <a:xfrm flipH="0" flipV="0">
                                <a:off x="0" y="0"/>
                                <a:ext cx="2778191" cy="19237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8.76pt;height:151.48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w:t>
      </w:r>
      <w:commentRangeStart w:id="2"/>
      <w:r>
        <w:rPr>
          <w:b/>
          <w:lang w:val="vi-VN"/>
        </w:rPr>
        <w:t xml:space="preserve">U THẬP THỊ</w:t>
      </w:r>
      <w:commentRangeEnd w:id="2"/>
      <w:r>
        <w:commentReference w:id="2"/>
      </w:r>
      <w:r>
        <w:rPr>
          <w:b/>
          <w:lang w:val="vi-VN"/>
        </w:rPr>
        <w:t xml:space="preserve">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275/2026/0584/VFI-BC.36.A</w:t>
      </w:r>
      <w:r>
        <w:rPr>
          <w:i/>
        </w:rPr>
        <w:t xml:space="preserve"> ngày</w:t>
      </w:r>
      <w:r>
        <w:rPr>
          <w:i/>
          <w:lang w:val="pt-BR"/>
        </w:rPr>
        <w:t xml:space="preserve"> </w:t>
      </w:r>
      <w:r>
        <w:rPr>
          <w:i/>
          <w:lang w:val="pt-BR"/>
        </w:rPr>
        <w:t xml:space="preserve">15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0876222234</w:t>
            </w:r>
            <w:r>
              <w:rPr>
                <w:sz w:val="22"/>
                <w:szCs w:val="22"/>
              </w:rPr>
              <w:t xml:space="preserve"> </w:t>
            </w:r>
            <w:r>
              <w:rPr>
                <w:sz w:val="22"/>
                <w:szCs w:val="22"/>
              </w:rPr>
              <w:t xml:space="preserve"> (Dũng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3.542.000.000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Nằm trên mặt đường Đại lộ Hùng Vương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mc:AlternateContent>
                <mc:Choice Requires="wpg">
                  <w:drawing>
                    <wp:inline xmlns:wp="http://schemas.openxmlformats.org/drawingml/2006/wordprocessingDrawing" distT="0" distB="0" distL="0" distR="0">
                      <wp:extent cx="2727668" cy="210603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910932" name=""/>
                              <pic:cNvPicPr>
                                <a:picLocks noChangeAspect="1"/>
                              </pic:cNvPicPr>
                              <pic:nvPr/>
                            </pic:nvPicPr>
                            <pic:blipFill rotWithShape="1">
                              <a:blip r:embed="rId24"/>
                              <a:stretch/>
                            </pic:blipFill>
                            <pic:spPr bwMode="auto">
                              <a:xfrm rot="0" flipH="0" flipV="0">
                                <a:off x="0" y="0"/>
                                <a:ext cx="2727667" cy="21060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4.78pt;height:165.83pt;mso-wrap-distance-left:0.00pt;mso-wrap-distance-top:0.00pt;mso-wrap-distance-right:0.00pt;mso-wrap-distance-bottom:0.00pt;rotation:0;z-index:1;" stroked="false">
                      <v:imagedata r:id="rId24" o:title=""/>
                      <o:lock v:ext="edit" rotation="t"/>
                    </v:shape>
                  </w:pict>
                </mc:Fallback>
              </mc:AlternateContent>
              <w:t xml:space="preserve">  </w:t>
            </w:r>
            <w:r>
              <mc:AlternateContent>
                <mc:Choice Requires="wpg">
                  <w:drawing>
                    <wp:inline xmlns:wp="http://schemas.openxmlformats.org/drawingml/2006/wordprocessingDrawing" distT="0" distB="0" distL="0" distR="0">
                      <wp:extent cx="2667001" cy="210603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108318" name=""/>
                              <pic:cNvPicPr>
                                <a:picLocks noChangeAspect="1"/>
                              </pic:cNvPicPr>
                              <pic:nvPr/>
                            </pic:nvPicPr>
                            <pic:blipFill rotWithShape="1">
                              <a:blip r:embed="rId25"/>
                              <a:stretch/>
                            </pic:blipFill>
                            <pic:spPr bwMode="auto">
                              <a:xfrm rot="0" flipH="0" flipV="0">
                                <a:off x="0" y="0"/>
                                <a:ext cx="2667000" cy="21060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0.00pt;height:165.83pt;mso-wrap-distance-left:0.00pt;mso-wrap-distance-top:0.00pt;mso-wrap-distance-right:0.00pt;mso-wrap-distance-bottom:0.00pt;rotation:0;z-index:1;" stroked="false">
                      <v:imagedata r:id="rId25" o:title=""/>
                      <o:lock v:ext="edit" rotation="t"/>
                    </v:shape>
                  </w:pict>
                </mc:Fallback>
              </mc:AlternateConten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Tấn Sang</w:t>
            </w:r>
            <w:r/>
          </w:p>
        </w:tc>
      </w:tr>
    </w:tbl>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https://www.facebook.com/groups/batdongsanvietriphutho/posts/4243926785938082/</w:t>
            </w:r>
            <w:r>
              <w:rPr>
                <w:color w:val="000000" w:themeColor="text1"/>
                <w:sz w:val="22"/>
                <w:szCs w:val="22"/>
              </w:rPr>
              <w:br/>
              <w:t xml:space="preserve">SĐT: 0944264850</w:t>
            </w:r>
            <w:r>
              <w:rPr>
                <w:sz w:val="22"/>
                <w:szCs w:val="22"/>
              </w:rPr>
              <w:t xml:space="preserve"> </w:t>
            </w:r>
            <w:r>
              <w:rPr>
                <w:sz w:val="22"/>
                <w:szCs w:val="22"/>
              </w:rPr>
              <w:t xml:space="preserve">(Thanh Huế</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6.588.000.000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(90,2m², QH: 12,2m²)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là số nhà 3585, mặt đường Đại lộ Hùng Vương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102,4 (12,2m2 QH)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3559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263558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07.53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08618"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356713788" name="" descr=""/>
                              <pic:cNvPicPr/>
                              <pic:nvPr/>
                            </pic:nvPicPr>
                            <pic:blipFill rotWithShape="1">
                              <a:blip r:embed="rId27"/>
                              <a:stretch/>
                            </pic:blipFill>
                            <pic:spPr bwMode="auto">
                              <a:xfrm flipH="0" flipV="0">
                                <a:off x="0" y="0"/>
                                <a:ext cx="270861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3.28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527136126" name="" descr=""/>
                              <pic:cNvPicPr/>
                              <pic:nvPr/>
                            </pic:nvPicPr>
                            <pic:blipFill rotWithShape="1">
                              <a:blip r:embed="rId28"/>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1024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301024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37.0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Tấn Sang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https://www.facebook.com/groups/543432556201285/posts/2091485481395977/</w:t>
            </w:r>
            <w:r>
              <w:rPr>
                <w:color w:val="000000" w:themeColor="text1"/>
                <w:sz w:val="22"/>
                <w:szCs w:val="22"/>
              </w:rPr>
              <w:br/>
            </w:r>
            <w:r>
              <w:rPr>
                <w:sz w:val="22"/>
                <w:szCs w:val="22"/>
              </w:rPr>
              <w:t xml:space="preserve">SĐT: </w:t>
            </w:r>
            <w:r>
              <w:rPr>
                <w:color w:val="000000" w:themeColor="text1"/>
                <w:sz w:val="22"/>
                <w:szCs w:val="22"/>
              </w:rPr>
              <w:t xml:space="preserve">0964938691</w:t>
            </w:r>
            <w:r>
              <w:rPr>
                <w:sz w:val="22"/>
                <w:szCs w:val="22"/>
              </w:rPr>
              <w:t xml:space="preserve"> </w:t>
            </w:r>
            <w:r>
              <w:rPr>
                <w:sz w:val="22"/>
                <w:szCs w:val="22"/>
              </w:rPr>
              <w:t xml:space="preserve">(Vinh Nguyễn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4.029.600.000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04/2026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đô thị (</w:t>
            </w:r>
            <w:r>
              <w:rPr>
                <w:color w:val="000000" w:themeColor="text1"/>
                <w:sz w:val="22"/>
                <w:szCs w:val="22"/>
                <w:highlight w:val="white"/>
              </w:rPr>
              <w:t xml:space="preserve">63,76m², QH: 8,64m</w:t>
            </w:r>
            <w:r>
              <w:rPr>
                <w:color w:val="000000" w:themeColor="text1"/>
                <w:sz w:val="22"/>
                <w:szCs w:val="22"/>
                <w:highlight w:val="white"/>
              </w:rPr>
              <w:t xml:space="preserve">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Khu 4A, Mặt đường Đại lộ Hùng Vương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72,4 ( 8,64m2 QH)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54615"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45461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93.2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69485"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9694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33.82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highlight w:val="none"/>
              </w:rPr>
            </w:pPr>
            <w:r>
              <w:rPr>
                <w:color w:val="000000"/>
                <w:sz w:val="22"/>
                <w:szCs w:val="22"/>
              </w:rPr>
            </w:r>
            <w:r>
              <w:rPr>
                <w:color w:val="000000"/>
                <w:sz w:val="22"/>
                <w:szCs w:val="22"/>
              </w:rPr>
              <w:t xml:space="preserve"> </w:t>
            </w:r>
            <w:r>
              <w:rPr>
                <w:color w:val="000000"/>
                <w:sz w:val="22"/>
                <w:szCs w:val="22"/>
                <w:highlight w:val="none"/>
              </w:rPr>
            </w:r>
            <w:r>
              <w:rPr>
                <w:color w:val="000000"/>
                <w:sz w:val="22"/>
                <w:szCs w:val="22"/>
                <w:highlight w:val="none"/>
              </w:rPr>
            </w:r>
          </w:p>
          <w:p>
            <w:pPr>
              <w:pBdr/>
              <w:spacing w:line="276" w:lineRule="auto"/>
              <w:ind/>
              <w:rPr>
                <w:color w:val="000000"/>
                <w:sz w:val="22"/>
                <w:szCs w:val="22"/>
              </w:rPr>
            </w:pPr>
            <w:r>
              <w:rPr>
                <w:color w:val="000000"/>
                <w:sz w:val="22"/>
                <w:szCs w:val="22"/>
                <w:highlight w:val="none"/>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19691"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340520855" name="" descr=""/>
                              <pic:cNvPicPr/>
                              <pic:nvPr/>
                            </pic:nvPicPr>
                            <pic:blipFill rotWithShape="1">
                              <a:blip r:embed="rId32"/>
                              <a:stretch/>
                            </pic:blipFill>
                            <pic:spPr bwMode="auto">
                              <a:xfrm flipH="0" flipV="0">
                                <a:off x="0" y="0"/>
                                <a:ext cx="241969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90.53pt;height:250.00pt;mso-wrap-distance-left:0.00pt;mso-wrap-distance-top:0.00pt;mso-wrap-distance-right:0.00pt;mso-wrap-distance-bottom:0.00pt;z-index:1;" stroked="false">
                      <v:imagedata r:id="rId32" o:title=""/>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2720983"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2720982"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14.25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Tấn Sang</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Nguyễn Thị Thùy Dương" w:date="2026-04-17T10:22:31Z" w:initials="NTTD">
    <w:p w14:paraId="00000001" w14:textId="00000001">
      <w:pPr>
        <w:spacing w:line="240" w:after="0" w:lineRule="auto" w:before="0"/>
        <w:ind w:firstLine="0" w:left="0" w:right="0"/>
        <w:jc w:val="left"/>
      </w:pPr>
      <w:r>
        <w:rPr>
          <w:rFonts w:eastAsia="Arial" w:ascii="Arial" w:hAnsi="Arial" w:cs="Arial"/>
          <w:sz w:val="22"/>
        </w:rPr>
        <w:t xml:space="preserve">Sửa nhé!</w:t>
      </w:r>
    </w:p>
  </w:comment>
  <w:comment w:id="1" w:author="Nguyễn Thị Thùy Dương" w:date="2026-04-17T10:21:39Z" w:initials="NTTD">
    <w:p w14:paraId="00000002" w14:textId="00000002">
      <w:pPr>
        <w:spacing w:line="240" w:after="0" w:lineRule="auto" w:before="0"/>
        <w:ind w:firstLine="0" w:left="0" w:right="0"/>
        <w:jc w:val="left"/>
      </w:pPr>
      <w:r>
        <w:rPr>
          <w:rFonts w:eastAsia="Arial" w:ascii="Arial" w:hAnsi="Arial" w:cs="Arial"/>
          <w:sz w:val="22"/>
        </w:rPr>
        <w:t xml:space="preserve">Thay lại ảnh chụp ngoài</w:t>
      </w:r>
    </w:p>
  </w:comment>
  <w:comment w:id="0" w:author="Nguyễn Thị Thùy Dương" w:date="2026-04-17T10:17:27Z" w:initials="NTTD">
    <w:p w14:paraId="00000003" w14:textId="00000003">
      <w:pPr>
        <w:spacing w:line="240" w:after="0" w:lineRule="auto" w:before="0"/>
        <w:ind w:firstLine="0" w:left="0" w:right="0"/>
        <w:jc w:val="left"/>
      </w:pPr>
      <w:r>
        <w:rPr>
          <w:rFonts w:eastAsia="Arial" w:ascii="Arial" w:hAnsi="Arial" w:cs="Arial"/>
          <w:sz w:val="22"/>
        </w:rPr>
        <w:t xml:space="preserve">Địa chị mới</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1"/>
  <w15:commentEx w15:paraId="0000000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E71A10D" w16cex:dateUtc="2026-04-17T03:22:31Z"/>
  <w16cex:commentExtensible w16cex:durableId="4C9F3DBF" w16cex:dateUtc="2026-04-17T03:21:39Z"/>
  <w16cex:commentExtensible w16cex:durableId="08A02B9D" w16cex:dateUtc="2026-04-17T03:17:27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3E71A10D"/>
  <w16cid:commentId w16cid:paraId="00000002" w16cid:durableId="4C9F3DBF"/>
  <w16cid:commentId w16cid:paraId="00000003" w16cid:durableId="08A02B9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comments" Target="comments.xml" /><Relationship Id="rId35" Type="http://schemas.microsoft.com/office/2011/relationships/commentsExtended" Target="commentsExtended.xml" /><Relationship Id="rId36" Type="http://schemas.microsoft.com/office/2018/08/relationships/commentsExtensible" Target="commentsExtensible.xml" /><Relationship Id="rId37" Type="http://schemas.microsoft.com/office/2016/09/relationships/commentsIds" Target="commentsIds.xml" /><Relationship Id="rId38"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Tấn Sang</cp:lastModifiedBy>
  <cp:revision>285</cp:revision>
  <dcterms:created xsi:type="dcterms:W3CDTF">2025-09-15T09:58:00Z</dcterms:created>
  <dcterms:modified xsi:type="dcterms:W3CDTF">2026-04-17T03:42:22Z</dcterms:modified>
</cp:coreProperties>
</file>