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header2.xml" ContentType="application/vnd.openxmlformats-officedocument.wordprocessingml.head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5467350"/>
                <wp:effectExtent l="12700" t="12700" r="31750" b="31750"/>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pPr>
                            <w:r>
                              <w:rPr>
                                <w:rFonts w:ascii="Times New Roman" w:hAnsi="Times New Roman" w:eastAsia="Times New Roman" w:cs="Times New Roman"/>
                                <w:b/>
                                <w:color w:val="000000"/>
                                <w:sz w:val="24"/>
                              </w:rPr>
                              <w:t xml:space="preserve">Số: 275/2026/0585/VFI-CT.44.A</w:t>
                            </w:r>
                            <w:r/>
                          </w:p>
                          <w:p>
                            <w:pPr>
                              <w:pBdr>
                                <w:top w:val="none" w:color="000000" w:sz="4" w:space="0"/>
                                <w:left w:val="none" w:color="000000" w:sz="4" w:space="0"/>
                                <w:bottom w:val="none" w:color="000000" w:sz="4" w:space="0"/>
                                <w:right w:val="none" w:color="000000" w:sz="4" w:space="0"/>
                              </w:pBdr>
                              <w:tabs>
                                <w:tab w:val="left" w:leader="none" w:pos="3002"/>
                              </w:tabs>
                              <w:spacing w:after="120" w:before="120" w:line="276" w:lineRule="auto"/>
                              <w:ind w:right="0" w:firstLine="0" w:left="0"/>
                              <w:jc w:val="center"/>
                              <w:rPr/>
                            </w:pPr>
                            <w:r>
                              <w:rPr>
                                <w:rFonts w:ascii="Times New Roman" w:hAnsi="Times New Roman" w:eastAsia="Times New Roman" w:cs="Times New Roman"/>
                                <w:b/>
                                <w:color w:val="000000"/>
                                <w:sz w:val="24"/>
                              </w:rPr>
                              <w:t xml:space="preserve">Khách hàng yêu cầu: Công ty TNHH MTV Quản lý nợ và Khai thác tài sản Ngân hàng Nông nghiệp và Phát triển Nông thôn Việt Nam</w:t>
                            </w: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color w:val="000000"/>
                                <w:sz w:val="24"/>
                              </w:rPr>
                              <w:t xml:space="preserve">Tài sản thẩm định: </w:t>
                            </w:r>
                            <w:r>
                              <w:rPr>
                                <w:rFonts w:ascii="Times New Roman" w:hAnsi="Times New Roman" w:eastAsia="Times New Roman" w:cs="Times New Roman"/>
                                <w:color w:val="000000"/>
                                <w:sz w:val="24"/>
                              </w:rPr>
                              <w:t xml:space="preserve">Lợi thế quyền sử dụng đất thuê trả tiền hàng năm và tài sản gắn liền với đất (</w:t>
                            </w:r>
                            <w:r>
                              <w:rPr>
                                <w:rFonts w:ascii="Times New Roman" w:hAnsi="Times New Roman" w:eastAsia="Times New Roman" w:cs="Times New Roman"/>
                                <w:i/>
                                <w:color w:val="000000"/>
                                <w:sz w:val="24"/>
                              </w:rPr>
                              <w:t xml:space="preserve">Danh mục chi tiết tại Báo cáo kết quả thẩm định giá</w:t>
                            </w:r>
                            <w:r>
                              <w:rPr>
                                <w:rFonts w:ascii="Times New Roman" w:hAnsi="Times New Roman" w:eastAsia="Times New Roman" w:cs="Times New Roman"/>
                                <w:color w:val="000000"/>
                                <w:sz w:val="24"/>
                              </w:rPr>
                              <w:t xml:space="preserve">) tại thửa đất số: 1081, tờ bản đồ số: 3, có địa chỉ: Cụm công nghiệp Vũ Ninh, xã Vũ Ninh, huyện Kiến Xương, tỉnh Thái Bình (nay là Cụm công nghiệp Vũ Ninh, xã Vũ Quý, tỉnh Hưng Yên) theo Giấy chứng nhận quyền sử dụng đất, quyền sở hữu nhà ở và tài sản khá</w:t>
                            </w:r>
                            <w:r>
                              <w:rPr>
                                <w:rFonts w:ascii="Times New Roman" w:hAnsi="Times New Roman" w:eastAsia="Times New Roman" w:cs="Times New Roman"/>
                                <w:color w:val="000000"/>
                                <w:sz w:val="24"/>
                              </w:rPr>
                              <w:t xml:space="preserve">c gắn liền với đất số: CS 666759, Số vào sổ cấp GCN: CS 04639 do Sở tài nguyên và Môi trường tỉnh Thái Bình cấp ngày 20/12/2021; chủ sử dụng đất là Công ty TNHH LOGITEX</w:t>
                            </w:r>
                            <w:r>
                              <w:rPr>
                                <w:rFonts w:ascii="Times New Roman" w:hAnsi="Times New Roman" w:eastAsia="Times New Roman" w:cs="Times New Roman"/>
                                <w:i/>
                                <w:color w:val="000000"/>
                                <w:sz w:val="24"/>
                              </w:rPr>
                              <w:t xml:space="preserve">.</w:t>
                            </w:r>
                            <w:r/>
                          </w:p>
                          <w:p>
                            <w:pPr>
                              <w:pBdr/>
                              <w:spacing w:after="120" w:before="120" w:line="360" w:lineRule="auto"/>
                              <w:ind/>
                              <w:jc w:val="center"/>
                              <w:rPr>
                                <w:bCs/>
                                <w:i/>
                                <w:iCs/>
                              </w:rPr>
                            </w:pPr>
                            <w:r>
                              <w:rPr>
                                <w:rFonts w:ascii="Times New Roman" w:hAnsi="Times New Roman" w:eastAsia="Times New Roman" w:cs="Times New Roman"/>
                                <w:b/>
                                <w:color w:val="000000"/>
                                <w:sz w:val="24"/>
                              </w:rPr>
                              <w:t xml:space="preserve">Thời điểm thẩm định: </w:t>
                            </w:r>
                            <w:r>
                              <w:rPr>
                                <w:rFonts w:ascii="Times New Roman" w:hAnsi="Times New Roman" w:eastAsia="Times New Roman" w:cs="Times New Roman"/>
                                <w:color w:val="000000"/>
                                <w:sz w:val="24"/>
                              </w:rPr>
                              <w:t xml:space="preserve">Tháng 4/2026</w:t>
                            </w:r>
                            <w:r/>
                            <w:r>
                              <w:rPr>
                                <w:lang w:val="pt-BR"/>
                              </w:rPr>
                              <w:t xml:space="preserve">.</w:t>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430.5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pPr>
                      <w:r>
                        <w:rPr>
                          <w:rFonts w:ascii="Times New Roman" w:hAnsi="Times New Roman" w:eastAsia="Times New Roman" w:cs="Times New Roman"/>
                          <w:b/>
                          <w:color w:val="000000"/>
                          <w:sz w:val="24"/>
                        </w:rPr>
                        <w:t xml:space="preserve">Số: 275/2026/0585/VFI-CT.44.A</w:t>
                      </w:r>
                      <w:r/>
                    </w:p>
                    <w:p>
                      <w:pPr>
                        <w:pBdr>
                          <w:top w:val="none" w:color="000000" w:sz="4" w:space="0"/>
                          <w:left w:val="none" w:color="000000" w:sz="4" w:space="0"/>
                          <w:bottom w:val="none" w:color="000000" w:sz="4" w:space="0"/>
                          <w:right w:val="none" w:color="000000" w:sz="4" w:space="0"/>
                        </w:pBdr>
                        <w:tabs>
                          <w:tab w:val="left" w:leader="none" w:pos="3002"/>
                        </w:tabs>
                        <w:spacing w:after="120" w:before="120" w:line="276" w:lineRule="auto"/>
                        <w:ind w:right="0" w:firstLine="0" w:left="0"/>
                        <w:jc w:val="center"/>
                        <w:rPr/>
                      </w:pPr>
                      <w:r>
                        <w:rPr>
                          <w:rFonts w:ascii="Times New Roman" w:hAnsi="Times New Roman" w:eastAsia="Times New Roman" w:cs="Times New Roman"/>
                          <w:b/>
                          <w:color w:val="000000"/>
                          <w:sz w:val="24"/>
                        </w:rPr>
                        <w:t xml:space="preserve">Khách hàng yêu cầu: Công ty TNHH MTV Quản lý nợ và Khai thác tài sản Ngân hàng Nông nghiệp và Phát triển Nông thôn Việt Nam</w:t>
                      </w: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color w:val="000000"/>
                          <w:sz w:val="24"/>
                        </w:rPr>
                        <w:t xml:space="preserve">Tài sản thẩm định: </w:t>
                      </w:r>
                      <w:r>
                        <w:rPr>
                          <w:rFonts w:ascii="Times New Roman" w:hAnsi="Times New Roman" w:eastAsia="Times New Roman" w:cs="Times New Roman"/>
                          <w:color w:val="000000"/>
                          <w:sz w:val="24"/>
                        </w:rPr>
                        <w:t xml:space="preserve">Lợi thế quyền sử dụng đất thuê trả tiền hàng năm và tài sản gắn liền với đất (</w:t>
                      </w:r>
                      <w:r>
                        <w:rPr>
                          <w:rFonts w:ascii="Times New Roman" w:hAnsi="Times New Roman" w:eastAsia="Times New Roman" w:cs="Times New Roman"/>
                          <w:i/>
                          <w:color w:val="000000"/>
                          <w:sz w:val="24"/>
                        </w:rPr>
                        <w:t xml:space="preserve">Danh mục chi tiết tại Báo cáo kết quả thẩm định giá</w:t>
                      </w:r>
                      <w:r>
                        <w:rPr>
                          <w:rFonts w:ascii="Times New Roman" w:hAnsi="Times New Roman" w:eastAsia="Times New Roman" w:cs="Times New Roman"/>
                          <w:color w:val="000000"/>
                          <w:sz w:val="24"/>
                        </w:rPr>
                        <w:t xml:space="preserve">) tại thửa đất số: 1081, tờ bản đồ số: 3, có địa chỉ: Cụm công nghiệp Vũ Ninh, xã Vũ Ninh, huyện Kiến Xương, tỉnh Thái Bình (nay là Cụm công nghiệp Vũ Ninh, xã Vũ Quý, tỉnh Hưng Yên) theo Giấy chứng nhận quyền sử dụng đất, quyền sở hữu nhà ở và tài sản khá</w:t>
                      </w:r>
                      <w:r>
                        <w:rPr>
                          <w:rFonts w:ascii="Times New Roman" w:hAnsi="Times New Roman" w:eastAsia="Times New Roman" w:cs="Times New Roman"/>
                          <w:color w:val="000000"/>
                          <w:sz w:val="24"/>
                        </w:rPr>
                        <w:t xml:space="preserve">c gắn liền với đất số: CS 666759, Số vào sổ cấp GCN: CS 04639 do Sở tài nguyên và Môi trường tỉnh Thái Bình cấp ngày 20/12/2021; chủ sử dụng đất là Công ty TNHH LOGITEX</w:t>
                      </w:r>
                      <w:r>
                        <w:rPr>
                          <w:rFonts w:ascii="Times New Roman" w:hAnsi="Times New Roman" w:eastAsia="Times New Roman" w:cs="Times New Roman"/>
                          <w:i/>
                          <w:color w:val="000000"/>
                          <w:sz w:val="24"/>
                        </w:rPr>
                        <w:t xml:space="preserve">.</w:t>
                      </w:r>
                      <w:r/>
                    </w:p>
                    <w:p>
                      <w:pPr>
                        <w:pBdr/>
                        <w:spacing w:after="120" w:before="120" w:line="360" w:lineRule="auto"/>
                        <w:ind/>
                        <w:jc w:val="center"/>
                        <w:rPr>
                          <w:bCs/>
                          <w:i/>
                          <w:iCs/>
                        </w:rPr>
                      </w:pPr>
                      <w:r>
                        <w:rPr>
                          <w:rFonts w:ascii="Times New Roman" w:hAnsi="Times New Roman" w:eastAsia="Times New Roman" w:cs="Times New Roman"/>
                          <w:b/>
                          <w:color w:val="000000"/>
                          <w:sz w:val="24"/>
                        </w:rPr>
                        <w:t xml:space="preserve">Thời điểm thẩm định: </w:t>
                      </w:r>
                      <w:r>
                        <w:rPr>
                          <w:rFonts w:ascii="Times New Roman" w:hAnsi="Times New Roman" w:eastAsia="Times New Roman" w:cs="Times New Roman"/>
                          <w:color w:val="000000"/>
                          <w:sz w:val="24"/>
                        </w:rPr>
                        <w:t xml:space="preserve">Tháng 4/2026</w:t>
                      </w:r>
                      <w:r/>
                      <w:r>
                        <w:rPr>
                          <w:lang w:val="pt-BR"/>
                        </w:rPr>
                        <w:t xml:space="preserve">.</w:t>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v:textbox>
              </v:shape>
            </w:pict>
          </mc:Fallback>
        </mc:AlternateContent>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sectPr>
          <w:headerReference w:type="default" r:id="rId9"/>
          <w:headerReference w:type="even" r:id="rId10"/>
          <w:footerReference w:type="default" r:id="rId11"/>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MỤC LỤC</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bl>
      <w:tblPr>
        <w:tblStyle w:val="860"/>
        <w:tblInd w:w="93" w:type="dxa"/>
        <w:tblW w:w="0" w:type="auto"/>
        <w:tblCellMar>
          <w:left w:w="10" w:type="dxa"/>
          <w:top w:w="0" w:type="dxa"/>
          <w:right w:w="1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280"/>
        <w:gridCol w:w="1520"/>
      </w:tblGrid>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u w:val="single"/>
              </w:rPr>
              <w:t xml:space="preserve">NỘI DUNG</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u w:val="single"/>
              </w:rPr>
              <w:t xml:space="preserve">TRANG</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 </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Chứng thư thẩm định giá</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1 - 3</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Báo cáo thẩm định giá</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4-27</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Các phụ lục chi tiết kèm theo</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 </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1: Thông tin hiện trạng + Hồ sơ pháp lý</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28-34</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2: Thông tin thu thập thị trường + BBKS</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34-43</w:t>
            </w:r>
            <w:r/>
          </w:p>
        </w:tc>
      </w:tr>
    </w:tbl>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w:t>
      </w:r>
      <w:r/>
    </w:p>
    <w:tbl>
      <w:tblPr>
        <w:tblStyle w:val="860"/>
        <w:tblInd w:w="-28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702"/>
        <w:gridCol w:w="2268"/>
        <w:gridCol w:w="5812"/>
        <w:gridCol w:w="142"/>
      </w:tblGrid>
      <w:tr>
        <w:trPr>
          <w:trHeight w:val="1152"/>
        </w:trPr>
        <w:tc>
          <w:tcPr>
            <w:tcBorders/>
            <w:tcMar>
              <w:left w:w="108" w:type="dxa"/>
              <w:top w:w="0" w:type="dxa"/>
              <w:right w:w="108" w:type="dxa"/>
              <w:bottom w:w="0" w:type="dxa"/>
            </w:tcMar>
            <w:tcW w:w="1702" w:type="dxa"/>
            <w:vAlign w:val="top"/>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1019175" cy="923925"/>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21763" name=""/>
                              <pic:cNvPicPr>
                                <a:picLocks noChangeAspect="1"/>
                              </pic:cNvPicPr>
                              <pic:nvPr/>
                            </pic:nvPicPr>
                            <pic:blipFill rotWithShape="1">
                              <a:blip r:embed="rId14"/>
                              <a:stretch/>
                            </pic:blipFill>
                            <pic:spPr bwMode="auto">
                              <a:xfrm>
                                <a:off x="0" y="0"/>
                                <a:ext cx="1019174" cy="923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25pt;height:72.75pt;mso-wrap-distance-left:0.00pt;mso-wrap-distance-top:0.00pt;mso-wrap-distance-right:0.00pt;mso-wrap-distance-bottom:0.00pt;z-index:1;" stroked="false">
                      <v:imagedata r:id="rId14" o:title=""/>
                      <o:lock v:ext="edit" rotation="t"/>
                    </v:shape>
                  </w:pict>
                </mc:Fallback>
              </mc:AlternateContent>
            </w:r>
            <w:r/>
          </w:p>
        </w:tc>
        <w:tc>
          <w:tcPr>
            <w:gridSpan w:val="3"/>
            <w:tcBorders/>
            <w:tcMar>
              <w:left w:w="108" w:type="dxa"/>
              <w:top w:w="0" w:type="dxa"/>
              <w:right w:w="108" w:type="dxa"/>
              <w:bottom w:w="0" w:type="dxa"/>
            </w:tcMar>
            <w:tcW w:w="8222" w:type="dxa"/>
            <w:vAlign w:val="top"/>
            <w:textDirection w:val="lrTb"/>
            <w:noWrap w:val="false"/>
          </w:tcPr>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Trụ sở: BT5 - 23, Khu đô thị mới Văn Phú, Phường Kiến Hưng, Thành phố Hà Nội</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Email: </w:t>
              <w:tab/>
            </w:r>
            <w:hyperlink r:id="rId15" w:tooltip="mailto:ilotus.contact@gmail.com" w:history="1">
              <w:r>
                <w:rPr>
                  <w:rStyle w:val="846"/>
                  <w:rFonts w:ascii="Times New Roman" w:hAnsi="Times New Roman" w:eastAsia="Times New Roman" w:cs="Times New Roman"/>
                  <w:color w:val="000000"/>
                  <w:sz w:val="24"/>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gridAfter w:val="1"/>
          <w:trHeight w:val="482"/>
        </w:trPr>
        <w:tc>
          <w:tcPr>
            <w:gridSpan w:val="2"/>
            <w:tcBorders/>
            <w:tcMar>
              <w:left w:w="108" w:type="dxa"/>
              <w:top w:w="0" w:type="dxa"/>
              <w:right w:w="108" w:type="dxa"/>
              <w:bottom w:w="0" w:type="dxa"/>
            </w:tcMar>
            <w:tcW w:w="3970"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Số: 275/2026/0585/VFI-CT.44.A</w:t>
            </w:r>
            <w:r/>
          </w:p>
        </w:tc>
        <w:tc>
          <w:tcPr>
            <w:tcBorders/>
            <w:tcMar>
              <w:left w:w="108" w:type="dxa"/>
              <w:top w:w="0" w:type="dxa"/>
              <w:right w:w="108" w:type="dxa"/>
              <w:bottom w:w="0" w:type="dxa"/>
            </w:tcMar>
            <w:tcW w:w="5812"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right"/>
              <w:rPr/>
            </w:pPr>
            <w:r>
              <w:rPr>
                <w:rFonts w:ascii="Times New Roman" w:hAnsi="Times New Roman" w:eastAsia="Times New Roman" w:cs="Times New Roman"/>
                <w:i/>
                <w:color w:val="000000"/>
                <w:sz w:val="24"/>
              </w:rPr>
              <w:t xml:space="preserve">TP. Hà Nội, ngày 15 tháng 4 năm 2026</w:t>
            </w:r>
            <w:r/>
          </w:p>
        </w:tc>
      </w:tr>
      <w:tr>
        <w:trPr/>
        <w:tc>
          <w:tcPr>
            <w:tcBorders/>
            <w:tcMar>
              <w:left w:w="0" w:type="dxa"/>
              <w:top w:w="0" w:type="dxa"/>
              <w:right w:w="0" w:type="dxa"/>
              <w:bottom w:w="0" w:type="dxa"/>
            </w:tcMar>
            <w:tcW w:w="1702" w:type="dxa"/>
            <w:vAlign w:val="center"/>
            <w:textDirection w:val="lrTb"/>
            <w:noWrap w:val="false"/>
          </w:tcPr>
          <w:p>
            <w:pPr>
              <w:pBdr/>
              <w:spacing w:after="0" w:before="0" w:line="240"/>
              <w:ind/>
              <w:rPr/>
            </w:pPr>
            <w:r/>
          </w:p>
        </w:tc>
        <w:tc>
          <w:tcPr>
            <w:tcBorders/>
            <w:tcMar>
              <w:left w:w="0" w:type="dxa"/>
              <w:top w:w="0" w:type="dxa"/>
              <w:right w:w="0" w:type="dxa"/>
              <w:bottom w:w="0" w:type="dxa"/>
            </w:tcMar>
            <w:tcW w:w="2268" w:type="dxa"/>
            <w:vAlign w:val="center"/>
            <w:textDirection w:val="lrTb"/>
            <w:noWrap w:val="false"/>
          </w:tcPr>
          <w:p>
            <w:pPr>
              <w:pBdr/>
              <w:spacing w:after="0" w:before="0" w:line="240"/>
              <w:ind/>
              <w:rPr/>
            </w:pPr>
            <w:r/>
          </w:p>
        </w:tc>
        <w:tc>
          <w:tcPr>
            <w:tcBorders/>
            <w:tcMar>
              <w:left w:w="0" w:type="dxa"/>
              <w:top w:w="0" w:type="dxa"/>
              <w:right w:w="0" w:type="dxa"/>
              <w:bottom w:w="0" w:type="dxa"/>
            </w:tcMar>
            <w:tcW w:w="5812" w:type="dxa"/>
            <w:vAlign w:val="center"/>
            <w:textDirection w:val="lrTb"/>
            <w:noWrap w:val="false"/>
          </w:tcPr>
          <w:p>
            <w:pPr>
              <w:pBdr/>
              <w:spacing w:after="0" w:before="0" w:line="240"/>
              <w:ind/>
              <w:rPr/>
            </w:pPr>
            <w:r/>
          </w:p>
        </w:tc>
        <w:tc>
          <w:tcPr>
            <w:tcBorders/>
            <w:tcMar>
              <w:left w:w="0" w:type="dxa"/>
              <w:top w:w="0" w:type="dxa"/>
              <w:right w:w="0" w:type="dxa"/>
              <w:bottom w:w="0" w:type="dxa"/>
            </w:tcMar>
            <w:tcW w:w="142" w:type="dxa"/>
            <w:vAlign w:val="center"/>
            <w:textDirection w:val="lrTb"/>
            <w:noWrap w:val="false"/>
          </w:tcPr>
          <w:p>
            <w:pPr>
              <w:pBdr/>
              <w:spacing w:after="0" w:before="0" w:line="240"/>
              <w:ind/>
              <w:rPr/>
            </w:pPr>
            <w:r/>
          </w:p>
        </w:tc>
      </w:tr>
    </w:tbl>
    <w:p>
      <w:pPr>
        <w:pBdr>
          <w:top w:val="none" w:color="000000" w:sz="4" w:space="0"/>
          <w:left w:val="none" w:color="000000" w:sz="4" w:space="0"/>
          <w:bottom w:val="none" w:color="000000" w:sz="4" w:space="0"/>
          <w:right w:val="none" w:color="000000" w:sz="4" w:space="0"/>
        </w:pBdr>
        <w:spacing w:after="120" w:before="200" w:line="288" w:lineRule="auto"/>
        <w:ind w:right="0" w:firstLine="0" w:left="0"/>
        <w:jc w:val="center"/>
        <w:rPr/>
      </w:pPr>
      <w:r>
        <w:rPr>
          <w:rFonts w:ascii="Times New Roman" w:hAnsi="Times New Roman" w:eastAsia="Times New Roman" w:cs="Times New Roman"/>
          <w:b/>
          <w:color w:val="000000"/>
          <w:sz w:val="30"/>
        </w:rPr>
        <w:t xml:space="preserve">CHỨNG THƯ THẨM ĐỊNH GIÁ</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u w:val="single"/>
        </w:rPr>
        <w:t xml:space="preserve">Kính gửi</w:t>
      </w:r>
      <w:r>
        <w:rPr>
          <w:rFonts w:ascii="Times New Roman" w:hAnsi="Times New Roman" w:eastAsia="Times New Roman" w:cs="Times New Roman"/>
          <w:b/>
          <w:color w:val="000000"/>
          <w:sz w:val="24"/>
        </w:rPr>
        <w:t xml:space="preserve">: Công ty TNHH MTV Quản lý nợ và Khai thác tài sản Ngân hàng Nông nghiệp và Phát triển Nông thôn Việt Nam</w:t>
      </w:r>
      <w:r/>
    </w:p>
    <w:p>
      <w:pPr>
        <w:pBdr>
          <w:top w:val="none" w:color="000000" w:sz="4" w:space="0"/>
          <w:left w:val="none" w:color="000000" w:sz="4" w:space="0"/>
          <w:bottom w:val="none" w:color="000000" w:sz="4" w:space="0"/>
          <w:right w:val="none" w:color="000000" w:sz="4" w:space="0"/>
        </w:pBdr>
        <w:tabs>
          <w:tab w:val="left" w:leader="none" w:pos="450"/>
        </w:tabs>
        <w:spacing w:after="120" w:before="120"/>
        <w:ind w:right="0" w:firstLine="0" w:left="-72"/>
        <w:jc w:val="both"/>
        <w:rPr/>
      </w:pPr>
      <w:r>
        <w:rPr>
          <w:rFonts w:ascii="Times New Roman" w:hAnsi="Times New Roman" w:eastAsia="Times New Roman" w:cs="Times New Roman"/>
          <w:color w:val="000000"/>
          <w:spacing w:val="-4"/>
          <w:sz w:val="24"/>
        </w:rPr>
        <w:tab/>
        <w:t xml:space="preserve">Căn cứ Hợp đồng dịch vụ thẩm định giá số: 275/2026/0585/VFI-HĐTĐ.44.A ký ngày 01 tháng 4 năm 2026 giữa Công ty TNHH MTV Quản lý nợ và Khai thác tài sản Ngân hàng Nông nghiệp và Phát triển Nông thôn Việt Nam</w:t>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pacing w:val="-6"/>
          <w:sz w:val="24"/>
        </w:rPr>
        <w:t xml:space="preserve">với</w:t>
      </w:r>
      <w:r>
        <w:rPr>
          <w:rFonts w:ascii="Times New Roman" w:hAnsi="Times New Roman" w:eastAsia="Times New Roman" w:cs="Times New Roman"/>
          <w:color w:val="000000"/>
          <w:spacing w:val="-4"/>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ind w:right="0" w:firstLine="432" w:left="0"/>
        <w:jc w:val="both"/>
        <w:rPr/>
      </w:pPr>
      <w:r>
        <w:rPr>
          <w:rFonts w:ascii="Times New Roman" w:hAnsi="Times New Roman" w:eastAsia="Times New Roman" w:cs="Times New Roman"/>
          <w:color w:val="000000"/>
          <w:spacing w:val="-2"/>
          <w:sz w:val="24"/>
        </w:rPr>
        <w:t xml:space="preserve">Căn cứ Báo cáo thẩm định giá số 275/2026/0585/VFI-BC.44.A ngày 15 tháng 4 năm 2026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ind w:right="0" w:firstLine="432"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p>
    <w:p>
      <w:pPr>
        <w:pBdr>
          <w:top w:val="none" w:color="000000" w:sz="4" w:space="0"/>
          <w:left w:val="none" w:color="000000" w:sz="4" w:space="0"/>
          <w:bottom w:val="none" w:color="000000" w:sz="4" w:space="0"/>
          <w:right w:val="none" w:color="000000" w:sz="4" w:space="0"/>
        </w:pBdr>
        <w:tabs>
          <w:tab w:val="left" w:leader="none" w:pos="851"/>
        </w:tabs>
        <w:spacing w:after="120" w:before="120" w:line="288" w:lineRule="auto"/>
        <w:ind w:right="0" w:firstLine="0" w:left="0"/>
        <w:jc w:val="both"/>
        <w:rPr/>
      </w:pPr>
      <w:r>
        <w:rPr>
          <w:rFonts w:ascii="Times New Roman" w:hAnsi="Times New Roman" w:eastAsia="Times New Roman" w:cs="Times New Roman"/>
          <w:b/>
          <w:color w:val="000000"/>
          <w:sz w:val="24"/>
        </w:rPr>
        <w:t xml:space="preserve">1. Khách hàng yêu cầu thẩm định giá:</w:t>
      </w:r>
      <w:r/>
    </w:p>
    <w:tbl>
      <w:tblPr>
        <w:tblStyle w:val="860"/>
        <w:tblInd w:w="0" w:type="dxa"/>
        <w:tblW w:w="4967"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234"/>
        <w:gridCol w:w="283"/>
        <w:gridCol w:w="6945"/>
      </w:tblGrid>
      <w:tr>
        <w:trPr>
          <w:trHeight w:val="20"/>
        </w:trPr>
        <w:tc>
          <w:tcPr>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ind w:right="0" w:firstLine="0" w:left="0"/>
              <w:rPr/>
            </w:pPr>
            <w:r>
              <w:rPr>
                <w:rFonts w:ascii="Times New Roman" w:hAnsi="Times New Roman" w:eastAsia="Times New Roman" w:cs="Times New Roman"/>
                <w:b/>
                <w:color w:val="000000"/>
                <w:spacing w:val="3"/>
                <w:sz w:val="24"/>
              </w:rPr>
              <w:t xml:space="preserve">CÔNG TY TNHH MTV QUẢN LÝ NỢ VÀ KHAI THÁC TÀI SẢN NGÂN HÀNG NÔNG NGHIỆP VÀ PHÁT TRIỂN NÔNG THÔN VIỆT NAM</w:t>
            </w:r>
            <w:r/>
          </w:p>
        </w:tc>
      </w:tr>
      <w:tr>
        <w:trPr>
          <w:trHeight w:val="20"/>
        </w:trPr>
        <w:tc>
          <w:tcPr>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pacing w:val="-2"/>
                <w:sz w:val="24"/>
                <w:highlight w:val="white"/>
              </w:rPr>
              <w:t xml:space="preserve">0106134589</w:t>
            </w:r>
            <w:r/>
          </w:p>
        </w:tc>
      </w:tr>
      <w:tr>
        <w:trPr>
          <w:trHeight w:val="20"/>
        </w:trPr>
        <w:tc>
          <w:tcPr>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br/>
            </w:r>
            <w:r>
              <w:rPr>
                <w:rFonts w:ascii="Times New Roman" w:hAnsi="Times New Roman" w:eastAsia="Times New Roman" w:cs="Times New Roman"/>
                <w:color w:val="000000"/>
                <w:spacing w:val="-2"/>
                <w:sz w:val="24"/>
              </w:rPr>
              <w:t xml:space="preserve">Tầng 8, tầng 9, số nhà 135 đường Lạc Long Quân, Phường Tây Hồ, TP Hà Nội, Việt Nam</w:t>
            </w:r>
            <w:r/>
          </w:p>
        </w:tc>
      </w:tr>
      <w:tr>
        <w:trPr>
          <w:trHeight w:val="20"/>
        </w:trPr>
        <w:tc>
          <w:tcPr>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z w:val="24"/>
              </w:rPr>
              <w:t xml:space="preserve">Người đại diện</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pacing w:val="-2"/>
                <w:sz w:val="24"/>
              </w:rPr>
              <w:t xml:space="preserve">Ông Nguyễn Xuân Quang           Chức vụ:……………………….</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2. Thông tin về doanh nghiệp thẩm định giá:</w:t>
      </w:r>
      <w:r/>
    </w:p>
    <w:tbl>
      <w:tblPr>
        <w:tblStyle w:val="860"/>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269"/>
        <w:gridCol w:w="289"/>
        <w:gridCol w:w="7115"/>
      </w:tblGrid>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after="40" w:before="40" w:line="276" w:lineRule="auto"/>
              <w:ind w:right="0" w:firstLine="0" w:left="0"/>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Thông báo</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Số 1294/TB-BTC ngày 25/12/2025</w:t>
            </w:r>
            <w:r>
              <w:rPr>
                <w:rFonts w:ascii="Segoe UI" w:hAnsi="Segoe UI" w:eastAsia="Segoe UI" w:cs="Segoe UI"/>
                <w:color w:val="000000"/>
                <w:sz w:val="21"/>
              </w:rPr>
              <w:t xml:space="preserve"> </w:t>
            </w:r>
            <w:r>
              <w:rPr>
                <w:rFonts w:ascii="Times New Roman" w:hAnsi="Times New Roman" w:eastAsia="Times New Roman" w:cs="Times New Roman"/>
                <w:color w:val="000000"/>
                <w:sz w:val="24"/>
              </w:rPr>
              <w:t xml:space="preserve">về việc doanh nghiệp đủ điều kiện kinh doanh Dịch vụ thẩm định giá.</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z w:val="24"/>
              </w:rPr>
              <w:t xml:space="preserve">Ông Vũ Văn Quân</w:t>
              <w:tab/>
              <w:t xml:space="preserve">        Chức vụ: Chủ tịch HĐQT kiêm Tổng GĐ</w:t>
            </w:r>
            <w:r/>
          </w:p>
        </w:tc>
      </w:tr>
    </w:tbl>
    <w:p>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b/>
          <w:color w:val="000000"/>
          <w:sz w:val="24"/>
        </w:rPr>
        <w:t xml:space="preserve">3. Tài sản thẩm định:</w:t>
      </w:r>
      <w:r>
        <w:rPr>
          <w:rFonts w:ascii="Times New Roman" w:hAnsi="Times New Roman" w:eastAsia="Times New Roman" w:cs="Times New Roman"/>
          <w:color w:val="000000"/>
          <w:sz w:val="24"/>
        </w:rPr>
        <w:t xml:space="preserve"> Lợi thế quyền sử dụng đất thuê trả tiền hàng năm và tài sản gắn liền với đất tại thửa đất số: 1081, tờ bản đồ số: 3, có địa chỉ: Cụm công nghiệp Vũ Ninh, xã Vũ Ninh, huyện Kiến Xương, tỉnh Thái Bình (nay là Cụm công nghiệp Vũ Ninh, xã Vũ Quý, tỉnh Hưng Yê</w:t>
      </w:r>
      <w:r>
        <w:rPr>
          <w:rFonts w:ascii="Times New Roman" w:hAnsi="Times New Roman" w:eastAsia="Times New Roman" w:cs="Times New Roman"/>
          <w:color w:val="000000"/>
          <w:sz w:val="24"/>
        </w:rPr>
        <w:t xml:space="preserve">n) theo Giấy chứng nhận quyền sử dụng đất, quyền sở hữu nhà ở và tài sản khác gắn liền với đất số: CS 666759, Số vào sổ cấp GCN: CS 04639 do Sở tài nguyên và Môi trường tỉnh Thái Bình cấp ngày 20/12/2021; chủ sử dụng đất là Công ty TNHH LOGITEX</w:t>
      </w:r>
      <w:r>
        <w:rPr>
          <w:rFonts w:ascii="Times New Roman" w:hAnsi="Times New Roman" w:eastAsia="Times New Roman" w:cs="Times New Roman"/>
          <w:i/>
          <w:color w:val="000000"/>
          <w:sz w:val="24"/>
        </w:rPr>
        <w:t xml:space="preserve">.</w:t>
      </w:r>
      <w:r/>
    </w:p>
    <w:p>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b/>
          <w:color w:val="000000"/>
          <w:sz w:val="24"/>
        </w:rPr>
        <w:t xml:space="preserve">4. Thời điểm thẩm định giá:</w:t>
      </w:r>
      <w:r>
        <w:rPr>
          <w:rFonts w:ascii="Times New Roman" w:hAnsi="Times New Roman" w:eastAsia="Times New Roman" w:cs="Times New Roman"/>
          <w:color w:val="000000"/>
          <w:sz w:val="24"/>
        </w:rPr>
        <w:t xml:space="preserve"> Tháng 4/2026.</w:t>
      </w:r>
      <w:r/>
    </w:p>
    <w:p>
      <w:pPr>
        <w:pBdr>
          <w:top w:val="none" w:color="000000" w:sz="4" w:space="0"/>
          <w:left w:val="none" w:color="000000" w:sz="4" w:space="0"/>
          <w:bottom w:val="none" w:color="000000" w:sz="4" w:space="0"/>
          <w:right w:val="none" w:color="000000" w:sz="4" w:space="0"/>
        </w:pBdr>
        <w:tabs>
          <w:tab w:val="left" w:leader="none" w:pos="851"/>
        </w:tabs>
        <w:spacing w:after="120" w:before="120"/>
        <w:ind w:right="0" w:firstLine="0" w:left="0"/>
        <w:jc w:val="both"/>
        <w:rPr/>
      </w:pPr>
      <w:r>
        <w:rPr>
          <w:rFonts w:ascii="Times New Roman" w:hAnsi="Times New Roman" w:eastAsia="Times New Roman" w:cs="Times New Roman"/>
          <w:b/>
          <w:color w:val="000000"/>
          <w:sz w:val="24"/>
        </w:rPr>
        <w:t xml:space="preserve">5. Mục đích thẩm định giá: </w:t>
      </w:r>
      <w:r>
        <w:rPr>
          <w:rFonts w:ascii="Times New Roman" w:hAnsi="Times New Roman" w:eastAsia="Times New Roman" w:cs="Times New Roman"/>
          <w:color w:val="000000"/>
          <w:spacing w:val="-4"/>
          <w:sz w:val="24"/>
        </w:rPr>
        <w:t xml:space="preserve">Kết quả thẩm định giá để khách hàng tham khảo giá trị tài sản phục vụ công tác xử lý nợ.</w:t>
      </w:r>
      <w:r/>
    </w:p>
    <w:p>
      <w:pPr>
        <w:pBdr>
          <w:top w:val="none" w:color="000000" w:sz="4" w:space="0"/>
          <w:left w:val="none" w:color="000000" w:sz="4" w:space="0"/>
          <w:bottom w:val="none" w:color="000000" w:sz="4" w:space="0"/>
          <w:right w:val="none" w:color="000000" w:sz="4" w:space="0"/>
        </w:pBdr>
        <w:tabs>
          <w:tab w:val="left" w:leader="none" w:pos="851"/>
        </w:tabs>
        <w:spacing w:after="120" w:before="120"/>
        <w:ind w:right="0" w:firstLine="0" w:left="0"/>
        <w:jc w:val="both"/>
        <w:rPr/>
      </w:pPr>
      <w:r>
        <w:rPr>
          <w:rFonts w:ascii="Times New Roman" w:hAnsi="Times New Roman" w:eastAsia="Times New Roman" w:cs="Times New Roman"/>
          <w:b/>
          <w:color w:val="000000"/>
          <w:sz w:val="24"/>
        </w:rPr>
        <w:t xml:space="preserve">6. Cơ sở giá trị của tài sản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ind w:right="0" w:firstLine="432" w:left="0"/>
        <w:jc w:val="both"/>
        <w:rPr/>
      </w:pPr>
      <w:r>
        <w:rPr>
          <w:rFonts w:ascii="Times New Roman" w:hAnsi="Times New Roman" w:eastAsia="Times New Roman" w:cs="Times New Roman"/>
          <w:i/>
          <w:color w:val="000000"/>
          <w:sz w:val="24"/>
        </w:rPr>
        <w:t xml:space="preserve">Chi tiết như Báo cáo kèm theo </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ind w:right="0" w:firstLine="0" w:left="0"/>
        <w:jc w:val="both"/>
        <w:rPr/>
      </w:pPr>
      <w:r>
        <w:rPr>
          <w:rFonts w:ascii="Times New Roman" w:hAnsi="Times New Roman" w:eastAsia="Times New Roman" w:cs="Times New Roman"/>
          <w:b/>
          <w:color w:val="000000"/>
          <w:sz w:val="24"/>
        </w:rPr>
        <w:t xml:space="preserve">7. Giả thiết và giả thiết đặc biệt:</w:t>
      </w:r>
      <w:r/>
    </w:p>
    <w:p>
      <w:pPr>
        <w:pBdr>
          <w:top w:val="none" w:color="000000" w:sz="4" w:space="0"/>
          <w:left w:val="none" w:color="000000" w:sz="4" w:space="0"/>
          <w:bottom w:val="none" w:color="000000" w:sz="4" w:space="0"/>
          <w:right w:val="none" w:color="000000" w:sz="4" w:space="0"/>
        </w:pBdr>
        <w:tabs>
          <w:tab w:val="left" w:leader="none" w:pos="5202"/>
        </w:tabs>
        <w:spacing w:after="120" w:before="120"/>
        <w:ind w:right="0" w:firstLine="432"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ind w:right="0" w:firstLine="0" w:left="0"/>
        <w:jc w:val="both"/>
        <w:rPr/>
      </w:pPr>
      <w:r>
        <w:rPr>
          <w:rFonts w:ascii="Times New Roman" w:hAnsi="Times New Roman" w:eastAsia="Times New Roman" w:cs="Times New Roman"/>
          <w:b/>
          <w:color w:val="000000"/>
          <w:sz w:val="24"/>
        </w:rPr>
        <w:t xml:space="preserve">8. Cách tiếp cận và phương pháp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ind w:right="0" w:firstLine="432"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ind w:right="0" w:firstLine="0" w:left="0"/>
        <w:jc w:val="both"/>
        <w:rPr/>
      </w:pPr>
      <w:r>
        <w:rPr>
          <w:rFonts w:ascii="Times New Roman" w:hAnsi="Times New Roman" w:eastAsia="Times New Roman" w:cs="Times New Roman"/>
          <w:b/>
          <w:color w:val="000000"/>
          <w:sz w:val="24"/>
        </w:rPr>
        <w:t xml:space="preserve">9. Giá trị tài sản thẩm định giá:</w:t>
      </w:r>
      <w:r/>
    </w:p>
    <w:p>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color w:val="000000"/>
          <w:sz w:val="24"/>
        </w:rPr>
        <w:t xml:space="preserve">Trên cơ sở các hồ sơ, tài liệu do Khách hàng cung cấp, qua điều tra thông tin thực tế trên thị trường với cách tiếp cận và phương pháp thẩm định được áp dụng trong tính toán, Công ty Cổ phần Thẩm định và Đầu tư Tài chính Hoa Sen thông báo giá trị tài sản c</w:t>
      </w:r>
      <w:r>
        <w:rPr>
          <w:rFonts w:ascii="Times New Roman" w:hAnsi="Times New Roman" w:eastAsia="Times New Roman" w:cs="Times New Roman"/>
          <w:color w:val="000000"/>
          <w:sz w:val="24"/>
        </w:rPr>
        <w:t xml:space="preserve">hưa bao gồm các loại thuế, phí và lệ phí liên quan đến việc chuyển nhượng tài sản của Quý khách hàng tại thời điểm tháng 4/2026 ước tính như sau:</w:t>
      </w:r>
      <w:r/>
    </w:p>
    <w:tbl>
      <w:tblPr>
        <w:tblStyle w:val="860"/>
        <w:tblInd w:w="0" w:type="dxa"/>
        <w:tblW w:w="495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586"/>
        <w:gridCol w:w="3210"/>
        <w:gridCol w:w="2130"/>
        <w:gridCol w:w="1695"/>
        <w:gridCol w:w="1871"/>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2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1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7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both"/>
              <w:rPr/>
            </w:pPr>
            <w:r>
              <w:rPr>
                <w:rFonts w:ascii="Times New Roman" w:hAnsi="Times New Roman" w:eastAsia="Times New Roman" w:cs="Times New Roman"/>
                <w:b/>
                <w:color w:val="000000"/>
                <w:sz w:val="24"/>
              </w:rPr>
              <w:t xml:space="preserve">Lợi thế quyền sử dụng đất thuê trả tiền hàng năm và tài sản gắn liền với đất tại thửa đất số: 1081, tờ bản đồ số: 3, có địa chỉ: Cụm công nghiệp Vũ Ninh, xã Vũ Ninh, huyện Kiến Xương, tỉnh Thái Bình (nay là Cụm công nghiệp Vũ Ninh, xã Vũ Quý, tỉnh Hưng Yên</w:t>
            </w:r>
            <w:r>
              <w:rPr>
                <w:rFonts w:ascii="Times New Roman" w:hAnsi="Times New Roman" w:eastAsia="Times New Roman" w:cs="Times New Roman"/>
                <w:b/>
                <w:color w:val="000000"/>
                <w:sz w:val="24"/>
              </w:rPr>
              <w:t xml:space="preserve">) theo Giấy chứng nhận quyền sử dụng đất, quyền sở hữu nhà ở và tài sản khác gắn liền với đất số: CS 666759, Số vào sổ cấp GCN: CS 04639 do Sở tài nguyên và Môi trường tỉnh Thái Bình cấp ngày 20/12/2021; chủ sử dụng đất là Công ty TNHH LOGITEX.</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b/>
                <w:color w:val="000000"/>
                <w:sz w:val="24"/>
              </w:rPr>
              <w:t xml:space="preserve">I</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7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rPr/>
            </w:pPr>
            <w:r>
              <w:rPr>
                <w:rFonts w:ascii="Times New Roman" w:hAnsi="Times New Roman" w:eastAsia="Times New Roman" w:cs="Times New Roman"/>
                <w:b/>
                <w:color w:val="000000"/>
                <w:sz w:val="24"/>
              </w:rPr>
              <w:t xml:space="preserve">Lợi thế quyền thuê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b/>
                <w:color w:val="000000"/>
                <w:sz w:val="24"/>
              </w:rPr>
              <w:t xml:space="preserve">35.071.200.000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color w:val="000000"/>
                <w:sz w:val="24"/>
              </w:rPr>
              <w:t xml:space="preserve">01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rPr/>
            </w:pPr>
            <w:r>
              <w:rPr>
                <w:rFonts w:ascii="Times New Roman" w:hAnsi="Times New Roman" w:eastAsia="Times New Roman" w:cs="Times New Roman"/>
                <w:color w:val="000000"/>
                <w:sz w:val="24"/>
              </w:rPr>
              <w:t xml:space="preserve">Đất cụm công nghiệp (xây dựng nhà máy kéo sợi OE)</w:t>
            </w:r>
            <w:r/>
          </w:p>
        </w:tc>
        <w:tc>
          <w:tcPr>
            <w:tcBorders>
              <w:bottom w:val="single" w:color="000000" w:sz="8" w:space="0"/>
              <w:right w:val="single" w:color="000000" w:sz="8" w:space="0"/>
            </w:tcBorders>
            <w:tcMar>
              <w:left w:w="108" w:type="dxa"/>
              <w:top w:w="0" w:type="dxa"/>
              <w:right w:w="108" w:type="dxa"/>
              <w:bottom w:w="0" w:type="dxa"/>
            </w:tcMar>
            <w:tcW w:w="2130"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ind w:right="0" w:firstLine="0" w:left="0"/>
              <w:jc w:val="center"/>
              <w:rPr/>
            </w:pPr>
            <w:r>
              <w:rPr>
                <w:rFonts w:ascii="Times New Roman" w:hAnsi="Times New Roman" w:eastAsia="Times New Roman" w:cs="Times New Roman"/>
                <w:color w:val="000000"/>
                <w:sz w:val="24"/>
              </w:rPr>
              <w:t xml:space="preserve">17535,60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color w:val="000000"/>
                <w:sz w:val="24"/>
              </w:rPr>
              <w:t xml:space="preserve">35.071.200.000</w:t>
            </w:r>
            <w:r/>
          </w:p>
        </w:tc>
      </w:tr>
      <w:tr>
        <w:trPr>
          <w:trHeight w:val="31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b/>
                <w:color w:val="000000"/>
                <w:sz w:val="24"/>
              </w:rPr>
              <w:t xml:space="preserve">II</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7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rPr/>
            </w:pPr>
            <w:r>
              <w:rPr>
                <w:rFonts w:ascii="Times New Roman" w:hAnsi="Times New Roman" w:eastAsia="Times New Roman" w:cs="Times New Roman"/>
                <w:b/>
                <w:color w:val="000000"/>
                <w:sz w:val="24"/>
              </w:rPr>
              <w:t xml:space="preserve">Giá trị công trình xây dựng trên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b/>
                <w:color w:val="000000"/>
                <w:sz w:val="24"/>
              </w:rPr>
              <w:t xml:space="preserve"> </w:t>
            </w:r>
            <w:r/>
          </w:p>
        </w:tc>
      </w:tr>
      <w:tr>
        <w:trPr>
          <w:trHeight w:val="31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b/>
                <w:color w:val="000000"/>
                <w:sz w:val="24"/>
              </w:rPr>
              <w:t xml:space="preserve">A</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7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rPr/>
            </w:pPr>
            <w:r>
              <w:rPr>
                <w:rFonts w:ascii="Times New Roman" w:hAnsi="Times New Roman" w:eastAsia="Times New Roman" w:cs="Times New Roman"/>
                <w:b/>
                <w:color w:val="000000"/>
                <w:sz w:val="24"/>
              </w:rPr>
              <w:t xml:space="preserve">Các hạng mục đã được chứng nhận trên Giấy chứng nhận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b/>
                <w:color w:val="000000"/>
                <w:sz w:val="24"/>
              </w:rPr>
              <w:t xml:space="preserve">34.836.041.925</w:t>
            </w:r>
            <w:r/>
          </w:p>
        </w:tc>
      </w:tr>
      <w:tr>
        <w:trPr>
          <w:trHeight w:val="39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kho nguyên vật liệu, kho thành phẩm</w:t>
            </w:r>
            <w:r/>
          </w:p>
        </w:tc>
        <w:tc>
          <w:tcPr>
            <w:tcBorders>
              <w:bottom w:val="single" w:color="000000" w:sz="8" w:space="0"/>
              <w:right w:val="single" w:color="000000" w:sz="8" w:space="0"/>
            </w:tcBorders>
            <w:tcMar>
              <w:left w:w="108" w:type="dxa"/>
              <w:top w:w="0" w:type="dxa"/>
              <w:right w:w="108" w:type="dxa"/>
              <w:bottom w:w="0" w:type="dxa"/>
            </w:tcMar>
            <w:tcW w:w="213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2412,4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6.737.426.228</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xử lý bông, kết cấu tường gạch</w:t>
            </w:r>
            <w:r/>
          </w:p>
        </w:tc>
        <w:tc>
          <w:tcPr>
            <w:tcBorders>
              <w:bottom w:val="single" w:color="000000" w:sz="8" w:space="0"/>
              <w:right w:val="single" w:color="000000" w:sz="8" w:space="0"/>
            </w:tcBorders>
            <w:tcMar>
              <w:left w:w="108" w:type="dxa"/>
              <w:top w:w="0" w:type="dxa"/>
              <w:right w:w="108" w:type="dxa"/>
              <w:bottom w:w="0" w:type="dxa"/>
            </w:tcMar>
            <w:tcW w:w="213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2229,9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6.227.734.516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ăn + nhà vệ sinh</w:t>
            </w:r>
            <w:r/>
          </w:p>
        </w:tc>
        <w:tc>
          <w:tcPr>
            <w:tcBorders>
              <w:bottom w:val="single" w:color="000000" w:sz="8" w:space="0"/>
              <w:right w:val="single" w:color="000000" w:sz="8" w:space="0"/>
            </w:tcBorders>
            <w:tcMar>
              <w:left w:w="108" w:type="dxa"/>
              <w:top w:w="0" w:type="dxa"/>
              <w:right w:w="108" w:type="dxa"/>
              <w:bottom w:w="0" w:type="dxa"/>
            </w:tcMar>
            <w:tcW w:w="213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277,7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1.111.778.815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xưởng sản xuất và khu nhà phụ trợ sản xuất</w:t>
            </w:r>
            <w:r/>
          </w:p>
        </w:tc>
        <w:tc>
          <w:tcPr>
            <w:tcBorders>
              <w:bottom w:val="single" w:color="000000" w:sz="8" w:space="0"/>
              <w:right w:val="single" w:color="000000" w:sz="8" w:space="0"/>
            </w:tcBorders>
            <w:tcMar>
              <w:left w:w="108" w:type="dxa"/>
              <w:top w:w="0" w:type="dxa"/>
              <w:right w:w="108" w:type="dxa"/>
              <w:bottom w:w="0" w:type="dxa"/>
            </w:tcMar>
            <w:tcW w:w="213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4632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12.936.394.582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cơ điện</w:t>
            </w:r>
            <w:r/>
          </w:p>
        </w:tc>
        <w:tc>
          <w:tcPr>
            <w:tcBorders>
              <w:bottom w:val="single" w:color="000000" w:sz="8" w:space="0"/>
              <w:right w:val="single" w:color="000000" w:sz="8" w:space="0"/>
            </w:tcBorders>
            <w:tcMar>
              <w:left w:w="108" w:type="dxa"/>
              <w:top w:w="0" w:type="dxa"/>
              <w:right w:w="108" w:type="dxa"/>
              <w:bottom w:w="0" w:type="dxa"/>
            </w:tcMar>
            <w:tcW w:w="213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48,5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194.170.949</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trạm biến áp</w:t>
            </w:r>
            <w:r/>
          </w:p>
        </w:tc>
        <w:tc>
          <w:tcPr>
            <w:tcBorders>
              <w:bottom w:val="single" w:color="000000" w:sz="8" w:space="0"/>
              <w:right w:val="single" w:color="000000" w:sz="8" w:space="0"/>
            </w:tcBorders>
            <w:tcMar>
              <w:left w:w="108" w:type="dxa"/>
              <w:top w:w="0" w:type="dxa"/>
              <w:right w:w="108" w:type="dxa"/>
              <w:bottom w:w="0" w:type="dxa"/>
            </w:tcMar>
            <w:tcW w:w="213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106,4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425.975.030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văn phòng</w:t>
            </w:r>
            <w:r/>
          </w:p>
        </w:tc>
        <w:tc>
          <w:tcPr>
            <w:tcBorders>
              <w:bottom w:val="single" w:color="000000" w:sz="8" w:space="0"/>
              <w:right w:val="single" w:color="000000" w:sz="8" w:space="0"/>
            </w:tcBorders>
            <w:tcMar>
              <w:left w:w="108" w:type="dxa"/>
              <w:top w:w="0" w:type="dxa"/>
              <w:right w:w="108" w:type="dxa"/>
              <w:bottom w:w="0" w:type="dxa"/>
            </w:tcMar>
            <w:tcW w:w="213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1174,7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7.202.561.806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B</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7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rPr/>
            </w:pPr>
            <w:r>
              <w:rPr>
                <w:rFonts w:ascii="Times New Roman" w:hAnsi="Times New Roman" w:eastAsia="Times New Roman" w:cs="Times New Roman"/>
                <w:b/>
                <w:color w:val="000000"/>
                <w:sz w:val="24"/>
              </w:rPr>
              <w:t xml:space="preserve">Các hạng mục phụ trợ chưa được chứng nhận trên giấy chứng nhận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3.362.992.564</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để xe</w:t>
            </w:r>
            <w:r/>
          </w:p>
        </w:tc>
        <w:tc>
          <w:tcPr>
            <w:tcBorders>
              <w:bottom w:val="single" w:color="000000" w:sz="8" w:space="0"/>
              <w:right w:val="single" w:color="000000" w:sz="8" w:space="0"/>
            </w:tcBorders>
            <w:tcMar>
              <w:left w:w="108" w:type="dxa"/>
              <w:top w:w="0" w:type="dxa"/>
              <w:right w:w="108" w:type="dxa"/>
              <w:bottom w:w="0" w:type="dxa"/>
            </w:tcMar>
            <w:tcW w:w="213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247,5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136.075.574</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Bảo vệ</w:t>
            </w:r>
            <w:r/>
          </w:p>
        </w:tc>
        <w:tc>
          <w:tcPr>
            <w:tcBorders>
              <w:bottom w:val="single" w:color="000000" w:sz="8" w:space="0"/>
              <w:right w:val="single" w:color="000000" w:sz="8" w:space="0"/>
            </w:tcBorders>
            <w:tcMar>
              <w:left w:w="108" w:type="dxa"/>
              <w:top w:w="0" w:type="dxa"/>
              <w:right w:w="108" w:type="dxa"/>
              <w:bottom w:w="0" w:type="dxa"/>
            </w:tcMar>
            <w:tcW w:w="213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13,3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53.246.879</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Hạ tầng nội bộ bao gồm sân đường nội bộ, hệ thống chiếu sáng ngoài, khu xử lý nước thải,…</w:t>
            </w:r>
            <w:r/>
          </w:p>
        </w:tc>
        <w:tc>
          <w:tcPr>
            <w:tcBorders>
              <w:bottom w:val="single" w:color="000000" w:sz="8" w:space="0"/>
              <w:right w:val="single" w:color="000000" w:sz="8" w:space="0"/>
            </w:tcBorders>
            <w:tcMar>
              <w:left w:w="108" w:type="dxa"/>
              <w:top w:w="0" w:type="dxa"/>
              <w:right w:w="108" w:type="dxa"/>
              <w:bottom w:w="0" w:type="dxa"/>
            </w:tcMar>
            <w:tcW w:w="213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7224,5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3.173.670.111</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62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ind w:right="0" w:firstLine="0" w:left="0"/>
              <w:jc w:val="center"/>
              <w:rPr/>
            </w:pPr>
            <w:r>
              <w:rPr>
                <w:rFonts w:ascii="Times New Roman" w:hAnsi="Times New Roman" w:eastAsia="Times New Roman" w:cs="Times New Roman"/>
                <w:b/>
                <w:color w:val="000000"/>
                <w:sz w:val="24"/>
              </w:rPr>
              <w:t xml:space="preserve">73.270.234.490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62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ind w:right="0" w:firstLine="0" w:left="0"/>
              <w:jc w:val="center"/>
              <w:rPr/>
            </w:pPr>
            <w:r>
              <w:rPr>
                <w:rFonts w:ascii="Times New Roman" w:hAnsi="Times New Roman" w:eastAsia="Times New Roman" w:cs="Times New Roman"/>
                <w:b/>
                <w:color w:val="000000"/>
                <w:sz w:val="24"/>
              </w:rPr>
              <w:t xml:space="preserve">73.270.000.000</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94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ind w:right="0" w:firstLine="0" w:left="0"/>
              <w:jc w:val="center"/>
              <w:rPr/>
            </w:pPr>
            <w:r>
              <w:rPr>
                <w:rFonts w:ascii="Times New Roman" w:hAnsi="Times New Roman" w:eastAsia="Times New Roman" w:cs="Times New Roman"/>
                <w:b/>
                <w:i/>
                <w:color w:val="000000"/>
                <w:sz w:val="24"/>
              </w:rPr>
              <w:t xml:space="preserve">(Bằng chữ: Bảy mươi ba tỷ, hai trăm bảy mươi triệu đồng chẵn./.)</w:t>
            </w:r>
            <w:r/>
          </w:p>
        </w:tc>
      </w:tr>
    </w:tbl>
    <w:p>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b/>
          <w:color w:val="000000"/>
          <w:sz w:val="24"/>
        </w:rPr>
        <w:t xml:space="preserve">10. Thời hạn hiệu lực của kết quả thẩm định giá:</w:t>
      </w:r>
      <w:r/>
    </w:p>
    <w:p>
      <w:pPr>
        <w:pBdr>
          <w:top w:val="none" w:color="000000" w:sz="4" w:space="0"/>
          <w:left w:val="none" w:color="000000" w:sz="4" w:space="0"/>
          <w:bottom w:val="none" w:color="000000" w:sz="4" w:space="0"/>
          <w:right w:val="none" w:color="000000" w:sz="4" w:space="0"/>
        </w:pBdr>
        <w:spacing w:after="120" w:before="120"/>
        <w:ind w:right="0" w:firstLine="360" w:left="0"/>
        <w:jc w:val="both"/>
        <w:rPr/>
      </w:pPr>
      <w:r>
        <w:rPr>
          <w:rFonts w:ascii="Times New Roman" w:hAnsi="Times New Roman" w:eastAsia="Times New Roman" w:cs="Times New Roman"/>
          <w:color w:val="000000"/>
          <w:sz w:val="24"/>
        </w:rPr>
        <w:t xml:space="preserve">- 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spacing w:after="120" w:before="120"/>
        <w:ind w:right="0" w:firstLine="0" w:left="0"/>
        <w:rPr/>
      </w:pPr>
      <w:r>
        <w:rPr>
          <w:rFonts w:ascii="Times New Roman" w:hAnsi="Times New Roman" w:eastAsia="Times New Roman" w:cs="Times New Roman"/>
          <w:b/>
          <w:color w:val="000000"/>
          <w:sz w:val="24"/>
        </w:rPr>
        <w:t xml:space="preserve">11. Những điều khoản loại trừ và hạn chế của kết quả thẩm định giá:</w:t>
      </w:r>
      <w:r/>
    </w:p>
    <w:p>
      <w:pPr>
        <w:pBdr>
          <w:top w:val="none" w:color="000000" w:sz="4" w:space="0"/>
          <w:left w:val="none" w:color="000000" w:sz="4" w:space="0"/>
          <w:bottom w:val="none" w:color="000000" w:sz="4" w:space="0"/>
          <w:right w:val="none" w:color="000000" w:sz="4" w:space="0"/>
        </w:pBdr>
        <w:spacing w:after="120" w:before="120" w:line="312" w:lineRule="auto"/>
        <w:ind w:right="0" w:firstLine="360" w:left="0"/>
        <w:rPr/>
      </w:pPr>
      <w:r>
        <w:rPr>
          <w:rFonts w:ascii="Times New Roman" w:hAnsi="Times New Roman" w:eastAsia="Times New Roman" w:cs="Times New Roman"/>
          <w:color w:val="000000"/>
          <w:sz w:val="24"/>
        </w:rPr>
        <w:t xml:space="preserve">- Chi tiết như Báo cáo kèm theo.</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rPr/>
      </w:pPr>
      <w:r>
        <w:rPr>
          <w:rFonts w:ascii="Times New Roman" w:hAnsi="Times New Roman" w:eastAsia="Times New Roman" w:cs="Times New Roman"/>
          <w:b/>
          <w:color w:val="000000"/>
          <w:spacing w:val="-4"/>
          <w:sz w:val="24"/>
        </w:rPr>
        <w:t xml:space="preserve">12. Các tài liệu kèm theo:</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Báo cáo kết quả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Các phụ lục chi tiết kèm theo.</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Chứng thư thẩm định giá được phát hành 03 (ba) bản chính bằng tiếng Việt, cấp cho quý khách hàng 02 (hai) bản, lưu lại Công ty Cổ phần Thẩm định và Đầu tư Tài chính Hoa Sen 01 (một) bản có giá trị pháp lý như nhau.</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 Mọi hình thức sao chép báo cáo và chứng thư thẩm định giá không có sự đồng ý bằng văn bản của Công ty Cổ phần Thẩm định và Đầu tư Tài chính Hoa Sen đều là hành vi vi phạm pháp luật.</w:t>
      </w:r>
      <w:r/>
    </w:p>
    <w:tbl>
      <w:tblPr>
        <w:tblStyle w:val="860"/>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CHỦ TỊCH HĐQT KIÊM TỔNG GIÁM ĐỐC</w:t>
            </w:r>
            <w:r/>
          </w:p>
        </w:tc>
      </w:tr>
      <w:tr>
        <w:trPr>
          <w:trHeight w:val="143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Nguyễn Thị Thùy Dương </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Số thẻ thẩm định viên về giá: XVI25TS.2576</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bl>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tbl>
      <w:tblPr>
        <w:tblStyle w:val="860"/>
        <w:tblInd w:w="-28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560"/>
        <w:gridCol w:w="1985"/>
        <w:gridCol w:w="6095"/>
        <w:gridCol w:w="424"/>
      </w:tblGrid>
      <w:tr>
        <w:trPr>
          <w:trHeight w:val="1843"/>
        </w:trPr>
        <w:tc>
          <w:tcPr>
            <w:tcBorders/>
            <w:tcMar>
              <w:left w:w="108" w:type="dxa"/>
              <w:top w:w="0" w:type="dxa"/>
              <w:right w:w="108" w:type="dxa"/>
              <w:bottom w:w="0" w:type="dxa"/>
            </w:tcMar>
            <w:tcW w:w="1560" w:type="dxa"/>
            <w:vAlign w:val="top"/>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1019175" cy="923925"/>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968881" name=""/>
                              <pic:cNvPicPr>
                                <a:picLocks noChangeAspect="1"/>
                              </pic:cNvPicPr>
                              <pic:nvPr/>
                            </pic:nvPicPr>
                            <pic:blipFill rotWithShape="1">
                              <a:blip r:embed="rId16"/>
                              <a:stretch/>
                            </pic:blipFill>
                            <pic:spPr bwMode="auto">
                              <a:xfrm>
                                <a:off x="0" y="0"/>
                                <a:ext cx="1019174" cy="923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25pt;height:72.75pt;mso-wrap-distance-left:0.00pt;mso-wrap-distance-top:0.00pt;mso-wrap-distance-right:0.00pt;mso-wrap-distance-bottom:0.00pt;z-index:1;" stroked="false">
                      <v:imagedata r:id="rId16" o:title=""/>
                      <o:lock v:ext="edit" rotation="t"/>
                    </v:shape>
                  </w:pict>
                </mc:Fallback>
              </mc:AlternateContent>
            </w:r>
            <w:r/>
          </w:p>
        </w:tc>
        <w:tc>
          <w:tcPr>
            <w:gridSpan w:val="3"/>
            <w:tcBorders/>
            <w:tcMar>
              <w:left w:w="108" w:type="dxa"/>
              <w:top w:w="0" w:type="dxa"/>
              <w:right w:w="108" w:type="dxa"/>
              <w:bottom w:w="0" w:type="dxa"/>
            </w:tcMar>
            <w:tcW w:w="8504" w:type="dxa"/>
            <w:vAlign w:val="top"/>
            <w:textDirection w:val="lrTb"/>
            <w:noWrap w:val="false"/>
          </w:tcPr>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Trụ sở: BT5 - 23, Khu đô thị mới Văn Phú, Phường Kiến Hưng, Thành phố Hà Nội</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Email: </w:t>
              <w:tab/>
            </w:r>
            <w:hyperlink r:id="rId17" w:tooltip="mailto:ilotus.contact@gmail.com" w:history="1">
              <w:r>
                <w:rPr>
                  <w:rStyle w:val="846"/>
                  <w:rFonts w:ascii="Times New Roman" w:hAnsi="Times New Roman" w:eastAsia="Times New Roman" w:cs="Times New Roman"/>
                  <w:color w:val="000000"/>
                  <w:sz w:val="24"/>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gridAfter w:val="1"/>
          <w:trHeight w:val="84"/>
        </w:trPr>
        <w:tc>
          <w:tcPr>
            <w:gridSpan w:val="2"/>
            <w:tcBorders/>
            <w:tcMar>
              <w:left w:w="108" w:type="dxa"/>
              <w:top w:w="0" w:type="dxa"/>
              <w:right w:w="108" w:type="dxa"/>
              <w:bottom w:w="0" w:type="dxa"/>
            </w:tcMar>
            <w:tcW w:w="3545"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Số: 275/2026/0585/VFI-BC.44.A</w:t>
            </w:r>
            <w:r/>
          </w:p>
        </w:tc>
        <w:tc>
          <w:tcPr>
            <w:tcBorders/>
            <w:tcMar>
              <w:left w:w="108" w:type="dxa"/>
              <w:top w:w="0" w:type="dxa"/>
              <w:right w:w="108" w:type="dxa"/>
              <w:bottom w:w="0" w:type="dxa"/>
            </w:tcMar>
            <w:tcW w:w="6095"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right"/>
              <w:rPr/>
            </w:pPr>
            <w:r>
              <w:rPr>
                <w:rFonts w:ascii="Times New Roman" w:hAnsi="Times New Roman" w:eastAsia="Times New Roman" w:cs="Times New Roman"/>
                <w:i/>
                <w:color w:val="000000"/>
                <w:sz w:val="24"/>
              </w:rPr>
              <w:t xml:space="preserve">TP. Hà Nội, ngày 15 tháng 4 năm 2026</w:t>
            </w:r>
            <w:r/>
          </w:p>
        </w:tc>
      </w:tr>
      <w:tr>
        <w:trPr/>
        <w:tc>
          <w:tcPr>
            <w:tcBorders/>
            <w:tcMar>
              <w:left w:w="0" w:type="dxa"/>
              <w:top w:w="0" w:type="dxa"/>
              <w:right w:w="0" w:type="dxa"/>
              <w:bottom w:w="0" w:type="dxa"/>
            </w:tcMar>
            <w:tcW w:w="1560" w:type="dxa"/>
            <w:vAlign w:val="center"/>
            <w:textDirection w:val="lrTb"/>
            <w:noWrap w:val="false"/>
          </w:tcPr>
          <w:p>
            <w:pPr>
              <w:pBdr/>
              <w:spacing w:after="0" w:before="0" w:line="240"/>
              <w:ind/>
              <w:rPr/>
            </w:pPr>
            <w:r/>
          </w:p>
        </w:tc>
        <w:tc>
          <w:tcPr>
            <w:tcBorders/>
            <w:tcMar>
              <w:left w:w="0" w:type="dxa"/>
              <w:top w:w="0" w:type="dxa"/>
              <w:right w:w="0" w:type="dxa"/>
              <w:bottom w:w="0" w:type="dxa"/>
            </w:tcMar>
            <w:tcW w:w="1985" w:type="dxa"/>
            <w:vAlign w:val="center"/>
            <w:textDirection w:val="lrTb"/>
            <w:noWrap w:val="false"/>
          </w:tcPr>
          <w:p>
            <w:pPr>
              <w:pBdr/>
              <w:spacing w:after="0" w:before="0" w:line="240"/>
              <w:ind/>
              <w:rPr/>
            </w:pPr>
            <w:r/>
          </w:p>
        </w:tc>
        <w:tc>
          <w:tcPr>
            <w:tcBorders/>
            <w:tcMar>
              <w:left w:w="0" w:type="dxa"/>
              <w:top w:w="0" w:type="dxa"/>
              <w:right w:w="0" w:type="dxa"/>
              <w:bottom w:w="0" w:type="dxa"/>
            </w:tcMar>
            <w:tcW w:w="6095" w:type="dxa"/>
            <w:vAlign w:val="center"/>
            <w:textDirection w:val="lrTb"/>
            <w:noWrap w:val="false"/>
          </w:tcPr>
          <w:p>
            <w:pPr>
              <w:pBdr/>
              <w:spacing w:after="0" w:before="0" w:line="240"/>
              <w:ind/>
              <w:rPr/>
            </w:pPr>
            <w:r/>
          </w:p>
        </w:tc>
        <w:tc>
          <w:tcPr>
            <w:tcBorders/>
            <w:tcMar>
              <w:left w:w="0" w:type="dxa"/>
              <w:top w:w="0" w:type="dxa"/>
              <w:right w:w="0" w:type="dxa"/>
              <w:bottom w:w="0" w:type="dxa"/>
            </w:tcMar>
            <w:tcW w:w="424" w:type="dxa"/>
            <w:vAlign w:val="center"/>
            <w:textDirection w:val="lrTb"/>
            <w:noWrap w:val="false"/>
          </w:tcPr>
          <w:p>
            <w:pPr>
              <w:pBdr/>
              <w:spacing w:after="0" w:before="0" w:line="240"/>
              <w:ind/>
              <w:rPr/>
            </w:pPr>
            <w:r/>
          </w:p>
        </w:tc>
      </w:tr>
    </w:tbl>
    <w:p>
      <w:pPr>
        <w:pBdr>
          <w:top w:val="none" w:color="000000" w:sz="4" w:space="0"/>
          <w:left w:val="none" w:color="000000" w:sz="4" w:space="0"/>
          <w:bottom w:val="none" w:color="000000" w:sz="4" w:space="0"/>
          <w:right w:val="none" w:color="000000" w:sz="4" w:space="0"/>
        </w:pBdr>
        <w:tabs>
          <w:tab w:val="left" w:leader="none" w:pos="5102"/>
        </w:tabs>
        <w:spacing w:before="200" w:line="340" w:lineRule="atLeast"/>
        <w:ind w:right="0" w:firstLine="0" w:left="0"/>
        <w:jc w:val="center"/>
        <w:rPr/>
      </w:pPr>
      <w:r>
        <w:rPr>
          <w:rFonts w:ascii="Times New Roman" w:hAnsi="Times New Roman" w:eastAsia="Times New Roman" w:cs="Times New Roman"/>
          <w:b/>
          <w:color w:val="000000"/>
          <w:sz w:val="30"/>
        </w:rPr>
        <w:t xml:space="preserve">BÁO CÁO KẾT QUẢ THẨM ĐỊNH GIÁ</w:t>
      </w:r>
      <w:r/>
    </w:p>
    <w:p>
      <w:pPr>
        <w:pStyle w:val="835"/>
        <w:pBdr>
          <w:top w:val="none" w:color="000000" w:sz="4" w:space="0"/>
          <w:left w:val="none" w:color="000000" w:sz="4" w:space="0"/>
          <w:bottom w:val="none" w:color="000000" w:sz="4" w:space="0"/>
          <w:right w:val="none" w:color="000000" w:sz="4" w:space="0"/>
        </w:pBdr>
        <w:tabs>
          <w:tab w:val="left" w:leader="none" w:pos="4820"/>
        </w:tabs>
        <w:spacing w:after="200" w:before="100" w:line="340" w:lineRule="atLeast"/>
        <w:ind w:right="0" w:hanging="180" w:left="0"/>
        <w:jc w:val="center"/>
        <w:rPr/>
      </w:pPr>
      <w:r>
        <w:rPr>
          <w:rFonts w:ascii="Times New Roman" w:hAnsi="Times New Roman" w:eastAsia="Times New Roman" w:cs="Times New Roman"/>
          <w:i/>
          <w:color w:val="000000"/>
          <w:spacing w:val="-6"/>
          <w:sz w:val="24"/>
        </w:rPr>
        <w:t xml:space="preserve">(Kèm theo Chứng thư thẩm định giá số: 275/2026/0585/VFI-CT.44.A ngày 15 tháng 4 năm 2026)</w:t>
      </w:r>
      <w:r/>
    </w:p>
    <w:p>
      <w:pPr>
        <w:pStyle w:val="835"/>
        <w:pBdr>
          <w:top w:val="none" w:color="000000" w:sz="4" w:space="0"/>
          <w:left w:val="none" w:color="000000" w:sz="4" w:space="0"/>
          <w:bottom w:val="none" w:color="000000" w:sz="4" w:space="0"/>
          <w:right w:val="none" w:color="000000" w:sz="4" w:space="0"/>
        </w:pBdr>
        <w:tabs>
          <w:tab w:val="left" w:leader="none" w:pos="4820"/>
        </w:tabs>
        <w:spacing w:after="200" w:before="0" w:line="340" w:lineRule="atLeast"/>
        <w:ind w:right="0" w:firstLine="0" w:left="0"/>
        <w:jc w:val="both"/>
        <w:rPr/>
      </w:pPr>
      <w:r>
        <w:rPr>
          <w:rFonts w:ascii="Times New Roman" w:hAnsi="Times New Roman" w:eastAsia="Times New Roman" w:cs="Times New Roman"/>
          <w:b/>
          <w:color w:val="000000"/>
          <w:sz w:val="24"/>
        </w:rPr>
        <w:t xml:space="preserve">I. THÔNG TIN VỀ DOANH NGHIỆP THẨM ĐỊNH GIÁ </w:t>
      </w:r>
      <w:r/>
    </w:p>
    <w:tbl>
      <w:tblPr>
        <w:tblStyle w:val="860"/>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552"/>
        <w:gridCol w:w="289"/>
        <w:gridCol w:w="6940"/>
      </w:tblGrid>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after="60" w:before="60" w:line="276" w:lineRule="auto"/>
              <w:ind w:right="0" w:firstLine="0" w:left="0"/>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b/>
                <w:color w:val="000000"/>
                <w:sz w:val="24"/>
              </w:rPr>
              <w:t xml:space="preserve">Ông Vũ Văn Quân </w:t>
              <w:tab/>
              <w:t xml:space="preserve">Chức vụ: Chủ tịch HĐQT kiêm Tổng GĐ</w:t>
            </w:r>
            <w:r/>
          </w:p>
        </w:tc>
      </w:tr>
    </w:tbl>
    <w:p>
      <w:pPr>
        <w:pBdr>
          <w:top w:val="none" w:color="000000" w:sz="4" w:space="0"/>
          <w:left w:val="none" w:color="000000" w:sz="4" w:space="0"/>
          <w:bottom w:val="none" w:color="000000" w:sz="4" w:space="0"/>
          <w:right w:val="none" w:color="000000" w:sz="4" w:space="0"/>
        </w:pBdr>
        <w:tabs>
          <w:tab w:val="left" w:leader="none" w:pos="284"/>
        </w:tabs>
        <w:spacing w:after="120" w:before="0" w:line="320" w:lineRule="atLeast"/>
        <w:ind w:right="0" w:firstLine="0" w:left="0"/>
        <w:jc w:val="both"/>
        <w:rPr/>
      </w:pPr>
      <w:r>
        <w:rPr>
          <w:rFonts w:ascii="Times New Roman" w:hAnsi="Times New Roman" w:eastAsia="Times New Roman" w:cs="Times New Roman"/>
          <w:b/>
          <w:color w:val="000000"/>
          <w:sz w:val="24"/>
        </w:rPr>
        <w:t xml:space="preserve">II. THÔNG TIN CƠ BẢN VỀ CUỘC THẨM ĐỊNH GIÁ</w:t>
      </w:r>
      <w:r/>
    </w:p>
    <w:p>
      <w:pPr>
        <w:pBdr>
          <w:top w:val="none" w:color="000000" w:sz="4" w:space="0"/>
          <w:left w:val="none" w:color="000000" w:sz="4" w:space="0"/>
          <w:bottom w:val="none" w:color="000000" w:sz="4" w:space="0"/>
          <w:right w:val="none" w:color="000000" w:sz="4" w:space="0"/>
        </w:pBdr>
        <w:tabs>
          <w:tab w:val="left" w:leader="none" w:pos="284"/>
        </w:tabs>
        <w:spacing w:after="120" w:before="120" w:line="320" w:lineRule="atLeast"/>
        <w:ind w:right="0" w:firstLine="0" w:left="0"/>
        <w:jc w:val="both"/>
        <w:rPr/>
      </w:pPr>
      <w:r>
        <w:rPr>
          <w:rFonts w:ascii="Times New Roman" w:hAnsi="Times New Roman" w:eastAsia="Times New Roman" w:cs="Times New Roman"/>
          <w:b/>
          <w:color w:val="000000"/>
          <w:sz w:val="24"/>
        </w:rPr>
        <w:t xml:space="preserve">1. Thông tin cơ bản về cuộc thẩm định giá:</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518"/>
        <w:gridCol w:w="284"/>
        <w:gridCol w:w="6945"/>
      </w:tblGrid>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ind w:right="0" w:firstLine="0" w:left="0"/>
              <w:rPr/>
            </w:pPr>
            <w:r>
              <w:rPr>
                <w:rFonts w:ascii="Times New Roman" w:hAnsi="Times New Roman" w:eastAsia="Times New Roman" w:cs="Times New Roman"/>
                <w:b/>
                <w:color w:val="000000"/>
                <w:spacing w:val="3"/>
                <w:sz w:val="24"/>
              </w:rPr>
              <w:t xml:space="preserve">CÔNG TY TNHH MTV QUẢN LÝ NỢ VÀ KHAI THÁC TÀI SẢN NGÂN HÀNG NÔNG NGHIỆP VÀ PHÁT TRIỂN NÔNG THÔN VIỆT NAM</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pacing w:val="-2"/>
                <w:sz w:val="24"/>
                <w:highlight w:val="white"/>
              </w:rPr>
              <w:t xml:space="preserve">0106134589</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br/>
            </w:r>
            <w:r>
              <w:rPr>
                <w:rFonts w:ascii="Times New Roman" w:hAnsi="Times New Roman" w:eastAsia="Times New Roman" w:cs="Times New Roman"/>
                <w:color w:val="000000"/>
                <w:spacing w:val="-2"/>
                <w:sz w:val="24"/>
              </w:rPr>
              <w:t xml:space="preserve">Tầng 8, tầng 9, số nhà 135 đường Lạc Long Quân, Phường Tây Hồ, TP Hà Nội, Việt Nam</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z w:val="24"/>
              </w:rPr>
              <w:t xml:space="preserve">Người đại diện</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pacing w:val="-2"/>
                <w:sz w:val="24"/>
              </w:rPr>
              <w:t xml:space="preserve">Ông Nguyễn Xuân Quang           Chức vụ:……………………….</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sản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Lợi thế quyền sử dụng đất thuê trả tiền hàng năm và tài sản gắn liền với đất tại thửa đất số: 1081, tờ bản đồ số: 3, có địa chỉ: Cụm công nghiệp Vũ Ninh, xã Vũ Ninh, huyện Kiến Xương, tỉnh Thái Bình (nay là Cụm công nghiệp Vũ Ninh, xã Vũ Quý, tỉnh Hưng Yên</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CS 666759, Số vào sổ cấp GCN: CS 04639 do Sở tài nguyên và Môi trường tỉnh Thái Bình cấp ngày 20/12/2021; chủ sử dụng đất là Công ty TNHH LOGITEX</w:t>
            </w:r>
            <w:r>
              <w:rPr>
                <w:rFonts w:ascii="Times New Roman" w:hAnsi="Times New Roman" w:eastAsia="Times New Roman" w:cs="Times New Roman"/>
                <w:color w:val="000000"/>
                <w:spacing w:val="2"/>
                <w:sz w:val="24"/>
              </w:rPr>
              <w:t xml:space="preserve">.</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Mục đích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Kết quả thẩm định giá để khách hàng tham khảo giá trị tài sản phục vụ công tác xử lý nợ</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12"/>
                <w:sz w:val="24"/>
              </w:rPr>
              <w:t xml:space="preserve">Cơ sở giá trị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Giá trị thị trường.</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4/2026.</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Địa điểm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Cụm công nghiệp Vũ Ninh, xã Vũ Quý, tỉnh Hưng Yên</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khảo sát</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4/2026.</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pacing w:val="-6"/>
          <w:sz w:val="24"/>
        </w:rPr>
        <w:t xml:space="preserve">2. Các nguồn thông tin được sử dụng trong quá trình thẩm định giá và xem xét đánh giá các thông tin thu thập</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6"/>
          <w:sz w:val="24"/>
        </w:rPr>
        <w:t xml:space="preserve">Tham khảo nguồn thông tin từ các trang giao bán bất động sản qua mạng Internet, gọi điện trực tiếp</w:t>
      </w:r>
      <w:r>
        <w:rPr>
          <w:rFonts w:ascii="Times New Roman" w:hAnsi="Times New Roman" w:eastAsia="Times New Roman" w:cs="Times New Roman"/>
          <w:color w:val="000000"/>
          <w:sz w:val="24"/>
        </w:rPr>
        <w:t xml:space="preserve">.</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Tham khảo nguồn thông tin trực tiếp từ những người dân sinh sống xung quanh trên địa bàn.</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Đánh giá nguồn thông tin thu thập: Nguồn thông tin thu thập khách quan và phổ biến trên thị trường.</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 Căn cứ pháp lý</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3.1. Văn bản quy phạm pháp luật:</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Luật Giá số 16/2023/QH15 ngày 19/6/2023;</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Đất đai số 31/2024/QH15 đã được Quốc hội nước Cộng hòa xã hội chủ nghĩa Việt Nam khóa XV, kỳ họp bất thường lần thứ 5 thông qua ngày 18 tháng 01 năm 2024;</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Xây dựng số 50/2014/QH13 đã được Quốc hội nước Cộng hòa xã hội chủ nghĩa Việt Nam khóa XIII, kỳ họp thứ 7 thông qua ngày 18 tháng 6 năm 2014;</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số 62/2020/QH14 đã được Quốc hội nước Cộng hòa xã hội chủ nghĩa Việt Nam khóa XIV, kỳ họp thứ 9 thông qua ngày 17 tháng 6 năm 2020 về việc Sửa đổi, bổ sung một số điều của Luật Xây dựng;</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Nhà ở số 27/2023/QH15 đã được Quốc hội nước Cộng hòa xã hội chủ nghĩa Việt Nam khóa XV, kỳ họp thứ 6 thông qua ngày 27 tháng 11 năm 2023;</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Pr/>
      </w:pPr>
      <w:r>
        <w:rPr>
          <w:rFonts w:ascii="Times New Roman" w:hAnsi="Times New Roman" w:eastAsia="Times New Roman" w:cs="Times New Roman"/>
          <w:color w:val="000000"/>
          <w:sz w:val="24"/>
        </w:rPr>
        <w:t xml:space="preserve">Nghị định số 71/2024/NĐ-CP ngày 27/6/2024 của Chính phủ Quy định về giá đất;</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Nghị định số 103/2024/NĐ-CP ngày 30/7/2024 của Chính phủ quy định về thu tiền sử dụng đất, tiền thuê đất;</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28/2024/TT-BTC ngày 16/5/2024 của Bộ Tài chính Quy định về trình tự, thủ tục kiểm tra việc chấp hành pháp luật về giá, thẩm định giá do Bộ trưởng Bộ Tài chính ban hành;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30/2024/TT-BTC ngày 16/5/2024 của Bộ Tài chính ban hành các chuẩn mực thẩm định giá Việt Nam về quy tắc đạo đức nghề nghiệp thẩm định giá, phạm vi công việc thẩm định giá, cơ sở giá trị thẩm định giá, hồ sơ thẩm định giá;</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31/2024/TT-BTC ngày 16/5/2024 của Bộ Tài chính ban hành chuẩn mực thẩm định giá Việt Nam về thu thập và phân tích thông tin về tài sản thẩm định giá;</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32/2024/TT-BTC ngày 16/5/2024 của Bộ Tài chính ban hành các chuẩn mực thẩm định giá Việt Nam về cách tiếp cận từ thị trường, cách tiếp cận từ chi phí, cách tiếp cận từ thu nhập;</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36/2024/TT-BTC ngày 16/5/2024 của Bộ Tài chính ban hành chuẩn mực thẩm định giá Việt Nam về thẩm định giá doanh nghiệp;</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37/2024/TT-BTC ngày 16/5/2024 của Bộ Tài chính ban hành chuẩn mực thẩm định giá Việt Nam về thẩm định giá tài sản vô hình;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42/2024/TT-BTC ngày 20/6/2024 của Bộ Tài chính ban hành chuẩn mực thẩm định giá Việt Nam về thẩm định giá bất động sản;</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45/2013/TT-BTC ngày 24/5/2013 của Bộ Tài chính về việc hướng dẫn chế độ quản lý, sử dụng và trích khấu hao tài sản cố định;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4"/>
          <w:sz w:val="24"/>
        </w:rPr>
        <w:t xml:space="preserve">Thông tư số 28/2017/TT-BTC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w:t>
      </w:r>
      <w:r>
        <w:rPr>
          <w:rFonts w:ascii="Times New Roman" w:hAnsi="Times New Roman" w:eastAsia="Times New Roman" w:cs="Times New Roman"/>
          <w:color w:val="000000"/>
          <w:spacing w:val="-4"/>
          <w:sz w:val="24"/>
        </w:rPr>
        <w:t xml:space="preserve">ài sản cố định;</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pacing w:val="-4"/>
          <w:sz w:val="24"/>
        </w:rPr>
        <w:t xml:space="preserve">Quyết định số 425/QĐ-BXD ngày 30/3/2026 của Bộ Xây dựng về việc Công bố suất vốn đầu tư xây dựng công trình và giá xây dựng tổng hợp bộ phận kết cấu công trình năm 2025;</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Công văn số 1326/BXD-QLN của Bộ Xây dựng ban hành ngày 08/8/2011 về việc hướng dẫn kiểm kê, đánh giá lại giá trị tài sản cố định là nhà, vật kiến trúc;</w:t>
      </w:r>
      <w:r/>
    </w:p>
    <w:p>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Và các văn bản pháp luật có liên quan khác.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3.2. Các văn bản liên quan khác: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a. Hồ sơ pháp lý của tài sản: </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Giấy chứng nhận quyền sử dụng đất, quyền sở hữu nhà ở và tài sản khác gắn liền với đất số: CS 666759, Số vào sổ cấp GCN: CS 04639 do Sở tài nguyên và Môi trường tỉnh Thái Bình cấp ngày 20/12/2021; chủ sử dụng đất là Công ty TNHH LOGITEX.</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b. Hồ sơ khác:</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Hợp đồng dịch vụ thẩm định giá số 275/2026/0585/VFI-HĐTĐ.44.A ngày 01/4/2026 giữa Công ty TNHH MTV Quản lý nợ và Khai thác tài sản Ngân hàng Nông nghiệp và Phát triển Nông thôn Việt Nam với Công ty Cổ phần Thẩm định và Đầu tư Tài chính Hoa Sen;</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Hồ sơ, tài liệu, chứng từ liên quan đến tài sản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80" w:lineRule="atLeast"/>
        <w:ind w:right="0" w:firstLine="0" w:left="0"/>
        <w:jc w:val="both"/>
        <w:rPr/>
      </w:pPr>
      <w:r>
        <w:rPr>
          <w:rFonts w:ascii="Times New Roman" w:hAnsi="Times New Roman" w:eastAsia="Times New Roman" w:cs="Times New Roman"/>
          <w:b/>
          <w:color w:val="000000"/>
          <w:sz w:val="24"/>
        </w:rPr>
        <w:t xml:space="preserve">III. TỔNG QUAN VỀ THỊ TRƯỜNG CỦA TÀI SẢN THẨM ĐỊNH GIÁ</w:t>
      </w:r>
      <w:r/>
    </w:p>
    <w:p>
      <w:pPr>
        <w:pBdr>
          <w:top w:val="none" w:color="000000" w:sz="4" w:space="0"/>
          <w:left w:val="none" w:color="000000" w:sz="4" w:space="0"/>
          <w:bottom w:val="none" w:color="000000" w:sz="4" w:space="0"/>
          <w:right w:val="none" w:color="000000" w:sz="4" w:space="0"/>
        </w:pBdr>
        <w:shd w:val="clear" w:color="ffffff" w:fill="ffffff"/>
        <w:spacing w:line="360" w:lineRule="atLeast"/>
        <w:ind w:right="0" w:firstLine="0" w:left="0"/>
        <w:rPr/>
      </w:pPr>
      <w:r>
        <w:rPr>
          <w:rFonts w:ascii="Times New Roman" w:hAnsi="Times New Roman" w:eastAsia="Times New Roman" w:cs="Times New Roman"/>
          <w:color w:val="000000"/>
          <w:sz w:val="24"/>
        </w:rPr>
        <w:t xml:space="preserve">BĐS khu công nghiệp (KCN) Thái Bình đang phát triển mạnh mẽ, nổi bật với 10 KCN (4 KCN trong Khu kinh tế Thái Bình) và 49 cụm công nghiệp, tổng diện tích gần 3.000 ha sẵn sàng đầu tư. Điểm nhấn là các KCN mới như VSIP Thái Bình (333,4 ha), Tiền Hải và Cầu </w:t>
      </w:r>
      <w:r>
        <w:rPr>
          <w:rFonts w:ascii="Times New Roman" w:hAnsi="Times New Roman" w:eastAsia="Times New Roman" w:cs="Times New Roman"/>
          <w:color w:val="000000"/>
          <w:sz w:val="24"/>
        </w:rPr>
        <w:t xml:space="preserve">Nghìn, thu hút vốn FDI vào sản xuất, cơ khí và công nghiệp phụ trợ. </w:t>
      </w:r>
      <w:r/>
    </w:p>
    <w:p>
      <w:pPr>
        <w:pBdr>
          <w:top w:val="none" w:color="000000" w:sz="4" w:space="0"/>
          <w:left w:val="none" w:color="000000" w:sz="4" w:space="0"/>
          <w:bottom w:val="none" w:color="000000" w:sz="4" w:space="0"/>
          <w:right w:val="none" w:color="000000" w:sz="4" w:space="0"/>
        </w:pBdr>
        <w:shd w:val="clear" w:color="ffffff" w:fill="ffffff"/>
        <w:spacing w:line="360" w:lineRule="atLeast"/>
        <w:ind w:right="0" w:firstLine="0" w:left="0"/>
        <w:rPr/>
      </w:pPr>
      <w:r>
        <w:rPr>
          <w:rFonts w:ascii="Times New Roman" w:hAnsi="Times New Roman" w:eastAsia="Times New Roman" w:cs="Times New Roman"/>
          <w:color w:val="000000"/>
          <w:sz w:val="24"/>
        </w:rPr>
        <w:t xml:space="preserve">ROX iPark +2</w:t>
      </w:r>
      <w:r/>
    </w:p>
    <w:p>
      <w:pPr>
        <w:pBdr>
          <w:top w:val="none" w:color="000000" w:sz="4" w:space="0"/>
          <w:left w:val="none" w:color="000000" w:sz="4" w:space="0"/>
          <w:bottom w:val="none" w:color="000000" w:sz="4" w:space="0"/>
          <w:right w:val="none" w:color="000000" w:sz="4" w:space="0"/>
        </w:pBdr>
        <w:shd w:val="clear" w:color="ffffff" w:fill="ffffff"/>
        <w:spacing w:line="360" w:lineRule="atLeast"/>
        <w:ind w:right="0" w:firstLine="0" w:left="0"/>
        <w:rPr/>
      </w:pPr>
      <w:r>
        <w:rPr>
          <w:rFonts w:ascii="Times New Roman" w:hAnsi="Times New Roman" w:eastAsia="Times New Roman" w:cs="Times New Roman"/>
          <w:b/>
          <w:color w:val="000000"/>
          <w:sz w:val="24"/>
        </w:rPr>
        <w:t xml:space="preserve">Tổng quan thị trường BĐS KCN Thái Bình:</w:t>
      </w:r>
      <w:r/>
    </w:p>
    <w:p>
      <w:pPr>
        <w:numPr>
          <w:ilvl w:val="0"/>
          <w:numId w:val="39"/>
        </w:numPr>
        <w:pBdr>
          <w:top w:val="none" w:color="000000" w:sz="4" w:space="0"/>
          <w:left w:val="none" w:color="000000" w:sz="4" w:space="0"/>
          <w:bottom w:val="none" w:color="000000" w:sz="4" w:space="0"/>
          <w:right w:val="none" w:color="000000" w:sz="4" w:space="0"/>
        </w:pBdr>
        <w:shd w:val="clear" w:color="ffffff" w:fill="ffffff"/>
        <w:tabs>
          <w:tab w:val="left" w:leader="none" w:pos="720"/>
        </w:tabs>
        <w:spacing w:after="180" w:before="0" w:line="360" w:lineRule="atLeast"/>
        <w:ind/>
        <w:rPr/>
      </w:pPr>
      <w:r>
        <w:rPr>
          <w:rFonts w:ascii="Times New Roman" w:hAnsi="Times New Roman" w:eastAsia="Times New Roman" w:cs="Times New Roman"/>
          <w:b/>
          <w:color w:val="000000"/>
          <w:sz w:val="24"/>
        </w:rPr>
        <w:t xml:space="preserve">Quy mô và hạ tầng:</w:t>
      </w:r>
      <w:r>
        <w:rPr>
          <w:rFonts w:ascii="Times New Roman" w:hAnsi="Times New Roman" w:eastAsia="Times New Roman" w:cs="Times New Roman"/>
          <w:color w:val="000000"/>
          <w:sz w:val="24"/>
        </w:rPr>
        <w:t xml:space="preserve"> Toàn tỉnh có 10 KCN và 49 cụm công nghiệp đã quy hoạch, tập trung tại các huyện như Thái Thụy, Tiền Hải, Hưng Hà.</w:t>
      </w:r>
      <w:r/>
    </w:p>
    <w:p>
      <w:pPr>
        <w:numPr>
          <w:ilvl w:val="0"/>
          <w:numId w:val="39"/>
        </w:numPr>
        <w:pBdr>
          <w:top w:val="none" w:color="000000" w:sz="4" w:space="0"/>
          <w:left w:val="none" w:color="000000" w:sz="4" w:space="0"/>
          <w:bottom w:val="none" w:color="000000" w:sz="4" w:space="0"/>
          <w:right w:val="none" w:color="000000" w:sz="4" w:space="0"/>
        </w:pBdr>
        <w:shd w:val="clear" w:color="ffffff" w:fill="ffffff"/>
        <w:tabs>
          <w:tab w:val="left" w:leader="none" w:pos="720"/>
        </w:tabs>
        <w:spacing w:after="180" w:before="0" w:line="360" w:lineRule="atLeast"/>
        <w:ind/>
        <w:rPr/>
      </w:pPr>
      <w:r>
        <w:rPr>
          <w:rFonts w:ascii="Times New Roman" w:hAnsi="Times New Roman" w:eastAsia="Times New Roman" w:cs="Times New Roman"/>
          <w:b/>
          <w:color w:val="000000"/>
          <w:sz w:val="24"/>
        </w:rPr>
        <w:t xml:space="preserve">Điểm nhấn - Khu kinh tế (KKT) Thái Bình:</w:t>
      </w:r>
      <w:r>
        <w:rPr>
          <w:rFonts w:ascii="Times New Roman" w:hAnsi="Times New Roman" w:eastAsia="Times New Roman" w:cs="Times New Roman"/>
          <w:color w:val="000000"/>
          <w:sz w:val="24"/>
        </w:rPr>
        <w:t xml:space="preserve"> Đây là hạt nhân phát triển với tổng diện tích quy hoạch rộng lớn, kết nối thuận tiện ven biển, tạo động lực thu hút các dự án lớn.</w:t>
      </w:r>
      <w:r/>
    </w:p>
    <w:p>
      <w:pPr>
        <w:numPr>
          <w:ilvl w:val="0"/>
          <w:numId w:val="39"/>
        </w:numPr>
        <w:pBdr>
          <w:top w:val="none" w:color="000000" w:sz="4" w:space="0"/>
          <w:left w:val="none" w:color="000000" w:sz="4" w:space="0"/>
          <w:bottom w:val="none" w:color="000000" w:sz="4" w:space="0"/>
          <w:right w:val="none" w:color="000000" w:sz="4" w:space="0"/>
        </w:pBdr>
        <w:shd w:val="clear" w:color="ffffff" w:fill="ffffff"/>
        <w:tabs>
          <w:tab w:val="left" w:leader="none" w:pos="720"/>
        </w:tabs>
        <w:spacing w:after="180" w:before="0" w:line="360" w:lineRule="atLeast"/>
        <w:ind/>
        <w:rPr/>
      </w:pPr>
      <w:r>
        <w:rPr>
          <w:rFonts w:ascii="Times New Roman" w:hAnsi="Times New Roman" w:eastAsia="Times New Roman" w:cs="Times New Roman"/>
          <w:b/>
          <w:color w:val="000000"/>
          <w:sz w:val="24"/>
        </w:rPr>
        <w:t xml:space="preserve">Dự án tiêu biểu:</w:t>
      </w:r>
      <w:r/>
    </w:p>
    <w:p>
      <w:pPr>
        <w:numPr>
          <w:ilvl w:val="1"/>
          <w:numId w:val="39"/>
        </w:numPr>
        <w:pBdr>
          <w:top w:val="none" w:color="000000" w:sz="4" w:space="0"/>
          <w:left w:val="none" w:color="000000" w:sz="4" w:space="0"/>
          <w:bottom w:val="none" w:color="000000" w:sz="4" w:space="0"/>
          <w:right w:val="none" w:color="000000" w:sz="4" w:space="0"/>
        </w:pBdr>
        <w:shd w:val="clear" w:color="ffffff" w:fill="ffffff"/>
        <w:tabs>
          <w:tab w:val="left" w:leader="none" w:pos="1440"/>
        </w:tabs>
        <w:spacing w:after="180" w:before="0" w:line="360" w:lineRule="atLeast"/>
        <w:ind/>
        <w:rPr/>
      </w:pPr>
      <w:r>
        <w:rPr>
          <w:rFonts w:ascii="Times New Roman" w:hAnsi="Times New Roman" w:eastAsia="Times New Roman" w:cs="Times New Roman"/>
          <w:b/>
          <w:color w:val="000000"/>
          <w:sz w:val="24"/>
        </w:rPr>
        <w:t xml:space="preserve">KCN VSIP Thái Bình:</w:t>
      </w:r>
      <w:r>
        <w:rPr>
          <w:rFonts w:ascii="Times New Roman" w:hAnsi="Times New Roman" w:eastAsia="Times New Roman" w:cs="Times New Roman"/>
          <w:color w:val="000000"/>
          <w:sz w:val="24"/>
        </w:rPr>
        <w:t xml:space="preserve"> Chính thức khởi công vào năm 2025 tại Thái Thụy, hướng tới sản xuất cơ khí, ô tô, điện tử.</w:t>
      </w:r>
      <w:r/>
    </w:p>
    <w:p>
      <w:pPr>
        <w:numPr>
          <w:ilvl w:val="1"/>
          <w:numId w:val="39"/>
        </w:numPr>
        <w:pBdr>
          <w:top w:val="none" w:color="000000" w:sz="4" w:space="0"/>
          <w:left w:val="none" w:color="000000" w:sz="4" w:space="0"/>
          <w:bottom w:val="none" w:color="000000" w:sz="4" w:space="0"/>
          <w:right w:val="none" w:color="000000" w:sz="4" w:space="0"/>
        </w:pBdr>
        <w:shd w:val="clear" w:color="ffffff" w:fill="ffffff"/>
        <w:tabs>
          <w:tab w:val="left" w:leader="none" w:pos="1440"/>
        </w:tabs>
        <w:spacing w:after="180" w:before="0" w:line="360" w:lineRule="atLeast"/>
        <w:ind/>
        <w:rPr/>
      </w:pPr>
      <w:r>
        <w:rPr>
          <w:rFonts w:ascii="Times New Roman" w:hAnsi="Times New Roman" w:eastAsia="Times New Roman" w:cs="Times New Roman"/>
          <w:b/>
          <w:color w:val="000000"/>
          <w:sz w:val="24"/>
        </w:rPr>
        <w:t xml:space="preserve">KCN Tiền Hải:</w:t>
      </w:r>
      <w:r>
        <w:rPr>
          <w:rFonts w:ascii="Times New Roman" w:hAnsi="Times New Roman" w:eastAsia="Times New Roman" w:cs="Times New Roman"/>
          <w:color w:val="000000"/>
          <w:sz w:val="24"/>
        </w:rPr>
        <w:t xml:space="preserve"> Lợi thế gần biển, hạ tầng hoàn thiện.</w:t>
      </w:r>
      <w:r/>
    </w:p>
    <w:p>
      <w:pPr>
        <w:numPr>
          <w:ilvl w:val="1"/>
          <w:numId w:val="39"/>
        </w:numPr>
        <w:pBdr>
          <w:top w:val="none" w:color="000000" w:sz="4" w:space="0"/>
          <w:left w:val="none" w:color="000000" w:sz="4" w:space="0"/>
          <w:bottom w:val="none" w:color="000000" w:sz="4" w:space="0"/>
          <w:right w:val="none" w:color="000000" w:sz="4" w:space="0"/>
        </w:pBdr>
        <w:shd w:val="clear" w:color="ffffff" w:fill="ffffff"/>
        <w:tabs>
          <w:tab w:val="left" w:leader="none" w:pos="1440"/>
        </w:tabs>
        <w:spacing w:after="180" w:before="0" w:line="360" w:lineRule="atLeast"/>
        <w:ind/>
        <w:rPr/>
      </w:pPr>
      <w:r>
        <w:rPr>
          <w:rFonts w:ascii="Times New Roman" w:hAnsi="Times New Roman" w:eastAsia="Times New Roman" w:cs="Times New Roman"/>
          <w:b/>
          <w:color w:val="000000"/>
          <w:sz w:val="24"/>
        </w:rPr>
        <w:t xml:space="preserve">KCN Cầu Nghìn:</w:t>
      </w:r>
      <w:r>
        <w:rPr>
          <w:rFonts w:ascii="Times New Roman" w:hAnsi="Times New Roman" w:eastAsia="Times New Roman" w:cs="Times New Roman"/>
          <w:color w:val="000000"/>
          <w:sz w:val="24"/>
        </w:rPr>
        <w:t xml:space="preserve"> Định hướng xanh (ESG) và hạ tầng đồng bộ.</w:t>
      </w:r>
      <w:r/>
    </w:p>
    <w:p>
      <w:pPr>
        <w:numPr>
          <w:ilvl w:val="0"/>
          <w:numId w:val="39"/>
        </w:numPr>
        <w:pBdr>
          <w:top w:val="none" w:color="000000" w:sz="4" w:space="0"/>
          <w:left w:val="none" w:color="000000" w:sz="4" w:space="0"/>
          <w:bottom w:val="none" w:color="000000" w:sz="4" w:space="0"/>
          <w:right w:val="none" w:color="000000" w:sz="4" w:space="0"/>
        </w:pBdr>
        <w:shd w:val="clear" w:color="ffffff" w:fill="ffffff"/>
        <w:tabs>
          <w:tab w:val="left" w:leader="none" w:pos="720"/>
        </w:tabs>
        <w:spacing w:after="180" w:before="0" w:line="360" w:lineRule="atLeast"/>
        <w:ind/>
        <w:rPr/>
      </w:pPr>
      <w:r>
        <w:rPr>
          <w:rFonts w:ascii="Times New Roman" w:hAnsi="Times New Roman" w:eastAsia="Times New Roman" w:cs="Times New Roman"/>
          <w:b/>
          <w:color w:val="000000"/>
          <w:sz w:val="24"/>
        </w:rPr>
        <w:t xml:space="preserve">Tiềm năng đầu tư:</w:t>
      </w:r>
      <w:r>
        <w:rPr>
          <w:rFonts w:ascii="Times New Roman" w:hAnsi="Times New Roman" w:eastAsia="Times New Roman" w:cs="Times New Roman"/>
          <w:color w:val="000000"/>
          <w:sz w:val="24"/>
        </w:rPr>
        <w:t xml:space="preserve"> Vị trí chiến lược kết nối Hà Nội với Vịnh Bắc Bộ, quy mô kinh tế đứng thứ 23 cả nước. Thái Bình đang đẩy mạnh phát triển hạ tầng giao thông và công nghiệp, thu hút dòng vốn đầu tư trong và ngoài nước. </w:t>
      </w:r>
      <w:r/>
    </w:p>
    <w:p>
      <w:pPr>
        <w:pBdr>
          <w:top w:val="none" w:color="000000" w:sz="4" w:space="0"/>
          <w:left w:val="none" w:color="000000" w:sz="4" w:space="0"/>
          <w:bottom w:val="none" w:color="000000" w:sz="4" w:space="0"/>
          <w:right w:val="none" w:color="000000" w:sz="4" w:space="0"/>
        </w:pBdr>
        <w:shd w:val="clear" w:color="ffffff" w:fill="ffffff"/>
        <w:spacing w:after="180" w:line="360" w:lineRule="atLeast"/>
        <w:ind w:right="0" w:firstLine="0" w:left="0"/>
        <w:rPr/>
      </w:pPr>
      <w:r>
        <w:rPr>
          <w:rFonts w:ascii="Times New Roman" w:hAnsi="Times New Roman" w:eastAsia="Times New Roman" w:cs="Times New Roman"/>
          <w:color w:val="000000"/>
          <w:sz w:val="24"/>
        </w:rPr>
        <w:t xml:space="preserve">nguyengiap.vn +6</w:t>
      </w:r>
      <w:r/>
    </w:p>
    <w:p>
      <w:pPr>
        <w:pBdr>
          <w:top w:val="none" w:color="000000" w:sz="4" w:space="0"/>
          <w:left w:val="none" w:color="000000" w:sz="4" w:space="0"/>
          <w:bottom w:val="none" w:color="000000" w:sz="4" w:space="0"/>
          <w:right w:val="none" w:color="000000" w:sz="4" w:space="0"/>
        </w:pBdr>
        <w:shd w:val="clear" w:color="ffffff" w:fill="ffffff"/>
        <w:spacing w:line="360" w:lineRule="atLeast"/>
        <w:ind w:right="0" w:firstLine="0" w:left="0"/>
        <w:rPr/>
      </w:pPr>
      <w:r>
        <w:rPr>
          <w:rFonts w:ascii="Times New Roman" w:hAnsi="Times New Roman" w:eastAsia="Times New Roman" w:cs="Times New Roman"/>
          <w:b/>
          <w:color w:val="000000"/>
          <w:sz w:val="24"/>
        </w:rPr>
        <w:t xml:space="preserve">Các ngành nghề thu hút đầu tư chính:</w:t>
      </w:r>
      <w:r/>
    </w:p>
    <w:p>
      <w:pPr>
        <w:numPr>
          <w:ilvl w:val="0"/>
          <w:numId w:val="39"/>
        </w:numPr>
        <w:pBdr>
          <w:top w:val="none" w:color="000000" w:sz="4" w:space="0"/>
          <w:left w:val="none" w:color="000000" w:sz="4" w:space="0"/>
          <w:bottom w:val="none" w:color="000000" w:sz="4" w:space="0"/>
          <w:right w:val="none" w:color="000000" w:sz="4" w:space="0"/>
        </w:pBdr>
        <w:shd w:val="clear" w:color="ffffff" w:fill="ffffff"/>
        <w:tabs>
          <w:tab w:val="left" w:leader="none" w:pos="720"/>
        </w:tabs>
        <w:spacing w:after="180" w:before="0" w:line="360" w:lineRule="atLeast"/>
        <w:ind/>
        <w:rPr/>
      </w:pPr>
      <w:r>
        <w:rPr>
          <w:rFonts w:ascii="Times New Roman" w:hAnsi="Times New Roman" w:eastAsia="Times New Roman" w:cs="Times New Roman"/>
          <w:color w:val="000000"/>
          <w:sz w:val="24"/>
        </w:rPr>
        <w:t xml:space="preserve">Công nghiệp cơ khí, lắp ráp chế tạo máy, tự động hóa, công nghiệp ô tô.</w:t>
      </w:r>
      <w:r/>
    </w:p>
    <w:p>
      <w:pPr>
        <w:numPr>
          <w:ilvl w:val="0"/>
          <w:numId w:val="39"/>
        </w:numPr>
        <w:pBdr>
          <w:top w:val="none" w:color="000000" w:sz="4" w:space="0"/>
          <w:left w:val="none" w:color="000000" w:sz="4" w:space="0"/>
          <w:bottom w:val="none" w:color="000000" w:sz="4" w:space="0"/>
          <w:right w:val="none" w:color="000000" w:sz="4" w:space="0"/>
        </w:pBdr>
        <w:shd w:val="clear" w:color="ffffff" w:fill="ffffff"/>
        <w:tabs>
          <w:tab w:val="left" w:leader="none" w:pos="720"/>
        </w:tabs>
        <w:spacing w:after="180" w:before="0" w:line="360" w:lineRule="atLeast"/>
        <w:ind/>
        <w:rPr/>
      </w:pPr>
      <w:r>
        <w:rPr>
          <w:rFonts w:ascii="Times New Roman" w:hAnsi="Times New Roman" w:eastAsia="Times New Roman" w:cs="Times New Roman"/>
          <w:color w:val="000000"/>
          <w:sz w:val="24"/>
        </w:rPr>
        <w:t xml:space="preserve">Công nghiệp phụ trợ, vật liệu xây dựng, dịch vụ công nghiệp.</w:t>
      </w:r>
      <w:r/>
    </w:p>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283" w:left="0"/>
        <w:jc w:val="both"/>
        <w:rPr/>
      </w:pPr>
      <w:r>
        <w:rPr>
          <w:rFonts w:ascii="Times New Roman" w:hAnsi="Times New Roman" w:eastAsia="Times New Roman" w:cs="Times New Roman"/>
          <w:color w:val="000000"/>
          <w:sz w:val="24"/>
        </w:rPr>
        <w:t xml:space="preserve">Sản xuất hàng tiêu dùng</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IV. THÔNG TIN VỀ TÀI SẢN THẨM ĐỊNH GIÁ</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17"/>
        <w:gridCol w:w="2167"/>
        <w:gridCol w:w="2173"/>
        <w:gridCol w:w="2203"/>
        <w:gridCol w:w="247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Lợi thế quyền sử dụng đất thuê trả tiền hàng năm và tài sản gắn liền với đất tại thửa đất số: 1081, tờ bản đồ số: 3, có địa chỉ: Cụm công nghiệp Vũ Ninh, xã Vũ Ninh, huyện Kiến Xương, tỉnh Thái Bình (nay là Cụm công nghiệp Vũ Ninh, xã Vũ Quý, tỉnh Hưng Yên</w:t>
            </w:r>
            <w:r>
              <w:rPr>
                <w:rFonts w:ascii="Times New Roman" w:hAnsi="Times New Roman" w:eastAsia="Times New Roman" w:cs="Times New Roman"/>
                <w:b/>
                <w:color w:val="000000"/>
                <w:sz w:val="24"/>
              </w:rPr>
              <w:t xml:space="preserve">) theo Giấy chứng nhận quyền sử dụng đất, quyền sở hữu nhà ở và tài sản khác gắn liền với đất số: CS 666759, Số vào sổ cấp GCN: CS 04639 do Sở tài nguyên và Môi trường tỉnh Thái Bình cấp ngày 20/12/2021; chủ sử dụng đất là Công ty TNHH LOGITEX</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1.1</w:t>
            </w:r>
            <w:r/>
          </w:p>
        </w:tc>
        <w:tc>
          <w:tcPr>
            <w:gridSpan w:val="4"/>
            <w:tcBorders>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1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1081</w:t>
            </w:r>
            <w:r/>
          </w:p>
        </w:tc>
        <w:tc>
          <w:tcPr>
            <w:tcBorders>
              <w:bottom w:val="single" w:color="000000" w:sz="8" w:space="0"/>
              <w:right w:val="single" w:color="000000" w:sz="8" w:space="0"/>
            </w:tcBorders>
            <w:tcMar>
              <w:left w:w="108" w:type="dxa"/>
              <w:top w:w="0" w:type="dxa"/>
              <w:right w:w="108" w:type="dxa"/>
              <w:bottom w:w="0" w:type="dxa"/>
            </w:tcMar>
            <w:tcW w:w="22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4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Cụm công nghiệp Vũ Ninh, xã Vũ Ninh, huyện Kiến Xương, tỉnh Thái Bình (nay là Cụm công nghiệp Vũ Ninh, xã Vũ Quý, tỉnh Hưng 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17535,60</w:t>
            </w:r>
            <w:r/>
          </w:p>
        </w:tc>
        <w:tc>
          <w:tcPr>
            <w:tcBorders>
              <w:bottom w:val="single" w:color="000000" w:sz="8" w:space="0"/>
              <w:right w:val="single" w:color="000000" w:sz="8" w:space="0"/>
            </w:tcBorders>
            <w:tcMar>
              <w:left w:w="108" w:type="dxa"/>
              <w:top w:w="0" w:type="dxa"/>
              <w:right w:w="108" w:type="dxa"/>
              <w:bottom w:w="0" w:type="dxa"/>
            </w:tcMar>
            <w:tcW w:w="22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4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1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cụm công nghiệp (Xây dựng nhà máy kéo sợi OE)</w:t>
            </w:r>
            <w:r/>
          </w:p>
        </w:tc>
        <w:tc>
          <w:tcPr>
            <w:tcBorders>
              <w:bottom w:val="single" w:color="000000" w:sz="8" w:space="0"/>
              <w:right w:val="single" w:color="000000" w:sz="8" w:space="0"/>
            </w:tcBorders>
            <w:tcMar>
              <w:left w:w="108" w:type="dxa"/>
              <w:top w:w="0" w:type="dxa"/>
              <w:right w:w="108" w:type="dxa"/>
              <w:bottom w:w="0" w:type="dxa"/>
            </w:tcMar>
            <w:tcW w:w="22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4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Đến hết ngày 29/6/2067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bottom w:val="single" w:color="000000" w:sz="8" w:space="0"/>
              <w:right w:val="single" w:color="000000" w:sz="8" w:space="0"/>
            </w:tcBorders>
            <w:tcMar>
              <w:left w:w="108" w:type="dxa"/>
              <w:top w:w="0" w:type="dxa"/>
              <w:right w:w="108" w:type="dxa"/>
              <w:bottom w:w="0" w:type="dxa"/>
            </w:tcMar>
            <w:tcW w:w="6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nước cho thuê đất trả tiền thuê đất hàng năm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6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Cụm công nghiệp Vũ Ninh, xã Vũ Quý, tỉnh Hưng 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1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nội khu</w:t>
            </w:r>
            <w:r/>
          </w:p>
        </w:tc>
        <w:tc>
          <w:tcPr>
            <w:tcBorders>
              <w:bottom w:val="single" w:color="000000" w:sz="8" w:space="0"/>
              <w:right w:val="single" w:color="000000" w:sz="8" w:space="0"/>
            </w:tcBorders>
            <w:tcMar>
              <w:left w:w="108" w:type="dxa"/>
              <w:top w:w="0" w:type="dxa"/>
              <w:right w:w="108" w:type="dxa"/>
              <w:bottom w:w="0" w:type="dxa"/>
            </w:tcMar>
            <w:tcW w:w="22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24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bottom w:val="single" w:color="000000" w:sz="8" w:space="0"/>
              <w:right w:val="single" w:color="000000" w:sz="8" w:space="0"/>
            </w:tcBorders>
            <w:tcMar>
              <w:left w:w="108" w:type="dxa"/>
              <w:top w:w="0" w:type="dxa"/>
              <w:right w:w="108" w:type="dxa"/>
              <w:bottom w:w="0" w:type="dxa"/>
            </w:tcMar>
            <w:tcW w:w="21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8,5m</w:t>
            </w:r>
            <w:r/>
          </w:p>
        </w:tc>
        <w:tc>
          <w:tcPr>
            <w:tcBorders>
              <w:bottom w:val="single" w:color="000000" w:sz="8" w:space="0"/>
              <w:right w:val="single" w:color="000000" w:sz="8" w:space="0"/>
            </w:tcBorders>
            <w:tcMar>
              <w:left w:w="108" w:type="dxa"/>
              <w:top w:w="0" w:type="dxa"/>
              <w:right w:w="108" w:type="dxa"/>
              <w:bottom w:w="0" w:type="dxa"/>
            </w:tcMar>
            <w:tcW w:w="22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bottom w:val="single" w:color="000000" w:sz="8" w:space="0"/>
              <w:right w:val="single" w:color="000000" w:sz="8" w:space="0"/>
            </w:tcBorders>
            <w:tcMar>
              <w:left w:w="108" w:type="dxa"/>
              <w:top w:w="0" w:type="dxa"/>
              <w:right w:w="108" w:type="dxa"/>
              <w:bottom w:w="0" w:type="dxa"/>
            </w:tcMar>
            <w:tcW w:w="24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8,5m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8" w:space="0"/>
              <w:right w:val="single" w:color="000000" w:sz="8" w:space="0"/>
            </w:tcBorders>
            <w:tcMar>
              <w:left w:w="108" w:type="dxa"/>
              <w:top w:w="0" w:type="dxa"/>
              <w:right w:w="108" w:type="dxa"/>
              <w:bottom w:w="0" w:type="dxa"/>
            </w:tcMar>
            <w:tcW w:w="6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Cách đường DT39B khoảng 700m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Các hướng tiếp giáp:</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Đông Bắc tiếp giáp đường nội bộ;</w:t>
              <w:br/>
              <w:t xml:space="preserve"> Các hường còn lại tiếp giáp thửa đất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Vị trí trên bản đồ vệ tinh: 20.415100654540563, 106.3695333552237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17535,60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7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KT 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125,20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Chiều sâu (m):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7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160,00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Hình dáng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chính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7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Đông bắc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Trung bình</w:t>
            </w:r>
            <w:r/>
          </w:p>
        </w:tc>
        <w:tc>
          <w:tcPr>
            <w:tcBorders>
              <w:bottom w:val="single" w:color="000000" w:sz="8" w:space="0"/>
              <w:right w:val="single" w:color="000000" w:sz="8" w:space="0"/>
            </w:tcBorders>
            <w:tcMar>
              <w:left w:w="108" w:type="dxa"/>
              <w:top w:w="0" w:type="dxa"/>
              <w:right w:w="108" w:type="dxa"/>
              <w:bottom w:w="0" w:type="dxa"/>
            </w:tcMar>
            <w:tcW w:w="22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7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1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Phù hợp làm nhà xưởng, sản xuất kinh doanh</w:t>
            </w:r>
            <w:r/>
          </w:p>
        </w:tc>
        <w:tc>
          <w:tcPr>
            <w:tcBorders>
              <w:bottom w:val="single" w:color="000000" w:sz="8" w:space="0"/>
              <w:right w:val="single" w:color="000000" w:sz="8" w:space="0"/>
            </w:tcBorders>
            <w:tcMar>
              <w:left w:w="108" w:type="dxa"/>
              <w:top w:w="0" w:type="dxa"/>
              <w:right w:w="108" w:type="dxa"/>
              <w:bottom w:w="0" w:type="dxa"/>
            </w:tcMar>
            <w:tcW w:w="22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4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Khá</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21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cụm công nghiệp: 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22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24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bl>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b/>
          <w:i/>
          <w:color w:val="000000"/>
          <w:sz w:val="24"/>
          <w:u w:val="none"/>
        </w:rPr>
        <w:t xml:space="preserve"> </w:t>
      </w:r>
      <w:r/>
      <w:r/>
      <w:r/>
      <w:r>
        <w:rPr>
          <w:rFonts w:ascii="Times New Roman" w:hAnsi="Times New Roman" w:eastAsia="Times New Roman" w:cs="Times New Roman"/>
          <w:sz w:val="24"/>
        </w:rPr>
      </w:r>
      <w:r>
        <w:rPr>
          <w:rFonts w:ascii="Times New Roman" w:hAnsi="Times New Roman" w:eastAsia="Times New Roman" w:cs="Times New Roman"/>
          <w:sz w:val="24"/>
        </w:rPr>
      </w:r>
      <w:r>
        <w:rPr>
          <w:rFonts w:ascii="Times New Roman" w:hAnsi="Times New Roman" w:eastAsia="Times New Roman" w:cs="Times New Roman"/>
          <w:sz w:val="24"/>
        </w:rPr>
      </w:r>
      <w:r>
        <w:rPr>
          <w:rFonts w:ascii="Times New Roman" w:hAnsi="Times New Roman" w:eastAsia="Times New Roman" w:cs="Times New Roman"/>
          <w:sz w:val="24"/>
        </w:rP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i/>
          <w:color w:val="000000"/>
          <w:sz w:val="24"/>
          <w:u w:val="single"/>
        </w:rPr>
        <w:t xml:space="preserve"> </w:t>
      </w:r>
      <w:r/>
    </w:p>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b/>
          <w:i/>
          <w:color w:val="000000"/>
          <w:sz w:val="24"/>
          <w:u w:val="single"/>
        </w:rPr>
        <w:t xml:space="preserve">Công trình xây dựng trên đất</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34"/>
        <w:gridCol w:w="2522"/>
        <w:gridCol w:w="1134"/>
        <w:gridCol w:w="1134"/>
        <w:gridCol w:w="709"/>
        <w:gridCol w:w="5102"/>
        <w:gridCol w:w="1559"/>
        <w:gridCol w:w="2126"/>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Hạng mục</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Diện tích XD (m²)</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Diện tích sàn (m²)</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7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Số tầng</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5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Mô tả, kết cấu</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Thời gian hoàn thành xây dựng</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Ghi chú</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A</w:t>
            </w:r>
            <w:r/>
          </w:p>
        </w:tc>
        <w:tc>
          <w:tcPr>
            <w:gridSpan w:val="4"/>
            <w:tcBorders>
              <w:bottom w:val="single" w:color="000000" w:sz="8" w:space="0"/>
              <w:right w:val="single" w:color="000000" w:sz="8" w:space="0"/>
            </w:tcBorders>
            <w:tcMar>
              <w:left w:w="108" w:type="dxa"/>
              <w:top w:w="0" w:type="dxa"/>
              <w:right w:w="108" w:type="dxa"/>
              <w:bottom w:w="0" w:type="dxa"/>
            </w:tcMar>
            <w:tcW w:w="549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Các hạng mục đã được chứng nhận trên Giấy chứng nhận</w:t>
            </w:r>
            <w:r/>
          </w:p>
        </w:tc>
        <w:tc>
          <w:tcPr>
            <w:tcBorders>
              <w:bottom w:val="single" w:color="000000" w:sz="8" w:space="0"/>
              <w:right w:val="single" w:color="000000" w:sz="8" w:space="0"/>
            </w:tcBorders>
            <w:tcMar>
              <w:left w:w="108" w:type="dxa"/>
              <w:top w:w="0" w:type="dxa"/>
              <w:right w:w="108" w:type="dxa"/>
              <w:bottom w:w="0" w:type="dxa"/>
            </w:tcMar>
            <w:tcW w:w="5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kho nguyên vật liệu, kho thành phẩm</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2412,4</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2412,4</w:t>
            </w:r>
            <w:r/>
          </w:p>
        </w:tc>
        <w:tc>
          <w:tcPr>
            <w:tcBorders>
              <w:bottom w:val="single" w:color="000000" w:sz="8" w:space="0"/>
              <w:right w:val="single" w:color="000000" w:sz="8" w:space="0"/>
            </w:tcBorders>
            <w:tcMar>
              <w:left w:w="108" w:type="dxa"/>
              <w:top w:w="0" w:type="dxa"/>
              <w:right w:w="108" w:type="dxa"/>
              <w:bottom w:w="0" w:type="dxa"/>
            </w:tcMar>
            <w:tcW w:w="7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5102" w:type="dxa"/>
            <w:vAlign w:val="center"/>
            <w:textDirection w:val="lrTb"/>
            <w:noWrap w:val="false"/>
          </w:tcPr>
          <w:p>
            <w:pPr>
              <w:numPr>
                <w:ilvl w:val="0"/>
                <w:numId w:val="41"/>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t xml:space="preserve">Kích thước: 39,1m x 61,7m</w:t>
            </w:r>
            <w:r/>
          </w:p>
          <w:p>
            <w:pPr>
              <w:numPr>
                <w:ilvl w:val="0"/>
                <w:numId w:val="41"/>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t xml:space="preserve">Kết cấu: Nền sàn bê tông, tường gạch trên thưng tôn, cột kèo thép, mái tôn</w:t>
            </w:r>
            <w:r/>
          </w:p>
          <w:p>
            <w:pPr>
              <w:numPr>
                <w:ilvl w:val="0"/>
                <w:numId w:val="41"/>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t xml:space="preserve">Hiện trạng: Tài sản còn sử dụng được, ngoại quan cũ theo thời gian</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2021</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Hiện tài sản không được sử dụng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xử lý bông</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2229,9</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2229,9</w:t>
            </w:r>
            <w:r/>
          </w:p>
        </w:tc>
        <w:tc>
          <w:tcPr>
            <w:tcBorders>
              <w:bottom w:val="single" w:color="000000" w:sz="8" w:space="0"/>
              <w:right w:val="single" w:color="000000" w:sz="8" w:space="0"/>
            </w:tcBorders>
            <w:tcMar>
              <w:left w:w="108" w:type="dxa"/>
              <w:top w:w="0" w:type="dxa"/>
              <w:right w:w="108" w:type="dxa"/>
              <w:bottom w:w="0" w:type="dxa"/>
            </w:tcMar>
            <w:tcW w:w="7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5102" w:type="dxa"/>
            <w:vAlign w:val="center"/>
            <w:textDirection w:val="lrTb"/>
            <w:noWrap w:val="false"/>
          </w:tcPr>
          <w:p>
            <w:pPr>
              <w:numPr>
                <w:ilvl w:val="0"/>
                <w:numId w:val="41"/>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t xml:space="preserve">Kích thước: 36m x 61,6m</w:t>
            </w:r>
            <w:r/>
          </w:p>
          <w:p>
            <w:pPr>
              <w:numPr>
                <w:ilvl w:val="0"/>
                <w:numId w:val="41"/>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t xml:space="preserve">Kết cấu: Nền sàn bê tông, tường gạch trên thưng tôn, cột kèo thép, mái tôn</w:t>
            </w:r>
            <w:r/>
          </w:p>
          <w:p>
            <w:pPr>
              <w:numPr>
                <w:ilvl w:val="0"/>
                <w:numId w:val="41"/>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t xml:space="preserve">Hiện trạng: Tài sản còn sử dụng được, ngoại quan cũ theo thời gian</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2021</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Hiện tài sản không được sử dụng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ăn + nhà vệ sinh</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277,7</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277,7</w:t>
            </w:r>
            <w:r/>
          </w:p>
        </w:tc>
        <w:tc>
          <w:tcPr>
            <w:tcBorders>
              <w:bottom w:val="single" w:color="000000" w:sz="8" w:space="0"/>
              <w:right w:val="single" w:color="000000" w:sz="8" w:space="0"/>
            </w:tcBorders>
            <w:tcMar>
              <w:left w:w="108" w:type="dxa"/>
              <w:top w:w="0" w:type="dxa"/>
              <w:right w:w="108" w:type="dxa"/>
              <w:bottom w:w="0" w:type="dxa"/>
            </w:tcMar>
            <w:tcW w:w="7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5102" w:type="dxa"/>
            <w:vAlign w:val="center"/>
            <w:textDirection w:val="lrTb"/>
            <w:noWrap w:val="false"/>
          </w:tcPr>
          <w:p>
            <w:pPr>
              <w:numPr>
                <w:ilvl w:val="0"/>
                <w:numId w:val="41"/>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t xml:space="preserve">Kết cấu tường gạch chịu lực, mái BTCT</w:t>
            </w:r>
            <w:r/>
          </w:p>
          <w:p>
            <w:pPr>
              <w:numPr>
                <w:ilvl w:val="0"/>
                <w:numId w:val="41"/>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t xml:space="preserve">Hiện trạng: Tài sản còn sử dụng được, ngoại quan cũ theo thời gian</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2021</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Hiện tài sản không được sử dụng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xưởng sản xuất và khu nhà phụ trợ sản xuất</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4632</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4632</w:t>
            </w:r>
            <w:r/>
          </w:p>
        </w:tc>
        <w:tc>
          <w:tcPr>
            <w:tcBorders>
              <w:bottom w:val="single" w:color="000000" w:sz="8" w:space="0"/>
              <w:right w:val="single" w:color="000000" w:sz="8" w:space="0"/>
            </w:tcBorders>
            <w:tcMar>
              <w:left w:w="108" w:type="dxa"/>
              <w:top w:w="0" w:type="dxa"/>
              <w:right w:w="108" w:type="dxa"/>
              <w:bottom w:w="0" w:type="dxa"/>
            </w:tcMar>
            <w:tcW w:w="7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5102" w:type="dxa"/>
            <w:vAlign w:val="center"/>
            <w:textDirection w:val="lrTb"/>
            <w:noWrap w:val="false"/>
          </w:tcPr>
          <w:p>
            <w:pPr>
              <w:numPr>
                <w:ilvl w:val="0"/>
                <w:numId w:val="39"/>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t xml:space="preserve">Kích thước: 112,7m x 41,1m</w:t>
            </w:r>
            <w:r/>
          </w:p>
          <w:p>
            <w:pPr>
              <w:numPr>
                <w:ilvl w:val="0"/>
                <w:numId w:val="39"/>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t xml:space="preserve">Kết cấu: Nền sàn bê tông, tường gạch trên thưng tôn, cột kèo thép, mái tôn</w:t>
            </w:r>
            <w:r/>
          </w:p>
          <w:p>
            <w:pPr>
              <w:numPr>
                <w:ilvl w:val="0"/>
                <w:numId w:val="39"/>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t xml:space="preserve">Hiện trạng: Tài sản còn sử dụng được, ngoại quan cũ theo thời gian</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2021</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Hiện tài sản không được sử dụng</w:t>
            </w:r>
            <w:r/>
          </w:p>
        </w:tc>
      </w:tr>
      <w:tr>
        <w:trPr>
          <w:trHeight w:val="409"/>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cơ điện</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48,5</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48,5</w:t>
            </w:r>
            <w:r/>
          </w:p>
        </w:tc>
        <w:tc>
          <w:tcPr>
            <w:tcBorders>
              <w:bottom w:val="single" w:color="000000" w:sz="8" w:space="0"/>
              <w:right w:val="single" w:color="000000" w:sz="8" w:space="0"/>
            </w:tcBorders>
            <w:tcMar>
              <w:left w:w="108" w:type="dxa"/>
              <w:top w:w="0" w:type="dxa"/>
              <w:right w:w="108" w:type="dxa"/>
              <w:bottom w:w="0" w:type="dxa"/>
            </w:tcMar>
            <w:tcW w:w="7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5102" w:type="dxa"/>
            <w:vAlign w:val="center"/>
            <w:textDirection w:val="lrTb"/>
            <w:noWrap w:val="false"/>
          </w:tcPr>
          <w:p>
            <w:pPr>
              <w:numPr>
                <w:ilvl w:val="0"/>
                <w:numId w:val="39"/>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t xml:space="preserve">Kết cấu tường gạch chịu lực, mái BTCT</w:t>
            </w:r>
            <w:r/>
          </w:p>
          <w:p>
            <w:pPr>
              <w:numPr>
                <w:ilvl w:val="0"/>
                <w:numId w:val="39"/>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t xml:space="preserve">Hiện trạng: Tài sản còn sử dụng được, ngoại quan cũ theo thời gian</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2021</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Hiện tài sản không được sử dụng</w:t>
            </w:r>
            <w:r/>
          </w:p>
        </w:tc>
      </w:tr>
      <w:tr>
        <w:trPr>
          <w:trHeight w:val="409"/>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trạm biến áp</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106,4</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106,4</w:t>
            </w:r>
            <w:r/>
          </w:p>
        </w:tc>
        <w:tc>
          <w:tcPr>
            <w:tcBorders>
              <w:bottom w:val="single" w:color="000000" w:sz="8" w:space="0"/>
              <w:right w:val="single" w:color="000000" w:sz="8" w:space="0"/>
            </w:tcBorders>
            <w:tcMar>
              <w:left w:w="108" w:type="dxa"/>
              <w:top w:w="0" w:type="dxa"/>
              <w:right w:w="108" w:type="dxa"/>
              <w:bottom w:w="0" w:type="dxa"/>
            </w:tcMar>
            <w:tcW w:w="7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5102" w:type="dxa"/>
            <w:vAlign w:val="center"/>
            <w:textDirection w:val="lrTb"/>
            <w:noWrap w:val="false"/>
          </w:tcPr>
          <w:p>
            <w:pPr>
              <w:numPr>
                <w:ilvl w:val="0"/>
                <w:numId w:val="39"/>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t xml:space="preserve">Kết cấu tường gạch chịu lực, mái BTCT</w:t>
            </w:r>
            <w:r/>
          </w:p>
          <w:p>
            <w:pPr>
              <w:numPr>
                <w:ilvl w:val="0"/>
                <w:numId w:val="39"/>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t xml:space="preserve">Hiện trạng: Tài sản còn sử dụng được, ngoại quan cũ theo thời gian</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2021</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Hiện tài sản không được sử dụng</w:t>
            </w:r>
            <w:r/>
          </w:p>
        </w:tc>
      </w:tr>
      <w:tr>
        <w:trPr>
          <w:trHeight w:val="409"/>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văn phòng</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343,4</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1174,7</w:t>
            </w:r>
            <w:r/>
          </w:p>
        </w:tc>
        <w:tc>
          <w:tcPr>
            <w:tcBorders>
              <w:bottom w:val="single" w:color="000000" w:sz="8" w:space="0"/>
              <w:right w:val="single" w:color="000000" w:sz="8" w:space="0"/>
            </w:tcBorders>
            <w:tcMar>
              <w:left w:w="108" w:type="dxa"/>
              <w:top w:w="0" w:type="dxa"/>
              <w:right w:w="108" w:type="dxa"/>
              <w:bottom w:w="0" w:type="dxa"/>
            </w:tcMar>
            <w:tcW w:w="7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5102" w:type="dxa"/>
            <w:vAlign w:val="center"/>
            <w:textDirection w:val="lrTb"/>
            <w:noWrap w:val="false"/>
          </w:tcPr>
          <w:p>
            <w:pPr>
              <w:numPr>
                <w:ilvl w:val="0"/>
                <w:numId w:val="39"/>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t xml:space="preserve">Kết cấu tường gạch chịu lực, mái BTCT</w:t>
            </w:r>
            <w:r/>
          </w:p>
          <w:p>
            <w:pPr>
              <w:numPr>
                <w:ilvl w:val="0"/>
                <w:numId w:val="39"/>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t xml:space="preserve">Hiện trạng: Tài sản còn sử dụng được, ngoại quan cũ theo thời gian</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2021</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Hiện tài sản không được sử dụng</w:t>
            </w:r>
            <w:r/>
          </w:p>
        </w:tc>
      </w:tr>
      <w:tr>
        <w:trPr>
          <w:trHeight w:val="409"/>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B</w:t>
            </w:r>
            <w:r/>
          </w:p>
        </w:tc>
        <w:tc>
          <w:tcPr>
            <w:gridSpan w:val="4"/>
            <w:tcBorders>
              <w:bottom w:val="single" w:color="000000" w:sz="8" w:space="0"/>
              <w:right w:val="single" w:color="000000" w:sz="8" w:space="0"/>
            </w:tcBorders>
            <w:tcMar>
              <w:left w:w="108" w:type="dxa"/>
              <w:top w:w="0" w:type="dxa"/>
              <w:right w:w="108" w:type="dxa"/>
              <w:bottom w:w="0" w:type="dxa"/>
            </w:tcMar>
            <w:tcW w:w="549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Các hạng mục phụ trợ chưa được chứng nhận trên giấy chứng nhận</w:t>
            </w:r>
            <w:r/>
          </w:p>
        </w:tc>
        <w:tc>
          <w:tcPr>
            <w:tcBorders>
              <w:bottom w:val="single" w:color="000000" w:sz="8" w:space="0"/>
              <w:right w:val="single" w:color="000000" w:sz="8" w:space="0"/>
            </w:tcBorders>
            <w:tcMar>
              <w:left w:w="108" w:type="dxa"/>
              <w:top w:w="0" w:type="dxa"/>
              <w:right w:w="108" w:type="dxa"/>
              <w:bottom w:w="0" w:type="dxa"/>
            </w:tcMar>
            <w:tcW w:w="5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409"/>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để xe</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247,5</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247,5</w:t>
            </w:r>
            <w:r/>
          </w:p>
        </w:tc>
        <w:tc>
          <w:tcPr>
            <w:tcBorders>
              <w:bottom w:val="single" w:color="000000" w:sz="8" w:space="0"/>
              <w:right w:val="single" w:color="000000" w:sz="8" w:space="0"/>
            </w:tcBorders>
            <w:tcMar>
              <w:left w:w="108" w:type="dxa"/>
              <w:top w:w="0" w:type="dxa"/>
              <w:right w:w="108" w:type="dxa"/>
              <w:bottom w:w="0" w:type="dxa"/>
            </w:tcMar>
            <w:tcW w:w="7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5102" w:type="dxa"/>
            <w:vAlign w:val="center"/>
            <w:textDirection w:val="lrTb"/>
            <w:noWrap w:val="false"/>
          </w:tcPr>
          <w:p>
            <w:pPr>
              <w:numPr>
                <w:ilvl w:val="0"/>
                <w:numId w:val="39"/>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t xml:space="preserve">Kết cấu cột thép chịu lực, mái lợp tôn</w:t>
            </w:r>
            <w:r/>
          </w:p>
          <w:p>
            <w:pPr>
              <w:numPr>
                <w:ilvl w:val="0"/>
                <w:numId w:val="39"/>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t xml:space="preserve">Hiện trạng: Tài sản còn sử dụng được, ngoại quan cũ theo thời gian</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2021</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Hiện tài sản không được sử dụng</w:t>
            </w:r>
            <w:r/>
          </w:p>
        </w:tc>
      </w:tr>
      <w:tr>
        <w:trPr>
          <w:trHeight w:val="409"/>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Bảo vệ</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13,3</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13,3</w:t>
            </w:r>
            <w:r/>
          </w:p>
        </w:tc>
        <w:tc>
          <w:tcPr>
            <w:tcBorders>
              <w:bottom w:val="single" w:color="000000" w:sz="8" w:space="0"/>
              <w:right w:val="single" w:color="000000" w:sz="8" w:space="0"/>
            </w:tcBorders>
            <w:tcMar>
              <w:left w:w="108" w:type="dxa"/>
              <w:top w:w="0" w:type="dxa"/>
              <w:right w:w="108" w:type="dxa"/>
              <w:bottom w:w="0" w:type="dxa"/>
            </w:tcMar>
            <w:tcW w:w="7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5102" w:type="dxa"/>
            <w:vAlign w:val="center"/>
            <w:textDirection w:val="lrTb"/>
            <w:noWrap w:val="false"/>
          </w:tcPr>
          <w:p>
            <w:pPr>
              <w:numPr>
                <w:ilvl w:val="0"/>
                <w:numId w:val="39"/>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t xml:space="preserve">Kết cấu tường gạch chịu lực, mái BTCT</w:t>
            </w:r>
            <w:r/>
          </w:p>
          <w:p>
            <w:pPr>
              <w:numPr>
                <w:ilvl w:val="0"/>
                <w:numId w:val="39"/>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t xml:space="preserve">Hiện trạng: Tài sản còn sử dụng được, ngoại quan cũ theo thời gian</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2021</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Hiện đang sử dụng bởi người trông coi</w:t>
            </w:r>
            <w:r/>
          </w:p>
        </w:tc>
      </w:tr>
      <w:tr>
        <w:trPr>
          <w:trHeight w:val="409"/>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hạng mục phụ trợ khu công nghiệp</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7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5102" w:type="dxa"/>
            <w:vAlign w:val="center"/>
            <w:textDirection w:val="lrTb"/>
            <w:noWrap w:val="false"/>
          </w:tcPr>
          <w:p>
            <w:pPr>
              <w:numPr>
                <w:ilvl w:val="0"/>
                <w:numId w:val="39"/>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t xml:space="preserve">Đường nội bộ</w:t>
            </w:r>
            <w:r/>
          </w:p>
          <w:p>
            <w:pPr>
              <w:numPr>
                <w:ilvl w:val="0"/>
                <w:numId w:val="39"/>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t xml:space="preserve">Cây cảnh xung quanh</w:t>
            </w:r>
            <w:r/>
          </w:p>
          <w:p>
            <w:pPr>
              <w:numPr>
                <w:ilvl w:val="0"/>
                <w:numId w:val="39"/>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t xml:space="preserve">Khu xử lý nước thải</w:t>
            </w:r>
            <w:r/>
          </w:p>
          <w:p>
            <w:pPr>
              <w:numPr>
                <w:ilvl w:val="0"/>
                <w:numId w:val="39"/>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t xml:space="preserve">Khu tập kết rác thải rắn,…</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2021</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Hiện tài sản không được sử dụng</w:t>
            </w:r>
            <w:r/>
          </w:p>
        </w:tc>
      </w:tr>
    </w:tbl>
    <w:p>
      <w:pPr>
        <w:pBdr>
          <w:top w:val="none" w:color="000000" w:sz="4" w:space="0"/>
          <w:left w:val="none" w:color="000000" w:sz="4" w:space="0"/>
          <w:bottom w:val="none" w:color="000000" w:sz="4" w:space="0"/>
          <w:right w:val="none" w:color="000000" w:sz="4" w:space="0"/>
        </w:pBdr>
        <w:tabs>
          <w:tab w:val="left" w:leader="none" w:pos="993"/>
        </w:tabs>
        <w:spacing w:after="120" w:before="240" w:line="276" w:lineRule="auto"/>
        <w:ind w:right="0" w:firstLine="0" w:left="0"/>
        <w:jc w:val="both"/>
        <w:rPr/>
      </w:pPr>
      <w:r>
        <w:rPr>
          <w:rFonts w:ascii="Times New Roman" w:hAnsi="Times New Roman" w:eastAsia="Times New Roman" w:cs="Times New Roman"/>
          <w:b/>
          <w:color w:val="000000"/>
          <w:sz w:val="24"/>
        </w:rPr>
        <w:t xml:space="preserve"> </w:t>
      </w:r>
      <w:r/>
      <w:r/>
      <w:r>
        <w:rPr>
          <w:rFonts w:ascii="Times New Roman" w:hAnsi="Times New Roman" w:eastAsia="Times New Roman" w:cs="Times New Roman"/>
          <w:b/>
          <w:color w:val="000000"/>
          <w:sz w:val="24"/>
        </w:rPr>
        <w:t xml:space="preserve">V. CÁC GIẢ THIẾT VÀ GIẢ THIẾT ĐẶC BIỆT</w:t>
      </w:r>
      <w:r/>
      <w:r>
        <w:rPr>
          <w:rFonts w:ascii="Times New Roman" w:hAnsi="Times New Roman" w:eastAsia="Times New Roman" w:cs="Times New Roman"/>
          <w:sz w:val="24"/>
        </w:rPr>
      </w:r>
      <w:r>
        <w:rPr>
          <w:rFonts w:ascii="Times New Roman" w:hAnsi="Times New Roman" w:eastAsia="Times New Roman" w:cs="Times New Roman"/>
          <w:sz w:val="24"/>
        </w:rPr>
      </w:r>
      <w:r>
        <w:rPr>
          <w:rFonts w:ascii="Times New Roman" w:hAnsi="Times New Roman" w:eastAsia="Times New Roman" w:cs="Times New Roman"/>
          <w:sz w:val="24"/>
        </w:rPr>
      </w:r>
      <w:r>
        <w:rPr>
          <w:rFonts w:ascii="Times New Roman" w:hAnsi="Times New Roman" w:eastAsia="Times New Roman" w:cs="Times New Roman"/>
          <w:sz w:val="24"/>
        </w:rPr>
      </w:r>
      <w:r>
        <w:rPr>
          <w:rFonts w:ascii="Times New Roman" w:hAnsi="Times New Roman" w:eastAsia="Times New Roman" w:cs="Times New Roman"/>
          <w:sz w:val="24"/>
        </w:rPr>
      </w:r>
      <w:r>
        <w:rPr>
          <w:rFonts w:ascii="Times New Roman" w:hAnsi="Times New Roman" w:eastAsia="Times New Roman" w:cs="Times New Roman"/>
          <w:sz w:val="24"/>
        </w:rP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pacing w:val="-2"/>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pacing w:val="-2"/>
          <w:sz w:val="24"/>
        </w:rPr>
        <w:t xml:space="preserve"> trừ mọi trách nhiệm phát sinh, liên đới (nếu có) trong trường hợp này.</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00" w:before="100" w:line="276" w:lineRule="auto"/>
        <w:ind/>
        <w:jc w:val="both"/>
        <w:rPr/>
      </w:pPr>
      <w:r>
        <w:rPr>
          <w:rFonts w:ascii="Times New Roman" w:hAnsi="Times New Roman" w:eastAsia="Times New Roman" w:cs="Times New Roman"/>
          <w:color w:val="000000"/>
          <w:sz w:val="24"/>
        </w:rPr>
        <w:t xml:space="preserve">Báo cáo thẩm định giá này dựa vào các giả định đặc biệt tối quan trọng. Những giả định này bao gồm các chỉ tiêu cụ thể của khách hàng để sử dụng những thông số nhất định được trình bày và được nhấn mạnh trong báo cáo thẩm định giá. Công ty Cổ phần Thẩm địn</w:t>
      </w:r>
      <w:r>
        <w:rPr>
          <w:rFonts w:ascii="Times New Roman" w:hAnsi="Times New Roman" w:eastAsia="Times New Roman" w:cs="Times New Roman"/>
          <w:color w:val="000000"/>
          <w:sz w:val="24"/>
        </w:rPr>
        <w:t xml:space="preserve">h và Đầu tư Tài chính Hoa Sen lưu ý rằng những chỉ tiêu này có thể phản ánh hoặc không phản ánh kỳ vọng thị trường hiện tại cho những dữ liệu đặc biệt chưa rõ ràng.</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00" w:before="100" w:line="276" w:lineRule="auto"/>
        <w:ind/>
        <w:jc w:val="both"/>
        <w:rPr/>
      </w:pPr>
      <w:r>
        <w:rPr>
          <w:rFonts w:ascii="Times New Roman" w:hAnsi="Times New Roman" w:eastAsia="Times New Roman" w:cs="Times New Roman"/>
          <w:color w:val="000000"/>
          <w:sz w:val="24"/>
        </w:rPr>
        <w:t xml:space="preserve">Các phương pháp tính toán trên cơ sở tài liệu được cung cấp bởi khách hàng và dựa trên các tài liệu khác có liên quan do tổ thẩm định thu thập, cũng như các điều kiện và kỳ vọng tại thời điểm thẩm định giá phù hợp với các luật định, chính sách quản lý của </w:t>
      </w:r>
      <w:r>
        <w:rPr>
          <w:rFonts w:ascii="Times New Roman" w:hAnsi="Times New Roman" w:eastAsia="Times New Roman" w:cs="Times New Roman"/>
          <w:color w:val="000000"/>
          <w:sz w:val="24"/>
        </w:rPr>
        <w:t xml:space="preserve">Nhà nước hiện hành và các điều kiện, giả định theo quan điểm hợp lý của tổ thẩm định kèm theo báo cáo này. Một số vấn đề, sự kiện tương lai không có khả năng tính toán chính xác, hoặc nằm ngoài phạm vi chuyên môn nên cần vận dụng các giả định cho việc thẩm</w:t>
      </w:r>
      <w:r>
        <w:rPr>
          <w:rFonts w:ascii="Times New Roman" w:hAnsi="Times New Roman" w:eastAsia="Times New Roman" w:cs="Times New Roman"/>
          <w:color w:val="000000"/>
          <w:sz w:val="24"/>
        </w:rPr>
        <w:t xml:space="preserve"> định giá này, tổ thẩm định không đảm bảo là các giả định làm cơ sở thẩm định giá là chính xác hoàn toàn.</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z w:val="24"/>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w:t>
      </w:r>
      <w:r>
        <w:rPr>
          <w:rFonts w:ascii="Times New Roman" w:hAnsi="Times New Roman" w:eastAsia="Times New Roman" w:cs="Times New Roman"/>
          <w:color w:val="000000"/>
          <w:sz w:val="24"/>
        </w:rPr>
        <w:t xml:space="preserve">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w:t>
      </w:r>
      <w:r>
        <w:rPr>
          <w:rFonts w:ascii="Times New Roman" w:hAnsi="Times New Roman" w:eastAsia="Times New Roman" w:cs="Times New Roman"/>
          <w:color w:val="000000"/>
          <w:sz w:val="24"/>
        </w:rPr>
        <w:t xml:space="preserve">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z w:val="24"/>
        </w:rPr>
        <w:t xml:space="preserve">Giá trị tài sản thẩm định giá được ước tính dựa trên giả định không có bất kỳ yếu tố nào làm cản trở ảnh hưởng đến việc giao dịch bình thường của tài sản trên thị trường.</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z w:val="24"/>
        </w:rPr>
        <w:t xml:space="preserve">VI. CƠ SỞ GIÁ TRỊ THẨM ĐỊNH GIÁ</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b/>
          <w:color w:val="000000"/>
          <w:sz w:val="24"/>
        </w:rPr>
        <w:t xml:space="preserve">Giá trị thị trường:</w:t>
      </w:r>
      <w:r>
        <w:rPr>
          <w:rFonts w:ascii="Times New Roman" w:hAnsi="Times New Roman" w:eastAsia="Times New Roman" w:cs="Times New Roman"/>
          <w:color w:val="000000"/>
          <w:sz w:val="24"/>
        </w:rPr>
        <w:t xml:space="preserve"> Kết quả thẩm định giá trị tài sản được xác định dựa trên cơ sở giá trị thị trường tại thời điểm thẩm định theo Chuẩn mực thẩm định giá Việt Nam về Cơ sở giá trị thẩm định giá: </w:t>
      </w:r>
      <w:r>
        <w:rPr>
          <w:rFonts w:ascii="Times New Roman" w:hAnsi="Times New Roman" w:eastAsia="Times New Roman" w:cs="Times New Roman"/>
          <w:i/>
          <w:color w:val="000000"/>
          <w:sz w:val="24"/>
        </w:rPr>
        <w:t xml:space="preserve">“Giá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w:t>
      </w:r>
      <w:r>
        <w:rPr>
          <w:rFonts w:ascii="Times New Roman" w:hAnsi="Times New Roman" w:eastAsia="Times New Roman" w:cs="Times New Roman"/>
          <w:i/>
          <w:color w:val="000000"/>
          <w:sz w:val="24"/>
        </w:rPr>
        <w:t xml:space="preserve">u biết, thận trọng và không bị ép buộc”</w:t>
      </w: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 CÁCH TIẾP CẬN, PHƯƠNG PHÁP THẨM ĐỊNH GIÁ</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Cách tiếp cận và phương pháp thẩm định:</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Cách tiếp cận từ thị trường: </w:t>
      </w:r>
      <w:r>
        <w:rPr>
          <w:rFonts w:ascii="Times New Roman" w:hAnsi="Times New Roman" w:eastAsia="Times New Roman" w:cs="Times New Roman"/>
          <w:color w:val="000000"/>
          <w:sz w:val="24"/>
        </w:rPr>
        <w:t xml:space="preserve">Xác định giá trị của tài sản thẩm định giá thông qua việc so sánh tài sản thẩm định giá với các tài sản so sánh đã có các thông tin về giá trên thị trường.</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Phương pháp so sánh:</w:t>
      </w:r>
      <w:r>
        <w:rPr>
          <w:rFonts w:ascii="Times New Roman" w:hAnsi="Times New Roman" w:eastAsia="Times New Roman" w:cs="Times New Roman"/>
          <w:color w:val="000000"/>
          <w:sz w:val="24"/>
        </w:rPr>
        <w:t xml:space="preserve"> Xác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w:t>
      </w:r>
      <w:r>
        <w:rPr>
          <w:rFonts w:ascii="Times New Roman" w:hAnsi="Times New Roman" w:eastAsia="Times New Roman" w:cs="Times New Roman"/>
          <w:color w:val="000000"/>
          <w:sz w:val="24"/>
        </w:rPr>
        <w:t xml:space="preserve">nh giá.</w:t>
      </w:r>
      <w:r/>
    </w:p>
    <w:p>
      <w:pPr>
        <w:numPr>
          <w:ilvl w:val="0"/>
          <w:numId w:val="42"/>
        </w:numPr>
        <w:pBdr>
          <w:top w:val="none" w:color="000000" w:sz="4" w:space="0"/>
          <w:left w:val="none" w:color="000000" w:sz="4" w:space="0"/>
          <w:bottom w:val="none" w:color="000000" w:sz="4" w:space="0"/>
          <w:right w:val="none" w:color="000000" w:sz="4" w:space="0"/>
        </w:pBdr>
        <w:spacing w:after="60" w:before="60" w:line="276" w:lineRule="auto"/>
        <w:ind/>
        <w:jc w:val="both"/>
        <w:rPr/>
      </w:pPr>
      <w:r>
        <w:rPr>
          <w:rFonts w:ascii="Times New Roman" w:hAnsi="Times New Roman" w:eastAsia="Times New Roman" w:cs="Times New Roman"/>
          <w:i/>
          <w:color w:val="000000"/>
          <w:sz w:val="24"/>
        </w:rPr>
        <w:t xml:space="preserve">Cách tiếp cận từ chi phí: </w:t>
      </w:r>
      <w:r>
        <w:rPr>
          <w:rFonts w:ascii="Times New Roman" w:hAnsi="Times New Roman" w:eastAsia="Times New Roman" w:cs="Times New Roman"/>
          <w:color w:val="000000"/>
          <w:sz w:val="24"/>
        </w:rPr>
        <w:t xml:space="preserve">Là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i/>
          <w:color w:val="000000"/>
          <w:sz w:val="24"/>
        </w:rPr>
        <w:t xml:space="preserve">Phương pháp chi phí thay thế:</w:t>
      </w:r>
      <w:r>
        <w:rPr>
          <w:rFonts w:ascii="Times New Roman" w:hAnsi="Times New Roman" w:eastAsia="Times New Roman" w:cs="Times New Roman"/>
          <w:color w:val="000000"/>
          <w:sz w:val="24"/>
        </w:rPr>
        <w:t xml:space="preserve"> Là phương pháp thẩm 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w:t>
      </w:r>
      <w:r>
        <w:rPr>
          <w:rFonts w:ascii="Times New Roman" w:hAnsi="Times New Roman" w:eastAsia="Times New Roman" w:cs="Times New Roman"/>
          <w:color w:val="000000"/>
          <w:sz w:val="24"/>
        </w:rPr>
        <w:t xml:space="preserve">tài sản thẩm định giá</w:t>
      </w:r>
      <w:r>
        <w:rPr>
          <w:rFonts w:ascii="Times New Roman" w:hAnsi="Times New Roman" w:eastAsia="Times New Roman" w:cs="Times New Roman"/>
          <w:color w:val="000000"/>
          <w:spacing w:val="-2"/>
          <w:sz w:val="24"/>
        </w:rPr>
        <w:t xml:space="preserve">.</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cách tiếp cận và phương pháp đối với tài sản thẩm định giá:</w:t>
      </w:r>
      <w:r/>
    </w:p>
    <w:p>
      <w:pPr>
        <w:numPr>
          <w:ilvl w:val="0"/>
          <w:numId w:val="42"/>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pacing w:val="-4"/>
          <w:sz w:val="24"/>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 lợi thế quyền sử dụng</w:t>
      </w:r>
      <w:r>
        <w:rPr>
          <w:rFonts w:ascii="Times New Roman" w:hAnsi="Times New Roman" w:eastAsia="Times New Roman" w:cs="Times New Roman"/>
          <w:color w:val="000000"/>
          <w:spacing w:val="-4"/>
          <w:sz w:val="24"/>
        </w:rPr>
        <w:t xml:space="preserve"> đất thuê trả tiền hàng năm.</w:t>
      </w:r>
      <w:r/>
    </w:p>
    <w:p>
      <w:pPr>
        <w:numPr>
          <w:ilvl w:val="0"/>
          <w:numId w:val="42"/>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pacing w:val="-4"/>
          <w:sz w:val="24"/>
        </w:rPr>
        <w:t xml:space="preserve">Đối với công trình xây dựng gắn liền trên đất, tại thời điểm thẩm định giá, qua thu thập thông tin từ thị trường, Tổ thẩm định nhận thấy thị trường hầu như không phát sinh các giao dịch các công trình xây dựng tương tự tài sản thẩm định. Vì vậy, do hạn chế</w:t>
      </w:r>
      <w:r>
        <w:rPr>
          <w:rFonts w:ascii="Times New Roman" w:hAnsi="Times New Roman" w:eastAsia="Times New Roman" w:cs="Times New Roman"/>
          <w:color w:val="000000"/>
          <w:spacing w:val="-4"/>
          <w:sz w:val="24"/>
        </w:rPr>
        <w:t xml:space="preserve"> về mặt thu thập thông tin, Tổ thẩm định chưa có cơ sở tính toán giá trị các công trình xây dựng dựa trên phương pháp so sánh. Ngoài ra, Tổ thẩm định cũng không được cung cấp thông tin hay có đủ dữ liệu để đánh giá theo cách tiếp cận từ thu nhập. Do vậy, T</w:t>
      </w:r>
      <w:r>
        <w:rPr>
          <w:rFonts w:ascii="Times New Roman" w:hAnsi="Times New Roman" w:eastAsia="Times New Roman" w:cs="Times New Roman"/>
          <w:color w:val="000000"/>
          <w:spacing w:val="-4"/>
          <w:sz w:val="24"/>
        </w:rPr>
        <w:t xml:space="preserve">ổ thẩm định sử dụng cách tiếp cận từ chi phí (phương pháp chi phí thay thế) để xác định giá trị công trình gắn liền trên đất của tài sản so sánh và tài sản thẩm định</w:t>
      </w:r>
      <w:r>
        <w:rPr>
          <w:rFonts w:ascii="Times New Roman" w:hAnsi="Times New Roman" w:eastAsia="Times New Roman" w:cs="Times New Roman"/>
          <w:color w:val="000000"/>
          <w:spacing w:val="-2"/>
          <w:sz w:val="24"/>
        </w:rPr>
        <w:t xml:space="preserve">.</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VIII. GIÁ TRỊ TÀI SẢN THẨM ĐỊNH</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đơn giá quyền sử dụng đất:</w:t>
      </w:r>
      <w:r/>
    </w:p>
    <w:p>
      <w:pPr>
        <w:pBdr>
          <w:top w:val="none" w:color="000000" w:sz="4" w:space="0"/>
          <w:left w:val="none" w:color="000000" w:sz="4" w:space="0"/>
          <w:bottom w:val="none" w:color="000000" w:sz="4" w:space="0"/>
          <w:right w:val="none" w:color="000000" w:sz="4" w:space="0"/>
        </w:pBdr>
        <w:spacing w:after="120" w:before="120" w:line="276" w:lineRule="auto"/>
        <w:ind w:right="0" w:firstLine="357" w:left="0"/>
        <w:jc w:val="both"/>
        <w:rPr/>
      </w:pPr>
      <w:r>
        <w:rPr>
          <w:rFonts w:ascii="Times New Roman" w:hAnsi="Times New Roman" w:eastAsia="Times New Roman" w:cs="Times New Roman"/>
          <w:color w:val="000000"/>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p>
    <w:p>
      <w:pPr>
        <w:numPr>
          <w:ilvl w:val="0"/>
          <w:numId w:val="43"/>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Thông tin tài sản so sánh:</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522"/>
        <w:gridCol w:w="1667"/>
        <w:gridCol w:w="1559"/>
        <w:gridCol w:w="1843"/>
        <w:gridCol w:w="1843"/>
        <w:gridCol w:w="1701"/>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ĐẶC ĐIỂM BĐS</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Thông tin về tài sản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after="0" w:before="0" w:line="240"/>
              <w:ind/>
              <w:rPr/>
            </w:p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Địa chỉ</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Cụm công nghiệp Vũ Ninh, xã Vũ Quý, tỉnh Hưng Yên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Cụm công nghiệp Cầu Nghìn, xã Quỳnh Phụ, tỉnh Hưng Yên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Cụm Công Nghiệp xã Nam Đông Hưng, tỉnh Hưng Yên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Cụm công nghiệp Cầu Nghìn, xã Quỳnh Phụ, tỉnh Hưng Yên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Nguồn tham khảo</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https://batdongsan.com.vn/ban-kho-nha-xuong-thi-tran-quynh-coi/chuyen-nhuong-lo-dat-2-7ha-kcn-cau-nghin-vi-tri-dep-mat-tien-rong-ha-tang-san-1-9tr-m2-k-vat-pr45040900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https://batdongsan.com.vn/ban-kho-nha-xuong-xa-dong-dong/chuyen-nhuong-du-an-lam-may-va-cho-thue-tai-thai-binh-pr44840139?gidzl=qbyZKM2wY5_KHILHOAABMTj38LHsyuyEnXDs0ttqt5p74dPHVFBRNfmNT5Cizji9cqHrL6A3qPmvOxsENW</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https://alonhadat.com.vn/cty-can-ban-1-ha-dat-sxkd-kcn-cau-nghin-chi-85-usd-m2-18103677.html</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Thông tin liên lạc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SĐT: 0901568123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SĐT: 0868006298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SĐT: 966.039.646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Tình trạng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Đang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Đang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Thời điểm thu thập thông tin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Tháng 4/2026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Tháng 4/2026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Tháng 4/2026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Tính chất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cụm công nghiệp thuê trả tiền hàng nằm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cụm công nghiệp thuê trả tiền hàng nằm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cụm công nghiệp thuê trả tiền hàng nằm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cụm công nghiệp thuê trả tiền hàng nằm</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thời hạn (đến 26/09/2067, 41 năm)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thời hạn (đến 31/12/2059, 33 năm)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thời hạn (đến 31/12/2067, 41 năm)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thời hạn (đến 31/12/2065, 39 năm)</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nằm trong Cụm công nghiệp Vũ Ninh, xã Vũ Quý, tỉnh Hưng Yên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nằm trong Cụm công nghiệp Cầu Nghìn, xã Quỳnh Phụ, tỉnh Hưng Yên, tiếp giáp đường QL10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nằm trong Cụm Công Nghiệp xã Nam Đông Hưng, tỉnh Hưng Yên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nằm trong Cụm công nghiệp Cầu Nghìn, xã Quỳnh Phụ, tỉnh Hưng Yên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 rộng 8,5m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rộng khoảng 8m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rộng khoảng 8m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rộng khoảng 8m</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Diện tích đất ở (m²)</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17535,6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28016,6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125,2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 mặt tiền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Đa giác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Phù hợp làm nhà xưởng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Phù hợp làm nhà xưởng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Phù hợp làm nhà xưởng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Phù hợp làm nhà xưởng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công nghiệp: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Điều kiện môi trường an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trên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trống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trống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rao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56.000.000.000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31.250.000.000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23.850.000.000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Khả năng giao dịch thành công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thương lượng/bán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50.400.000.000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28.130.000.000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21.470.000.000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Chi tiết tính toán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after="0" w:before="0" w:line="240"/>
              <w:ind/>
              <w:rPr/>
            </w:p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Giá trị đất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50.400.000.000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28.130.000.000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21.470.000.000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giá QSDĐ (đồng/m²)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1.798.933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2.250.400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2.147.000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NHẬN XÉT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after="0" w:before="0" w:line="240"/>
              <w:ind/>
              <w:rPr/>
            </w:p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Diện tích đất ở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Kém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Kém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bl>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hình dáng, hạ tầng kỹ thuật và hạ tầng xã hội… làm ảnh hưởng đến giá trị của thửa đất. Mỗi yếu tố đóng góp một tỷ lệ nhất định vào giá trị của thửa đất. Vì vậy, dựa trên ba tài sản so sánh tương đồng với tài sả</w:t>
      </w:r>
      <w:r>
        <w:rPr>
          <w:rFonts w:ascii="Times New Roman" w:hAnsi="Times New Roman" w:eastAsia="Times New Roman" w:cs="Times New Roman"/>
          <w:color w:val="000000"/>
          <w:sz w:val="24"/>
        </w:rPr>
        <w:t xml:space="preserve">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pPr>
        <w:numPr>
          <w:ilvl w:val="0"/>
          <w:numId w:val="43"/>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Bảng điều chỉnh:</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1736"/>
        <w:gridCol w:w="1028"/>
        <w:gridCol w:w="1419"/>
        <w:gridCol w:w="1559"/>
        <w:gridCol w:w="1591"/>
        <w:gridCol w:w="1591"/>
        <w:gridCol w:w="15"/>
      </w:tblGrid>
      <w:tr>
        <w:trPr>
          <w:gridAfter w:val="1"/>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Tài sản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Tài sản so sánh 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Tài sản so sánh 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Tài sản so sánh 3</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50.400.000.000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28.130.000.000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21.470.000.000 </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1.798.933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2.250.400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2.147.000 </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 </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 </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1.798.933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2.250.400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2.147.000 </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Đất cụm công nghiệp thuê trả tiền hàng nằm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Đất cụm công nghiệp thuê trả tiền hàng nằm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Đất cụm công nghiệp thuê trả tiền hàng nằm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Đất cụm công nghiệp thuê trả tiền hàng nằm</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0,00%</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 </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1.798.933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2.250.400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2.147.000 </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Có thời hạn (đến 26/09/2067, 41 năm)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Có thời hạn (đến 31/12/2059, 33 năm)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Có thời hạn (đến 31/12/2067, 41 năm)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Có thời hạn (đến 31/12/2065, 39 năm)</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8,00%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2,00%</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143.915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42.940 </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1.942.848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2.250.400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2.189.940 </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Tài sản nằm trong Cụm công nghiệp Vũ Ninh, xã Vũ Quý, tỉnh Hưng Yên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Tài sản nằm trong Cụm công nghiệp Cầu Nghìn, xã Quỳnh Phụ, tỉnh Hưng Yên, tiếp giáp đường QL10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Tài sản nằm trong Cụm Công Nghiệp xã Nam Đông Hưng, tỉnh Hưng Yên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Tài sản nằm trong Cụm công nghiệp Cầu Nghìn, xã Quỳnh Phụ, tỉnh Hưng Yên </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-58.285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 </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1.884.563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2.250.400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2.189.940 </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Đường bê tông rộng 8,5m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Đường nhựa rộng khoảng 8m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Đường nhựa rộng khoảng 8m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Đường nhựa rộng khoảng 8m</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-4%</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-77.714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-90.016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-87.598 </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1.806.849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2.160.384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2.102.342 </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b/>
                <w:color w:val="000000"/>
                <w:sz w:val="22"/>
              </w:rPr>
              <w:t xml:space="preserve">Diện tích đất ở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17535,60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28016,60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12500,00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10000,00</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-6%</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116.571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-112.520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-131.396 </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1.923.420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2.047.864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1.970.946 </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125,20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120,00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80,00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80,00</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0,00%</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 </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1.923.420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2.047.864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1.970.946 </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1 mặt tiền</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 </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1.923.420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2.047.864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1.970.946 </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Đa giác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Hình chữ nhật</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58.285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 </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1.981.705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2.047.864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1.970.946 </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b/>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Phù hợp làm nhà xưởng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Phù hợp làm nhà xưởng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Phù hợp làm nhà xưởng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Phù hợp làm nhà xưởng</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 </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1.981.705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2.047.864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1.970.946 </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Hạ tầng cụm công nghiệp: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Hạ tầng cụm công nghiệp: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Hạ tầng cụm công nghiệp: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Hạ tầng cụm công nghiệp: hệ thống cấp điện, cấp thoát nước đầy đủ</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 </w:t>
            </w:r>
            <w:r/>
          </w:p>
        </w:tc>
      </w:tr>
      <w:tr>
        <w:trPr>
          <w:gridAfter w:val="1"/>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1.981.705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2.047.864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1.970.946 </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1.981.705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2.047.864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1.970.946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475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2.000.172 </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-0,9%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-1,5%</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b/>
                <w:color w:val="000000"/>
                <w:sz w:val="22"/>
              </w:rPr>
              <w:t xml:space="preserve"> </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454.770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202.536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261.934 </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3 </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3%-8%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2%-7%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1%-8%</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182.772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202.536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28" w:lineRule="auto"/>
              <w:ind w:right="0" w:firstLine="0" w:left="0"/>
              <w:jc w:val="center"/>
              <w:rPr/>
            </w:pPr>
            <w:r>
              <w:rPr>
                <w:rFonts w:ascii="Times New Roman" w:hAnsi="Times New Roman" w:eastAsia="Times New Roman" w:cs="Times New Roman"/>
                <w:color w:val="000000"/>
                <w:sz w:val="22"/>
              </w:rPr>
              <w:t xml:space="preserve">176.054 </w:t>
            </w:r>
            <w:r/>
          </w:p>
        </w:tc>
      </w:tr>
    </w:tbl>
    <w:p>
      <w:p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right="0" w:firstLine="0" w:left="0"/>
        <w:jc w:val="both"/>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i/>
          <w:color w:val="000000"/>
          <w:sz w:val="24"/>
          <w:u w:val="single"/>
        </w:rPr>
        <w:t xml:space="preserve">Về nguyên tắc khống chế</w:t>
      </w:r>
      <w:r>
        <w:rPr>
          <w:rFonts w:ascii="Times New Roman" w:hAnsi="Times New Roman" w:eastAsia="Times New Roman" w:cs="Times New Roman"/>
          <w:b/>
          <w:i/>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0,9% đến 2,4%, đảm bảo không quá 15% (theo Thông tư số 32/2024/TT-BTC ngày 16/5/2024 của Bộ Tài chính).</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i/>
          <w:color w:val="000000"/>
          <w:sz w:val="24"/>
          <w:u w:val="single"/>
        </w:rPr>
        <w:t xml:space="preserve">Về thống nhất mức giá chỉ dẫn:</w:t>
      </w:r>
      <w:r/>
    </w:p>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4"/>
        </w:rPr>
        <w:t xml:space="preserve">Đơn vị tính: Đồng/m²</w:t>
      </w:r>
      <w:r/>
    </w:p>
    <w:tbl>
      <w:tblPr>
        <w:tblStyle w:val="860"/>
        <w:tblInd w:w="0" w:type="dxa"/>
        <w:tblW w:w="4967"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1242"/>
        <w:gridCol w:w="1905"/>
        <w:gridCol w:w="1905"/>
        <w:gridCol w:w="1905"/>
        <w:gridCol w:w="2505"/>
      </w:tblGrid>
      <w:tr>
        <w:trPr>
          <w:trHeight w:val="93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5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1</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1.981.705 </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bottom w:val="single" w:color="000000" w:sz="8" w:space="0"/>
              <w:right w:val="single" w:color="000000" w:sz="8" w:space="0"/>
            </w:tcBorders>
            <w:tcMar>
              <w:left w:w="108" w:type="dxa"/>
              <w:top w:w="0" w:type="dxa"/>
              <w:right w:w="108" w:type="dxa"/>
              <w:bottom w:w="0" w:type="dxa"/>
            </w:tcMar>
            <w:tcW w:w="25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660.568 </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2</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2.047.864 </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bottom w:val="single" w:color="000000" w:sz="8" w:space="0"/>
              <w:right w:val="single" w:color="000000" w:sz="8" w:space="0"/>
            </w:tcBorders>
            <w:tcMar>
              <w:left w:w="108" w:type="dxa"/>
              <w:top w:w="0" w:type="dxa"/>
              <w:right w:w="108" w:type="dxa"/>
              <w:bottom w:w="0" w:type="dxa"/>
            </w:tcMar>
            <w:tcW w:w="25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682.621 </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3</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1.970.946 </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bottom w:val="single" w:color="000000" w:sz="8" w:space="0"/>
              <w:right w:val="single" w:color="000000" w:sz="8" w:space="0"/>
            </w:tcBorders>
            <w:tcMar>
              <w:left w:w="108" w:type="dxa"/>
              <w:top w:w="0" w:type="dxa"/>
              <w:right w:w="108" w:type="dxa"/>
              <w:bottom w:w="0" w:type="dxa"/>
            </w:tcMar>
            <w:tcW w:w="25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656.982 </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9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bình quân theo trọng số:</w:t>
            </w:r>
            <w:r/>
          </w:p>
        </w:tc>
        <w:tc>
          <w:tcPr>
            <w:tcBorders>
              <w:bottom w:val="single" w:color="000000" w:sz="8" w:space="0"/>
              <w:right w:val="single" w:color="000000" w:sz="8" w:space="0"/>
            </w:tcBorders>
            <w:tcMar>
              <w:left w:w="108" w:type="dxa"/>
              <w:top w:w="0" w:type="dxa"/>
              <w:right w:w="108" w:type="dxa"/>
              <w:bottom w:w="0" w:type="dxa"/>
            </w:tcMar>
            <w:tcW w:w="25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2.000.172 </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9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25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2.000.000 </w:t>
            </w:r>
            <w:r/>
          </w:p>
        </w:tc>
      </w:tr>
    </w:tbl>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tương ứng là: </w:t>
      </w:r>
      <w:r>
        <w:rPr>
          <w:rFonts w:ascii="Times New Roman" w:hAnsi="Times New Roman" w:eastAsia="Times New Roman" w:cs="Times New Roman"/>
          <w:b/>
          <w:color w:val="000000"/>
          <w:sz w:val="24"/>
        </w:rPr>
        <w:t xml:space="preserve">2.000.000 đồng/m².</w:t>
      </w:r>
      <w:r/>
    </w:p>
    <w:p>
      <w:pPr>
        <w:pBdr>
          <w:top w:val="none" w:color="000000" w:sz="4" w:space="0"/>
          <w:left w:val="none" w:color="000000" w:sz="4" w:space="0"/>
          <w:bottom w:val="none" w:color="000000" w:sz="4" w:space="0"/>
          <w:right w:val="none" w:color="000000" w:sz="4" w:space="0"/>
        </w:pBdr>
        <w:spacing w:line="276" w:lineRule="auto"/>
        <w:ind w:right="0" w:firstLine="0" w:left="0"/>
        <w:rPr/>
      </w:pPr>
      <w:r/>
      <w:r>
        <w:rPr>
          <w:rFonts w:ascii="Times New Roman" w:hAnsi="Times New Roman" w:eastAsia="Times New Roman" w:cs="Times New Roman"/>
          <w:b/>
          <w:color w:val="000000"/>
          <w:sz w:val="24"/>
        </w:rPr>
        <w:t xml:space="preserve">Xác định giá trị công trình xây dựng:</w:t>
      </w:r>
      <w:r/>
      <w:r>
        <w:rPr>
          <w:rFonts w:ascii="Times New Roman" w:hAnsi="Times New Roman" w:eastAsia="Times New Roman" w:cs="Times New Roman"/>
          <w:sz w:val="24"/>
        </w:rPr>
      </w:r>
      <w:r>
        <w:rPr>
          <w:rFonts w:ascii="Times New Roman" w:hAnsi="Times New Roman" w:eastAsia="Times New Roman" w:cs="Times New Roman"/>
          <w:sz w:val="24"/>
        </w:rPr>
      </w:r>
      <w:r>
        <w:rPr>
          <w:rFonts w:ascii="Times New Roman" w:hAnsi="Times New Roman" w:eastAsia="Times New Roman" w:cs="Times New Roman"/>
          <w:sz w:val="24"/>
        </w:rPr>
      </w:r>
    </w:p>
    <w:p>
      <w:pPr>
        <w:pBdr>
          <w:top w:val="none" w:color="000000" w:sz="4" w:space="0"/>
          <w:left w:val="none" w:color="000000" w:sz="4" w:space="0"/>
          <w:bottom w:val="none" w:color="000000" w:sz="4" w:space="0"/>
          <w:right w:val="none" w:color="000000" w:sz="4" w:space="0"/>
        </w:pBdr>
        <w:spacing w:after="120" w:before="120" w:line="264" w:lineRule="auto"/>
        <w:ind w:right="0" w:firstLine="0" w:left="0"/>
        <w:jc w:val="center"/>
        <w:rPr/>
      </w:pPr>
      <w:r>
        <w:rPr>
          <w:rFonts w:ascii="Times New Roman" w:hAnsi="Times New Roman" w:eastAsia="Times New Roman" w:cs="Times New Roman"/>
          <w:b/>
          <w:color w:val="000000"/>
          <w:sz w:val="24"/>
        </w:rPr>
        <w:t xml:space="preserve">Công thức xác định giá trị ước tính công trình xây dựng trên đất:</w:t>
      </w:r>
      <w:r/>
    </w:p>
    <w:tbl>
      <w:tblPr>
        <w:tblStyle w:val="860"/>
        <w:tblInd w:w="0" w:type="dxa"/>
        <w:tblW w:w="4650" w:type="pct"/>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shd w:val="clear" w:color="ffffff" w:fill="ffffff"/>
        <w:tblLayout w:type="autofit"/>
        <w:tblLook w:val="04A0" w:firstRow="1" w:lastRow="0" w:firstColumn="1" w:lastColumn="0" w:noHBand="0" w:noVBand="1"/>
      </w:tblPr>
      <w:tblGrid>
        <w:gridCol w:w="1905"/>
        <w:gridCol w:w="1905"/>
        <w:gridCol w:w="1905"/>
        <w:gridCol w:w="1905"/>
        <w:gridCol w:w="1905"/>
      </w:tblGrid>
      <w:tr>
        <w:trPr/>
        <w:tc>
          <w:tcPr>
            <w:tcBorders/>
            <w:tcMar>
              <w:left w:w="0" w:type="dxa"/>
              <w:top w:w="0" w:type="dxa"/>
              <w:right w:w="0"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Giá trị ước tính tài sản thẩm định giá</w:t>
            </w:r>
            <w:r/>
          </w:p>
        </w:tc>
        <w:tc>
          <w:tcPr>
            <w:tcBorders/>
            <w:tcMar>
              <w:left w:w="0" w:type="dxa"/>
              <w:top w:w="0" w:type="dxa"/>
              <w:right w:w="0"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0" w:type="dxa"/>
              <w:top w:w="0" w:type="dxa"/>
              <w:right w:w="0"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Chi phí thay thế </w:t>
            </w:r>
            <w:r/>
          </w:p>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(đã bao gồm lợi nhuận của nhà sản xuất/ nhà đầu tư)</w:t>
            </w:r>
            <w:r/>
          </w:p>
        </w:tc>
        <w:tc>
          <w:tcPr>
            <w:tcBorders/>
            <w:tcMar>
              <w:left w:w="0" w:type="dxa"/>
              <w:top w:w="0" w:type="dxa"/>
              <w:right w:w="0"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0" w:type="dxa"/>
              <w:top w:w="0" w:type="dxa"/>
              <w:right w:w="0"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Tổng giá trị hao mòn của tài sản thẩm định giá</w:t>
            </w:r>
            <w:r/>
          </w:p>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(không bao gồm phần giá trị hao mòn chức năng của tài sản thẩm định giá đã được phản ánh trong chi phí thay thế)</w:t>
            </w:r>
            <w:r/>
          </w:p>
        </w:tc>
      </w:tr>
    </w:tbl>
    <w:p>
      <w:pPr>
        <w:numPr>
          <w:ilvl w:val="0"/>
          <w:numId w:val="44"/>
        </w:numPr>
        <w:pBdr>
          <w:top w:val="none" w:color="000000" w:sz="4" w:space="0"/>
          <w:left w:val="none" w:color="000000" w:sz="4" w:space="0"/>
          <w:bottom w:val="none" w:color="000000" w:sz="4" w:space="0"/>
          <w:right w:val="none" w:color="000000" w:sz="4" w:space="0"/>
        </w:pBdr>
        <w:spacing w:after="120" w:before="120" w:line="264" w:lineRule="auto"/>
        <w:ind/>
        <w:jc w:val="both"/>
        <w:rPr/>
      </w:pPr>
      <w:r>
        <w:rPr>
          <w:rFonts w:ascii="Times New Roman" w:hAnsi="Times New Roman" w:eastAsia="Times New Roman" w:cs="Times New Roman"/>
          <w:b/>
          <w:color w:val="000000"/>
          <w:sz w:val="24"/>
        </w:rPr>
        <w:t xml:space="preserve">Xác định chi phí thay thế</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470"/>
        <w:gridCol w:w="1226"/>
        <w:gridCol w:w="709"/>
        <w:gridCol w:w="992"/>
        <w:gridCol w:w="2552"/>
        <w:gridCol w:w="2268"/>
        <w:gridCol w:w="1701"/>
        <w:gridCol w:w="874"/>
        <w:gridCol w:w="1349"/>
        <w:gridCol w:w="1164"/>
        <w:gridCol w:w="1433"/>
        <w:gridCol/>
      </w:tblGrid>
      <w:tr>
        <w:trPr>
          <w:trHeight w:val="517"/>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47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18"/>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2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18"/>
              </w:rPr>
              <w:t xml:space="preserve">Tên 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70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18"/>
              </w:rPr>
              <w:t xml:space="preserve">Đơn vị tính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99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18"/>
              </w:rPr>
              <w:t xml:space="preserve">Mô tả, Kết cấu</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55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18"/>
              </w:rPr>
              <w:t xml:space="preserve">Văn bản pháp luật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26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18"/>
              </w:rPr>
              <w:t xml:space="preserve">Loại công trình vận dụng</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18"/>
              </w:rPr>
              <w:t xml:space="preserve">Suất vốn (Đồng/m2) (không bao gồm thuế GTGT)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87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18"/>
              </w:rPr>
              <w:t xml:space="preserve">Hệ số vùng</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34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18"/>
              </w:rPr>
              <w:t xml:space="preserve">Đơn giá xây mới (đồng/m2)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16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18"/>
              </w:rPr>
              <w:t xml:space="preserve">Số lượng</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43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18"/>
              </w:rPr>
              <w:t xml:space="preserve">Nguyên giá xác định lại (đồng)</w:t>
            </w:r>
            <w:r/>
          </w:p>
        </w:tc>
        <w:tc>
          <w:tcPr>
            <w:tcBorders/>
            <w:tcMar>
              <w:left w:w="0" w:type="dxa"/>
              <w:top w:w="0" w:type="dxa"/>
              <w:right w:w="0" w:type="dxa"/>
              <w:bottom w:w="0" w:type="dxa"/>
            </w:tcMar>
            <w:tcW w:w="0" w:type="dxa"/>
            <w:vAlign w:val="center"/>
            <w:textDirection w:val="lrTb"/>
            <w:noWrap w:val="false"/>
          </w:tcPr>
          <w:p>
            <w:pPr>
              <w:pBdr/>
              <w:spacing w:after="0" w:before="0" w:line="240"/>
              <w:ind/>
              <w:rPr/>
            </w:pPr>
            <w:r/>
          </w:p>
        </w:tc>
      </w:tr>
      <w:tr>
        <w:trPr>
          <w:trHeight w:val="517"/>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cMar>
              <w:left w:w="0" w:type="dxa"/>
              <w:top w:w="0" w:type="dxa"/>
              <w:right w:w="0" w:type="dxa"/>
              <w:bottom w:w="0" w:type="dxa"/>
            </w:tcMar>
            <w:tcW w:w="0" w:type="dxa"/>
            <w:vAlign w:val="center"/>
            <w:textDirection w:val="lrTb"/>
            <w:noWrap w:val="false"/>
          </w:tcPr>
          <w:p>
            <w:pPr>
              <w:pBdr/>
              <w:spacing w:after="0" w:before="0" w:line="240"/>
              <w:ind/>
              <w:rPr/>
            </w:p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Nhà kho nguyên vật liệu, kho thành phẩm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m</w:t>
            </w:r>
            <w:r>
              <w:rPr>
                <w:rFonts w:ascii="Times New Roman" w:hAnsi="Times New Roman" w:eastAsia="Times New Roman" w:cs="Times New Roman"/>
                <w:color w:val="000000"/>
                <w:sz w:val="15"/>
                <w:vertAlign w:val="superscript"/>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 Kích thước: 39,1m x 61,7m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i/>
                <w:color w:val="000000"/>
                <w:sz w:val="18"/>
              </w:rPr>
              <w:t xml:space="preserve">Quyết định số 425/QĐ-BXD ngày 30 tháng 3 năm 2025 của Bộ Xây dựng về việc công bố suất vốn đầu tư xây dựng và giá xây dựng tổng hợp bộ phận kết cấu công trình năm 2025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Nhà 1 tầng khẩu độ 15m, cao ≤ 9m, không có cầu trục - Cột kèo thép, tường gạch, mái tôn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4.285.455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7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0,931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3.989.759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6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2412,4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9.624.894.612</w:t>
            </w:r>
            <w:r/>
          </w:p>
        </w:tc>
        <w:tc>
          <w:tcPr>
            <w:tcBorders/>
            <w:tcMar>
              <w:left w:w="0" w:type="dxa"/>
              <w:top w:w="0" w:type="dxa"/>
              <w:right w:w="0" w:type="dxa"/>
              <w:bottom w:w="0" w:type="dxa"/>
            </w:tcMar>
            <w:tcW w:w="0" w:type="dxa"/>
            <w:vAlign w:val="center"/>
            <w:textDirection w:val="lrTb"/>
            <w:noWrap w:val="false"/>
          </w:tcPr>
          <w:p>
            <w:pPr>
              <w:pBdr/>
              <w:spacing w:after="0" w:before="0" w:line="240"/>
              <w:ind/>
              <w:rPr/>
            </w:p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Nhà xử lý bông, kết cấu tường gạch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m</w:t>
            </w:r>
            <w:r>
              <w:rPr>
                <w:rFonts w:ascii="Times New Roman" w:hAnsi="Times New Roman" w:eastAsia="Times New Roman" w:cs="Times New Roman"/>
                <w:color w:val="000000"/>
                <w:sz w:val="15"/>
                <w:vertAlign w:val="superscript"/>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 Kích thước: 36m x 61,6m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i/>
                <w:color w:val="000000"/>
                <w:sz w:val="18"/>
              </w:rPr>
              <w:t xml:space="preserve">Quyết định số 425/QĐ-BXD ngày 30 tháng 3 năm 2025 của Bộ Xây dựng về việc công bố suất vốn đầu tư xây dựng và giá xây dựng tổng hợp bộ phận kết cấu công trình năm 2025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Nhà 1 tầng khẩu độ 15m, cao ≤ 9m, không có cầu trục - Cột kèo thép, tường gạch, mái tôn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4.285.455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7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0,931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3.989.759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6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2229,9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8.896.763.594</w:t>
            </w:r>
            <w:r/>
          </w:p>
        </w:tc>
        <w:tc>
          <w:tcPr>
            <w:tcBorders/>
            <w:tcMar>
              <w:left w:w="0" w:type="dxa"/>
              <w:top w:w="0" w:type="dxa"/>
              <w:right w:w="0" w:type="dxa"/>
              <w:bottom w:w="0" w:type="dxa"/>
            </w:tcMar>
            <w:tcW w:w="0" w:type="dxa"/>
            <w:vAlign w:val="center"/>
            <w:textDirection w:val="lrTb"/>
            <w:noWrap w:val="false"/>
          </w:tcPr>
          <w:p>
            <w:pPr>
              <w:pBdr/>
              <w:spacing w:after="0" w:before="0" w:line="240"/>
              <w:ind/>
              <w:rPr/>
            </w:p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Nhà ăn + nhà vệ sinh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m</w:t>
            </w:r>
            <w:r>
              <w:rPr>
                <w:rFonts w:ascii="Times New Roman" w:hAnsi="Times New Roman" w:eastAsia="Times New Roman" w:cs="Times New Roman"/>
                <w:color w:val="000000"/>
                <w:sz w:val="15"/>
                <w:vertAlign w:val="superscript"/>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Kết cấu tường gạch chịu lực, mái BTCT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i/>
                <w:color w:val="000000"/>
                <w:sz w:val="18"/>
              </w:rPr>
              <w:t xml:space="preserve">Quyết định số 425/QĐ-BXD ngày 30 tháng 3 năm 2025 của Bộ Xây dựng về việc công bố suất vốn đầu tư xây dựng và giá xây dựng tổng hợp bộ phận kết cấu công trình năm 2025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Nhà 1 tầng, căn hộ khép kín, kết cấu tường gạch chịu lực, mái BTCT đổ tại chỗ</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5.865.455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7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0,948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5.560.451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6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277,7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1.544.137.243</w:t>
            </w:r>
            <w:r/>
          </w:p>
        </w:tc>
        <w:tc>
          <w:tcPr>
            <w:tcBorders/>
            <w:tcMar>
              <w:left w:w="0" w:type="dxa"/>
              <w:top w:w="0" w:type="dxa"/>
              <w:right w:w="0" w:type="dxa"/>
              <w:bottom w:w="0" w:type="dxa"/>
            </w:tcMar>
            <w:tcW w:w="0" w:type="dxa"/>
            <w:vAlign w:val="center"/>
            <w:textDirection w:val="lrTb"/>
            <w:noWrap w:val="false"/>
          </w:tcPr>
          <w:p>
            <w:pPr>
              <w:pBdr/>
              <w:spacing w:after="0" w:before="0" w:line="240"/>
              <w:ind/>
              <w:rPr/>
            </w:p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Nhà xưởng sản xuất và khu nhà phụ trợ sản xuất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m</w:t>
            </w:r>
            <w:r>
              <w:rPr>
                <w:rFonts w:ascii="Times New Roman" w:hAnsi="Times New Roman" w:eastAsia="Times New Roman" w:cs="Times New Roman"/>
                <w:color w:val="000000"/>
                <w:sz w:val="15"/>
                <w:vertAlign w:val="superscript"/>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   Kích thước: 112,7m x 41,1m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i/>
                <w:color w:val="000000"/>
                <w:sz w:val="18"/>
              </w:rPr>
              <w:t xml:space="preserve">Quyết định số 425/QĐ-BXD ngày 30 tháng 3 năm 2025 của Bộ Xây dựng về việc công bố suất vốn đầu tư xây dựng và giá xây dựng tổng hợp bộ phận kết cấu công trình năm 2025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Nhà 1 tầng khẩu độ 15m, cao ≤ 9m, không có cầu trục - Cột kèo thép, tường gạch, mái tôn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4.285.455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7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0,931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3.989.759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6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4632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18.480.563.688</w:t>
            </w:r>
            <w:r/>
          </w:p>
        </w:tc>
        <w:tc>
          <w:tcPr>
            <w:tcBorders/>
            <w:tcMar>
              <w:left w:w="0" w:type="dxa"/>
              <w:top w:w="0" w:type="dxa"/>
              <w:right w:w="0" w:type="dxa"/>
              <w:bottom w:w="0" w:type="dxa"/>
            </w:tcMar>
            <w:tcW w:w="0" w:type="dxa"/>
            <w:vAlign w:val="center"/>
            <w:textDirection w:val="lrTb"/>
            <w:noWrap w:val="false"/>
          </w:tcPr>
          <w:p>
            <w:pPr>
              <w:pBdr/>
              <w:spacing w:after="0" w:before="0" w:line="240"/>
              <w:ind/>
              <w:rPr/>
            </w:p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Nhà cơ điện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m</w:t>
            </w:r>
            <w:r>
              <w:rPr>
                <w:rFonts w:ascii="Times New Roman" w:hAnsi="Times New Roman" w:eastAsia="Times New Roman" w:cs="Times New Roman"/>
                <w:color w:val="000000"/>
                <w:sz w:val="15"/>
                <w:vertAlign w:val="superscript"/>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    Kết cấu tường gạch chịu lực, mái BTCT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i/>
                <w:color w:val="000000"/>
                <w:sz w:val="18"/>
              </w:rPr>
              <w:t xml:space="preserve">Quyết định số 425/QĐ-BXD ngày 30 tháng 3 năm 2025 của Bộ Xây dựng về việc công bố suất vốn đầu tư xây dựng và giá xây dựng tổng hợp bộ phận kết cấu công trình năm 2025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Nhà 1 tầng, căn hộ khép kín, kết cấu tường gạch chịu lực, mái BTCT đổ tại chỗ</w:t>
            </w:r>
            <w:r>
              <w:rPr>
                <w:rFonts w:ascii="Arial" w:hAnsi="Arial" w:eastAsia="Arial" w:cs="Arial"/>
                <w:color w:val="000000"/>
                <w:sz w:val="18"/>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5.865.455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7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0,948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5.560.451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6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48,5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269.681.874</w:t>
            </w:r>
            <w:r/>
          </w:p>
        </w:tc>
        <w:tc>
          <w:tcPr>
            <w:tcBorders/>
            <w:tcMar>
              <w:left w:w="0" w:type="dxa"/>
              <w:top w:w="0" w:type="dxa"/>
              <w:right w:w="0" w:type="dxa"/>
              <w:bottom w:w="0" w:type="dxa"/>
            </w:tcMar>
            <w:tcW w:w="0" w:type="dxa"/>
            <w:vAlign w:val="center"/>
            <w:textDirection w:val="lrTb"/>
            <w:noWrap w:val="false"/>
          </w:tcPr>
          <w:p>
            <w:pPr>
              <w:pBdr/>
              <w:spacing w:after="0" w:before="0" w:line="240"/>
              <w:ind/>
              <w:rPr/>
            </w:p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Nhà trạm biến 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m</w:t>
            </w:r>
            <w:r>
              <w:rPr>
                <w:rFonts w:ascii="Times New Roman" w:hAnsi="Times New Roman" w:eastAsia="Times New Roman" w:cs="Times New Roman"/>
                <w:color w:val="000000"/>
                <w:sz w:val="15"/>
                <w:vertAlign w:val="superscript"/>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         Kết cấu tường gạch chịu lực, mái BTCT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i/>
                <w:color w:val="000000"/>
                <w:sz w:val="18"/>
              </w:rPr>
              <w:t xml:space="preserve">Quyết định số 425/QĐ-BXD ngày 30 tháng 3 năm 2025 của Bộ Xây dựng về việc công bố suất vốn đầu tư xây dựng và giá xây dựng tổng hợp bộ phận kết cấu công trình năm 2025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Nhà 1 tầng, căn hộ khép kín, kết cấu tường gạch chịu lực, mái BTCT đổ tại chỗ</w:t>
            </w:r>
            <w:r>
              <w:rPr>
                <w:rFonts w:ascii="Arial" w:hAnsi="Arial" w:eastAsia="Arial" w:cs="Arial"/>
                <w:color w:val="000000"/>
                <w:sz w:val="18"/>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5.865.455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7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0,948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5.560.451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6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106,4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591.631.986</w:t>
            </w:r>
            <w:r/>
          </w:p>
        </w:tc>
        <w:tc>
          <w:tcPr>
            <w:tcBorders/>
            <w:tcMar>
              <w:left w:w="0" w:type="dxa"/>
              <w:top w:w="0" w:type="dxa"/>
              <w:right w:w="0" w:type="dxa"/>
              <w:bottom w:w="0" w:type="dxa"/>
            </w:tcMar>
            <w:tcW w:w="0" w:type="dxa"/>
            <w:vAlign w:val="center"/>
            <w:textDirection w:val="lrTb"/>
            <w:noWrap w:val="false"/>
          </w:tcPr>
          <w:p>
            <w:pPr>
              <w:pBdr/>
              <w:spacing w:after="0" w:before="0" w:line="240"/>
              <w:ind/>
              <w:rPr/>
            </w:p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Nhà văn phòng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m</w:t>
            </w:r>
            <w:r>
              <w:rPr>
                <w:rFonts w:ascii="Times New Roman" w:hAnsi="Times New Roman" w:eastAsia="Times New Roman" w:cs="Times New Roman"/>
                <w:color w:val="000000"/>
                <w:sz w:val="15"/>
                <w:vertAlign w:val="superscript"/>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  Kết cấu tường gạch chịu lực, mái BTCT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i/>
                <w:color w:val="000000"/>
                <w:sz w:val="18"/>
              </w:rPr>
              <w:t xml:space="preserve">Quyết định số 425/QĐ-BXD ngày 30 tháng 3 năm 2025 của Bộ Xây dựng về việc công bố suất vốn đầu tư xây dựng và giá xây dựng tổng hợp bộ phận kết cấu công trình năm 2025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Arial" w:hAnsi="Arial" w:eastAsia="Arial" w:cs="Arial"/>
                <w:color w:val="000000"/>
                <w:sz w:val="18"/>
              </w:rPr>
              <w:t xml:space="preserve"> </w:t>
            </w:r>
            <w:r>
              <w:rPr>
                <w:rFonts w:ascii="Times New Roman" w:hAnsi="Times New Roman" w:eastAsia="Times New Roman" w:cs="Times New Roman"/>
                <w:color w:val="000000"/>
                <w:sz w:val="18"/>
              </w:rPr>
              <w:t xml:space="preserve">Nhà từ 2 đến 3 tầng, kết cấu khung chịu lực BTCT; tường bao xây gạch; sàn, mái BTCT đổ tại chỗ không có tầng hầm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7.609.091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7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0,948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7.213.418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6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1174,7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8.473.602.125</w:t>
            </w:r>
            <w:r/>
          </w:p>
        </w:tc>
        <w:tc>
          <w:tcPr>
            <w:tcBorders/>
            <w:tcMar>
              <w:left w:w="0" w:type="dxa"/>
              <w:top w:w="0" w:type="dxa"/>
              <w:right w:w="0" w:type="dxa"/>
              <w:bottom w:w="0" w:type="dxa"/>
            </w:tcMar>
            <w:tcW w:w="0" w:type="dxa"/>
            <w:vAlign w:val="center"/>
            <w:textDirection w:val="lrTb"/>
            <w:noWrap w:val="false"/>
          </w:tcPr>
          <w:p>
            <w:pPr>
              <w:pBdr/>
              <w:spacing w:after="0" w:before="0" w:line="240"/>
              <w:ind/>
              <w:rPr/>
            </w:p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Nhà để xe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m</w:t>
            </w:r>
            <w:r>
              <w:rPr>
                <w:rFonts w:ascii="Times New Roman" w:hAnsi="Times New Roman" w:eastAsia="Times New Roman" w:cs="Times New Roman"/>
                <w:color w:val="000000"/>
                <w:sz w:val="15"/>
                <w:vertAlign w:val="superscript"/>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  Kết cấu cột thép chịu lực, mái lợp tôn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i/>
                <w:color w:val="000000"/>
                <w:sz w:val="18"/>
              </w:rPr>
              <w:t xml:space="preserve">Quyết định số 153/2025/QĐ-UBND ngày 31 tháng 12 năm 2025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Mái chống nóng - mái lợp tôn kèo thép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785.429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7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785.429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6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247,5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194.393.678</w:t>
            </w:r>
            <w:r/>
          </w:p>
        </w:tc>
        <w:tc>
          <w:tcPr>
            <w:tcBorders/>
            <w:tcMar>
              <w:left w:w="0" w:type="dxa"/>
              <w:top w:w="0" w:type="dxa"/>
              <w:right w:w="0" w:type="dxa"/>
              <w:bottom w:w="0" w:type="dxa"/>
            </w:tcMar>
            <w:tcW w:w="0" w:type="dxa"/>
            <w:vAlign w:val="center"/>
            <w:textDirection w:val="lrTb"/>
            <w:noWrap w:val="false"/>
          </w:tcPr>
          <w:p>
            <w:pPr>
              <w:pBdr/>
              <w:spacing w:after="0" w:before="0" w:line="240"/>
              <w:ind/>
              <w:rPr/>
            </w:p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Nhà bảo vệ</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m</w:t>
            </w:r>
            <w:r>
              <w:rPr>
                <w:rFonts w:ascii="Times New Roman" w:hAnsi="Times New Roman" w:eastAsia="Times New Roman" w:cs="Times New Roman"/>
                <w:color w:val="000000"/>
                <w:sz w:val="15"/>
                <w:vertAlign w:val="superscript"/>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          - Kết cấu tường gạch chịu lực, mái BTCT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i/>
                <w:color w:val="000000"/>
                <w:sz w:val="18"/>
              </w:rPr>
              <w:t xml:space="preserve">Quyết định số 425/QĐ-BXD ngày 30 tháng 3 năm 2025 của Bộ Xây dựng về việc công bố suất vốn đầu tư xây dựng và giá xây dựng tổng hợp bộ phận kết cấu công trình năm 2025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Nhà 1 tầng, căn hộ khép kín, kết cấu tường gạch chịu lực, mái BTCT đổ tại chỗ</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5.865.455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7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0,948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5.560.451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6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13,3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73.953.998</w:t>
            </w:r>
            <w:r/>
          </w:p>
        </w:tc>
        <w:tc>
          <w:tcPr>
            <w:tcBorders/>
            <w:tcMar>
              <w:left w:w="0" w:type="dxa"/>
              <w:top w:w="0" w:type="dxa"/>
              <w:right w:w="0" w:type="dxa"/>
              <w:bottom w:w="0" w:type="dxa"/>
            </w:tcMar>
            <w:tcW w:w="0" w:type="dxa"/>
            <w:vAlign w:val="center"/>
            <w:textDirection w:val="lrTb"/>
            <w:noWrap w:val="false"/>
          </w:tcPr>
          <w:p>
            <w:pPr>
              <w:pBdr/>
              <w:spacing w:after="0" w:before="0" w:line="240"/>
              <w:ind/>
              <w:rPr/>
            </w:p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10</w:t>
            </w:r>
            <w:r/>
          </w:p>
        </w:tc>
        <w:tc>
          <w:tcPr>
            <w:tcBorders>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18"/>
              </w:rPr>
              <w:t xml:space="preserve">Hạ tầng nội bộ bao gồm sân đường nội bộ, hệ thống chiếu sáng ngoài, khu xử lý nước thải, khu tập kết rác thải rắn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i/>
                <w:color w:val="000000"/>
                <w:sz w:val="18"/>
              </w:rPr>
              <w:t xml:space="preserve">Quyết định số 425/QĐ-BXD ngày 30 tháng 3 năm 2025 của Bộ Xây dựng về việc công bố suất vốn đầu tư xây dựng và giá xây dựng tổng hợp bộ phận kết cấu công trình năm 2025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Công trình hạ tầng kỹ thuật cụm công nghiệp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691.909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7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0,907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627.561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6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7224,5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18"/>
              </w:rPr>
              <w:t xml:space="preserve">4.533.814.445</w:t>
            </w:r>
            <w:r/>
          </w:p>
        </w:tc>
        <w:tc>
          <w:tcPr>
            <w:tcBorders/>
            <w:tcMar>
              <w:left w:w="0" w:type="dxa"/>
              <w:top w:w="0" w:type="dxa"/>
              <w:right w:w="0" w:type="dxa"/>
              <w:bottom w:w="0" w:type="dxa"/>
            </w:tcMar>
            <w:tcW w:w="0" w:type="dxa"/>
            <w:vAlign w:val="center"/>
            <w:textDirection w:val="lrTb"/>
            <w:noWrap w:val="false"/>
          </w:tcPr>
          <w:p>
            <w:pPr>
              <w:pBdr/>
              <w:spacing w:after="0" w:before="0" w:line="240"/>
              <w:ind/>
              <w:rPr/>
            </w:pPr>
            <w:r/>
          </w:p>
        </w:tc>
      </w:tr>
    </w:tbl>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numPr>
          <w:ilvl w:val="0"/>
          <w:numId w:val="39"/>
        </w:numPr>
        <w:pBdr>
          <w:top w:val="none" w:color="000000" w:sz="4" w:space="0"/>
          <w:left w:val="none" w:color="000000" w:sz="4" w:space="0"/>
          <w:bottom w:val="none" w:color="000000" w:sz="4" w:space="0"/>
          <w:right w:val="none" w:color="000000" w:sz="4" w:space="0"/>
        </w:pBdr>
        <w:spacing w:after="120" w:before="240"/>
        <w:ind/>
        <w:jc w:val="both"/>
        <w:rPr/>
      </w:pPr>
      <w:r>
        <w:rPr>
          <w:rFonts w:ascii="Times New Roman" w:hAnsi="Times New Roman" w:eastAsia="Times New Roman" w:cs="Times New Roman"/>
          <w:b/>
          <w:color w:val="000000"/>
          <w:sz w:val="24"/>
        </w:rPr>
        <w:t xml:space="preserve">Xác định giá trị hao mòn của công trình xây dựng trên đất:</w:t>
      </w:r>
      <w:r/>
    </w:p>
    <w:p>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color w:val="000000"/>
          <w:sz w:val="24"/>
        </w:rPr>
        <w:t xml:space="preserve">-</w:t>
        <w:tab/>
        <w:t xml:space="preserve">Qua khảo sát hiện trạng tài sản thẩm định giá và thông tin khách hàng cung cấp, các công trình được xây dựng hoàn thành năm 2021. Tuy nhiên, các công trình đã không được sử dụng đã lâu, không được duy tu bảo dưỡng định kỳ, tốc độ hao mòn nhanh do đó tổ t</w:t>
      </w:r>
      <w:r>
        <w:rPr>
          <w:rFonts w:ascii="Times New Roman" w:hAnsi="Times New Roman" w:eastAsia="Times New Roman" w:cs="Times New Roman"/>
          <w:color w:val="000000"/>
          <w:sz w:val="24"/>
        </w:rPr>
        <w:t xml:space="preserve">hẩm định xác định giá trị hao mòn của tài sản theo phương pháp tổng cộng như sau:</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Tổng giá trị hao mòn của tài sản được xác định thông qua tổng giá trị các loại hao mòn vật lý, chức năng và ngoại biên của tài sản: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357"/>
        <w:jc w:val="both"/>
        <w:rPr/>
      </w:pPr>
      <w:r>
        <w:rPr>
          <w:rFonts w:ascii="Times New Roman" w:hAnsi="Times New Roman" w:eastAsia="Times New Roman" w:cs="Times New Roman"/>
          <w:i/>
          <w:color w:val="000000"/>
          <w:sz w:val="24"/>
        </w:rPr>
        <w:t xml:space="preserve">+ Hao mòn chức năng và hao mòn ngoại biên: Công trình xây dựng hiện đang sử dụng bình thường, đáp ứng đầy đủ về công năng sử dụng =&gt; không tính hao mòn chức năng và hao mòn ngoại biên là không đáng kể.</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357"/>
        <w:jc w:val="both"/>
        <w:rPr/>
      </w:pPr>
      <w:r>
        <w:rPr>
          <w:rFonts w:ascii="Times New Roman" w:hAnsi="Times New Roman" w:eastAsia="Times New Roman" w:cs="Times New Roman"/>
          <w:i/>
          <w:color w:val="000000"/>
          <w:sz w:val="24"/>
        </w:rPr>
        <w:t xml:space="preserve">+ Hao mòn vật lý: Xác định tỷ lệ hao mòn vật lý căn cứ vào đánh giá mức độ hao mòn các kết cấu chính của tài sản. Được đánh giá dựa trên hiện trạng thực tế của công trình xây dựng bằng cách vận dụng Công văn số: 1326/BXD-QLN ngày 08/08/2011 của Bộ Xây dựng</w:t>
      </w:r>
      <w:r>
        <w:rPr>
          <w:rFonts w:ascii="Times New Roman" w:hAnsi="Times New Roman" w:eastAsia="Times New Roman" w:cs="Times New Roman"/>
          <w:i/>
          <w:color w:val="000000"/>
          <w:sz w:val="24"/>
        </w:rPr>
        <w:t xml:space="preserve">.</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Tỷ lệ hao mòn/ tỷ lệ chất lượng còn lại của nhà, vật kiến trúc được xác định căn cứ vào tỷ lệ hao mòn/ tỷ lệ chất lượng còn lại của các kết cấu chính (nếu là nhà thì kết cấu chính gồm: móng, khung, cột, tường, nền, sàn, kết cấu đỡ mái và mái) tạo nên nhà đ</w:t>
      </w:r>
      <w:r>
        <w:rPr>
          <w:rFonts w:ascii="Times New Roman" w:hAnsi="Times New Roman" w:eastAsia="Times New Roman" w:cs="Times New Roman"/>
          <w:color w:val="000000"/>
          <w:sz w:val="24"/>
        </w:rPr>
        <w:t xml:space="preserve">ó và tỷ lệ giá trị của các kết cấu chính đó so với tổng giá trị của nhà hoặc vật kiến trúc.</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357"/>
        <w:jc w:val="both"/>
        <w:rPr/>
      </w:pPr>
      <w:r>
        <w:rPr>
          <w:rFonts w:ascii="Times New Roman" w:hAnsi="Times New Roman" w:eastAsia="Times New Roman" w:cs="Times New Roman"/>
          <w:color w:val="000000"/>
          <w:sz w:val="24"/>
        </w:rPr>
        <w:t xml:space="preserve">Công thức tính như sau:</w:t>
      </w:r>
      <w:r/>
    </w:p>
    <w:tbl>
      <w:tblPr>
        <w:tblStyle w:val="860"/>
        <w:tblInd w:w="0"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068"/>
        <w:gridCol w:w="560"/>
        <w:gridCol w:w="700"/>
        <w:gridCol w:w="2864"/>
        <w:gridCol w:w="636"/>
        <w:gridCol w:w="2460"/>
      </w:tblGrid>
      <w:tr>
        <w:trPr>
          <w:trHeight w:val="20"/>
        </w:trPr>
        <w:tc>
          <w:tcPr>
            <w:tcBorders/>
            <w:tcMar>
              <w:left w:w="108" w:type="dxa"/>
              <w:top w:w="0" w:type="dxa"/>
              <w:right w:w="108" w:type="dxa"/>
              <w:bottom w:w="0" w:type="dxa"/>
            </w:tcMar>
            <w:tcW w:w="206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120" w:line="276" w:lineRule="auto"/>
              <w:ind w:right="0" w:firstLine="0" w:left="0"/>
              <w:jc w:val="center"/>
              <w:rPr/>
            </w:pPr>
            <w:r>
              <w:rPr>
                <w:rFonts w:ascii="Times New Roman" w:hAnsi="Times New Roman" w:eastAsia="Times New Roman" w:cs="Times New Roman"/>
                <w:color w:val="000000"/>
                <w:sz w:val="24"/>
              </w:rPr>
              <w:t xml:space="preserve">Tỷ lệ hao mòn của nhà, vật kiến trúc (%)</w:t>
            </w:r>
            <w:r/>
          </w:p>
        </w:tc>
        <w:tc>
          <w:tcPr>
            <w:tcBorders/>
            <w:tcMar>
              <w:left w:w="108" w:type="dxa"/>
              <w:top w:w="0" w:type="dxa"/>
              <w:right w:w="108" w:type="dxa"/>
              <w:bottom w:w="0" w:type="dxa"/>
            </w:tcMar>
            <w:tcW w:w="56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12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tcBorders>
            <w:tcMar>
              <w:left w:w="108" w:type="dxa"/>
              <w:top w:w="0" w:type="dxa"/>
              <w:right w:w="108" w:type="dxa"/>
              <w:bottom w:w="0" w:type="dxa"/>
            </w:tcMar>
            <w:tcW w:w="700" w:type="dxa"/>
            <w:vAlign w:val="center"/>
            <w:textDirection w:val="lrTb"/>
            <w:noWrap w:val="false"/>
          </w:tcPr>
          <w:p>
            <w:pPr>
              <w:pBdr/>
              <w:spacing w:after="0" w:before="0" w:line="240"/>
              <w:ind/>
              <w:rPr/>
            </w:pPr>
            <w:r/>
          </w:p>
        </w:tc>
        <w:tc>
          <w:tcPr>
            <w:tcBorders>
              <w:bottom w:val="single" w:color="000000" w:sz="8" w:space="0"/>
            </w:tcBorders>
            <w:tcMar>
              <w:left w:w="108" w:type="dxa"/>
              <w:top w:w="0" w:type="dxa"/>
              <w:right w:w="108" w:type="dxa"/>
              <w:bottom w:w="0" w:type="dxa"/>
            </w:tcMar>
            <w:tcW w:w="2864"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line="276" w:lineRule="auto"/>
              <w:ind w:right="0" w:firstLine="0" w:left="0"/>
              <w:jc w:val="center"/>
              <w:rPr/>
            </w:pPr>
            <w:r>
              <w:rPr>
                <w:rFonts w:ascii="Times New Roman" w:hAnsi="Times New Roman" w:eastAsia="Times New Roman" w:cs="Times New Roman"/>
                <w:color w:val="000000"/>
                <w:sz w:val="24"/>
              </w:rPr>
              <w:t xml:space="preserve">Tỷ lệ hao mòn của kết cấu chính thức i (%)</w:t>
            </w:r>
            <w:r/>
          </w:p>
        </w:tc>
        <w:tc>
          <w:tcPr>
            <w:tcBorders>
              <w:bottom w:val="single" w:color="000000" w:sz="8" w:space="0"/>
            </w:tcBorders>
            <w:tcMar>
              <w:left w:w="108" w:type="dxa"/>
              <w:top w:w="0" w:type="dxa"/>
              <w:right w:w="108" w:type="dxa"/>
              <w:bottom w:w="0" w:type="dxa"/>
            </w:tcMar>
            <w:tcW w:w="6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line="276" w:lineRule="auto"/>
              <w:ind w:right="0" w:firstLine="0" w:left="0"/>
              <w:jc w:val="center"/>
              <w:rPr/>
            </w:pPr>
            <w:r>
              <w:rPr>
                <w:rFonts w:ascii="Times New Roman" w:hAnsi="Times New Roman" w:eastAsia="Times New Roman" w:cs="Times New Roman"/>
                <w:color w:val="000000"/>
                <w:sz w:val="24"/>
              </w:rPr>
              <w:t xml:space="preserve">x</w:t>
            </w:r>
            <w:r/>
          </w:p>
        </w:tc>
        <w:tc>
          <w:tcPr>
            <w:tcBorders>
              <w:bottom w:val="single" w:color="000000" w:sz="8" w:space="0"/>
            </w:tcBorders>
            <w:tcMar>
              <w:left w:w="108" w:type="dxa"/>
              <w:top w:w="0" w:type="dxa"/>
              <w:right w:w="108" w:type="dxa"/>
              <w:bottom w:w="0" w:type="dxa"/>
            </w:tcMar>
            <w:tcW w:w="24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line="276" w:lineRule="auto"/>
              <w:ind w:right="0" w:firstLine="0" w:left="0"/>
              <w:jc w:val="center"/>
              <w:rPr/>
            </w:pPr>
            <w:r>
              <w:rPr>
                <w:rFonts w:ascii="Times New Roman" w:hAnsi="Times New Roman" w:eastAsia="Times New Roman" w:cs="Times New Roman"/>
                <w:color w:val="000000"/>
                <w:sz w:val="24"/>
              </w:rPr>
              <w:t xml:space="preserve">Tỷ lệ giá trị của kết cấu chính thứ i so với tổng giá trị của ngôi nhà hoặc vật kiến trúc (%)</w:t>
            </w:r>
            <w:r/>
          </w:p>
        </w:tc>
      </w:tr>
      <w:tr>
        <w:trPr>
          <w:trHeight w:val="20"/>
        </w:trPr>
        <w:tc>
          <w:tcPr>
            <w:tcBorders/>
            <w:vMerge w:val="continue"/>
            <w:textDirection w:val="lrTb"/>
            <w:noWrap w:val="false"/>
          </w:tcPr>
          <w:p>
            <w:pPr>
              <w:pBdr/>
              <w:spacing/>
              <w:ind/>
              <w:rPr/>
            </w:pPr>
            <w:r/>
            <w:r/>
          </w:p>
        </w:tc>
        <w:tc>
          <w:tcPr>
            <w:tcBorders/>
            <w:vMerge w:val="continue"/>
            <w:textDirection w:val="lrTb"/>
            <w:noWrap w:val="false"/>
          </w:tcPr>
          <w:p>
            <w:pPr>
              <w:pBdr/>
              <w:spacing/>
              <w:ind/>
              <w:rPr/>
            </w:pPr>
            <w:r/>
            <w:r/>
          </w:p>
        </w:tc>
        <w:tc>
          <w:tcPr>
            <w:gridSpan w:val="4"/>
            <w:tcBorders/>
            <w:tcMar>
              <w:left w:w="108" w:type="dxa"/>
              <w:top w:w="0" w:type="dxa"/>
              <w:right w:w="108" w:type="dxa"/>
              <w:bottom w:w="0" w:type="dxa"/>
            </w:tcMar>
            <w:tcW w:w="6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line="276" w:lineRule="auto"/>
              <w:ind w:right="0" w:firstLine="0" w:left="0"/>
              <w:jc w:val="center"/>
              <w:rPr/>
            </w:pPr>
            <w:r>
              <w:rPr>
                <w:rFonts w:ascii="Times New Roman" w:hAnsi="Times New Roman" w:eastAsia="Times New Roman" w:cs="Times New Roman"/>
                <w:color w:val="000000"/>
                <w:sz w:val="24"/>
              </w:rPr>
              <w:t xml:space="preserve">Tổng tỷ lệ giá trị của các kết cấu chính so với tổng giá trị của ngôi nhà hoặc vật kiến trúc (%)</w:t>
            </w:r>
            <w:r/>
          </w:p>
        </w:tc>
      </w:tr>
    </w:tbl>
    <w:p>
      <w:pPr>
        <w:pBdr>
          <w:top w:val="none" w:color="000000" w:sz="4" w:space="0"/>
          <w:left w:val="none" w:color="000000" w:sz="4" w:space="0"/>
          <w:bottom w:val="none" w:color="000000" w:sz="4" w:space="0"/>
          <w:right w:val="none" w:color="000000" w:sz="4" w:space="0"/>
        </w:pBdr>
        <w:spacing w:after="120"/>
        <w:ind w:right="0" w:firstLine="720" w:left="0"/>
        <w:rPr/>
      </w:pPr>
      <w:r>
        <w:rPr>
          <w:rFonts w:ascii="Times New Roman" w:hAnsi="Times New Roman" w:eastAsia="Times New Roman" w:cs="Times New Roman"/>
          <w:i/>
          <w:color w:val="000000"/>
          <w:sz w:val="24"/>
        </w:rPr>
        <w:t xml:space="preserve">Trong đó:</w:t>
      </w:r>
      <w:r/>
    </w:p>
    <w:p>
      <w:pPr>
        <w:pBdr>
          <w:top w:val="none" w:color="000000" w:sz="4" w:space="0"/>
          <w:left w:val="none" w:color="000000" w:sz="4" w:space="0"/>
          <w:bottom w:val="none" w:color="000000" w:sz="4" w:space="0"/>
          <w:right w:val="none" w:color="000000" w:sz="4" w:space="0"/>
        </w:pBdr>
        <w:spacing w:after="120"/>
        <w:ind w:right="0" w:firstLine="720" w:left="0"/>
        <w:rPr/>
      </w:pPr>
      <w:r>
        <w:rPr>
          <w:rFonts w:ascii="Times New Roman" w:hAnsi="Times New Roman" w:eastAsia="Times New Roman" w:cs="Times New Roman"/>
          <w:color w:val="000000"/>
          <w:sz w:val="24"/>
        </w:rPr>
        <w:t xml:space="preserve">i: số thứ tự của kết cấu chính</w:t>
      </w:r>
      <w:r/>
    </w:p>
    <w:p>
      <w:pPr>
        <w:pBdr>
          <w:top w:val="none" w:color="000000" w:sz="4" w:space="0"/>
          <w:left w:val="none" w:color="000000" w:sz="4" w:space="0"/>
          <w:bottom w:val="none" w:color="000000" w:sz="4" w:space="0"/>
          <w:right w:val="none" w:color="000000" w:sz="4" w:space="0"/>
        </w:pBdr>
        <w:spacing w:after="120"/>
        <w:ind w:right="0" w:firstLine="720" w:left="0"/>
        <w:rPr/>
      </w:pPr>
      <w:r>
        <w:rPr>
          <w:rFonts w:ascii="Times New Roman" w:hAnsi="Times New Roman" w:eastAsia="Times New Roman" w:cs="Times New Roman"/>
          <w:color w:val="000000"/>
          <w:sz w:val="24"/>
        </w:rPr>
        <w:t xml:space="preserve">n: số các kết cấu chính.</w: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color w:val="000000"/>
          <w:sz w:val="24"/>
        </w:rPr>
        <w:t xml:space="preserve">Tổ thẩm định xác định chất lượng còn lại của công trình như sau:</w:t>
      </w:r>
      <w:r/>
    </w:p>
    <w:p>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b/>
          <w:color w:val="000000"/>
          <w:sz w:val="24"/>
        </w:rPr>
        <w:t xml:space="preserve">- Nhà kho nguyên vật liệu, kho thành phẩm</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180"/>
        <w:gridCol w:w="3068"/>
        <w:gridCol w:w="2977"/>
        <w:gridCol w:w="3260"/>
        <w:gridCol w:w="3544"/>
      </w:tblGrid>
      <w:tr>
        <w:trPr>
          <w:trHeight w:val="63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0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KẾT CẤU CHÍNH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9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giá trị các kết cấu chính (%)</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hao mòn các kết cấu chính (%)</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Mức độ đóng góp (%)</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11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a</w:t>
            </w:r>
            <w:r/>
          </w:p>
        </w:tc>
        <w:tc>
          <w:tcPr>
            <w:tcBorders>
              <w:bottom w:val="single" w:color="000000" w:sz="8" w:space="0"/>
              <w:right w:val="single" w:color="000000" w:sz="8" w:space="0"/>
            </w:tcBorders>
            <w:tcMar>
              <w:left w:w="108" w:type="dxa"/>
              <w:top w:w="0" w:type="dxa"/>
              <w:right w:w="108" w:type="dxa"/>
              <w:bottom w:w="0" w:type="dxa"/>
            </w:tcMar>
            <w:tcW w:w="30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b</w:t>
            </w:r>
            <w:r/>
          </w:p>
        </w:tc>
        <w:tc>
          <w:tcPr>
            <w:tcBorders>
              <w:bottom w:val="single" w:color="000000" w:sz="8" w:space="0"/>
              <w:right w:val="single" w:color="000000" w:sz="8" w:space="0"/>
            </w:tcBorders>
            <w:tcMar>
              <w:left w:w="108" w:type="dxa"/>
              <w:top w:w="0" w:type="dxa"/>
              <w:right w:w="108" w:type="dxa"/>
              <w:bottom w:w="0" w:type="dxa"/>
            </w:tcMar>
            <w:tcW w:w="29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c</w:t>
            </w:r>
            <w:r/>
          </w:p>
        </w:tc>
        <w:tc>
          <w:tcPr>
            <w:tcBorders>
              <w:bottom w:val="single" w:color="000000" w:sz="8" w:space="0"/>
              <w:right w:val="single" w:color="000000" w:sz="8" w:space="0"/>
            </w:tcBorders>
            <w:tcMar>
              <w:left w:w="108" w:type="dxa"/>
              <w:top w:w="0" w:type="dxa"/>
              <w:right w:w="108" w:type="dxa"/>
              <w:bottom w:w="0" w:type="dxa"/>
            </w:tcMar>
            <w:tcW w:w="3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d</w:t>
            </w:r>
            <w:r/>
          </w:p>
        </w:tc>
        <w:tc>
          <w:tcPr>
            <w:tcBorders>
              <w:bottom w:val="single" w:color="000000" w:sz="8" w:space="0"/>
              <w:right w:val="single" w:color="000000" w:sz="8" w:space="0"/>
            </w:tcBorders>
            <w:tcMar>
              <w:left w:w="108" w:type="dxa"/>
              <w:top w:w="0" w:type="dxa"/>
              <w:right w:w="108" w:type="dxa"/>
              <w:bottom w:w="0" w:type="dxa"/>
            </w:tcMar>
            <w:tcW w:w="3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e = c x d/g</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118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306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Móng</w:t>
            </w:r>
            <w:r/>
          </w:p>
        </w:tc>
        <w:tc>
          <w:tcPr>
            <w:tcBorders>
              <w:bottom w:val="single" w:color="000000" w:sz="8" w:space="0"/>
              <w:right w:val="single" w:color="000000" w:sz="8" w:space="0"/>
            </w:tcBorders>
            <w:tcMar>
              <w:left w:w="108" w:type="dxa"/>
              <w:top w:w="0" w:type="dxa"/>
              <w:right w:w="108" w:type="dxa"/>
              <w:bottom w:w="0" w:type="dxa"/>
            </w:tcMar>
            <w:tcW w:w="29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3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20%</w:t>
            </w:r>
            <w:r/>
          </w:p>
        </w:tc>
        <w:tc>
          <w:tcPr>
            <w:tcBorders>
              <w:bottom w:val="single" w:color="000000" w:sz="8" w:space="0"/>
              <w:right w:val="single" w:color="000000" w:sz="8" w:space="0"/>
            </w:tcBorders>
            <w:tcMar>
              <w:left w:w="108" w:type="dxa"/>
              <w:top w:w="0" w:type="dxa"/>
              <w:right w:w="108" w:type="dxa"/>
              <w:bottom w:w="0" w:type="dxa"/>
            </w:tcMar>
            <w:tcW w:w="3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3,4%</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118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306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Khung, cột</w:t>
            </w:r>
            <w:r/>
          </w:p>
        </w:tc>
        <w:tc>
          <w:tcPr>
            <w:tcBorders>
              <w:bottom w:val="single" w:color="000000" w:sz="8" w:space="0"/>
              <w:right w:val="single" w:color="000000" w:sz="8" w:space="0"/>
            </w:tcBorders>
            <w:tcMar>
              <w:left w:w="108" w:type="dxa"/>
              <w:top w:w="0" w:type="dxa"/>
              <w:right w:w="108" w:type="dxa"/>
              <w:bottom w:w="0" w:type="dxa"/>
            </w:tcMar>
            <w:tcW w:w="29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3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3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0,0%</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118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306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Tường</w:t>
            </w:r>
            <w:r/>
          </w:p>
        </w:tc>
        <w:tc>
          <w:tcPr>
            <w:tcBorders>
              <w:bottom w:val="single" w:color="000000" w:sz="8" w:space="0"/>
              <w:right w:val="single" w:color="000000" w:sz="8" w:space="0"/>
            </w:tcBorders>
            <w:tcMar>
              <w:left w:w="108" w:type="dxa"/>
              <w:top w:w="0" w:type="dxa"/>
              <w:right w:w="108" w:type="dxa"/>
              <w:bottom w:w="0" w:type="dxa"/>
            </w:tcMar>
            <w:tcW w:w="29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18%</w:t>
            </w:r>
            <w:r/>
          </w:p>
        </w:tc>
        <w:tc>
          <w:tcPr>
            <w:tcBorders>
              <w:bottom w:val="single" w:color="000000" w:sz="8" w:space="0"/>
              <w:right w:val="single" w:color="000000" w:sz="8" w:space="0"/>
            </w:tcBorders>
            <w:tcMar>
              <w:left w:w="108" w:type="dxa"/>
              <w:top w:w="0" w:type="dxa"/>
              <w:right w:w="108" w:type="dxa"/>
              <w:bottom w:w="0" w:type="dxa"/>
            </w:tcMar>
            <w:tcW w:w="3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30%</w:t>
            </w:r>
            <w:r/>
          </w:p>
        </w:tc>
        <w:tc>
          <w:tcPr>
            <w:tcBorders>
              <w:bottom w:val="single" w:color="000000" w:sz="8" w:space="0"/>
              <w:right w:val="single" w:color="000000" w:sz="8" w:space="0"/>
            </w:tcBorders>
            <w:tcMar>
              <w:left w:w="108" w:type="dxa"/>
              <w:top w:w="0" w:type="dxa"/>
              <w:right w:w="108" w:type="dxa"/>
              <w:bottom w:w="0" w:type="dxa"/>
            </w:tcMar>
            <w:tcW w:w="3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9,2%</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118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306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Nền, sàn</w:t>
            </w:r>
            <w:r/>
          </w:p>
        </w:tc>
        <w:tc>
          <w:tcPr>
            <w:tcBorders>
              <w:bottom w:val="single" w:color="000000" w:sz="8" w:space="0"/>
              <w:right w:val="single" w:color="000000" w:sz="8" w:space="0"/>
            </w:tcBorders>
            <w:tcMar>
              <w:left w:w="108" w:type="dxa"/>
              <w:top w:w="0" w:type="dxa"/>
              <w:right w:w="108" w:type="dxa"/>
              <w:bottom w:w="0" w:type="dxa"/>
            </w:tcMar>
            <w:tcW w:w="29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3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25%</w:t>
            </w:r>
            <w:r/>
          </w:p>
        </w:tc>
        <w:tc>
          <w:tcPr>
            <w:tcBorders>
              <w:bottom w:val="single" w:color="000000" w:sz="8" w:space="0"/>
              <w:right w:val="single" w:color="000000" w:sz="8" w:space="0"/>
            </w:tcBorders>
            <w:tcMar>
              <w:left w:w="108" w:type="dxa"/>
              <w:top w:w="0" w:type="dxa"/>
              <w:right w:w="108" w:type="dxa"/>
              <w:bottom w:w="0" w:type="dxa"/>
            </w:tcMar>
            <w:tcW w:w="3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2,1%</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118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306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Kết cấu đỡ mái</w:t>
            </w:r>
            <w:r/>
          </w:p>
        </w:tc>
        <w:tc>
          <w:tcPr>
            <w:tcBorders>
              <w:bottom w:val="single" w:color="000000" w:sz="8" w:space="0"/>
              <w:right w:val="single" w:color="000000" w:sz="8" w:space="0"/>
            </w:tcBorders>
            <w:tcMar>
              <w:left w:w="108" w:type="dxa"/>
              <w:top w:w="0" w:type="dxa"/>
              <w:right w:w="108" w:type="dxa"/>
              <w:bottom w:w="0" w:type="dxa"/>
            </w:tcMar>
            <w:tcW w:w="29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w:t>
            </w:r>
            <w:r/>
          </w:p>
        </w:tc>
        <w:tc>
          <w:tcPr>
            <w:tcBorders>
              <w:bottom w:val="single" w:color="000000" w:sz="8" w:space="0"/>
              <w:right w:val="single" w:color="000000" w:sz="8" w:space="0"/>
            </w:tcBorders>
            <w:tcMar>
              <w:left w:w="108" w:type="dxa"/>
              <w:top w:w="0" w:type="dxa"/>
              <w:right w:w="108" w:type="dxa"/>
              <w:bottom w:w="0" w:type="dxa"/>
            </w:tcMar>
            <w:tcW w:w="3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35%</w:t>
            </w:r>
            <w:r/>
          </w:p>
        </w:tc>
        <w:tc>
          <w:tcPr>
            <w:tcBorders>
              <w:bottom w:val="single" w:color="000000" w:sz="8" w:space="0"/>
              <w:right w:val="single" w:color="000000" w:sz="8" w:space="0"/>
            </w:tcBorders>
            <w:tcMar>
              <w:left w:w="108" w:type="dxa"/>
              <w:top w:w="0" w:type="dxa"/>
              <w:right w:w="108" w:type="dxa"/>
              <w:bottom w:w="0" w:type="dxa"/>
            </w:tcMar>
            <w:tcW w:w="3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5,3%</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118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306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Mái</w:t>
            </w:r>
            <w:r/>
          </w:p>
        </w:tc>
        <w:tc>
          <w:tcPr>
            <w:tcBorders>
              <w:bottom w:val="single" w:color="000000" w:sz="8" w:space="0"/>
              <w:right w:val="single" w:color="000000" w:sz="8" w:space="0"/>
            </w:tcBorders>
            <w:tcMar>
              <w:left w:w="108" w:type="dxa"/>
              <w:top w:w="0" w:type="dxa"/>
              <w:right w:w="108" w:type="dxa"/>
              <w:bottom w:w="0" w:type="dxa"/>
            </w:tcMar>
            <w:tcW w:w="29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17%</w:t>
            </w:r>
            <w:r/>
          </w:p>
        </w:tc>
        <w:tc>
          <w:tcPr>
            <w:tcBorders>
              <w:bottom w:val="single" w:color="000000" w:sz="8" w:space="0"/>
              <w:right w:val="single" w:color="000000" w:sz="8" w:space="0"/>
            </w:tcBorders>
            <w:tcMar>
              <w:left w:w="108" w:type="dxa"/>
              <w:top w:w="0" w:type="dxa"/>
              <w:right w:w="108" w:type="dxa"/>
              <w:bottom w:w="0" w:type="dxa"/>
            </w:tcMar>
            <w:tcW w:w="3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35%</w:t>
            </w:r>
            <w:r/>
          </w:p>
        </w:tc>
        <w:tc>
          <w:tcPr>
            <w:tcBorders>
              <w:bottom w:val="single" w:color="000000" w:sz="8" w:space="0"/>
              <w:right w:val="single" w:color="000000" w:sz="8" w:space="0"/>
            </w:tcBorders>
            <w:tcMar>
              <w:left w:w="108" w:type="dxa"/>
              <w:top w:w="0" w:type="dxa"/>
              <w:right w:w="108" w:type="dxa"/>
              <w:bottom w:w="0" w:type="dxa"/>
            </w:tcMar>
            <w:tcW w:w="3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10,1%</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11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30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Tổng cộng (g)</w:t>
            </w:r>
            <w:r/>
          </w:p>
        </w:tc>
        <w:tc>
          <w:tcPr>
            <w:tcBorders>
              <w:bottom w:val="single" w:color="000000" w:sz="8" w:space="0"/>
              <w:right w:val="single" w:color="000000" w:sz="8" w:space="0"/>
            </w:tcBorders>
            <w:tcMar>
              <w:left w:w="108" w:type="dxa"/>
              <w:top w:w="0" w:type="dxa"/>
              <w:right w:w="108" w:type="dxa"/>
              <w:bottom w:w="0" w:type="dxa"/>
            </w:tcMar>
            <w:tcW w:w="29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59%</w:t>
            </w:r>
            <w:r/>
          </w:p>
        </w:tc>
        <w:tc>
          <w:tcPr>
            <w:tcBorders>
              <w:bottom w:val="single" w:color="000000" w:sz="8" w:space="0"/>
              <w:right w:val="single" w:color="000000" w:sz="8" w:space="0"/>
            </w:tcBorders>
            <w:tcMar>
              <w:left w:w="108" w:type="dxa"/>
              <w:top w:w="0" w:type="dxa"/>
              <w:right w:w="108" w:type="dxa"/>
              <w:bottom w:w="0" w:type="dxa"/>
            </w:tcMar>
            <w:tcW w:w="3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3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11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30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Tỷ lệ hao mòn:</w:t>
            </w:r>
            <w:r/>
          </w:p>
        </w:tc>
        <w:tc>
          <w:tcPr>
            <w:tcBorders>
              <w:bottom w:val="single" w:color="000000" w:sz="8" w:space="0"/>
              <w:right w:val="single" w:color="000000" w:sz="8" w:space="0"/>
            </w:tcBorders>
            <w:tcMar>
              <w:left w:w="108" w:type="dxa"/>
              <w:top w:w="0" w:type="dxa"/>
              <w:right w:w="108" w:type="dxa"/>
              <w:bottom w:w="0" w:type="dxa"/>
            </w:tcMar>
            <w:tcW w:w="29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3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3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30%</w:t>
            </w:r>
            <w:r/>
          </w:p>
        </w:tc>
      </w:tr>
    </w:tbl>
    <w:p>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b/>
          <w:color w:val="000000"/>
          <w:sz w:val="24"/>
        </w:rPr>
        <w:t xml:space="preserve">- Thông qua khảo sát, Nhà kho nguyên vật liệu, kho thành phẩm; Nhà xử lý bông; Nhà xưởng sản xuất và khu nhà phụ trợ sản xuất có kết cấu xây dựng và hiện trạng khá tương đồng nhau, tổ thẩm định ước tính tỷ lệ hao mòn của các công trình này tương đương nhau</w:t>
      </w:r>
      <w:r>
        <w:rPr>
          <w:rFonts w:ascii="Times New Roman" w:hAnsi="Times New Roman" w:eastAsia="Times New Roman" w:cs="Times New Roman"/>
          <w:b/>
          <w:color w:val="000000"/>
          <w:sz w:val="24"/>
        </w:rPr>
        <w:t xml:space="preserve">, và bằng 30%.</w:t>
      </w:r>
      <w:r/>
    </w:p>
    <w:p>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b/>
          <w:color w:val="000000"/>
          <w:sz w:val="24"/>
        </w:rPr>
        <w:t xml:space="preserve">- Nhà ăn + nhà vệ sinh</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180"/>
        <w:gridCol w:w="3068"/>
        <w:gridCol w:w="2977"/>
        <w:gridCol w:w="3260"/>
        <w:gridCol w:w="3544"/>
      </w:tblGrid>
      <w:tr>
        <w:trPr>
          <w:trHeight w:val="63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0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KẾT CẤU CHÍNH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9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giá trị các kết cấu chính (%)</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hao mòn các kết cấu chính (%)</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Mức độ đóng góp (%)</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11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a</w:t>
            </w:r>
            <w:r/>
          </w:p>
        </w:tc>
        <w:tc>
          <w:tcPr>
            <w:tcBorders>
              <w:bottom w:val="single" w:color="000000" w:sz="8" w:space="0"/>
              <w:right w:val="single" w:color="000000" w:sz="8" w:space="0"/>
            </w:tcBorders>
            <w:tcMar>
              <w:left w:w="108" w:type="dxa"/>
              <w:top w:w="0" w:type="dxa"/>
              <w:right w:w="108" w:type="dxa"/>
              <w:bottom w:w="0" w:type="dxa"/>
            </w:tcMar>
            <w:tcW w:w="30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b</w:t>
            </w:r>
            <w:r/>
          </w:p>
        </w:tc>
        <w:tc>
          <w:tcPr>
            <w:tcBorders>
              <w:bottom w:val="single" w:color="000000" w:sz="8" w:space="0"/>
              <w:right w:val="single" w:color="000000" w:sz="8" w:space="0"/>
            </w:tcBorders>
            <w:tcMar>
              <w:left w:w="108" w:type="dxa"/>
              <w:top w:w="0" w:type="dxa"/>
              <w:right w:w="108" w:type="dxa"/>
              <w:bottom w:w="0" w:type="dxa"/>
            </w:tcMar>
            <w:tcW w:w="29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c</w:t>
            </w:r>
            <w:r/>
          </w:p>
        </w:tc>
        <w:tc>
          <w:tcPr>
            <w:tcBorders>
              <w:bottom w:val="single" w:color="000000" w:sz="8" w:space="0"/>
              <w:right w:val="single" w:color="000000" w:sz="8" w:space="0"/>
            </w:tcBorders>
            <w:tcMar>
              <w:left w:w="108" w:type="dxa"/>
              <w:top w:w="0" w:type="dxa"/>
              <w:right w:w="108" w:type="dxa"/>
              <w:bottom w:w="0" w:type="dxa"/>
            </w:tcMar>
            <w:tcW w:w="3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d</w:t>
            </w:r>
            <w:r/>
          </w:p>
        </w:tc>
        <w:tc>
          <w:tcPr>
            <w:tcBorders>
              <w:bottom w:val="single" w:color="000000" w:sz="8" w:space="0"/>
              <w:right w:val="single" w:color="000000" w:sz="8" w:space="0"/>
            </w:tcBorders>
            <w:tcMar>
              <w:left w:w="108" w:type="dxa"/>
              <w:top w:w="0" w:type="dxa"/>
              <w:right w:w="108" w:type="dxa"/>
              <w:bottom w:w="0" w:type="dxa"/>
            </w:tcMar>
            <w:tcW w:w="3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e = c x d/g</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118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306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Móng</w:t>
            </w:r>
            <w:r/>
          </w:p>
        </w:tc>
        <w:tc>
          <w:tcPr>
            <w:tcBorders>
              <w:bottom w:val="single" w:color="000000" w:sz="8" w:space="0"/>
              <w:right w:val="single" w:color="000000" w:sz="8" w:space="0"/>
            </w:tcBorders>
            <w:tcMar>
              <w:left w:w="108" w:type="dxa"/>
              <w:top w:w="0" w:type="dxa"/>
              <w:right w:w="108" w:type="dxa"/>
              <w:bottom w:w="0" w:type="dxa"/>
            </w:tcMar>
            <w:tcW w:w="29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3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20%</w:t>
            </w:r>
            <w:r/>
          </w:p>
        </w:tc>
        <w:tc>
          <w:tcPr>
            <w:tcBorders>
              <w:bottom w:val="single" w:color="000000" w:sz="8" w:space="0"/>
              <w:right w:val="single" w:color="000000" w:sz="8" w:space="0"/>
            </w:tcBorders>
            <w:tcMar>
              <w:left w:w="108" w:type="dxa"/>
              <w:top w:w="0" w:type="dxa"/>
              <w:right w:w="108" w:type="dxa"/>
              <w:bottom w:w="0" w:type="dxa"/>
            </w:tcMar>
            <w:tcW w:w="3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3,4%</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118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306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Khung, cột</w:t>
            </w:r>
            <w:r/>
          </w:p>
        </w:tc>
        <w:tc>
          <w:tcPr>
            <w:tcBorders>
              <w:bottom w:val="single" w:color="000000" w:sz="8" w:space="0"/>
              <w:right w:val="single" w:color="000000" w:sz="8" w:space="0"/>
            </w:tcBorders>
            <w:tcMar>
              <w:left w:w="108" w:type="dxa"/>
              <w:top w:w="0" w:type="dxa"/>
              <w:right w:w="108" w:type="dxa"/>
              <w:bottom w:w="0" w:type="dxa"/>
            </w:tcMar>
            <w:tcW w:w="29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3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3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0,0%</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118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306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Tường</w:t>
            </w:r>
            <w:r/>
          </w:p>
        </w:tc>
        <w:tc>
          <w:tcPr>
            <w:tcBorders>
              <w:bottom w:val="single" w:color="000000" w:sz="8" w:space="0"/>
              <w:right w:val="single" w:color="000000" w:sz="8" w:space="0"/>
            </w:tcBorders>
            <w:tcMar>
              <w:left w:w="108" w:type="dxa"/>
              <w:top w:w="0" w:type="dxa"/>
              <w:right w:w="108" w:type="dxa"/>
              <w:bottom w:w="0" w:type="dxa"/>
            </w:tcMar>
            <w:tcW w:w="29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18%</w:t>
            </w:r>
            <w:r/>
          </w:p>
        </w:tc>
        <w:tc>
          <w:tcPr>
            <w:tcBorders>
              <w:bottom w:val="single" w:color="000000" w:sz="8" w:space="0"/>
              <w:right w:val="single" w:color="000000" w:sz="8" w:space="0"/>
            </w:tcBorders>
            <w:tcMar>
              <w:left w:w="108" w:type="dxa"/>
              <w:top w:w="0" w:type="dxa"/>
              <w:right w:w="108" w:type="dxa"/>
              <w:bottom w:w="0" w:type="dxa"/>
            </w:tcMar>
            <w:tcW w:w="3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30%</w:t>
            </w:r>
            <w:r/>
          </w:p>
        </w:tc>
        <w:tc>
          <w:tcPr>
            <w:tcBorders>
              <w:bottom w:val="single" w:color="000000" w:sz="8" w:space="0"/>
              <w:right w:val="single" w:color="000000" w:sz="8" w:space="0"/>
            </w:tcBorders>
            <w:tcMar>
              <w:left w:w="108" w:type="dxa"/>
              <w:top w:w="0" w:type="dxa"/>
              <w:right w:w="108" w:type="dxa"/>
              <w:bottom w:w="0" w:type="dxa"/>
            </w:tcMar>
            <w:tcW w:w="3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9,2%</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118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306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Nền, sàn</w:t>
            </w:r>
            <w:r/>
          </w:p>
        </w:tc>
        <w:tc>
          <w:tcPr>
            <w:tcBorders>
              <w:bottom w:val="single" w:color="000000" w:sz="8" w:space="0"/>
              <w:right w:val="single" w:color="000000" w:sz="8" w:space="0"/>
            </w:tcBorders>
            <w:tcMar>
              <w:left w:w="108" w:type="dxa"/>
              <w:top w:w="0" w:type="dxa"/>
              <w:right w:w="108" w:type="dxa"/>
              <w:bottom w:w="0" w:type="dxa"/>
            </w:tcMar>
            <w:tcW w:w="29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3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25%</w:t>
            </w:r>
            <w:r/>
          </w:p>
        </w:tc>
        <w:tc>
          <w:tcPr>
            <w:tcBorders>
              <w:bottom w:val="single" w:color="000000" w:sz="8" w:space="0"/>
              <w:right w:val="single" w:color="000000" w:sz="8" w:space="0"/>
            </w:tcBorders>
            <w:tcMar>
              <w:left w:w="108" w:type="dxa"/>
              <w:top w:w="0" w:type="dxa"/>
              <w:right w:w="108" w:type="dxa"/>
              <w:bottom w:w="0" w:type="dxa"/>
            </w:tcMar>
            <w:tcW w:w="3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2,5%</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118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306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Kết cấu đỡ mái</w:t>
            </w:r>
            <w:r/>
          </w:p>
        </w:tc>
        <w:tc>
          <w:tcPr>
            <w:tcBorders>
              <w:bottom w:val="single" w:color="000000" w:sz="8" w:space="0"/>
              <w:right w:val="single" w:color="000000" w:sz="8" w:space="0"/>
            </w:tcBorders>
            <w:tcMar>
              <w:left w:w="108" w:type="dxa"/>
              <w:top w:w="0" w:type="dxa"/>
              <w:right w:w="108" w:type="dxa"/>
              <w:bottom w:w="0" w:type="dxa"/>
            </w:tcMar>
            <w:tcW w:w="29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w:t>
            </w:r>
            <w:r/>
          </w:p>
        </w:tc>
        <w:tc>
          <w:tcPr>
            <w:tcBorders>
              <w:bottom w:val="single" w:color="000000" w:sz="8" w:space="0"/>
              <w:right w:val="single" w:color="000000" w:sz="8" w:space="0"/>
            </w:tcBorders>
            <w:tcMar>
              <w:left w:w="108" w:type="dxa"/>
              <w:top w:w="0" w:type="dxa"/>
              <w:right w:w="108" w:type="dxa"/>
              <w:bottom w:w="0" w:type="dxa"/>
            </w:tcMar>
            <w:tcW w:w="3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30%</w:t>
            </w:r>
            <w:r/>
          </w:p>
        </w:tc>
        <w:tc>
          <w:tcPr>
            <w:tcBorders>
              <w:bottom w:val="single" w:color="000000" w:sz="8" w:space="0"/>
              <w:right w:val="single" w:color="000000" w:sz="8" w:space="0"/>
            </w:tcBorders>
            <w:tcMar>
              <w:left w:w="108" w:type="dxa"/>
              <w:top w:w="0" w:type="dxa"/>
              <w:right w:w="108" w:type="dxa"/>
              <w:bottom w:w="0" w:type="dxa"/>
            </w:tcMar>
            <w:tcW w:w="3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4,6%</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118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306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Mái</w:t>
            </w:r>
            <w:r/>
          </w:p>
        </w:tc>
        <w:tc>
          <w:tcPr>
            <w:tcBorders>
              <w:bottom w:val="single" w:color="000000" w:sz="8" w:space="0"/>
              <w:right w:val="single" w:color="000000" w:sz="8" w:space="0"/>
            </w:tcBorders>
            <w:tcMar>
              <w:left w:w="108" w:type="dxa"/>
              <w:top w:w="0" w:type="dxa"/>
              <w:right w:w="108" w:type="dxa"/>
              <w:bottom w:w="0" w:type="dxa"/>
            </w:tcMar>
            <w:tcW w:w="29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16%</w:t>
            </w:r>
            <w:r/>
          </w:p>
        </w:tc>
        <w:tc>
          <w:tcPr>
            <w:tcBorders>
              <w:bottom w:val="single" w:color="000000" w:sz="8" w:space="0"/>
              <w:right w:val="single" w:color="000000" w:sz="8" w:space="0"/>
            </w:tcBorders>
            <w:tcMar>
              <w:left w:w="108" w:type="dxa"/>
              <w:top w:w="0" w:type="dxa"/>
              <w:right w:w="108" w:type="dxa"/>
              <w:bottom w:w="0" w:type="dxa"/>
            </w:tcMar>
            <w:tcW w:w="3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30%</w:t>
            </w:r>
            <w:r/>
          </w:p>
        </w:tc>
        <w:tc>
          <w:tcPr>
            <w:tcBorders>
              <w:bottom w:val="single" w:color="000000" w:sz="8" w:space="0"/>
              <w:right w:val="single" w:color="000000" w:sz="8" w:space="0"/>
            </w:tcBorders>
            <w:tcMar>
              <w:left w:w="108" w:type="dxa"/>
              <w:top w:w="0" w:type="dxa"/>
              <w:right w:w="108" w:type="dxa"/>
              <w:bottom w:w="0" w:type="dxa"/>
            </w:tcMar>
            <w:tcW w:w="3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8,1%</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11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30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Tổng cộng (g)</w:t>
            </w:r>
            <w:r/>
          </w:p>
        </w:tc>
        <w:tc>
          <w:tcPr>
            <w:tcBorders>
              <w:bottom w:val="single" w:color="000000" w:sz="8" w:space="0"/>
              <w:right w:val="single" w:color="000000" w:sz="8" w:space="0"/>
            </w:tcBorders>
            <w:tcMar>
              <w:left w:w="108" w:type="dxa"/>
              <w:top w:w="0" w:type="dxa"/>
              <w:right w:w="108" w:type="dxa"/>
              <w:bottom w:w="0" w:type="dxa"/>
            </w:tcMar>
            <w:tcW w:w="29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59%</w:t>
            </w:r>
            <w:r/>
          </w:p>
        </w:tc>
        <w:tc>
          <w:tcPr>
            <w:tcBorders>
              <w:bottom w:val="single" w:color="000000" w:sz="8" w:space="0"/>
              <w:right w:val="single" w:color="000000" w:sz="8" w:space="0"/>
            </w:tcBorders>
            <w:tcMar>
              <w:left w:w="108" w:type="dxa"/>
              <w:top w:w="0" w:type="dxa"/>
              <w:right w:w="108" w:type="dxa"/>
              <w:bottom w:w="0" w:type="dxa"/>
            </w:tcMar>
            <w:tcW w:w="3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3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11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30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Tỷ lệ hao mòn:</w:t>
            </w:r>
            <w:r/>
          </w:p>
        </w:tc>
        <w:tc>
          <w:tcPr>
            <w:tcBorders>
              <w:bottom w:val="single" w:color="000000" w:sz="8" w:space="0"/>
              <w:right w:val="single" w:color="000000" w:sz="8" w:space="0"/>
            </w:tcBorders>
            <w:tcMar>
              <w:left w:w="108" w:type="dxa"/>
              <w:top w:w="0" w:type="dxa"/>
              <w:right w:w="108" w:type="dxa"/>
              <w:bottom w:w="0" w:type="dxa"/>
            </w:tcMar>
            <w:tcW w:w="29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3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3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28%</w:t>
            </w:r>
            <w:r/>
          </w:p>
        </w:tc>
      </w:tr>
    </w:tbl>
    <w:p>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b/>
          <w:color w:val="000000"/>
          <w:sz w:val="24"/>
        </w:rPr>
        <w:t xml:space="preserve">- Thông qua khảo sát, Nhà ăn + nhà vệ sinh; Nhà cơ điện; Nhà trạm biến áp, Nhà Bảo vệ có kết cấu xây dựng và hiện trạng khá tương đồng, tổ thẩm định ước tính tỷ lệ hao mòn của các công trình này tương đương nhau, và bằng 28%.</w:t>
      </w:r>
      <w:r/>
    </w:p>
    <w:p>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b/>
          <w:color w:val="000000"/>
          <w:sz w:val="24"/>
        </w:rPr>
        <w:t xml:space="preserve">- Nhà văn phòng</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180"/>
        <w:gridCol w:w="3068"/>
        <w:gridCol w:w="2977"/>
        <w:gridCol w:w="3260"/>
        <w:gridCol w:w="3544"/>
      </w:tblGrid>
      <w:tr>
        <w:trPr>
          <w:trHeight w:val="63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0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KẾT CẤU CHÍNH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9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giá trị các kết cấu chính (%)</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hao mòn các kết cấu chính (%)</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Mức độ đóng góp (%)</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11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a</w:t>
            </w:r>
            <w:r/>
          </w:p>
        </w:tc>
        <w:tc>
          <w:tcPr>
            <w:tcBorders>
              <w:bottom w:val="single" w:color="000000" w:sz="8" w:space="0"/>
              <w:right w:val="single" w:color="000000" w:sz="8" w:space="0"/>
            </w:tcBorders>
            <w:tcMar>
              <w:left w:w="108" w:type="dxa"/>
              <w:top w:w="0" w:type="dxa"/>
              <w:right w:w="108" w:type="dxa"/>
              <w:bottom w:w="0" w:type="dxa"/>
            </w:tcMar>
            <w:tcW w:w="30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b</w:t>
            </w:r>
            <w:r/>
          </w:p>
        </w:tc>
        <w:tc>
          <w:tcPr>
            <w:tcBorders>
              <w:bottom w:val="single" w:color="000000" w:sz="8" w:space="0"/>
              <w:right w:val="single" w:color="000000" w:sz="8" w:space="0"/>
            </w:tcBorders>
            <w:tcMar>
              <w:left w:w="108" w:type="dxa"/>
              <w:top w:w="0" w:type="dxa"/>
              <w:right w:w="108" w:type="dxa"/>
              <w:bottom w:w="0" w:type="dxa"/>
            </w:tcMar>
            <w:tcW w:w="29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c</w:t>
            </w:r>
            <w:r/>
          </w:p>
        </w:tc>
        <w:tc>
          <w:tcPr>
            <w:tcBorders>
              <w:bottom w:val="single" w:color="000000" w:sz="8" w:space="0"/>
              <w:right w:val="single" w:color="000000" w:sz="8" w:space="0"/>
            </w:tcBorders>
            <w:tcMar>
              <w:left w:w="108" w:type="dxa"/>
              <w:top w:w="0" w:type="dxa"/>
              <w:right w:w="108" w:type="dxa"/>
              <w:bottom w:w="0" w:type="dxa"/>
            </w:tcMar>
            <w:tcW w:w="3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d</w:t>
            </w:r>
            <w:r/>
          </w:p>
        </w:tc>
        <w:tc>
          <w:tcPr>
            <w:tcBorders>
              <w:bottom w:val="single" w:color="000000" w:sz="8" w:space="0"/>
              <w:right w:val="single" w:color="000000" w:sz="8" w:space="0"/>
            </w:tcBorders>
            <w:tcMar>
              <w:left w:w="108" w:type="dxa"/>
              <w:top w:w="0" w:type="dxa"/>
              <w:right w:w="108" w:type="dxa"/>
              <w:bottom w:w="0" w:type="dxa"/>
            </w:tcMar>
            <w:tcW w:w="3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e = c x d/g</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118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306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Móng</w:t>
            </w:r>
            <w:r/>
          </w:p>
        </w:tc>
        <w:tc>
          <w:tcPr>
            <w:tcBorders>
              <w:bottom w:val="single" w:color="000000" w:sz="8" w:space="0"/>
              <w:right w:val="single" w:color="000000" w:sz="8" w:space="0"/>
            </w:tcBorders>
            <w:tcMar>
              <w:left w:w="108" w:type="dxa"/>
              <w:top w:w="0" w:type="dxa"/>
              <w:right w:w="108" w:type="dxa"/>
              <w:bottom w:w="0" w:type="dxa"/>
            </w:tcMar>
            <w:tcW w:w="29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w:t>
            </w:r>
            <w:r/>
          </w:p>
        </w:tc>
        <w:tc>
          <w:tcPr>
            <w:tcBorders>
              <w:bottom w:val="single" w:color="000000" w:sz="8" w:space="0"/>
              <w:right w:val="single" w:color="000000" w:sz="8" w:space="0"/>
            </w:tcBorders>
            <w:tcMar>
              <w:left w:w="108" w:type="dxa"/>
              <w:top w:w="0" w:type="dxa"/>
              <w:right w:w="108" w:type="dxa"/>
              <w:bottom w:w="0" w:type="dxa"/>
            </w:tcMar>
            <w:tcW w:w="3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3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1,7%</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118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306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Khung, cột</w:t>
            </w:r>
            <w:r/>
          </w:p>
        </w:tc>
        <w:tc>
          <w:tcPr>
            <w:tcBorders>
              <w:bottom w:val="single" w:color="000000" w:sz="8" w:space="0"/>
              <w:right w:val="single" w:color="000000" w:sz="8" w:space="0"/>
            </w:tcBorders>
            <w:tcMar>
              <w:left w:w="108" w:type="dxa"/>
              <w:top w:w="0" w:type="dxa"/>
              <w:right w:w="108" w:type="dxa"/>
              <w:bottom w:w="0" w:type="dxa"/>
            </w:tcMar>
            <w:tcW w:w="29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3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3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0,0%</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118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306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Tường</w:t>
            </w:r>
            <w:r/>
          </w:p>
        </w:tc>
        <w:tc>
          <w:tcPr>
            <w:tcBorders>
              <w:bottom w:val="single" w:color="000000" w:sz="8" w:space="0"/>
              <w:right w:val="single" w:color="000000" w:sz="8" w:space="0"/>
            </w:tcBorders>
            <w:tcMar>
              <w:left w:w="108" w:type="dxa"/>
              <w:top w:w="0" w:type="dxa"/>
              <w:right w:w="108" w:type="dxa"/>
              <w:bottom w:w="0" w:type="dxa"/>
            </w:tcMar>
            <w:tcW w:w="29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18%</w:t>
            </w:r>
            <w:r/>
          </w:p>
        </w:tc>
        <w:tc>
          <w:tcPr>
            <w:tcBorders>
              <w:bottom w:val="single" w:color="000000" w:sz="8" w:space="0"/>
              <w:right w:val="single" w:color="000000" w:sz="8" w:space="0"/>
            </w:tcBorders>
            <w:tcMar>
              <w:left w:w="108" w:type="dxa"/>
              <w:top w:w="0" w:type="dxa"/>
              <w:right w:w="108" w:type="dxa"/>
              <w:bottom w:w="0" w:type="dxa"/>
            </w:tcMar>
            <w:tcW w:w="3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18%</w:t>
            </w:r>
            <w:r/>
          </w:p>
        </w:tc>
        <w:tc>
          <w:tcPr>
            <w:tcBorders>
              <w:bottom w:val="single" w:color="000000" w:sz="8" w:space="0"/>
              <w:right w:val="single" w:color="000000" w:sz="8" w:space="0"/>
            </w:tcBorders>
            <w:tcMar>
              <w:left w:w="108" w:type="dxa"/>
              <w:top w:w="0" w:type="dxa"/>
              <w:right w:w="108" w:type="dxa"/>
              <w:bottom w:w="0" w:type="dxa"/>
            </w:tcMar>
            <w:tcW w:w="3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6,0%</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118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306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Nền, sàn</w:t>
            </w:r>
            <w:r/>
          </w:p>
        </w:tc>
        <w:tc>
          <w:tcPr>
            <w:tcBorders>
              <w:bottom w:val="single" w:color="000000" w:sz="8" w:space="0"/>
              <w:right w:val="single" w:color="000000" w:sz="8" w:space="0"/>
            </w:tcBorders>
            <w:tcMar>
              <w:left w:w="108" w:type="dxa"/>
              <w:top w:w="0" w:type="dxa"/>
              <w:right w:w="108" w:type="dxa"/>
              <w:bottom w:w="0" w:type="dxa"/>
            </w:tcMar>
            <w:tcW w:w="29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14%</w:t>
            </w:r>
            <w:r/>
          </w:p>
        </w:tc>
        <w:tc>
          <w:tcPr>
            <w:tcBorders>
              <w:bottom w:val="single" w:color="000000" w:sz="8" w:space="0"/>
              <w:right w:val="single" w:color="000000" w:sz="8" w:space="0"/>
            </w:tcBorders>
            <w:tcMar>
              <w:left w:w="108" w:type="dxa"/>
              <w:top w:w="0" w:type="dxa"/>
              <w:right w:w="108" w:type="dxa"/>
              <w:bottom w:w="0" w:type="dxa"/>
            </w:tcMar>
            <w:tcW w:w="3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3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2,6%</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118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306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Kết cấu đỡ mái</w:t>
            </w:r>
            <w:r/>
          </w:p>
        </w:tc>
        <w:tc>
          <w:tcPr>
            <w:tcBorders>
              <w:bottom w:val="single" w:color="000000" w:sz="8" w:space="0"/>
              <w:right w:val="single" w:color="000000" w:sz="8" w:space="0"/>
            </w:tcBorders>
            <w:tcMar>
              <w:left w:w="108" w:type="dxa"/>
              <w:top w:w="0" w:type="dxa"/>
              <w:right w:w="108" w:type="dxa"/>
              <w:bottom w:w="0" w:type="dxa"/>
            </w:tcMar>
            <w:tcW w:w="29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3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3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0,0%</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118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306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Mái</w:t>
            </w:r>
            <w:r/>
          </w:p>
        </w:tc>
        <w:tc>
          <w:tcPr>
            <w:tcBorders>
              <w:bottom w:val="single" w:color="000000" w:sz="8" w:space="0"/>
              <w:right w:val="single" w:color="000000" w:sz="8" w:space="0"/>
            </w:tcBorders>
            <w:tcMar>
              <w:left w:w="108" w:type="dxa"/>
              <w:top w:w="0" w:type="dxa"/>
              <w:right w:w="108" w:type="dxa"/>
              <w:bottom w:w="0" w:type="dxa"/>
            </w:tcMar>
            <w:tcW w:w="29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13%</w:t>
            </w:r>
            <w:r/>
          </w:p>
        </w:tc>
        <w:tc>
          <w:tcPr>
            <w:tcBorders>
              <w:bottom w:val="single" w:color="000000" w:sz="8" w:space="0"/>
              <w:right w:val="single" w:color="000000" w:sz="8" w:space="0"/>
            </w:tcBorders>
            <w:tcMar>
              <w:left w:w="108" w:type="dxa"/>
              <w:top w:w="0" w:type="dxa"/>
              <w:right w:w="108" w:type="dxa"/>
              <w:bottom w:w="0" w:type="dxa"/>
            </w:tcMar>
            <w:tcW w:w="3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20%</w:t>
            </w:r>
            <w:r/>
          </w:p>
        </w:tc>
        <w:tc>
          <w:tcPr>
            <w:tcBorders>
              <w:bottom w:val="single" w:color="000000" w:sz="8" w:space="0"/>
              <w:right w:val="single" w:color="000000" w:sz="8" w:space="0"/>
            </w:tcBorders>
            <w:tcMar>
              <w:left w:w="108" w:type="dxa"/>
              <w:top w:w="0" w:type="dxa"/>
              <w:right w:w="108" w:type="dxa"/>
              <w:bottom w:w="0" w:type="dxa"/>
            </w:tcMar>
            <w:tcW w:w="3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4,8%</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11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30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Tổng cộng (g)</w:t>
            </w:r>
            <w:r/>
          </w:p>
        </w:tc>
        <w:tc>
          <w:tcPr>
            <w:tcBorders>
              <w:bottom w:val="single" w:color="000000" w:sz="8" w:space="0"/>
              <w:right w:val="single" w:color="000000" w:sz="8" w:space="0"/>
            </w:tcBorders>
            <w:tcMar>
              <w:left w:w="108" w:type="dxa"/>
              <w:top w:w="0" w:type="dxa"/>
              <w:right w:w="108" w:type="dxa"/>
              <w:bottom w:w="0" w:type="dxa"/>
            </w:tcMar>
            <w:tcW w:w="29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54%</w:t>
            </w:r>
            <w:r/>
          </w:p>
        </w:tc>
        <w:tc>
          <w:tcPr>
            <w:tcBorders>
              <w:bottom w:val="single" w:color="000000" w:sz="8" w:space="0"/>
              <w:right w:val="single" w:color="000000" w:sz="8" w:space="0"/>
            </w:tcBorders>
            <w:tcMar>
              <w:left w:w="108" w:type="dxa"/>
              <w:top w:w="0" w:type="dxa"/>
              <w:right w:w="108" w:type="dxa"/>
              <w:bottom w:w="0" w:type="dxa"/>
            </w:tcMar>
            <w:tcW w:w="3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3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11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30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Tỷ lệ hao mòn:</w:t>
            </w:r>
            <w:r/>
          </w:p>
        </w:tc>
        <w:tc>
          <w:tcPr>
            <w:tcBorders>
              <w:bottom w:val="single" w:color="000000" w:sz="8" w:space="0"/>
              <w:right w:val="single" w:color="000000" w:sz="8" w:space="0"/>
            </w:tcBorders>
            <w:tcMar>
              <w:left w:w="108" w:type="dxa"/>
              <w:top w:w="0" w:type="dxa"/>
              <w:right w:w="108" w:type="dxa"/>
              <w:bottom w:w="0" w:type="dxa"/>
            </w:tcMar>
            <w:tcW w:w="29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3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3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15%</w:t>
            </w:r>
            <w:r/>
          </w:p>
        </w:tc>
      </w:tr>
    </w:tbl>
    <w:p>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b/>
          <w:color w:val="000000"/>
          <w:sz w:val="24"/>
        </w:rPr>
        <w:t xml:space="preserve">- Đối với nhà để xe, </w:t>
      </w:r>
      <w:r>
        <w:rPr>
          <w:rFonts w:ascii="Times New Roman" w:hAnsi="Times New Roman" w:eastAsia="Times New Roman" w:cs="Times New Roman"/>
          <w:color w:val="000000"/>
          <w:sz w:val="24"/>
        </w:rPr>
        <w:t xml:space="preserve">Hạ tầng nội bộ bao gồm sân đường nội bộ, hệ thống chiếu sáng ngoài, khu xử lý nước thải, khu lưu trữ rác thải rắn, tổ thẩm định ước tính tỷ lệ hao mòn của các hạng mục là 30%.</w:t>
      </w:r>
      <w:r/>
      <w:r/>
      <w:r/>
      <w:r>
        <w:rPr>
          <w:rFonts w:ascii="Times New Roman" w:hAnsi="Times New Roman" w:eastAsia="Times New Roman" w:cs="Times New Roman"/>
          <w:sz w:val="24"/>
        </w:rPr>
      </w:r>
      <w:r>
        <w:rPr>
          <w:rFonts w:ascii="Times New Roman" w:hAnsi="Times New Roman" w:eastAsia="Times New Roman" w:cs="Times New Roman"/>
          <w:sz w:val="24"/>
        </w:rPr>
      </w:r>
    </w:p>
    <w:p>
      <w:pPr>
        <w:numPr>
          <w:ilvl w:val="0"/>
          <w:numId w:val="39"/>
        </w:numPr>
        <w:pBdr>
          <w:top w:val="none" w:color="000000" w:sz="4" w:space="0"/>
          <w:left w:val="none" w:color="000000" w:sz="4" w:space="0"/>
          <w:bottom w:val="none" w:color="000000" w:sz="4" w:space="0"/>
          <w:right w:val="none" w:color="000000" w:sz="4" w:space="0"/>
        </w:pBdr>
        <w:spacing w:after="120" w:before="240"/>
        <w:ind/>
        <w:rPr/>
      </w:pPr>
      <w:r>
        <w:rPr>
          <w:rFonts w:ascii="Times New Roman" w:hAnsi="Times New Roman" w:eastAsia="Times New Roman" w:cs="Times New Roman"/>
          <w:b/>
          <w:color w:val="000000"/>
          <w:sz w:val="24"/>
        </w:rPr>
        <w:t xml:space="preserve">Xác định giá trị của công trình xây dựng trên đất:</w:t>
      </w:r>
      <w:r/>
    </w:p>
    <w:tbl>
      <w:tblPr>
        <w:tblStyle w:val="860"/>
        <w:tblInd w:w="0" w:type="dxa"/>
        <w:tblW w:w="505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0"/>
        <w:gridCol w:w="4875"/>
        <w:gridCol w:w="1710"/>
        <w:gridCol w:w="690"/>
        <w:gridCol w:w="930"/>
        <w:gridCol w:w="780"/>
        <w:gridCol w:w="1485"/>
        <w:gridCol/>
        <w:gridCol w:w="12690"/>
      </w:tblGrid>
      <w:tr>
        <w:trPr>
          <w:trHeight w:val="555"/>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48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Tên 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1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Chi phí thay thế (đồng)</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69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Thời điểm đưa vào sử dụng</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93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Thời điểm thẩm định</w:t>
            </w:r>
            <w:r/>
          </w:p>
        </w:tc>
        <w:tc>
          <w:tcPr>
            <w:gridSpan w:val="3"/>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88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Phương pháp tổng cộng</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2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Giá trị thẩm định (đồng)</w:t>
            </w:r>
            <w:r/>
          </w:p>
        </w:tc>
      </w:tr>
      <w:tr>
        <w:trPr>
          <w:trHeight w:val="570"/>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7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Tỷ lệ hao mòn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Giá trị hao mòn</w:t>
            </w:r>
            <w:r/>
          </w:p>
        </w:tc>
        <w:tc>
          <w:tcPr>
            <w:gridSpan w:val="2"/>
            <w:tcBorders>
              <w:bottom w:val="single" w:color="000000" w:sz="8" w:space="0"/>
              <w:right w:val="single" w:color="000000" w:sz="8" w:space="0"/>
            </w:tcBorders>
            <w:tcMar>
              <w:left w:w="108" w:type="dxa"/>
              <w:top w:w="0" w:type="dxa"/>
              <w:right w:w="108" w:type="dxa"/>
              <w:bottom w:w="0" w:type="dxa"/>
            </w:tcMar>
            <w:tcW w:w="1590" w:type="dxa"/>
            <w:vAlign w:val="center"/>
            <w:textDirection w:val="lrTb"/>
            <w:noWrap w:val="false"/>
          </w:tcPr>
          <w:p>
            <w:pPr>
              <w:pBdr/>
              <w:spacing w:after="0" w:before="0" w:line="240"/>
              <w:ind/>
              <w:rPr/>
            </w:pPr>
            <w:r/>
          </w:p>
        </w:tc>
      </w:tr>
      <w:tr>
        <w:trPr>
          <w:trHeight w:val="31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0"/>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8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kho nguyên vật liệu, kho thành phẩm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9.624.894.612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6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04/2026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8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2.887.468.383</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5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6.737.426.228</w:t>
            </w:r>
            <w:r/>
          </w:p>
        </w:tc>
      </w:tr>
      <w:tr>
        <w:trPr>
          <w:trHeight w:val="31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0"/>
              </w:rPr>
              <w:t xml:space="preserve">2</w:t>
            </w:r>
            <w:r/>
          </w:p>
        </w:tc>
        <w:tc>
          <w:tcPr>
            <w:tcBorders>
              <w:bottom w:val="single" w:color="000000" w:sz="8" w:space="0"/>
              <w:right w:val="single" w:color="000000" w:sz="8" w:space="0"/>
            </w:tcBorders>
            <w:tcMar>
              <w:left w:w="108" w:type="dxa"/>
              <w:top w:w="0" w:type="dxa"/>
              <w:right w:w="108" w:type="dxa"/>
              <w:bottom w:w="0" w:type="dxa"/>
            </w:tcMar>
            <w:tcW w:w="48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xử lý bông, kết cấu tường gạch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8.896.763.594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6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04/2026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8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2.669.029.078</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5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6.227.734.516</w:t>
            </w:r>
            <w:r/>
          </w:p>
        </w:tc>
      </w:tr>
      <w:tr>
        <w:trPr>
          <w:trHeight w:val="31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0"/>
              </w:rPr>
              <w:t xml:space="preserve">3</w:t>
            </w:r>
            <w:r/>
          </w:p>
        </w:tc>
        <w:tc>
          <w:tcPr>
            <w:tcBorders>
              <w:bottom w:val="single" w:color="000000" w:sz="8" w:space="0"/>
              <w:right w:val="single" w:color="000000" w:sz="8" w:space="0"/>
            </w:tcBorders>
            <w:tcMar>
              <w:left w:w="108" w:type="dxa"/>
              <w:top w:w="0" w:type="dxa"/>
              <w:right w:w="108" w:type="dxa"/>
              <w:bottom w:w="0" w:type="dxa"/>
            </w:tcMar>
            <w:tcW w:w="48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ăn + nhà vệ sinh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1.544.137.243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6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04/2026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8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432.358.428</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5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1.111.778.815</w:t>
            </w:r>
            <w:r/>
          </w:p>
        </w:tc>
      </w:tr>
      <w:tr>
        <w:trPr>
          <w:trHeight w:val="31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0"/>
              </w:rPr>
              <w:t xml:space="preserve">4</w:t>
            </w:r>
            <w:r/>
          </w:p>
        </w:tc>
        <w:tc>
          <w:tcPr>
            <w:tcBorders>
              <w:bottom w:val="single" w:color="000000" w:sz="8" w:space="0"/>
              <w:right w:val="single" w:color="000000" w:sz="8" w:space="0"/>
            </w:tcBorders>
            <w:tcMar>
              <w:left w:w="108" w:type="dxa"/>
              <w:top w:w="0" w:type="dxa"/>
              <w:right w:w="108" w:type="dxa"/>
              <w:bottom w:w="0" w:type="dxa"/>
            </w:tcMar>
            <w:tcW w:w="48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xưởng sản xuất và khu nhà phụ trợ sản xuất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18.480.563.688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6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04/2026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8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5.544.169.106</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5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12.936.394.582</w:t>
            </w:r>
            <w:r/>
          </w:p>
        </w:tc>
      </w:tr>
      <w:tr>
        <w:trPr>
          <w:trHeight w:val="31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0"/>
              </w:rPr>
              <w:t xml:space="preserve">5</w:t>
            </w:r>
            <w:r/>
          </w:p>
        </w:tc>
        <w:tc>
          <w:tcPr>
            <w:tcBorders>
              <w:bottom w:val="single" w:color="000000" w:sz="8" w:space="0"/>
              <w:right w:val="single" w:color="000000" w:sz="8" w:space="0"/>
            </w:tcBorders>
            <w:tcMar>
              <w:left w:w="108" w:type="dxa"/>
              <w:top w:w="0" w:type="dxa"/>
              <w:right w:w="108" w:type="dxa"/>
              <w:bottom w:w="0" w:type="dxa"/>
            </w:tcMar>
            <w:tcW w:w="48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cơ điện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269.681.874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6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04/2026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8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75.510.925</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5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194.170.949</w:t>
            </w:r>
            <w:r/>
          </w:p>
        </w:tc>
      </w:tr>
      <w:tr>
        <w:trPr>
          <w:trHeight w:val="31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0"/>
              </w:rPr>
              <w:t xml:space="preserve">6</w:t>
            </w:r>
            <w:r/>
          </w:p>
        </w:tc>
        <w:tc>
          <w:tcPr>
            <w:tcBorders>
              <w:bottom w:val="single" w:color="000000" w:sz="8" w:space="0"/>
              <w:right w:val="single" w:color="000000" w:sz="8" w:space="0"/>
            </w:tcBorders>
            <w:tcMar>
              <w:left w:w="108" w:type="dxa"/>
              <w:top w:w="0" w:type="dxa"/>
              <w:right w:w="108" w:type="dxa"/>
              <w:bottom w:w="0" w:type="dxa"/>
            </w:tcMar>
            <w:tcW w:w="48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trạm biến 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591.631.986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6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04/2026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8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165.656.956</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5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425.975.030</w:t>
            </w:r>
            <w:r/>
          </w:p>
        </w:tc>
      </w:tr>
      <w:tr>
        <w:trPr>
          <w:trHeight w:val="31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0"/>
              </w:rPr>
              <w:t xml:space="preserve">7</w:t>
            </w:r>
            <w:r/>
          </w:p>
        </w:tc>
        <w:tc>
          <w:tcPr>
            <w:tcBorders>
              <w:bottom w:val="single" w:color="000000" w:sz="8" w:space="0"/>
              <w:right w:val="single" w:color="000000" w:sz="8" w:space="0"/>
            </w:tcBorders>
            <w:tcMar>
              <w:left w:w="108" w:type="dxa"/>
              <w:top w:w="0" w:type="dxa"/>
              <w:right w:w="108" w:type="dxa"/>
              <w:bottom w:w="0" w:type="dxa"/>
            </w:tcMar>
            <w:tcW w:w="48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văn phòng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8.473.602.125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6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04/2026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8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1.271.040.319</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5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7.202.561.806</w:t>
            </w:r>
            <w:r/>
          </w:p>
        </w:tc>
      </w:tr>
      <w:tr>
        <w:trPr>
          <w:trHeight w:val="31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0"/>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8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để xe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194.393.678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6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04/2026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8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58.318.103</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5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136.075.574</w:t>
            </w:r>
            <w:r/>
          </w:p>
        </w:tc>
      </w:tr>
      <w:tr>
        <w:trPr>
          <w:trHeight w:val="31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0"/>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8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Bảo vệ</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73.953.998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6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04/2026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8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20.707.120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5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53.246.879</w:t>
            </w:r>
            <w:r/>
          </w:p>
        </w:tc>
      </w:tr>
      <w:tr>
        <w:trPr>
          <w:trHeight w:val="94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0"/>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8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Hạ tầng nội bộ bao gồm sân đường nội bộ, hệ thống chiếu sáng ngoài, khu xử lý nước thải, khu lưu trữ rác thải rắn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4.533.814.445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6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04/2026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8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1.360.144.333</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5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3.173.670.111</w:t>
            </w:r>
            <w:r/>
          </w:p>
        </w:tc>
      </w:tr>
      <w:tr>
        <w:trPr/>
        <w:tc>
          <w:tcPr>
            <w:tcBorders/>
            <w:tcMar>
              <w:left w:w="0" w:type="dxa"/>
              <w:top w:w="0" w:type="dxa"/>
              <w:right w:w="0" w:type="dxa"/>
              <w:bottom w:w="0" w:type="dxa"/>
            </w:tcMar>
            <w:tcW w:w="630" w:type="dxa"/>
            <w:vAlign w:val="center"/>
            <w:textDirection w:val="lrTb"/>
            <w:noWrap w:val="false"/>
          </w:tcPr>
          <w:p>
            <w:pPr>
              <w:pBdr/>
              <w:spacing w:after="0" w:before="0" w:line="240"/>
              <w:ind/>
              <w:rPr/>
            </w:pPr>
            <w:r/>
          </w:p>
        </w:tc>
        <w:tc>
          <w:tcPr>
            <w:tcBorders/>
            <w:tcMar>
              <w:left w:w="0" w:type="dxa"/>
              <w:top w:w="0" w:type="dxa"/>
              <w:right w:w="0" w:type="dxa"/>
              <w:bottom w:w="0" w:type="dxa"/>
            </w:tcMar>
            <w:tcW w:w="4875" w:type="dxa"/>
            <w:vAlign w:val="center"/>
            <w:textDirection w:val="lrTb"/>
            <w:noWrap w:val="false"/>
          </w:tcPr>
          <w:p>
            <w:pPr>
              <w:pBdr/>
              <w:spacing w:after="0" w:before="0" w:line="240"/>
              <w:ind/>
              <w:rPr/>
            </w:pPr>
            <w:r/>
          </w:p>
        </w:tc>
        <w:tc>
          <w:tcPr>
            <w:tcBorders/>
            <w:tcMar>
              <w:left w:w="0" w:type="dxa"/>
              <w:top w:w="0" w:type="dxa"/>
              <w:right w:w="0" w:type="dxa"/>
              <w:bottom w:w="0" w:type="dxa"/>
            </w:tcMar>
            <w:tcW w:w="1710" w:type="dxa"/>
            <w:vAlign w:val="center"/>
            <w:textDirection w:val="lrTb"/>
            <w:noWrap w:val="false"/>
          </w:tcPr>
          <w:p>
            <w:pPr>
              <w:pBdr/>
              <w:spacing w:after="0" w:before="0" w:line="240"/>
              <w:ind/>
              <w:rPr/>
            </w:pPr>
            <w:r/>
          </w:p>
        </w:tc>
        <w:tc>
          <w:tcPr>
            <w:tcBorders/>
            <w:tcMar>
              <w:left w:w="0" w:type="dxa"/>
              <w:top w:w="0" w:type="dxa"/>
              <w:right w:w="0" w:type="dxa"/>
              <w:bottom w:w="0" w:type="dxa"/>
            </w:tcMar>
            <w:tcW w:w="690" w:type="dxa"/>
            <w:vAlign w:val="center"/>
            <w:textDirection w:val="lrTb"/>
            <w:noWrap w:val="false"/>
          </w:tcPr>
          <w:p>
            <w:pPr>
              <w:pBdr/>
              <w:spacing w:after="0" w:before="0" w:line="240"/>
              <w:ind/>
              <w:rPr/>
            </w:pPr>
            <w:r/>
          </w:p>
        </w:tc>
        <w:tc>
          <w:tcPr>
            <w:tcBorders/>
            <w:tcMar>
              <w:left w:w="0" w:type="dxa"/>
              <w:top w:w="0" w:type="dxa"/>
              <w:right w:w="0" w:type="dxa"/>
              <w:bottom w:w="0" w:type="dxa"/>
            </w:tcMar>
            <w:tcW w:w="930" w:type="dxa"/>
            <w:vAlign w:val="center"/>
            <w:textDirection w:val="lrTb"/>
            <w:noWrap w:val="false"/>
          </w:tcPr>
          <w:p>
            <w:pPr>
              <w:pBdr/>
              <w:spacing w:after="0" w:before="0" w:line="240"/>
              <w:ind/>
              <w:rPr/>
            </w:pPr>
            <w:r/>
          </w:p>
        </w:tc>
        <w:tc>
          <w:tcPr>
            <w:tcBorders/>
            <w:tcMar>
              <w:left w:w="0" w:type="dxa"/>
              <w:top w:w="0" w:type="dxa"/>
              <w:right w:w="0" w:type="dxa"/>
              <w:bottom w:w="0" w:type="dxa"/>
            </w:tcMar>
            <w:tcW w:w="780" w:type="dxa"/>
            <w:vAlign w:val="center"/>
            <w:textDirection w:val="lrTb"/>
            <w:noWrap w:val="false"/>
          </w:tcPr>
          <w:p>
            <w:pPr>
              <w:pBdr/>
              <w:spacing w:after="0" w:before="0" w:line="240"/>
              <w:ind/>
              <w:rPr/>
            </w:pPr>
            <w:r/>
          </w:p>
        </w:tc>
        <w:tc>
          <w:tcPr>
            <w:tcBorders/>
            <w:tcMar>
              <w:left w:w="0" w:type="dxa"/>
              <w:top w:w="0" w:type="dxa"/>
              <w:right w:w="0" w:type="dxa"/>
              <w:bottom w:w="0" w:type="dxa"/>
            </w:tcMar>
            <w:tcW w:w="1485" w:type="dxa"/>
            <w:vAlign w:val="center"/>
            <w:textDirection w:val="lrTb"/>
            <w:noWrap w:val="false"/>
          </w:tcPr>
          <w:p>
            <w:pPr>
              <w:pBdr/>
              <w:spacing w:after="0" w:before="0" w:line="240"/>
              <w:ind/>
              <w:rPr/>
            </w:pPr>
            <w:r/>
          </w:p>
        </w:tc>
        <w:tc>
          <w:tcPr>
            <w:tcBorders/>
            <w:tcMar>
              <w:left w:w="0" w:type="dxa"/>
              <w:top w:w="0" w:type="dxa"/>
              <w:right w:w="0" w:type="dxa"/>
              <w:bottom w:w="0" w:type="dxa"/>
            </w:tcMar>
            <w:tcW w:w="-11100" w:type="dxa"/>
            <w:vAlign w:val="center"/>
            <w:textDirection w:val="lrTb"/>
            <w:noWrap w:val="false"/>
          </w:tcPr>
          <w:p>
            <w:pPr>
              <w:pBdr/>
              <w:spacing w:after="0" w:before="0" w:line="240"/>
              <w:ind/>
              <w:rPr/>
            </w:pPr>
            <w:r/>
          </w:p>
        </w:tc>
        <w:tc>
          <w:tcPr>
            <w:tcBorders/>
            <w:tcMar>
              <w:left w:w="0" w:type="dxa"/>
              <w:top w:w="0" w:type="dxa"/>
              <w:right w:w="0" w:type="dxa"/>
              <w:bottom w:w="0" w:type="dxa"/>
            </w:tcMar>
            <w:tcW w:w="12690" w:type="dxa"/>
            <w:vAlign w:val="center"/>
            <w:textDirection w:val="lrTb"/>
            <w:noWrap w:val="false"/>
          </w:tcPr>
          <w:p>
            <w:pPr>
              <w:pBdr/>
              <w:spacing w:after="0" w:before="0" w:line="240"/>
              <w:ind/>
              <w:rPr/>
            </w:pPr>
            <w:r/>
          </w:p>
        </w:tc>
      </w:tr>
    </w:tbl>
    <w:p>
      <w:pPr>
        <w:pBdr>
          <w:top w:val="none" w:color="000000" w:sz="4" w:space="0"/>
          <w:left w:val="none" w:color="000000" w:sz="4" w:space="0"/>
          <w:bottom w:val="none" w:color="000000" w:sz="4" w:space="0"/>
          <w:right w:val="none" w:color="000000" w:sz="4" w:space="0"/>
        </w:pBdr>
        <w:spacing w:after="120" w:before="240"/>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Kết quả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Dựa trên các lập luận trên, Tổ thẩm định ước tính giá trị tài sản thẩm định giá chưa bao gồm các loại thuế, phí và lệ phí liên quan đến việc chuyển nhượng tài sản tại thời điểm thẩm định giá Tháng 4/2026 ước tính như sau:</w:t>
      </w:r>
      <w:r/>
    </w:p>
    <w:tbl>
      <w:tblPr>
        <w:tblStyle w:val="860"/>
        <w:tblInd w:w="0" w:type="dxa"/>
        <w:tblW w:w="495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586"/>
        <w:gridCol w:w="3210"/>
        <w:gridCol w:w="2130"/>
        <w:gridCol w:w="1695"/>
        <w:gridCol w:w="1871"/>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2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1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7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both"/>
              <w:rPr/>
            </w:pPr>
            <w:r>
              <w:rPr>
                <w:rFonts w:ascii="Times New Roman" w:hAnsi="Times New Roman" w:eastAsia="Times New Roman" w:cs="Times New Roman"/>
                <w:b/>
                <w:color w:val="000000"/>
                <w:sz w:val="24"/>
              </w:rPr>
              <w:t xml:space="preserve">Lợi thế quyền sử dụng đất thuê trả tiền hàng năm và tài sản gắn liền với đất tại thửa đất số: 1081, tờ bản đồ số: 3, có địa chỉ: Cụm công nghiệp Vũ Ninh, xã Vũ Ninh, huyện Kiến Xương, tỉnh Thái Bình (nay là Cụm công nghiệp Vũ Ninh, xã Vũ Quý, tỉnh Hưng Yên</w:t>
            </w:r>
            <w:r>
              <w:rPr>
                <w:rFonts w:ascii="Times New Roman" w:hAnsi="Times New Roman" w:eastAsia="Times New Roman" w:cs="Times New Roman"/>
                <w:b/>
                <w:color w:val="000000"/>
                <w:sz w:val="24"/>
              </w:rPr>
              <w:t xml:space="preserve">) theo Giấy chứng nhận quyền sử dụng đất, quyền sở hữu nhà ở và tài sản khác gắn liền với đất số: CS 666759, Số vào sổ cấp GCN: CS 04639 do Sở tài nguyên và Môi trường tỉnh Thái Bình cấp ngày 20/12/2021; chủ sử dụng đất là Công ty TNHH LOGITEX.</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b/>
                <w:color w:val="000000"/>
                <w:sz w:val="24"/>
              </w:rPr>
              <w:t xml:space="preserve">I</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7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rPr/>
            </w:pPr>
            <w:r>
              <w:rPr>
                <w:rFonts w:ascii="Times New Roman" w:hAnsi="Times New Roman" w:eastAsia="Times New Roman" w:cs="Times New Roman"/>
                <w:b/>
                <w:color w:val="000000"/>
                <w:sz w:val="24"/>
              </w:rPr>
              <w:t xml:space="preserve">Lợi thế quyền thuê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b/>
                <w:color w:val="000000"/>
                <w:sz w:val="24"/>
              </w:rPr>
              <w:t xml:space="preserve">35.071.200.000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color w:val="000000"/>
                <w:sz w:val="24"/>
              </w:rPr>
              <w:t xml:space="preserve">01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rPr/>
            </w:pPr>
            <w:r>
              <w:rPr>
                <w:rFonts w:ascii="Times New Roman" w:hAnsi="Times New Roman" w:eastAsia="Times New Roman" w:cs="Times New Roman"/>
                <w:color w:val="000000"/>
                <w:sz w:val="24"/>
              </w:rPr>
              <w:t xml:space="preserve">Đất cụm công nghiệp (xây dựng nhà máy kéo sợi OE)</w:t>
            </w:r>
            <w:r/>
          </w:p>
        </w:tc>
        <w:tc>
          <w:tcPr>
            <w:tcBorders>
              <w:bottom w:val="single" w:color="000000" w:sz="8" w:space="0"/>
              <w:right w:val="single" w:color="000000" w:sz="8" w:space="0"/>
            </w:tcBorders>
            <w:tcMar>
              <w:left w:w="108" w:type="dxa"/>
              <w:top w:w="0" w:type="dxa"/>
              <w:right w:w="108" w:type="dxa"/>
              <w:bottom w:w="0" w:type="dxa"/>
            </w:tcMar>
            <w:tcW w:w="2130"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ind w:right="0" w:firstLine="0" w:left="0"/>
              <w:jc w:val="center"/>
              <w:rPr/>
            </w:pPr>
            <w:r>
              <w:rPr>
                <w:rFonts w:ascii="Times New Roman" w:hAnsi="Times New Roman" w:eastAsia="Times New Roman" w:cs="Times New Roman"/>
                <w:color w:val="000000"/>
                <w:sz w:val="24"/>
              </w:rPr>
              <w:t xml:space="preserve">17535,60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color w:val="000000"/>
                <w:sz w:val="24"/>
              </w:rPr>
              <w:t xml:space="preserve">35.071.200.000</w:t>
            </w:r>
            <w:r/>
          </w:p>
        </w:tc>
      </w:tr>
      <w:tr>
        <w:trPr>
          <w:trHeight w:val="31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b/>
                <w:color w:val="000000"/>
                <w:sz w:val="24"/>
              </w:rPr>
              <w:t xml:space="preserve">II</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7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rPr/>
            </w:pPr>
            <w:r>
              <w:rPr>
                <w:rFonts w:ascii="Times New Roman" w:hAnsi="Times New Roman" w:eastAsia="Times New Roman" w:cs="Times New Roman"/>
                <w:b/>
                <w:color w:val="000000"/>
                <w:sz w:val="24"/>
              </w:rPr>
              <w:t xml:space="preserve">Giá trị công trình xây dựng trên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b/>
                <w:color w:val="000000"/>
                <w:sz w:val="24"/>
              </w:rPr>
              <w:t xml:space="preserve"> </w:t>
            </w:r>
            <w:r/>
          </w:p>
        </w:tc>
      </w:tr>
      <w:tr>
        <w:trPr>
          <w:trHeight w:val="31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b/>
                <w:color w:val="000000"/>
                <w:sz w:val="24"/>
              </w:rPr>
              <w:t xml:space="preserve">A</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7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rPr/>
            </w:pPr>
            <w:r>
              <w:rPr>
                <w:rFonts w:ascii="Times New Roman" w:hAnsi="Times New Roman" w:eastAsia="Times New Roman" w:cs="Times New Roman"/>
                <w:b/>
                <w:color w:val="000000"/>
                <w:sz w:val="24"/>
              </w:rPr>
              <w:t xml:space="preserve">Các hạng mục đã được chứng nhận trên Giấy chứng nhận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b/>
                <w:color w:val="000000"/>
                <w:sz w:val="24"/>
              </w:rPr>
              <w:t xml:space="preserve">34.836.041.925</w:t>
            </w:r>
            <w:r/>
          </w:p>
        </w:tc>
      </w:tr>
      <w:tr>
        <w:trPr>
          <w:trHeight w:val="39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kho nguyên vật liệu, kho thành phẩm</w:t>
            </w:r>
            <w:r/>
          </w:p>
        </w:tc>
        <w:tc>
          <w:tcPr>
            <w:tcBorders>
              <w:bottom w:val="single" w:color="000000" w:sz="8" w:space="0"/>
              <w:right w:val="single" w:color="000000" w:sz="8" w:space="0"/>
            </w:tcBorders>
            <w:tcMar>
              <w:left w:w="108" w:type="dxa"/>
              <w:top w:w="0" w:type="dxa"/>
              <w:right w:w="108" w:type="dxa"/>
              <w:bottom w:w="0" w:type="dxa"/>
            </w:tcMar>
            <w:tcW w:w="213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2412,4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6.737.426.228</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xử lý bông, kết cấu tường gạch</w:t>
            </w:r>
            <w:r/>
          </w:p>
        </w:tc>
        <w:tc>
          <w:tcPr>
            <w:tcBorders>
              <w:bottom w:val="single" w:color="000000" w:sz="8" w:space="0"/>
              <w:right w:val="single" w:color="000000" w:sz="8" w:space="0"/>
            </w:tcBorders>
            <w:tcMar>
              <w:left w:w="108" w:type="dxa"/>
              <w:top w:w="0" w:type="dxa"/>
              <w:right w:w="108" w:type="dxa"/>
              <w:bottom w:w="0" w:type="dxa"/>
            </w:tcMar>
            <w:tcW w:w="213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2229,9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6.227.734.516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ăn + nhà vệ sinh</w:t>
            </w:r>
            <w:r/>
          </w:p>
        </w:tc>
        <w:tc>
          <w:tcPr>
            <w:tcBorders>
              <w:bottom w:val="single" w:color="000000" w:sz="8" w:space="0"/>
              <w:right w:val="single" w:color="000000" w:sz="8" w:space="0"/>
            </w:tcBorders>
            <w:tcMar>
              <w:left w:w="108" w:type="dxa"/>
              <w:top w:w="0" w:type="dxa"/>
              <w:right w:w="108" w:type="dxa"/>
              <w:bottom w:w="0" w:type="dxa"/>
            </w:tcMar>
            <w:tcW w:w="213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277,7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1.111.778.815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xưởng sản xuất và khu nhà phụ trợ sản xuất</w:t>
            </w:r>
            <w:r/>
          </w:p>
        </w:tc>
        <w:tc>
          <w:tcPr>
            <w:tcBorders>
              <w:bottom w:val="single" w:color="000000" w:sz="8" w:space="0"/>
              <w:right w:val="single" w:color="000000" w:sz="8" w:space="0"/>
            </w:tcBorders>
            <w:tcMar>
              <w:left w:w="108" w:type="dxa"/>
              <w:top w:w="0" w:type="dxa"/>
              <w:right w:w="108" w:type="dxa"/>
              <w:bottom w:w="0" w:type="dxa"/>
            </w:tcMar>
            <w:tcW w:w="213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4632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12.936.394.582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cơ điện</w:t>
            </w:r>
            <w:r/>
          </w:p>
        </w:tc>
        <w:tc>
          <w:tcPr>
            <w:tcBorders>
              <w:bottom w:val="single" w:color="000000" w:sz="8" w:space="0"/>
              <w:right w:val="single" w:color="000000" w:sz="8" w:space="0"/>
            </w:tcBorders>
            <w:tcMar>
              <w:left w:w="108" w:type="dxa"/>
              <w:top w:w="0" w:type="dxa"/>
              <w:right w:w="108" w:type="dxa"/>
              <w:bottom w:w="0" w:type="dxa"/>
            </w:tcMar>
            <w:tcW w:w="213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48,5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194.170.949</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trạm biến áp</w:t>
            </w:r>
            <w:r/>
          </w:p>
        </w:tc>
        <w:tc>
          <w:tcPr>
            <w:tcBorders>
              <w:bottom w:val="single" w:color="000000" w:sz="8" w:space="0"/>
              <w:right w:val="single" w:color="000000" w:sz="8" w:space="0"/>
            </w:tcBorders>
            <w:tcMar>
              <w:left w:w="108" w:type="dxa"/>
              <w:top w:w="0" w:type="dxa"/>
              <w:right w:w="108" w:type="dxa"/>
              <w:bottom w:w="0" w:type="dxa"/>
            </w:tcMar>
            <w:tcW w:w="213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106,4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425.975.030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văn phòng</w:t>
            </w:r>
            <w:r/>
          </w:p>
        </w:tc>
        <w:tc>
          <w:tcPr>
            <w:tcBorders>
              <w:bottom w:val="single" w:color="000000" w:sz="8" w:space="0"/>
              <w:right w:val="single" w:color="000000" w:sz="8" w:space="0"/>
            </w:tcBorders>
            <w:tcMar>
              <w:left w:w="108" w:type="dxa"/>
              <w:top w:w="0" w:type="dxa"/>
              <w:right w:w="108" w:type="dxa"/>
              <w:bottom w:w="0" w:type="dxa"/>
            </w:tcMar>
            <w:tcW w:w="213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1174,7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7.202.561.806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B</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7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rPr/>
            </w:pPr>
            <w:r>
              <w:rPr>
                <w:rFonts w:ascii="Times New Roman" w:hAnsi="Times New Roman" w:eastAsia="Times New Roman" w:cs="Times New Roman"/>
                <w:b/>
                <w:color w:val="000000"/>
                <w:sz w:val="24"/>
              </w:rPr>
              <w:t xml:space="preserve">Các hạng mục phụ trợ chưa được chứng nhận trên giấy chứng nhận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3.362.992.564</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để xe</w:t>
            </w:r>
            <w:r/>
          </w:p>
        </w:tc>
        <w:tc>
          <w:tcPr>
            <w:tcBorders>
              <w:bottom w:val="single" w:color="000000" w:sz="8" w:space="0"/>
              <w:right w:val="single" w:color="000000" w:sz="8" w:space="0"/>
            </w:tcBorders>
            <w:tcMar>
              <w:left w:w="108" w:type="dxa"/>
              <w:top w:w="0" w:type="dxa"/>
              <w:right w:w="108" w:type="dxa"/>
              <w:bottom w:w="0" w:type="dxa"/>
            </w:tcMar>
            <w:tcW w:w="213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247,5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136.075.574</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Bảo vệ</w:t>
            </w:r>
            <w:r/>
          </w:p>
        </w:tc>
        <w:tc>
          <w:tcPr>
            <w:tcBorders>
              <w:bottom w:val="single" w:color="000000" w:sz="8" w:space="0"/>
              <w:right w:val="single" w:color="000000" w:sz="8" w:space="0"/>
            </w:tcBorders>
            <w:tcMar>
              <w:left w:w="108" w:type="dxa"/>
              <w:top w:w="0" w:type="dxa"/>
              <w:right w:w="108" w:type="dxa"/>
              <w:bottom w:w="0" w:type="dxa"/>
            </w:tcMar>
            <w:tcW w:w="213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13,3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53.246.879</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Hạ tầng nội bộ bao gồm sân đường nội bộ, hệ thống chiếu sáng ngoài, khu xử lý nước thải,…</w:t>
            </w:r>
            <w:r/>
          </w:p>
        </w:tc>
        <w:tc>
          <w:tcPr>
            <w:tcBorders>
              <w:bottom w:val="single" w:color="000000" w:sz="8" w:space="0"/>
              <w:right w:val="single" w:color="000000" w:sz="8" w:space="0"/>
            </w:tcBorders>
            <w:tcMar>
              <w:left w:w="108" w:type="dxa"/>
              <w:top w:w="0" w:type="dxa"/>
              <w:right w:w="108" w:type="dxa"/>
              <w:bottom w:w="0" w:type="dxa"/>
            </w:tcMar>
            <w:tcW w:w="213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7224,5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3.173.670.111</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62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ind w:right="0" w:firstLine="0" w:left="0"/>
              <w:jc w:val="center"/>
              <w:rPr/>
            </w:pPr>
            <w:r>
              <w:rPr>
                <w:rFonts w:ascii="Times New Roman" w:hAnsi="Times New Roman" w:eastAsia="Times New Roman" w:cs="Times New Roman"/>
                <w:b/>
                <w:color w:val="000000"/>
                <w:sz w:val="24"/>
              </w:rPr>
              <w:t xml:space="preserve">73.270.234.490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62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ind w:right="0" w:firstLine="0" w:left="0"/>
              <w:jc w:val="center"/>
              <w:rPr/>
            </w:pPr>
            <w:r>
              <w:rPr>
                <w:rFonts w:ascii="Times New Roman" w:hAnsi="Times New Roman" w:eastAsia="Times New Roman" w:cs="Times New Roman"/>
                <w:b/>
                <w:color w:val="000000"/>
                <w:sz w:val="24"/>
              </w:rPr>
              <w:t xml:space="preserve">73.270.000.000</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94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ind w:right="0" w:firstLine="0" w:left="0"/>
              <w:jc w:val="center"/>
              <w:rPr/>
            </w:pPr>
            <w:r>
              <w:rPr>
                <w:rFonts w:ascii="Times New Roman" w:hAnsi="Times New Roman" w:eastAsia="Times New Roman" w:cs="Times New Roman"/>
                <w:b/>
                <w:i/>
                <w:color w:val="000000"/>
                <w:sz w:val="24"/>
              </w:rPr>
              <w:t xml:space="preserve">(Bằng chữ: Bảy mươi ba tỷ, hai trăm bảy mươi triệu đồng chẵn./.)</w:t>
            </w:r>
            <w:r/>
          </w:p>
        </w:tc>
      </w:tr>
    </w:tbl>
    <w:p>
      <w:pPr>
        <w:pBdr>
          <w:top w:val="none" w:color="000000" w:sz="4" w:space="0"/>
          <w:left w:val="none" w:color="000000" w:sz="4" w:space="0"/>
          <w:bottom w:val="none" w:color="000000" w:sz="4" w:space="0"/>
          <w:right w:val="none" w:color="000000" w:sz="4" w:space="0"/>
        </w:pBdr>
        <w:tabs>
          <w:tab w:val="left" w:leader="none" w:pos="993"/>
        </w:tabs>
        <w:spacing w:after="120" w:before="120" w:line="312" w:lineRule="auto"/>
        <w:ind w:right="0" w:firstLine="0" w:left="0"/>
        <w:jc w:val="both"/>
        <w:rPr/>
      </w:pPr>
      <w:r>
        <w:rPr>
          <w:rFonts w:ascii="Times New Roman" w:hAnsi="Times New Roman" w:eastAsia="Times New Roman" w:cs="Times New Roman"/>
          <w:b/>
          <w:color w:val="000000"/>
          <w:sz w:val="24"/>
        </w:rPr>
        <w:t xml:space="preserve">IX. THỜI HẠN HIỆU LỰC CỦA KẾT QUẢ THẨM 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312" w:lineRule="auto"/>
        <w:ind/>
        <w:jc w:val="both"/>
        <w:rPr/>
      </w:pPr>
      <w:r>
        <w:rPr>
          <w:rFonts w:ascii="Times New Roman" w:hAnsi="Times New Roman" w:eastAsia="Times New Roman" w:cs="Times New Roman"/>
          <w:color w:val="000000"/>
          <w:sz w:val="24"/>
        </w:rPr>
        <w:t xml:space="preserve">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12" w:lineRule="auto"/>
        <w:ind w:right="0" w:firstLine="0" w:left="0"/>
        <w:jc w:val="both"/>
        <w:rPr/>
      </w:pPr>
      <w:r>
        <w:rPr>
          <w:rFonts w:ascii="Times New Roman" w:hAnsi="Times New Roman" w:eastAsia="Times New Roman" w:cs="Times New Roman"/>
          <w:b/>
          <w:color w:val="000000"/>
          <w:spacing w:val="-4"/>
          <w:sz w:val="24"/>
        </w:rPr>
        <w:t xml:space="preserve">X. TUYÊN BỐ CHUNG VÀ MIỄN TRỪ TRÁCH NHIỆM</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312" w:lineRule="auto"/>
        <w:ind/>
        <w:jc w:val="both"/>
        <w:rPr/>
      </w:pPr>
      <w:r>
        <w:rPr>
          <w:rFonts w:ascii="Times New Roman" w:hAnsi="Times New Roman" w:eastAsia="Times New Roman" w:cs="Times New Roman"/>
          <w:color w:val="000000"/>
          <w:sz w:val="24"/>
        </w:rPr>
        <w:t xml:space="preserve">Công ty Cổ phần Thẩm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312" w:lineRule="auto"/>
        <w:ind/>
        <w:jc w:val="both"/>
        <w:rPr/>
      </w:pPr>
      <w:r>
        <w:rPr>
          <w:rFonts w:ascii="Times New Roman" w:hAnsi="Times New Roman" w:eastAsia="Times New Roman" w:cs="Times New Roman"/>
          <w:color w:val="000000"/>
          <w:sz w:val="24"/>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w:t>
      </w:r>
      <w:r>
        <w:rPr>
          <w:rFonts w:ascii="Times New Roman" w:hAnsi="Times New Roman" w:eastAsia="Times New Roman" w:cs="Times New Roman"/>
          <w:color w:val="000000"/>
          <w:sz w:val="24"/>
        </w:rPr>
        <w:t xml:space="preserve">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312" w:lineRule="auto"/>
        <w:ind/>
        <w:jc w:val="both"/>
        <w:rPr/>
      </w:pPr>
      <w:r>
        <w:rPr>
          <w:rFonts w:ascii="Times New Roman" w:hAnsi="Times New Roman" w:eastAsia="Times New Roman" w:cs="Times New Roman"/>
          <w:color w:val="000000"/>
          <w:sz w:val="24"/>
        </w:rPr>
        <w:t xml:space="preserve">Chứng thư, Báo cáo này được soạn thảo theo Hợp đồng được ký kết và tuân theo các điều khoản được nêu trong Hợp đồng. Chứng thư, báo cáo này chỉ nhằm phục vụ cho mục đích sử dụng được nêu trong Báo cáo và không nhằm mục đích sử dụng cho bất kỳ bên nào khác </w:t>
      </w:r>
      <w:r>
        <w:rPr>
          <w:rFonts w:ascii="Times New Roman" w:hAnsi="Times New Roman" w:eastAsia="Times New Roman" w:cs="Times New Roman"/>
          <w:color w:val="000000"/>
          <w:sz w:val="24"/>
        </w:rPr>
        <w:t xml:space="preserve">không được đề cập đến trong Hợp đồng (gọi tắt là “các bên liên quan”).</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312" w:lineRule="auto"/>
        <w:ind/>
        <w:jc w:val="both"/>
        <w:rPr/>
      </w:pPr>
      <w:r>
        <w:rPr>
          <w:rFonts w:ascii="Times New Roman" w:hAnsi="Times New Roman" w:eastAsia="Times New Roman" w:cs="Times New Roman"/>
          <w:color w:val="000000"/>
          <w:sz w:val="24"/>
        </w:rPr>
        <w:t xml:space="preserve">Các bên liên quan khi đọc và thực hiện sử dụng sản phẩm tư vấn này, tức là đã chấp nhận và đồng ý với những điều khoản sau:</w:t>
      </w:r>
      <w:r/>
    </w:p>
    <w:p>
      <w:pPr>
        <w:numPr>
          <w:ilvl w:val="0"/>
          <w:numId w:val="47"/>
        </w:numPr>
        <w:pBdr>
          <w:top w:val="none" w:color="000000" w:sz="4" w:space="0"/>
          <w:left w:val="none" w:color="000000" w:sz="4" w:space="0"/>
          <w:bottom w:val="none" w:color="000000" w:sz="4" w:space="0"/>
          <w:right w:val="none" w:color="000000" w:sz="4" w:space="0"/>
        </w:pBdr>
        <w:spacing w:after="120" w:before="120" w:line="312" w:lineRule="auto"/>
        <w:ind/>
        <w:jc w:val="both"/>
        <w:rPr/>
      </w:pPr>
      <w:r>
        <w:rPr>
          <w:rFonts w:ascii="Times New Roman" w:hAnsi="Times New Roman" w:eastAsia="Times New Roman" w:cs="Times New Roman"/>
          <w:color w:val="000000"/>
          <w:sz w:val="24"/>
        </w:rPr>
        <w:t xml:space="preserve">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w:t>
      </w:r>
      <w:r>
        <w:rPr>
          <w:rFonts w:ascii="Times New Roman" w:hAnsi="Times New Roman" w:eastAsia="Times New Roman" w:cs="Times New Roman"/>
          <w:color w:val="000000"/>
          <w:sz w:val="24"/>
        </w:rPr>
        <w:t xml:space="preserve">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w:t>
      </w:r>
      <w:r>
        <w:rPr>
          <w:rFonts w:ascii="Times New Roman" w:hAnsi="Times New Roman" w:eastAsia="Times New Roman" w:cs="Times New Roman"/>
          <w:color w:val="000000"/>
          <w:sz w:val="24"/>
        </w:rPr>
        <w:t xml:space="preserve">kỳ mục đích nào thì mọi trách nhiệm có liên quan đều thuộc Quý Khách hàng và các bên liên quan đó tham gia vào các giao dịch có liên quan.</w:t>
      </w:r>
      <w:r/>
    </w:p>
    <w:p>
      <w:pPr>
        <w:numPr>
          <w:ilvl w:val="0"/>
          <w:numId w:val="47"/>
        </w:numPr>
        <w:pBdr>
          <w:top w:val="none" w:color="000000" w:sz="4" w:space="0"/>
          <w:left w:val="none" w:color="000000" w:sz="4" w:space="0"/>
          <w:bottom w:val="none" w:color="000000" w:sz="4" w:space="0"/>
          <w:right w:val="none" w:color="000000" w:sz="4" w:space="0"/>
        </w:pBdr>
        <w:spacing w:after="120" w:before="120" w:line="312" w:lineRule="auto"/>
        <w:ind/>
        <w:jc w:val="both"/>
        <w:rPr/>
      </w:pPr>
      <w:r>
        <w:rPr>
          <w:rFonts w:ascii="Times New Roman" w:hAnsi="Times New Roman" w:eastAsia="Times New Roman" w:cs="Times New Roman"/>
          <w:color w:val="000000"/>
          <w:sz w:val="24"/>
        </w:rPr>
        <w:t xml:space="preserve">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w:t>
      </w:r>
      <w:r>
        <w:rPr>
          <w:rFonts w:ascii="Times New Roman" w:hAnsi="Times New Roman" w:eastAsia="Times New Roman" w:cs="Times New Roman"/>
          <w:color w:val="000000"/>
          <w:sz w:val="24"/>
        </w:rPr>
        <w:t xml:space="preserve">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w:t>
      </w:r>
      <w:r>
        <w:rPr>
          <w:rFonts w:ascii="Times New Roman" w:hAnsi="Times New Roman" w:eastAsia="Times New Roman" w:cs="Times New Roman"/>
          <w:color w:val="000000"/>
          <w:sz w:val="24"/>
        </w:rPr>
        <w:t xml:space="preserve">n của các bên liên quan, hoặc do hậu quả của việc cung cấp Chứng thư, Báo cáo cho các bên liên quan.</w:t>
      </w:r>
      <w:r/>
    </w:p>
    <w:p>
      <w:pPr>
        <w:numPr>
          <w:ilvl w:val="0"/>
          <w:numId w:val="47"/>
        </w:numPr>
        <w:pBdr>
          <w:top w:val="none" w:color="000000" w:sz="4" w:space="0"/>
          <w:left w:val="none" w:color="000000" w:sz="4" w:space="0"/>
          <w:bottom w:val="none" w:color="000000" w:sz="4" w:space="0"/>
          <w:right w:val="none" w:color="000000" w:sz="4" w:space="0"/>
        </w:pBdr>
        <w:spacing w:after="120" w:before="120" w:line="312" w:lineRule="auto"/>
        <w:ind/>
        <w:jc w:val="both"/>
        <w:rPr/>
      </w:pPr>
      <w:r>
        <w:rPr>
          <w:rFonts w:ascii="Times New Roman" w:hAnsi="Times New Roman" w:eastAsia="Times New Roman" w:cs="Times New Roman"/>
          <w:color w:val="000000"/>
          <w:sz w:val="24"/>
        </w:rPr>
        <w:t xml:space="preserve">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w:t>
      </w:r>
      <w:r>
        <w:rPr>
          <w:rFonts w:ascii="Times New Roman" w:hAnsi="Times New Roman" w:eastAsia="Times New Roman" w:cs="Times New Roman"/>
          <w:color w:val="000000"/>
          <w:sz w:val="24"/>
        </w:rPr>
        <w:t xml:space="preserve">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w:t>
      </w:r>
      <w:r>
        <w:rPr>
          <w:rFonts w:ascii="Times New Roman" w:hAnsi="Times New Roman" w:eastAsia="Times New Roman" w:cs="Times New Roman"/>
          <w:color w:val="000000"/>
          <w:sz w:val="24"/>
        </w:rPr>
        <w:t xml:space="preserve">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w:t>
      </w:r>
      <w:r>
        <w:rPr>
          <w:rFonts w:ascii="Times New Roman" w:hAnsi="Times New Roman" w:eastAsia="Times New Roman" w:cs="Times New Roman"/>
          <w:color w:val="000000"/>
          <w:sz w:val="24"/>
        </w:rPr>
        <w:t xml:space="preserve">gây tổn hại đến danh dự, trách nhiệm pháp lý, nghĩa vụ kinh tế… của các cá nhân và tập thể Lotus VFI.</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12" w:lineRule="auto"/>
        <w:ind w:right="0" w:firstLine="0" w:left="0"/>
        <w:jc w:val="both"/>
        <w:rPr/>
      </w:pPr>
      <w:r>
        <w:rPr>
          <w:rFonts w:ascii="Times New Roman" w:hAnsi="Times New Roman" w:eastAsia="Times New Roman" w:cs="Times New Roman"/>
          <w:b/>
          <w:color w:val="000000"/>
          <w:spacing w:val="-4"/>
          <w:sz w:val="24"/>
        </w:rPr>
        <w:t xml:space="preserve">XI. NHỮNG ĐIỀU KHOẢN LOẠI TRỪ VÀ HẠN CHẾ CỦA KẾT QUẢ THẨM ĐỊNH GIÁ</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312" w:lineRule="auto"/>
        <w:ind/>
        <w:jc w:val="both"/>
        <w:rPr/>
      </w:pPr>
      <w:r>
        <w:rPr>
          <w:rFonts w:ascii="Times New Roman" w:hAnsi="Times New Roman" w:eastAsia="Times New Roman" w:cs="Times New Roman"/>
          <w:color w:val="000000"/>
          <w:sz w:val="24"/>
        </w:rPr>
        <w:t xml:space="preserve">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w:t>
      </w:r>
      <w:r>
        <w:rPr>
          <w:rFonts w:ascii="Times New Roman" w:hAnsi="Times New Roman" w:eastAsia="Times New Roman" w:cs="Times New Roman"/>
          <w:color w:val="000000"/>
          <w:sz w:val="24"/>
        </w:rPr>
        <w:t xml:space="preserve">à không có xác nhận của Công ty Cổ phần Thẩm định và Đầu tư Tài chính Hoa Sen đều vi phạm pháp luật và không có giá trị.</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312" w:lineRule="auto"/>
        <w:ind/>
        <w:jc w:val="both"/>
        <w:rPr/>
      </w:pPr>
      <w:r>
        <w:rPr>
          <w:rFonts w:ascii="Times New Roman" w:hAnsi="Times New Roman" w:eastAsia="Times New Roman" w:cs="Times New Roman"/>
          <w:color w:val="000000"/>
          <w:sz w:val="24"/>
        </w:rPr>
        <w:t xml:space="preserve">Kết quả thẩm định giá trên chỉ xác nhận khi khách hàng hoàn tất các thủ tục pháp lý và nghĩa vụ tài chính liên quan đến tài sản thẩm định theo quy định của pháp luật hiện hành.</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312" w:lineRule="auto"/>
        <w:ind/>
        <w:jc w:val="both"/>
        <w:rPr/>
      </w:pPr>
      <w:r>
        <w:rPr>
          <w:rFonts w:ascii="Times New Roman" w:hAnsi="Times New Roman" w:eastAsia="Times New Roman" w:cs="Times New Roman"/>
          <w:color w:val="000000"/>
          <w:sz w:val="24"/>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312" w:lineRule="auto"/>
        <w:ind/>
        <w:jc w:val="both"/>
        <w:rPr/>
      </w:pPr>
      <w:r>
        <w:rPr>
          <w:rFonts w:ascii="Times New Roman" w:hAnsi="Times New Roman" w:eastAsia="Times New Roman" w:cs="Times New Roman"/>
          <w:color w:val="000000"/>
          <w:sz w:val="24"/>
        </w:rPr>
        <w:t xml:space="preserve">Các phương pháp tính toán trên cơ sở tài liệu được cung cấp bởi khách hàng và dựa trên các tài liệu khác có liên quan do tổ thẩm định thu thập, cũng như các điều kiện và kỳ vọng tại thời điểm thẩm định giá phù hợp với các luật định, chính sách quản lý của </w:t>
      </w:r>
      <w:r>
        <w:rPr>
          <w:rFonts w:ascii="Times New Roman" w:hAnsi="Times New Roman" w:eastAsia="Times New Roman" w:cs="Times New Roman"/>
          <w:color w:val="000000"/>
          <w:sz w:val="24"/>
        </w:rPr>
        <w:t xml:space="preserve">Nhà nước hiện hành và các điều kiện, giả định theo quan điểm hợp lý của tổ thẩm định kèm theo báo cáo này. Một số vấn đề, sự kiện tương lai không có khả năng tính toán chính xác, hoặc nằm ngoài phạm vi chuyên môn nên cần vận dụng các giả định cho việc thẩm</w:t>
      </w:r>
      <w:r>
        <w:rPr>
          <w:rFonts w:ascii="Times New Roman" w:hAnsi="Times New Roman" w:eastAsia="Times New Roman" w:cs="Times New Roman"/>
          <w:color w:val="000000"/>
          <w:sz w:val="24"/>
        </w:rPr>
        <w:t xml:space="preserve"> định giá này, tổ thẩm định không đảm bảo là các giả định làm cơ sở thẩm định giá là chính xác hoàn toàn.</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312" w:lineRule="auto"/>
        <w:ind/>
        <w:jc w:val="both"/>
        <w:rPr/>
      </w:pPr>
      <w:r>
        <w:rPr>
          <w:rFonts w:ascii="Times New Roman" w:hAnsi="Times New Roman" w:eastAsia="Times New Roman" w:cs="Times New Roman"/>
          <w:color w:val="000000"/>
          <w:spacing w:val="2"/>
          <w:sz w:val="24"/>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w:t>
      </w:r>
      <w:r>
        <w:rPr>
          <w:rFonts w:ascii="Times New Roman" w:hAnsi="Times New Roman" w:eastAsia="Times New Roman" w:cs="Times New Roman"/>
          <w:color w:val="000000"/>
          <w:spacing w:val="2"/>
          <w:sz w:val="24"/>
        </w:rPr>
        <w:t xml:space="preserve">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w:t>
      </w:r>
      <w:r>
        <w:rPr>
          <w:rFonts w:ascii="Times New Roman" w:hAnsi="Times New Roman" w:eastAsia="Times New Roman" w:cs="Times New Roman"/>
          <w:color w:val="000000"/>
          <w:spacing w:val="2"/>
          <w:sz w:val="24"/>
        </w:rPr>
        <w:t xml:space="preserve">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312" w:lineRule="auto"/>
        <w:ind/>
        <w:jc w:val="both"/>
        <w:rPr/>
      </w:pPr>
      <w:r>
        <w:rPr>
          <w:rFonts w:ascii="Times New Roman" w:hAnsi="Times New Roman" w:eastAsia="Times New Roman" w:cs="Times New Roman"/>
          <w:color w:val="000000"/>
          <w:sz w:val="24"/>
        </w:rPr>
        <w:t xml:space="preserve">Khách hàng yêu cầu thẩm định giá và người hướng dẫn tổ thẩm định thực hiện thẩm định hiện trạng tài sản phải chịu hoàn toàn trách nhiệm về thông tin liên quan đến đặc điểm kinh tế - kỹ thuật, tính năng và tính pháp lý của tài sản thẩm định giá đã cung cấp </w:t>
      </w:r>
      <w:r>
        <w:rPr>
          <w:rFonts w:ascii="Times New Roman" w:hAnsi="Times New Roman" w:eastAsia="Times New Roman" w:cs="Times New Roman"/>
          <w:color w:val="000000"/>
          <w:sz w:val="24"/>
        </w:rPr>
        <w:t xml:space="preserve">cho Công ty Cổ phần Thẩm định và Đầu tư Tài chính Hoa Sen tại thời điểm và địa điểm thẩm định giá.</w:t>
      </w:r>
      <w:r/>
    </w:p>
    <w:p>
      <w:pPr>
        <w:numPr>
          <w:ilvl w:val="0"/>
          <w:numId w:val="46"/>
        </w:numPr>
        <w:pBdr>
          <w:top w:val="none" w:color="000000" w:sz="4" w:space="0"/>
          <w:left w:val="none" w:color="000000" w:sz="4" w:space="0"/>
          <w:bottom w:val="none" w:color="000000" w:sz="4" w:space="0"/>
          <w:right w:val="none" w:color="000000" w:sz="4" w:space="0"/>
        </w:pBdr>
        <w:spacing w:after="120" w:before="120" w:line="312" w:lineRule="auto"/>
        <w:ind/>
        <w:jc w:val="both"/>
        <w:rPr/>
      </w:pPr>
      <w:r>
        <w:rPr>
          <w:rFonts w:ascii="Times New Roman" w:hAnsi="Times New Roman" w:eastAsia="Times New Roman" w:cs="Times New Roman"/>
          <w:color w:val="000000"/>
          <w:sz w:val="24"/>
          <w:highlight w:val="white"/>
        </w:rPr>
        <w:t xml:space="preserve">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w:t>
      </w:r>
      <w:r>
        <w:rPr>
          <w:rFonts w:ascii="Times New Roman" w:hAnsi="Times New Roman" w:eastAsia="Times New Roman" w:cs="Times New Roman"/>
          <w:color w:val="000000"/>
          <w:sz w:val="24"/>
          <w:highlight w:val="white"/>
        </w:rPr>
        <w:t xml:space="preserve">Giá trị ước tính này không nhất thiết phải trùng khớp với giá trị dùng để giao dịch.</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312" w:lineRule="auto"/>
        <w:ind/>
        <w:jc w:val="both"/>
        <w:rPr/>
      </w:pPr>
      <w:r>
        <w:rPr>
          <w:rFonts w:ascii="Times New Roman" w:hAnsi="Times New Roman" w:eastAsia="Times New Roman" w:cs="Times New Roman"/>
          <w:color w:val="000000"/>
          <w:sz w:val="24"/>
          <w:highlight w:val="white"/>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w:t>
      </w:r>
      <w:r>
        <w:rPr>
          <w:rFonts w:ascii="Times New Roman" w:hAnsi="Times New Roman" w:eastAsia="Times New Roman" w:cs="Times New Roman"/>
          <w:color w:val="000000"/>
          <w:sz w:val="24"/>
          <w:highlight w:val="white"/>
        </w:rPr>
        <w:t xml:space="preserve">ch, số ô, số thửa, tờ bản đồ theo</w:t>
      </w:r>
      <w:r>
        <w:rPr>
          <w:rFonts w:ascii="Times New Roman" w:hAnsi="Times New Roman" w:eastAsia="Times New Roman" w:cs="Times New Roman"/>
          <w:color w:val="000000"/>
          <w:sz w:val="24"/>
        </w:rPr>
        <w:t xml:space="preserve">Giấy chứng nhận quyền sử dụng đất đã cung cấp cho chúng tôi.</w:t>
      </w:r>
      <w:r/>
    </w:p>
    <w:p>
      <w:pPr>
        <w:numPr>
          <w:ilvl w:val="0"/>
          <w:numId w:val="46"/>
        </w:numPr>
        <w:pBdr>
          <w:top w:val="none" w:color="000000" w:sz="4" w:space="0"/>
          <w:left w:val="none" w:color="000000" w:sz="4" w:space="0"/>
          <w:bottom w:val="none" w:color="000000" w:sz="4" w:space="0"/>
          <w:right w:val="none" w:color="000000" w:sz="4" w:space="0"/>
        </w:pBdr>
        <w:spacing w:after="120" w:before="120" w:line="312" w:lineRule="auto"/>
        <w:ind/>
        <w:jc w:val="both"/>
        <w:rPr/>
      </w:pPr>
      <w:r>
        <w:rPr>
          <w:rFonts w:ascii="Times New Roman" w:hAnsi="Times New Roman" w:eastAsia="Times New Roman" w:cs="Times New Roman"/>
          <w:color w:val="000000"/>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z w:val="24"/>
        </w:rPr>
        <w:t xml:space="preserve"> trừ mọi trách nhiệm phát sinh, liên đới (nếu có) trong trường hợp này.</w:t>
      </w:r>
      <w:r/>
    </w:p>
    <w:p>
      <w:pPr>
        <w:numPr>
          <w:ilvl w:val="0"/>
          <w:numId w:val="46"/>
        </w:numPr>
        <w:pBdr>
          <w:top w:val="none" w:color="000000" w:sz="4" w:space="0"/>
          <w:left w:val="none" w:color="000000" w:sz="4" w:space="0"/>
          <w:bottom w:val="none" w:color="000000" w:sz="4" w:space="0"/>
          <w:right w:val="none" w:color="000000" w:sz="4" w:space="0"/>
        </w:pBdr>
        <w:spacing w:after="120" w:before="120" w:line="312" w:lineRule="auto"/>
        <w:ind/>
        <w:jc w:val="both"/>
        <w:rPr/>
      </w:pPr>
      <w:r>
        <w:rPr>
          <w:rFonts w:ascii="Times New Roman" w:hAnsi="Times New Roman" w:eastAsia="Times New Roman" w:cs="Times New Roman"/>
          <w:color w:val="000000"/>
          <w:spacing w:val="2"/>
          <w:sz w:val="24"/>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 còn lại của Công trình xây dựng của chúng tôi chỉ dựa vào c</w:t>
      </w:r>
      <w:r>
        <w:rPr>
          <w:rFonts w:ascii="Times New Roman" w:hAnsi="Times New Roman" w:eastAsia="Times New Roman" w:cs="Times New Roman"/>
          <w:color w:val="000000"/>
          <w:spacing w:val="2"/>
          <w:sz w:val="24"/>
        </w:rPr>
        <w:t xml:space="preserve">ác văn bản pháp quy hiện hành và qua khảo sát thực tế độc lập, minh bạch dưới sự hướng dẫn khảo sát của các bên liên quan. Vì vậy, chất lượng còn lại của tài sản được trình bày trên báo cáo này chỉ mang tính ước lượng chủ quan của Chúng tôi và nó không nhấ</w:t>
      </w:r>
      <w:r>
        <w:rPr>
          <w:rFonts w:ascii="Times New Roman" w:hAnsi="Times New Roman" w:eastAsia="Times New Roman" w:cs="Times New Roman"/>
          <w:color w:val="000000"/>
          <w:spacing w:val="2"/>
          <w:sz w:val="24"/>
        </w:rPr>
        <w:t xml:space="preserve">t thiết phải trùng khớp kết quả với bất kỳ bên thứ ba nào khác cùng đưa ra các đánh giá này. Việc ảnh hưởng của các ước lượng này (nếu có) nó không thuộc nghĩa vụ bắt buộc liên quan đến chúng tôi vì chúng tôi không phải là đơn vị có chức năng thực hiện kiể</w:t>
      </w:r>
      <w:r>
        <w:rPr>
          <w:rFonts w:ascii="Times New Roman" w:hAnsi="Times New Roman" w:eastAsia="Times New Roman" w:cs="Times New Roman"/>
          <w:color w:val="000000"/>
          <w:spacing w:val="2"/>
          <w:sz w:val="24"/>
        </w:rPr>
        <w:t xml:space="preserve">m định hay những chuyên gia kỹ thuật thuộc các lĩnh vực này.</w:t>
      </w:r>
      <w:r/>
    </w:p>
    <w:p>
      <w:pPr>
        <w:numPr>
          <w:ilvl w:val="0"/>
          <w:numId w:val="42"/>
        </w:numPr>
        <w:pBdr>
          <w:top w:val="none" w:color="000000" w:sz="4" w:space="0"/>
          <w:left w:val="none" w:color="000000" w:sz="4" w:space="0"/>
          <w:bottom w:val="none" w:color="000000" w:sz="4" w:space="0"/>
          <w:right w:val="none" w:color="000000" w:sz="4" w:space="0"/>
        </w:pBdr>
        <w:spacing w:after="120" w:before="120" w:line="312" w:lineRule="auto"/>
        <w:ind/>
        <w:jc w:val="both"/>
        <w:rPr/>
      </w:pPr>
      <w:r>
        <w:rPr>
          <w:rFonts w:ascii="Times New Roman" w:hAnsi="Times New Roman" w:eastAsia="Times New Roman" w:cs="Times New Roman"/>
          <w:color w:val="000000"/>
          <w:sz w:val="24"/>
        </w:rPr>
        <w:t xml:space="preserve">Tại thời điểm khảo sát, trên đất có 4 công trình xây dựng là: Khu lưu trữ rác thải rắn; Nhà để xe, Nhà Bảo vệ; Hồ kiểm chứng, chứa nước PCCC, các công trình xây dựng này đều chưa được chứng nhận trên GCN QSDĐ số CS 666759. Ngoài ra, Tổ thẩm định không nhận</w:t>
      </w:r>
      <w:r>
        <w:rPr>
          <w:rFonts w:ascii="Times New Roman" w:hAnsi="Times New Roman" w:eastAsia="Times New Roman" w:cs="Times New Roman"/>
          <w:color w:val="000000"/>
          <w:sz w:val="24"/>
        </w:rPr>
        <w:t xml:space="preserve"> được các hồ sơ pháp lý khác liên quan đến các công trình xây dựng này. Do vậy, theo yêu cầu của Ngân hàng/khách hàng, Tổ thẩm định chỉ ước tính giá trị của các Công trình trên theo khảo sát và đo đạc thực tế, giá trị công trình xây dựng chỉ mang tính chất</w:t>
      </w:r>
      <w:r>
        <w:rPr>
          <w:rFonts w:ascii="Times New Roman" w:hAnsi="Times New Roman" w:eastAsia="Times New Roman" w:cs="Times New Roman"/>
          <w:color w:val="000000"/>
          <w:sz w:val="24"/>
        </w:rPr>
        <w:t xml:space="preserve"> tham khảo. Ngoài ra, Tổ thẩm định không có trách nhiệm xác minh chủ sở hữu công trình xây dựng trên. Kính đề nghị đơn vị sử dụng kết quả lưu ý. </w:t>
      </w:r>
      <w:r/>
    </w:p>
    <w:p>
      <w:pPr>
        <w:numPr>
          <w:ilvl w:val="0"/>
          <w:numId w:val="42"/>
        </w:numPr>
        <w:pBdr>
          <w:top w:val="none" w:color="000000" w:sz="4" w:space="0"/>
          <w:left w:val="none" w:color="000000" w:sz="4" w:space="0"/>
          <w:bottom w:val="none" w:color="000000" w:sz="4" w:space="0"/>
          <w:right w:val="none" w:color="000000" w:sz="4" w:space="0"/>
        </w:pBdr>
        <w:spacing w:after="120" w:before="120" w:line="312" w:lineRule="auto"/>
        <w:ind/>
        <w:jc w:val="both"/>
        <w:rPr/>
      </w:pPr>
      <w:r>
        <w:rPr>
          <w:rFonts w:ascii="Times New Roman" w:hAnsi="Times New Roman" w:eastAsia="Times New Roman" w:cs="Times New Roman"/>
          <w:color w:val="000000"/>
          <w:sz w:val="24"/>
        </w:rPr>
        <w:t xml:space="preserve">Tại thời điểm khảo sát, trên đất có 02 công trình xây dựng cầu Container và Trạm cân. Tổ thẩm định không được cũng cấp đầy đủ hồ sơ pháp lý, thông số kỹ thuật nên không có căn cứ để thẩm định giá trị tài sản. Do vậy, theo yêu cầu của Ngân hàng/khách hàng</w:t>
      </w:r>
      <w:r>
        <w:rPr>
          <w:rFonts w:ascii="Times New Roman" w:hAnsi="Times New Roman" w:eastAsia="Times New Roman" w:cs="Times New Roman"/>
          <w:color w:val="000000"/>
          <w:spacing w:val="2"/>
          <w:sz w:val="24"/>
        </w:rPr>
        <w:t xml:space="preserve"> Tổ thẩm định không xác định giá trị 02 công trình còn lại này vào tổng giá trị tài sản, nhưng vẫn coi đó là phần không thể tách rời của tài sản thẩm định</w:t>
      </w:r>
      <w:r>
        <w:rPr>
          <w:rFonts w:ascii="Times New Roman" w:hAnsi="Times New Roman" w:eastAsia="Times New Roman" w:cs="Times New Roman"/>
          <w:color w:val="000000"/>
          <w:sz w:val="24"/>
        </w:rPr>
        <w:t xml:space="preserve">.</w:t>
      </w:r>
      <w:r/>
    </w:p>
    <w:p>
      <w:pPr>
        <w:numPr>
          <w:ilvl w:val="0"/>
          <w:numId w:val="42"/>
        </w:numPr>
        <w:pBdr>
          <w:top w:val="none" w:color="000000" w:sz="4" w:space="0"/>
          <w:left w:val="none" w:color="000000" w:sz="4" w:space="0"/>
          <w:bottom w:val="none" w:color="000000" w:sz="4" w:space="0"/>
          <w:right w:val="none" w:color="000000" w:sz="4" w:space="0"/>
        </w:pBdr>
        <w:spacing w:after="120" w:before="120" w:line="312" w:lineRule="auto"/>
        <w:ind/>
        <w:jc w:val="both"/>
        <w:rPr/>
      </w:pPr>
      <w:r>
        <w:rPr>
          <w:rFonts w:ascii="Times New Roman" w:hAnsi="Times New Roman" w:eastAsia="Times New Roman" w:cs="Times New Roman"/>
          <w:color w:val="000000"/>
          <w:sz w:val="24"/>
        </w:rPr>
        <w:t xml:space="preserve">Tổ thẩm định giá sử dụng Phương pháp so sánh để xác định giá trị tài sản thẩm định giá trong đó  việc thu thập thông tin TSSS đã giao dịch thành công còn gặp nhiều hạn chế, vì vậy, Tổ thẩm định giá sử dụng các TSSS là các tài sản đang được rao bán trên thị</w:t>
      </w:r>
      <w:r>
        <w:rPr>
          <w:rFonts w:ascii="Times New Roman" w:hAnsi="Times New Roman" w:eastAsia="Times New Roman" w:cs="Times New Roman"/>
          <w:color w:val="000000"/>
          <w:sz w:val="24"/>
        </w:rPr>
        <w:t xml:space="preserve"> trường. Kết quả thẩm định giá có thể thay đổi khi các TSSS được giao dịch thành công. Khách hàng và các bên thứ ba khi sử dụng kết quả thẩm định giá cần lưu ý khi sử dụng Chứng thư thẩm định giá.</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312" w:lineRule="auto"/>
        <w:ind/>
        <w:jc w:val="both"/>
        <w:rPr/>
      </w:pPr>
      <w:r>
        <w:rPr>
          <w:rFonts w:ascii="Times New Roman" w:hAnsi="Times New Roman" w:eastAsia="Times New Roman" w:cs="Times New Roman"/>
          <w:color w:val="000000"/>
          <w:sz w:val="24"/>
        </w:rPr>
        <w:t xml:space="preserve">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w:t>
      </w:r>
      <w:r>
        <w:rPr>
          <w:rFonts w:ascii="Times New Roman" w:hAnsi="Times New Roman" w:eastAsia="Times New Roman" w:cs="Times New Roman"/>
          <w:color w:val="000000"/>
          <w:sz w:val="24"/>
        </w:rPr>
        <w:t xml:space="preserve">định giá.</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312" w:lineRule="auto"/>
        <w:ind/>
        <w:jc w:val="both"/>
        <w:rPr/>
      </w:pPr>
      <w:r>
        <w:rPr>
          <w:rFonts w:ascii="Times New Roman" w:hAnsi="Times New Roman" w:eastAsia="Times New Roman" w:cs="Times New Roman"/>
          <w:color w:val="000000"/>
          <w:sz w:val="24"/>
          <w:u w:val="none"/>
        </w:rPr>
        <w:t xml:space="preserve">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w:t>
      </w:r>
      <w:r>
        <w:rPr>
          <w:rFonts w:ascii="Times New Roman" w:hAnsi="Times New Roman" w:eastAsia="Times New Roman" w:cs="Times New Roman"/>
          <w:color w:val="000000"/>
          <w:sz w:val="24"/>
          <w:u w:val="none"/>
        </w:rPr>
        <w:t xml:space="preserve">kết quả…. và chấp nhận sử dụng tất cả nội dung được trình bày trong chứng thư này.</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rPr/>
      </w:pPr>
      <w:r>
        <w:rPr>
          <w:rFonts w:ascii="Times New Roman" w:hAnsi="Times New Roman" w:eastAsia="Times New Roman" w:cs="Times New Roman"/>
          <w:b/>
          <w:color w:val="000000"/>
          <w:sz w:val="24"/>
        </w:rPr>
        <w:t xml:space="preserve">XII. CÁC PHỤ LỤC KÈM THEO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12" w:lineRule="auto"/>
        <w:ind w:right="0" w:firstLine="0" w:left="0"/>
        <w:jc w:val="both"/>
        <w:rPr/>
      </w:pPr>
      <w:r>
        <w:rPr>
          <w:rFonts w:ascii="Times New Roman" w:hAnsi="Times New Roman" w:eastAsia="Times New Roman" w:cs="Times New Roman"/>
          <w:color w:val="000000"/>
          <w:sz w:val="24"/>
        </w:rPr>
        <w:t xml:space="preserve">Phụ lục 1: Hình ảnh hiện trạng của tài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12" w:lineRule="auto"/>
        <w:ind w:right="0" w:firstLine="0" w:left="0"/>
        <w:jc w:val="both"/>
        <w:rPr/>
      </w:pPr>
      <w:r>
        <w:rPr>
          <w:rFonts w:ascii="Times New Roman" w:hAnsi="Times New Roman" w:eastAsia="Times New Roman" w:cs="Times New Roman"/>
          <w:color w:val="000000"/>
          <w:sz w:val="24"/>
        </w:rPr>
        <w:t xml:space="preserve">Phụ lục 2: Thông tin thu thập thị trường.</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Báo cáo kết quả thẩm định giá được phát hành 03 (ba) bản chính bằng tiếng Việt kèm theo Chứng thư thẩm định giá số 275/2026/0585/VFI-CT.44.A ngày 15 tháng 4 năm 2026 tại Công ty Cổ phần Thẩm định và Đầu tư Tài chính Hoa Sen.</w:t>
      </w:r>
      <w:r/>
    </w:p>
    <w:tbl>
      <w:tblPr>
        <w:tblStyle w:val="860"/>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CHỦ TỊCH HĐQT KIÊM TỔNG GIÁM ĐỐC</w:t>
            </w:r>
            <w:r/>
          </w:p>
        </w:tc>
      </w:tr>
      <w:tr>
        <w:trPr>
          <w:trHeight w:val="143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Nguyễn Thị Thùy Dương </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Số thẻ thẩm định viên về giá: XVI25TS.2576</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none"/>
        </w:rPr>
        <w:t xml:space="preserve"> </w:t>
      </w:r>
      <w:r/>
    </w:p>
    <w:tbl>
      <w:tblPr>
        <w:tblStyle w:val="860"/>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TRỢ LÝ THẨM ĐỊNH VIÊN</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KIỂM SOÁT VIÊN</w:t>
            </w:r>
            <w:r/>
          </w:p>
        </w:tc>
      </w:tr>
      <w:tr>
        <w:trPr>
          <w:trHeight w:val="143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Lê Đình Duy</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Nguyễn Thị Thùy</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single"/>
        </w:rPr>
        <w:t xml:space="preserve">PHỤ LỤC 01</w:t>
      </w:r>
      <w:r>
        <w:rPr>
          <w:rFonts w:ascii="Times New Roman" w:hAnsi="Times New Roman" w:eastAsia="Times New Roman" w:cs="Times New Roman"/>
          <w:b/>
          <w:color w:val="000000"/>
          <w:sz w:val="24"/>
        </w:rPr>
        <w:t xml:space="preserve">: THÔNG TIN HIỆN TRẠNG VÀ PHÁP LÝ CỦA TÀI SẢN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275/2026/0585/VFI-BC.44.A ngày 15 tháng 4 năm 2026 của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Cổng vào</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801"/>
        <w:gridCol w:w="4724"/>
      </w:tblGrid>
      <w:tr>
        <w:trPr/>
        <w:tc>
          <w:tcPr>
            <w:tcBorders/>
            <w:tcMar>
              <w:left w:w="108" w:type="dxa"/>
              <w:top w:w="0" w:type="dxa"/>
              <w:right w:w="108" w:type="dxa"/>
              <w:bottom w:w="0" w:type="dxa"/>
            </w:tcMar>
            <w:tcW w:w="4801"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2962275" cy="221932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54242" name=""/>
                              <pic:cNvPicPr>
                                <a:picLocks noChangeAspect="1"/>
                              </pic:cNvPicPr>
                              <pic:nvPr/>
                            </pic:nvPicPr>
                            <pic:blipFill rotWithShape="1">
                              <a:blip r:embed="rId18"/>
                              <a:stretch/>
                            </pic:blipFill>
                            <pic:spPr bwMode="auto">
                              <a:xfrm>
                                <a:off x="0" y="0"/>
                                <a:ext cx="2962274" cy="22193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233.25pt;height:174.75pt;mso-wrap-distance-left:0.00pt;mso-wrap-distance-top:0.00pt;mso-wrap-distance-right:0.00pt;mso-wrap-distance-bottom:0.00pt;z-index:1;" stroked="false">
                      <v:imagedata r:id="rId18" o:title=""/>
                      <o:lock v:ext="edit" rotation="t"/>
                    </v:shape>
                  </w:pict>
                </mc:Fallback>
              </mc:AlternateContent>
            </w:r>
            <w:r/>
          </w:p>
        </w:tc>
        <w:tc>
          <w:tcPr>
            <w:tcBorders/>
            <w:tcMar>
              <w:left w:w="108" w:type="dxa"/>
              <w:top w:w="0" w:type="dxa"/>
              <w:right w:w="108" w:type="dxa"/>
              <w:bottom w:w="0" w:type="dxa"/>
            </w:tcMar>
            <w:tcW w:w="4724"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2924175" cy="219075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58215" name=""/>
                              <pic:cNvPicPr>
                                <a:picLocks noChangeAspect="1"/>
                              </pic:cNvPicPr>
                              <pic:nvPr/>
                            </pic:nvPicPr>
                            <pic:blipFill rotWithShape="1">
                              <a:blip r:embed="rId19"/>
                              <a:stretch/>
                            </pic:blipFill>
                            <pic:spPr bwMode="auto">
                              <a:xfrm>
                                <a:off x="0" y="0"/>
                                <a:ext cx="2924174" cy="21907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30.25pt;height:172.50pt;mso-wrap-distance-left:0.00pt;mso-wrap-distance-top:0.00pt;mso-wrap-distance-right:0.00pt;mso-wrap-distance-bottom:0.00pt;z-index:1;" stroked="false">
                      <v:imagedata r:id="rId19"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Nhà kho nguyên vật liệu, kho thành phẩm</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801"/>
        <w:gridCol w:w="4724"/>
      </w:tblGrid>
      <w:tr>
        <w:trPr/>
        <w:tc>
          <w:tcPr>
            <w:tcBorders/>
            <w:tcMar>
              <w:left w:w="108" w:type="dxa"/>
              <w:top w:w="0" w:type="dxa"/>
              <w:right w:w="108" w:type="dxa"/>
              <w:bottom w:w="0" w:type="dxa"/>
            </w:tcMar>
            <w:tcW w:w="4801"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3000375" cy="224790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60565" name=""/>
                              <pic:cNvPicPr>
                                <a:picLocks noChangeAspect="1"/>
                              </pic:cNvPicPr>
                              <pic:nvPr/>
                            </pic:nvPicPr>
                            <pic:blipFill rotWithShape="1">
                              <a:blip r:embed="rId20"/>
                              <a:stretch/>
                            </pic:blipFill>
                            <pic:spPr bwMode="auto">
                              <a:xfrm>
                                <a:off x="0" y="0"/>
                                <a:ext cx="3000375" cy="22478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36.25pt;height:177.00pt;mso-wrap-distance-left:0.00pt;mso-wrap-distance-top:0.00pt;mso-wrap-distance-right:0.00pt;mso-wrap-distance-bottom:0.00pt;z-index:1;" stroked="false">
                      <v:imagedata r:id="rId20" o:title=""/>
                      <o:lock v:ext="edit" rotation="t"/>
                    </v:shape>
                  </w:pict>
                </mc:Fallback>
              </mc:AlternateContent>
            </w:r>
            <w:r/>
          </w:p>
        </w:tc>
        <w:tc>
          <w:tcPr>
            <w:tcBorders/>
            <w:tcMar>
              <w:left w:w="108" w:type="dxa"/>
              <w:top w:w="0" w:type="dxa"/>
              <w:right w:w="108" w:type="dxa"/>
              <w:bottom w:w="0" w:type="dxa"/>
            </w:tcMar>
            <w:tcW w:w="4724"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3067050" cy="230505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61328" name=""/>
                              <pic:cNvPicPr>
                                <a:picLocks noChangeAspect="1"/>
                              </pic:cNvPicPr>
                              <pic:nvPr/>
                            </pic:nvPicPr>
                            <pic:blipFill rotWithShape="1">
                              <a:blip r:embed="rId21"/>
                              <a:stretch/>
                            </pic:blipFill>
                            <pic:spPr bwMode="auto">
                              <a:xfrm>
                                <a:off x="0" y="0"/>
                                <a:ext cx="3067049" cy="23050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41.50pt;height:181.50pt;mso-wrap-distance-left:0.00pt;mso-wrap-distance-top:0.00pt;mso-wrap-distance-right:0.00pt;mso-wrap-distance-bottom:0.00pt;z-index:1;" stroked="false">
                      <v:imagedata r:id="rId21"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Nhà xử lý bông</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801"/>
        <w:gridCol w:w="4724"/>
      </w:tblGrid>
      <w:tr>
        <w:trPr/>
        <w:tc>
          <w:tcPr>
            <w:tcBorders/>
            <w:tcMar>
              <w:left w:w="108" w:type="dxa"/>
              <w:top w:w="0" w:type="dxa"/>
              <w:right w:w="108" w:type="dxa"/>
              <w:bottom w:w="0" w:type="dxa"/>
            </w:tcMar>
            <w:tcW w:w="4801"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2895600" cy="21717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904589" name=""/>
                              <pic:cNvPicPr>
                                <a:picLocks noChangeAspect="1"/>
                              </pic:cNvPicPr>
                              <pic:nvPr/>
                            </pic:nvPicPr>
                            <pic:blipFill rotWithShape="1">
                              <a:blip r:embed="rId22"/>
                              <a:stretch/>
                            </pic:blipFill>
                            <pic:spPr bwMode="auto">
                              <a:xfrm>
                                <a:off x="0" y="0"/>
                                <a:ext cx="2895599" cy="21717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28.00pt;height:171.00pt;mso-wrap-distance-left:0.00pt;mso-wrap-distance-top:0.00pt;mso-wrap-distance-right:0.00pt;mso-wrap-distance-bottom:0.00pt;z-index:1;" stroked="false">
                      <v:imagedata r:id="rId22" o:title=""/>
                      <o:lock v:ext="edit" rotation="t"/>
                    </v:shape>
                  </w:pict>
                </mc:Fallback>
              </mc:AlternateContent>
            </w:r>
            <w:r/>
          </w:p>
        </w:tc>
        <w:tc>
          <w:tcPr>
            <w:tcBorders/>
            <w:tcMar>
              <w:left w:w="108" w:type="dxa"/>
              <w:top w:w="0" w:type="dxa"/>
              <w:right w:w="108" w:type="dxa"/>
              <w:bottom w:w="0" w:type="dxa"/>
            </w:tcMar>
            <w:tcW w:w="4724"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2895600" cy="21717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33445" name=""/>
                              <pic:cNvPicPr>
                                <a:picLocks noChangeAspect="1"/>
                              </pic:cNvPicPr>
                              <pic:nvPr/>
                            </pic:nvPicPr>
                            <pic:blipFill rotWithShape="1">
                              <a:blip r:embed="rId23"/>
                              <a:stretch/>
                            </pic:blipFill>
                            <pic:spPr bwMode="auto">
                              <a:xfrm>
                                <a:off x="0" y="0"/>
                                <a:ext cx="2895599" cy="21717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28.00pt;height:171.00pt;mso-wrap-distance-left:0.00pt;mso-wrap-distance-top:0.00pt;mso-wrap-distance-right:0.00pt;mso-wrap-distance-bottom:0.00pt;z-index:1;" stroked="false">
                      <v:imagedata r:id="rId23"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Nhà ăn + nhà vệ sinh</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801"/>
        <w:gridCol w:w="4724"/>
      </w:tblGrid>
      <w:tr>
        <w:trPr/>
        <w:tc>
          <w:tcPr>
            <w:tcBorders/>
            <w:tcMar>
              <w:left w:w="108" w:type="dxa"/>
              <w:top w:w="0" w:type="dxa"/>
              <w:right w:w="108" w:type="dxa"/>
              <w:bottom w:w="0" w:type="dxa"/>
            </w:tcMar>
            <w:tcW w:w="4801"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3067050" cy="230505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93674" name=""/>
                              <pic:cNvPicPr>
                                <a:picLocks noChangeAspect="1"/>
                              </pic:cNvPicPr>
                              <pic:nvPr/>
                            </pic:nvPicPr>
                            <pic:blipFill rotWithShape="1">
                              <a:blip r:embed="rId24"/>
                              <a:stretch/>
                            </pic:blipFill>
                            <pic:spPr bwMode="auto">
                              <a:xfrm>
                                <a:off x="0" y="0"/>
                                <a:ext cx="3067049" cy="23050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41.50pt;height:181.50pt;mso-wrap-distance-left:0.00pt;mso-wrap-distance-top:0.00pt;mso-wrap-distance-right:0.00pt;mso-wrap-distance-bottom:0.00pt;z-index:1;" stroked="false">
                      <v:imagedata r:id="rId24" o:title=""/>
                      <o:lock v:ext="edit" rotation="t"/>
                    </v:shape>
                  </w:pict>
                </mc:Fallback>
              </mc:AlternateContent>
            </w:r>
            <w:r/>
          </w:p>
        </w:tc>
        <w:tc>
          <w:tcPr>
            <w:tcBorders/>
            <w:tcMar>
              <w:left w:w="108" w:type="dxa"/>
              <w:top w:w="0" w:type="dxa"/>
              <w:right w:w="108" w:type="dxa"/>
              <w:bottom w:w="0" w:type="dxa"/>
            </w:tcMar>
            <w:tcW w:w="4724"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3209925" cy="240982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32091" name=""/>
                              <pic:cNvPicPr>
                                <a:picLocks noChangeAspect="1"/>
                              </pic:cNvPicPr>
                              <pic:nvPr/>
                            </pic:nvPicPr>
                            <pic:blipFill rotWithShape="1">
                              <a:blip r:embed="rId25"/>
                              <a:stretch/>
                            </pic:blipFill>
                            <pic:spPr bwMode="auto">
                              <a:xfrm>
                                <a:off x="0" y="0"/>
                                <a:ext cx="3209924" cy="24098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52.75pt;height:189.75pt;mso-wrap-distance-left:0.00pt;mso-wrap-distance-top:0.00pt;mso-wrap-distance-right:0.00pt;mso-wrap-distance-bottom:0.00pt;z-index:1;" stroked="false">
                      <v:imagedata r:id="rId25" o:title=""/>
                      <o:lock v:ext="edit" rotation="t"/>
                    </v:shape>
                  </w:pict>
                </mc:Fallback>
              </mc:AlternateContent>
            </w:r>
            <w:r/>
          </w:p>
        </w:tc>
      </w:tr>
      <w:tr>
        <w:trPr/>
        <w:tc>
          <w:tcPr>
            <w:tcBorders/>
            <w:tcMar>
              <w:left w:w="108" w:type="dxa"/>
              <w:top w:w="0" w:type="dxa"/>
              <w:right w:w="108" w:type="dxa"/>
              <w:bottom w:w="0" w:type="dxa"/>
            </w:tcMar>
            <w:tcW w:w="4801"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2924175" cy="219075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5399" name=""/>
                              <pic:cNvPicPr>
                                <a:picLocks noChangeAspect="1"/>
                              </pic:cNvPicPr>
                              <pic:nvPr/>
                            </pic:nvPicPr>
                            <pic:blipFill rotWithShape="1">
                              <a:blip r:embed="rId26"/>
                              <a:stretch/>
                            </pic:blipFill>
                            <pic:spPr bwMode="auto">
                              <a:xfrm>
                                <a:off x="0" y="0"/>
                                <a:ext cx="2924174" cy="21907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30.25pt;height:172.50pt;mso-wrap-distance-left:0.00pt;mso-wrap-distance-top:0.00pt;mso-wrap-distance-right:0.00pt;mso-wrap-distance-bottom:0.00pt;z-index:1;" stroked="false">
                      <v:imagedata r:id="rId26" o:title=""/>
                      <o:lock v:ext="edit" rotation="t"/>
                    </v:shape>
                  </w:pict>
                </mc:Fallback>
              </mc:AlternateContent>
            </w:r>
            <w:r/>
          </w:p>
        </w:tc>
        <w:tc>
          <w:tcPr>
            <w:tcBorders/>
            <w:tcMar>
              <w:left w:w="108" w:type="dxa"/>
              <w:top w:w="0" w:type="dxa"/>
              <w:right w:w="108" w:type="dxa"/>
              <w:bottom w:w="0" w:type="dxa"/>
            </w:tcMar>
            <w:tcW w:w="4724"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2981325" cy="2238375"/>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41859" name=""/>
                              <pic:cNvPicPr>
                                <a:picLocks noChangeAspect="1"/>
                              </pic:cNvPicPr>
                              <pic:nvPr/>
                            </pic:nvPicPr>
                            <pic:blipFill rotWithShape="1">
                              <a:blip r:embed="rId27"/>
                              <a:stretch/>
                            </pic:blipFill>
                            <pic:spPr bwMode="auto">
                              <a:xfrm>
                                <a:off x="0" y="0"/>
                                <a:ext cx="2981324" cy="22383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34.75pt;height:176.25pt;mso-wrap-distance-left:0.00pt;mso-wrap-distance-top:0.00pt;mso-wrap-distance-right:0.00pt;mso-wrap-distance-bottom:0.00pt;z-index:1;" stroked="false">
                      <v:imagedata r:id="rId27"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none"/>
        </w:rPr>
        <w:t xml:space="preserve">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Nhà xưởng sản xuất và khu nhà phụ trợ sản xuất</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689"/>
        <w:gridCol w:w="4836"/>
      </w:tblGrid>
      <w:tr>
        <w:trPr/>
        <w:tc>
          <w:tcPr>
            <w:tcBorders/>
            <w:tcMar>
              <w:left w:w="108" w:type="dxa"/>
              <w:top w:w="0" w:type="dxa"/>
              <w:right w:w="108" w:type="dxa"/>
              <w:bottom w:w="0" w:type="dxa"/>
            </w:tcMar>
            <w:tcW w:w="4689"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2914650" cy="2181225"/>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25179" name=""/>
                              <pic:cNvPicPr>
                                <a:picLocks noChangeAspect="1"/>
                              </pic:cNvPicPr>
                              <pic:nvPr/>
                            </pic:nvPicPr>
                            <pic:blipFill rotWithShape="1">
                              <a:blip r:embed="rId28"/>
                              <a:stretch/>
                            </pic:blipFill>
                            <pic:spPr bwMode="auto">
                              <a:xfrm>
                                <a:off x="0" y="0"/>
                                <a:ext cx="2914650" cy="2181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29.50pt;height:171.75pt;mso-wrap-distance-left:0.00pt;mso-wrap-distance-top:0.00pt;mso-wrap-distance-right:0.00pt;mso-wrap-distance-bottom:0.00pt;z-index:1;" stroked="false">
                      <v:imagedata r:id="rId28" o:title=""/>
                      <o:lock v:ext="edit" rotation="t"/>
                    </v:shape>
                  </w:pict>
                </mc:Fallback>
              </mc:AlternateContent>
            </w:r>
            <w:r/>
          </w:p>
        </w:tc>
        <w:tc>
          <w:tcPr>
            <w:tcBorders/>
            <w:tcMar>
              <w:left w:w="108" w:type="dxa"/>
              <w:top w:w="0" w:type="dxa"/>
              <w:right w:w="108" w:type="dxa"/>
              <w:bottom w:w="0" w:type="dxa"/>
            </w:tcMar>
            <w:tcW w:w="4836"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3009900" cy="2257425"/>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01057" name=""/>
                              <pic:cNvPicPr>
                                <a:picLocks noChangeAspect="1"/>
                              </pic:cNvPicPr>
                              <pic:nvPr/>
                            </pic:nvPicPr>
                            <pic:blipFill rotWithShape="1">
                              <a:blip r:embed="rId29"/>
                              <a:stretch/>
                            </pic:blipFill>
                            <pic:spPr bwMode="auto">
                              <a:xfrm>
                                <a:off x="0" y="0"/>
                                <a:ext cx="3009899" cy="22574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37.00pt;height:177.75pt;mso-wrap-distance-left:0.00pt;mso-wrap-distance-top:0.00pt;mso-wrap-distance-right:0.00pt;mso-wrap-distance-bottom:0.00pt;z-index:1;" stroked="false">
                      <v:imagedata r:id="rId29" o:title=""/>
                      <o:lock v:ext="edit" rotation="t"/>
                    </v:shape>
                  </w:pict>
                </mc:Fallback>
              </mc:AlternateContent>
            </w:r>
            <w:r/>
          </w:p>
        </w:tc>
      </w:tr>
      <w:tr>
        <w:trPr/>
        <w:tc>
          <w:tcPr>
            <w:tcBorders/>
            <w:tcMar>
              <w:left w:w="108" w:type="dxa"/>
              <w:top w:w="0" w:type="dxa"/>
              <w:right w:w="108" w:type="dxa"/>
              <w:bottom w:w="0" w:type="dxa"/>
            </w:tcMar>
            <w:tcW w:w="4689"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2819400" cy="211455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023986" name=""/>
                              <pic:cNvPicPr>
                                <a:picLocks noChangeAspect="1"/>
                              </pic:cNvPicPr>
                              <pic:nvPr/>
                            </pic:nvPicPr>
                            <pic:blipFill rotWithShape="1">
                              <a:blip r:embed="rId30"/>
                              <a:stretch/>
                            </pic:blipFill>
                            <pic:spPr bwMode="auto">
                              <a:xfrm>
                                <a:off x="0" y="0"/>
                                <a:ext cx="2819399" cy="21145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22.00pt;height:166.50pt;mso-wrap-distance-left:0.00pt;mso-wrap-distance-top:0.00pt;mso-wrap-distance-right:0.00pt;mso-wrap-distance-bottom:0.00pt;z-index:1;" stroked="false">
                      <v:imagedata r:id="rId30" o:title=""/>
                      <o:lock v:ext="edit" rotation="t"/>
                    </v:shape>
                  </w:pict>
                </mc:Fallback>
              </mc:AlternateContent>
            </w:r>
            <w:r/>
          </w:p>
        </w:tc>
        <w:tc>
          <w:tcPr>
            <w:tcBorders/>
            <w:tcMar>
              <w:left w:w="108" w:type="dxa"/>
              <w:top w:w="0" w:type="dxa"/>
              <w:right w:w="108" w:type="dxa"/>
              <w:bottom w:w="0" w:type="dxa"/>
            </w:tcMar>
            <w:tcW w:w="4836"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2886075" cy="217170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24070" name=""/>
                              <pic:cNvPicPr>
                                <a:picLocks noChangeAspect="1"/>
                              </pic:cNvPicPr>
                              <pic:nvPr/>
                            </pic:nvPicPr>
                            <pic:blipFill rotWithShape="1">
                              <a:blip r:embed="rId31"/>
                              <a:stretch/>
                            </pic:blipFill>
                            <pic:spPr bwMode="auto">
                              <a:xfrm>
                                <a:off x="0" y="0"/>
                                <a:ext cx="2886075" cy="21717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27.25pt;height:171.00pt;mso-wrap-distance-left:0.00pt;mso-wrap-distance-top:0.00pt;mso-wrap-distance-right:0.00pt;mso-wrap-distance-bottom:0.00pt;z-index:1;" stroked="false">
                      <v:imagedata r:id="rId31"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Nhà xưởng sản xuất và khu nhà phụ trợ sản xuất</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689"/>
        <w:gridCol w:w="4836"/>
      </w:tblGrid>
      <w:tr>
        <w:trPr/>
        <w:tc>
          <w:tcPr>
            <w:tcBorders/>
            <w:tcMar>
              <w:left w:w="108" w:type="dxa"/>
              <w:top w:w="0" w:type="dxa"/>
              <w:right w:w="108" w:type="dxa"/>
              <w:bottom w:w="0" w:type="dxa"/>
            </w:tcMar>
            <w:tcW w:w="4689"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2914650" cy="2181225"/>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86703" name=""/>
                              <pic:cNvPicPr>
                                <a:picLocks noChangeAspect="1"/>
                              </pic:cNvPicPr>
                              <pic:nvPr/>
                            </pic:nvPicPr>
                            <pic:blipFill rotWithShape="1">
                              <a:blip r:embed="rId32"/>
                              <a:stretch/>
                            </pic:blipFill>
                            <pic:spPr bwMode="auto">
                              <a:xfrm>
                                <a:off x="0" y="0"/>
                                <a:ext cx="2914650" cy="2181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229.50pt;height:171.75pt;mso-wrap-distance-left:0.00pt;mso-wrap-distance-top:0.00pt;mso-wrap-distance-right:0.00pt;mso-wrap-distance-bottom:0.00pt;z-index:1;" stroked="false">
                      <v:imagedata r:id="rId32" o:title=""/>
                      <o:lock v:ext="edit" rotation="t"/>
                    </v:shape>
                  </w:pict>
                </mc:Fallback>
              </mc:AlternateContent>
            </w:r>
            <w:r/>
          </w:p>
        </w:tc>
        <w:tc>
          <w:tcPr>
            <w:tcBorders/>
            <w:tcMar>
              <w:left w:w="108" w:type="dxa"/>
              <w:top w:w="0" w:type="dxa"/>
              <w:right w:w="108" w:type="dxa"/>
              <w:bottom w:w="0" w:type="dxa"/>
            </w:tcMar>
            <w:tcW w:w="4836"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3009900" cy="2257425"/>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08807" name=""/>
                              <pic:cNvPicPr>
                                <a:picLocks noChangeAspect="1"/>
                              </pic:cNvPicPr>
                              <pic:nvPr/>
                            </pic:nvPicPr>
                            <pic:blipFill rotWithShape="1">
                              <a:blip r:embed="rId33"/>
                              <a:stretch/>
                            </pic:blipFill>
                            <pic:spPr bwMode="auto">
                              <a:xfrm>
                                <a:off x="0" y="0"/>
                                <a:ext cx="3009899" cy="22574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237.00pt;height:177.75pt;mso-wrap-distance-left:0.00pt;mso-wrap-distance-top:0.00pt;mso-wrap-distance-right:0.00pt;mso-wrap-distance-bottom:0.00pt;z-index:1;" stroked="false">
                      <v:imagedata r:id="rId33"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Nhà cơ điện</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896"/>
        <w:gridCol w:w="4629"/>
      </w:tblGrid>
      <w:tr>
        <w:trPr/>
        <w:tc>
          <w:tcPr>
            <w:tcBorders/>
            <w:tcMar>
              <w:left w:w="108" w:type="dxa"/>
              <w:top w:w="0" w:type="dxa"/>
              <w:right w:w="108" w:type="dxa"/>
              <w:bottom w:w="0" w:type="dxa"/>
            </w:tcMar>
            <w:tcW w:w="4896"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2962275" cy="2219325"/>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37655" name=""/>
                              <pic:cNvPicPr>
                                <a:picLocks noChangeAspect="1"/>
                              </pic:cNvPicPr>
                              <pic:nvPr/>
                            </pic:nvPicPr>
                            <pic:blipFill rotWithShape="1">
                              <a:blip r:embed="rId34"/>
                              <a:stretch/>
                            </pic:blipFill>
                            <pic:spPr bwMode="auto">
                              <a:xfrm>
                                <a:off x="0" y="0"/>
                                <a:ext cx="2962274" cy="22193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233.25pt;height:174.75pt;mso-wrap-distance-left:0.00pt;mso-wrap-distance-top:0.00pt;mso-wrap-distance-right:0.00pt;mso-wrap-distance-bottom:0.00pt;z-index:1;" stroked="false">
                      <v:imagedata r:id="rId34" o:title=""/>
                      <o:lock v:ext="edit" rotation="t"/>
                    </v:shape>
                  </w:pict>
                </mc:Fallback>
              </mc:AlternateContent>
            </w:r>
            <w:r/>
          </w:p>
        </w:tc>
        <w:tc>
          <w:tcPr>
            <w:tcBorders/>
            <w:tcMar>
              <w:left w:w="108" w:type="dxa"/>
              <w:top w:w="0" w:type="dxa"/>
              <w:right w:w="108" w:type="dxa"/>
              <w:bottom w:w="0" w:type="dxa"/>
            </w:tcMar>
            <w:tcW w:w="4629"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1657350" cy="2209800"/>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665998" name=""/>
                              <pic:cNvPicPr>
                                <a:picLocks noChangeAspect="1"/>
                              </pic:cNvPicPr>
                              <pic:nvPr/>
                            </pic:nvPicPr>
                            <pic:blipFill rotWithShape="1">
                              <a:blip r:embed="rId35"/>
                              <a:stretch/>
                            </pic:blipFill>
                            <pic:spPr bwMode="auto">
                              <a:xfrm>
                                <a:off x="0" y="0"/>
                                <a:ext cx="1657350"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130.50pt;height:174.00pt;mso-wrap-distance-left:0.00pt;mso-wrap-distance-top:0.00pt;mso-wrap-distance-right:0.00pt;mso-wrap-distance-bottom:0.00pt;z-index:1;" stroked="false">
                      <v:imagedata r:id="rId35"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Nhà trạm biến áp</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106"/>
        <w:gridCol w:w="4419"/>
      </w:tblGrid>
      <w:tr>
        <w:trPr/>
        <w:tc>
          <w:tcPr>
            <w:tcBorders/>
            <w:tcMar>
              <w:left w:w="108" w:type="dxa"/>
              <w:top w:w="0" w:type="dxa"/>
              <w:right w:w="108" w:type="dxa"/>
              <w:bottom w:w="0" w:type="dxa"/>
            </w:tcMar>
            <w:tcW w:w="5106"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3105150" cy="2324100"/>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01050" name=""/>
                              <pic:cNvPicPr>
                                <a:picLocks noChangeAspect="1"/>
                              </pic:cNvPicPr>
                              <pic:nvPr/>
                            </pic:nvPicPr>
                            <pic:blipFill rotWithShape="1">
                              <a:blip r:embed="rId36"/>
                              <a:stretch/>
                            </pic:blipFill>
                            <pic:spPr bwMode="auto">
                              <a:xfrm>
                                <a:off x="0" y="0"/>
                                <a:ext cx="3105149" cy="23240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244.50pt;height:183.00pt;mso-wrap-distance-left:0.00pt;mso-wrap-distance-top:0.00pt;mso-wrap-distance-right:0.00pt;mso-wrap-distance-bottom:0.00pt;z-index:1;" stroked="false">
                      <v:imagedata r:id="rId36" o:title=""/>
                      <o:lock v:ext="edit" rotation="t"/>
                    </v:shape>
                  </w:pict>
                </mc:Fallback>
              </mc:AlternateContent>
            </w:r>
            <w:r/>
            <w:r/>
            <w:r/>
          </w:p>
        </w:tc>
        <w:tc>
          <w:tcPr>
            <w:tcBorders/>
            <w:tcMar>
              <w:left w:w="108" w:type="dxa"/>
              <w:top w:w="0" w:type="dxa"/>
              <w:right w:w="108" w:type="dxa"/>
              <w:bottom w:w="0" w:type="dxa"/>
            </w:tcMar>
            <w:tcW w:w="4419"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2019300" cy="2695575"/>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5791" name=""/>
                              <pic:cNvPicPr>
                                <a:picLocks noChangeAspect="1"/>
                              </pic:cNvPicPr>
                              <pic:nvPr/>
                            </pic:nvPicPr>
                            <pic:blipFill rotWithShape="1">
                              <a:blip r:embed="rId37"/>
                              <a:stretch/>
                            </pic:blipFill>
                            <pic:spPr bwMode="auto">
                              <a:xfrm>
                                <a:off x="0" y="0"/>
                                <a:ext cx="2019299" cy="26955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159.00pt;height:212.25pt;mso-wrap-distance-left:0.00pt;mso-wrap-distance-top:0.00pt;mso-wrap-distance-right:0.00pt;mso-wrap-distance-bottom:0.00pt;z-index:1;" stroked="false">
                      <v:imagedata r:id="rId37"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Nhà văn phòng</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22"/>
        <w:gridCol w:w="4803"/>
      </w:tblGrid>
      <w:tr>
        <w:trPr>
          <w:trHeight w:val="264"/>
        </w:trPr>
        <w:tc>
          <w:tcPr>
            <w:tcBorders/>
            <w:tcMar>
              <w:left w:w="108" w:type="dxa"/>
              <w:top w:w="0" w:type="dxa"/>
              <w:right w:w="108" w:type="dxa"/>
              <w:bottom w:w="0" w:type="dxa"/>
            </w:tcMar>
            <w:tcW w:w="4722"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2847975" cy="2133600"/>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46943" name=""/>
                              <pic:cNvPicPr>
                                <a:picLocks noChangeAspect="1"/>
                              </pic:cNvPicPr>
                              <pic:nvPr/>
                            </pic:nvPicPr>
                            <pic:blipFill rotWithShape="1">
                              <a:blip r:embed="rId38"/>
                              <a:stretch/>
                            </pic:blipFill>
                            <pic:spPr bwMode="auto">
                              <a:xfrm>
                                <a:off x="0" y="0"/>
                                <a:ext cx="2847974" cy="21335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224.25pt;height:168.00pt;mso-wrap-distance-left:0.00pt;mso-wrap-distance-top:0.00pt;mso-wrap-distance-right:0.00pt;mso-wrap-distance-bottom:0.00pt;z-index:1;" stroked="false">
                      <v:imagedata r:id="rId38" o:title=""/>
                      <o:lock v:ext="edit" rotation="t"/>
                    </v:shape>
                  </w:pict>
                </mc:Fallback>
              </mc:AlternateContent>
            </w:r>
            <w:r/>
          </w:p>
        </w:tc>
        <w:tc>
          <w:tcPr>
            <w:tcBorders/>
            <w:tcMar>
              <w:left w:w="108" w:type="dxa"/>
              <w:top w:w="0" w:type="dxa"/>
              <w:right w:w="108" w:type="dxa"/>
              <w:bottom w:w="0" w:type="dxa"/>
            </w:tcMar>
            <w:tcW w:w="4803"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2924175" cy="2190750"/>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84841" name=""/>
                              <pic:cNvPicPr>
                                <a:picLocks noChangeAspect="1"/>
                              </pic:cNvPicPr>
                              <pic:nvPr/>
                            </pic:nvPicPr>
                            <pic:blipFill rotWithShape="1">
                              <a:blip r:embed="rId39"/>
                              <a:stretch/>
                            </pic:blipFill>
                            <pic:spPr bwMode="auto">
                              <a:xfrm>
                                <a:off x="0" y="0"/>
                                <a:ext cx="2924174" cy="21907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230.25pt;height:172.50pt;mso-wrap-distance-left:0.00pt;mso-wrap-distance-top:0.00pt;mso-wrap-distance-right:0.00pt;mso-wrap-distance-bottom:0.00pt;z-index:1;" stroked="false">
                      <v:imagedata r:id="rId39" o:title=""/>
                      <o:lock v:ext="edit" rotation="t"/>
                    </v:shape>
                  </w:pict>
                </mc:Fallback>
              </mc:AlternateContent>
            </w:r>
            <w:r/>
          </w:p>
        </w:tc>
      </w:tr>
      <w:tr>
        <w:trPr/>
        <w:tc>
          <w:tcPr>
            <w:tcBorders/>
            <w:tcMar>
              <w:left w:w="108" w:type="dxa"/>
              <w:top w:w="0" w:type="dxa"/>
              <w:right w:w="108" w:type="dxa"/>
              <w:bottom w:w="0" w:type="dxa"/>
            </w:tcMar>
            <w:tcW w:w="4722"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3114675" cy="2333625"/>
                      <wp:effectExtent l="0" t="0" r="0" b="0"/>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580922" name=""/>
                              <pic:cNvPicPr>
                                <a:picLocks noChangeAspect="1"/>
                              </pic:cNvPicPr>
                              <pic:nvPr/>
                            </pic:nvPicPr>
                            <pic:blipFill rotWithShape="1">
                              <a:blip r:embed="rId40"/>
                              <a:stretch/>
                            </pic:blipFill>
                            <pic:spPr bwMode="auto">
                              <a:xfrm>
                                <a:off x="0" y="0"/>
                                <a:ext cx="3114675" cy="23336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245.25pt;height:183.75pt;mso-wrap-distance-left:0.00pt;mso-wrap-distance-top:0.00pt;mso-wrap-distance-right:0.00pt;mso-wrap-distance-bottom:0.00pt;z-index:1;" stroked="false">
                      <v:imagedata r:id="rId40" o:title=""/>
                      <o:lock v:ext="edit" rotation="t"/>
                    </v:shape>
                  </w:pict>
                </mc:Fallback>
              </mc:AlternateContent>
            </w:r>
            <w:r/>
          </w:p>
        </w:tc>
        <w:tc>
          <w:tcPr>
            <w:tcBorders/>
            <w:tcMar>
              <w:left w:w="108" w:type="dxa"/>
              <w:top w:w="0" w:type="dxa"/>
              <w:right w:w="108" w:type="dxa"/>
              <w:bottom w:w="0" w:type="dxa"/>
            </w:tcMar>
            <w:tcW w:w="4803"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3171825" cy="2381250"/>
                      <wp:effectExtent l="0" t="0" r="0" b="0"/>
                      <wp:docPr id="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69343" name=""/>
                              <pic:cNvPicPr>
                                <a:picLocks noChangeAspect="1"/>
                              </pic:cNvPicPr>
                              <pic:nvPr/>
                            </pic:nvPicPr>
                            <pic:blipFill rotWithShape="1">
                              <a:blip r:embed="rId41"/>
                              <a:stretch/>
                            </pic:blipFill>
                            <pic:spPr bwMode="auto">
                              <a:xfrm>
                                <a:off x="0" y="0"/>
                                <a:ext cx="3171825" cy="23812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249.75pt;height:187.50pt;mso-wrap-distance-left:0.00pt;mso-wrap-distance-top:0.00pt;mso-wrap-distance-right:0.00pt;mso-wrap-distance-bottom:0.00pt;z-index:1;" stroked="false">
                      <v:imagedata r:id="rId41"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Khu lưu trữ rác thải rắn</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889"/>
        <w:gridCol w:w="4636"/>
      </w:tblGrid>
      <w:tr>
        <w:trPr/>
        <w:tc>
          <w:tcPr>
            <w:tcBorders/>
            <w:tcMar>
              <w:left w:w="108" w:type="dxa"/>
              <w:top w:w="0" w:type="dxa"/>
              <w:right w:w="108" w:type="dxa"/>
              <w:bottom w:w="0" w:type="dxa"/>
            </w:tcMar>
            <w:tcW w:w="4889"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2933700" cy="2200275"/>
                      <wp:effectExtent l="0" t="0" r="0" b="0"/>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825092" name=""/>
                              <pic:cNvPicPr>
                                <a:picLocks noChangeAspect="1"/>
                              </pic:cNvPicPr>
                              <pic:nvPr/>
                            </pic:nvPicPr>
                            <pic:blipFill rotWithShape="1">
                              <a:blip r:embed="rId42"/>
                              <a:stretch/>
                            </pic:blipFill>
                            <pic:spPr bwMode="auto">
                              <a:xfrm>
                                <a:off x="0" y="0"/>
                                <a:ext cx="2933699" cy="2200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231.00pt;height:173.25pt;mso-wrap-distance-left:0.00pt;mso-wrap-distance-top:0.00pt;mso-wrap-distance-right:0.00pt;mso-wrap-distance-bottom:0.00pt;z-index:1;" stroked="false">
                      <v:imagedata r:id="rId42" o:title=""/>
                      <o:lock v:ext="edit" rotation="t"/>
                    </v:shape>
                  </w:pict>
                </mc:Fallback>
              </mc:AlternateContent>
            </w:r>
            <w:r/>
          </w:p>
        </w:tc>
        <w:tc>
          <w:tcPr>
            <w:tcBorders/>
            <w:tcMar>
              <w:left w:w="108" w:type="dxa"/>
              <w:top w:w="0" w:type="dxa"/>
              <w:right w:w="108" w:type="dxa"/>
              <w:bottom w:w="0" w:type="dxa"/>
            </w:tcMar>
            <w:tcW w:w="4636"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2809875" cy="2105025"/>
                      <wp:effectExtent l="0" t="0" r="0" b="0"/>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8315" name=""/>
                              <pic:cNvPicPr>
                                <a:picLocks noChangeAspect="1"/>
                              </pic:cNvPicPr>
                              <pic:nvPr/>
                            </pic:nvPicPr>
                            <pic:blipFill rotWithShape="1">
                              <a:blip r:embed="rId43"/>
                              <a:stretch/>
                            </pic:blipFill>
                            <pic:spPr bwMode="auto">
                              <a:xfrm>
                                <a:off x="0" y="0"/>
                                <a:ext cx="2809874" cy="21050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221.25pt;height:165.75pt;mso-wrap-distance-left:0.00pt;mso-wrap-distance-top:0.00pt;mso-wrap-distance-right:0.00pt;mso-wrap-distance-bottom:0.00pt;z-index:1;" stroked="false">
                      <v:imagedata r:id="rId43"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Nhà để xe</w: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r>
        <mc:AlternateContent>
          <mc:Choice Requires="wpg">
            <w:drawing>
              <wp:inline xmlns:wp="http://schemas.openxmlformats.org/drawingml/2006/wordprocessingDrawing" distT="0" distB="0" distL="0" distR="0">
                <wp:extent cx="6048375" cy="4533900"/>
                <wp:effectExtent l="0" t="0" r="0" b="0"/>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79029" name=""/>
                        <pic:cNvPicPr>
                          <a:picLocks noChangeAspect="1"/>
                        </pic:cNvPicPr>
                        <pic:nvPr/>
                      </pic:nvPicPr>
                      <pic:blipFill rotWithShape="1">
                        <a:blip r:embed="rId44"/>
                        <a:stretch/>
                      </pic:blipFill>
                      <pic:spPr bwMode="auto">
                        <a:xfrm>
                          <a:off x="0" y="0"/>
                          <a:ext cx="6048374" cy="45338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476.25pt;height:357.00pt;mso-wrap-distance-left:0.00pt;mso-wrap-distance-top:0.00pt;mso-wrap-distance-right:0.00pt;mso-wrap-distance-bottom:0.00pt;z-index:1;" stroked="false">
                <v:imagedata r:id="rId44"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u w:val="single"/>
        </w:rPr>
        <w:t xml:space="preserve">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Nhà bảo vệ</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3715"/>
        <w:gridCol w:w="5810"/>
      </w:tblGrid>
      <w:tr>
        <w:trPr/>
        <w:tc>
          <w:tcPr>
            <w:tcBorders/>
            <w:tcMar>
              <w:left w:w="108" w:type="dxa"/>
              <w:top w:w="0" w:type="dxa"/>
              <w:right w:w="108" w:type="dxa"/>
              <w:bottom w:w="0" w:type="dxa"/>
            </w:tcMar>
            <w:tcW w:w="3715"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2990850" cy="3990975"/>
                      <wp:effectExtent l="0" t="0" r="0" b="0"/>
                      <wp:docPr id="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56603" name=""/>
                              <pic:cNvPicPr>
                                <a:picLocks noChangeAspect="1"/>
                              </pic:cNvPicPr>
                              <pic:nvPr/>
                            </pic:nvPicPr>
                            <pic:blipFill rotWithShape="1">
                              <a:blip r:embed="rId45"/>
                              <a:stretch/>
                            </pic:blipFill>
                            <pic:spPr bwMode="auto">
                              <a:xfrm>
                                <a:off x="0" y="0"/>
                                <a:ext cx="2990849" cy="39909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width:235.50pt;height:314.25pt;mso-wrap-distance-left:0.00pt;mso-wrap-distance-top:0.00pt;mso-wrap-distance-right:0.00pt;mso-wrap-distance-bottom:0.00pt;z-index:1;" stroked="false">
                      <v:imagedata r:id="rId45" o:title=""/>
                      <o:lock v:ext="edit" rotation="t"/>
                    </v:shape>
                  </w:pict>
                </mc:Fallback>
              </mc:AlternateContent>
            </w:r>
            <w:r/>
          </w:p>
        </w:tc>
        <w:tc>
          <w:tcPr>
            <w:tcBorders/>
            <w:tcMar>
              <w:left w:w="108" w:type="dxa"/>
              <w:top w:w="0" w:type="dxa"/>
              <w:right w:w="108" w:type="dxa"/>
              <w:bottom w:w="0" w:type="dxa"/>
            </w:tcMar>
            <w:tcW w:w="5810"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4781550" cy="3581400"/>
                      <wp:effectExtent l="0" t="0" r="0" b="0"/>
                      <wp:docPr id="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33004" name=""/>
                              <pic:cNvPicPr>
                                <a:picLocks noChangeAspect="1"/>
                              </pic:cNvPicPr>
                              <pic:nvPr/>
                            </pic:nvPicPr>
                            <pic:blipFill rotWithShape="1">
                              <a:blip r:embed="rId46"/>
                              <a:stretch/>
                            </pic:blipFill>
                            <pic:spPr bwMode="auto">
                              <a:xfrm>
                                <a:off x="0" y="0"/>
                                <a:ext cx="4781549" cy="3581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width:376.50pt;height:282.00pt;mso-wrap-distance-left:0.00pt;mso-wrap-distance-top:0.00pt;mso-wrap-distance-right:0.00pt;mso-wrap-distance-bottom:0.00pt;z-index:1;" stroked="false">
                      <v:imagedata r:id="rId46"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ind w:right="0" w:firstLine="0" w:left="0"/>
        <w:rPr/>
      </w:pPr>
      <w:r/>
      <w:r>
        <mc:AlternateContent>
          <mc:Choice Requires="wpg">
            <w:drawing>
              <wp:inline xmlns:wp="http://schemas.openxmlformats.org/drawingml/2006/wordprocessingDrawing" distT="0" distB="0" distL="0" distR="0">
                <wp:extent cx="6048375" cy="4191000"/>
                <wp:effectExtent l="0" t="0" r="0" b="0"/>
                <wp:docPr id="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46117" name=""/>
                        <pic:cNvPicPr>
                          <a:picLocks noChangeAspect="1"/>
                        </pic:cNvPicPr>
                        <pic:nvPr/>
                      </pic:nvPicPr>
                      <pic:blipFill rotWithShape="1">
                        <a:blip r:embed="rId47"/>
                        <a:stretch/>
                      </pic:blipFill>
                      <pic:spPr bwMode="auto">
                        <a:xfrm>
                          <a:off x="0" y="0"/>
                          <a:ext cx="6048374" cy="41909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 o:spid="_x0000_s33" type="#_x0000_t75" style="width:476.25pt;height:330.00pt;mso-wrap-distance-left:0.00pt;mso-wrap-distance-top:0.00pt;mso-wrap-distance-right:0.00pt;mso-wrap-distance-bottom:0.00pt;z-index:1;" stroked="false">
                <v:imagedata r:id="rId47" o:title=""/>
                <o:lock v:ext="edit" rotation="t"/>
              </v:shape>
            </w:pict>
          </mc:Fallback>
        </mc:AlternateContent>
      </w:r>
      <w:r/>
      <w:r>
        <w:rPr>
          <w:rFonts w:ascii="Times New Roman" w:hAnsi="Times New Roman" w:eastAsia="Times New Roman" w:cs="Times New Roman"/>
          <w:sz w:val="24"/>
        </w:rP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szCs w:val="24"/>
        </w:rPr>
      </w:pPr>
      <w:r/>
      <w:r>
        <mc:AlternateContent>
          <mc:Choice Requires="wpg">
            <w:drawing>
              <wp:inline xmlns:wp="http://schemas.openxmlformats.org/drawingml/2006/wordprocessingDrawing" distT="0" distB="0" distL="0" distR="0">
                <wp:extent cx="6048375" cy="4133850"/>
                <wp:effectExtent l="0" t="0" r="0" b="0"/>
                <wp:docPr id="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19394" name=""/>
                        <pic:cNvPicPr>
                          <a:picLocks noChangeAspect="1"/>
                        </pic:cNvPicPr>
                        <pic:nvPr/>
                      </pic:nvPicPr>
                      <pic:blipFill rotWithShape="1">
                        <a:blip r:embed="rId48"/>
                        <a:stretch/>
                      </pic:blipFill>
                      <pic:spPr bwMode="auto">
                        <a:xfrm>
                          <a:off x="0" y="0"/>
                          <a:ext cx="6048374" cy="41338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 o:spid="_x0000_s34" type="#_x0000_t75" style="width:476.25pt;height:325.50pt;mso-wrap-distance-left:0.00pt;mso-wrap-distance-top:0.00pt;mso-wrap-distance-right:0.00pt;mso-wrap-distance-bottom:0.00pt;z-index:1;" stroked="false">
                <v:imagedata r:id="rId48" o:title=""/>
                <o:lock v:ext="edit" rotation="t"/>
              </v:shape>
            </w:pict>
          </mc:Fallback>
        </mc:AlternateContent>
      </w:r>
      <w:r>
        <w:br w:type="page" w:clear="all"/>
      </w:r>
      <w:r/>
      <w:r/>
      <w:r/>
      <w:r>
        <w:rPr>
          <w:rFonts w:ascii="Times New Roman" w:hAnsi="Times New Roman" w:eastAsia="Times New Roman" w:cs="Times New Roman"/>
          <w:b/>
          <w:color w:val="000000"/>
          <w:sz w:val="24"/>
          <w:u w:val="none"/>
        </w:rPr>
        <w:t xml:space="preserve"> </w:t>
      </w:r>
      <w:r/>
      <w:r>
        <w:rPr>
          <w:rFonts w:ascii="Times New Roman" w:hAnsi="Times New Roman" w:eastAsia="Times New Roman" w:cs="Times New Roman"/>
          <w:sz w:val="24"/>
        </w:rPr>
      </w:r>
      <w:r>
        <w:rPr>
          <w:rFonts w:ascii="Times New Roman" w:hAnsi="Times New Roman" w:eastAsia="Times New Roman" w:cs="Times New Roman"/>
          <w:sz w:val="24"/>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single"/>
        </w:rPr>
        <w:t xml:space="preserve">PHỤ LỤC 02</w:t>
      </w:r>
      <w:r>
        <w:rPr>
          <w:rFonts w:ascii="Times New Roman" w:hAnsi="Times New Roman" w:eastAsia="Times New Roman" w:cs="Times New Roman"/>
          <w:b/>
          <w:color w:val="000000"/>
          <w:sz w:val="24"/>
        </w:rPr>
        <w:t xml:space="preserve">: THÔNG TIN THU THẬP THỊ TRƯỜNG</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275/2026/0585/VFI-BC.44.A ngày 15 tháng 4 năm 2026 của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TSSS1</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Cụm công nghiệp Cầu Nghìn, xã Quỳnh Phụ, tỉnh Hưng Yên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https://batdongsan.com.vn/ban-kho-nha-xuong-thi-tran-quynh-coi/chuyen-nhuong-lo-dat-2-7ha-kcn-cau-nghin-vi-tri-dep-mat-tien-rong-ha-tang-san-1-9tr-m2-k-vat-pr45040900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SĐT: 0901568123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4/2026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cụm công nghiệp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Có thời hạn (đến 31/12/2059, 33 năm)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nằm trong Cụm công nghiệp Cầu Nghìn, xã Quỳnh Phụ, tỉnh Hưng Yên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nhựa rộng khoảng 8m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ở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28016,6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 giác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Phù hợp làm nhà xưởng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trống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56.000.000.000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Khả năng giao dịch thành công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53.200.000.000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trị tài sản trên đất (đồng) đã bao gồm thang máy</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1.898.874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highlight w:val="none"/>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191125" cy="3028950"/>
                      <wp:effectExtent l="0" t="0" r="0" b="0"/>
                      <wp:docPr id="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74213" name=""/>
                              <pic:cNvPicPr>
                                <a:picLocks noChangeAspect="1"/>
                              </pic:cNvPicPr>
                              <pic:nvPr/>
                            </pic:nvPicPr>
                            <pic:blipFill rotWithShape="1">
                              <a:blip r:embed="rId49"/>
                              <a:stretch/>
                            </pic:blipFill>
                            <pic:spPr bwMode="auto">
                              <a:xfrm>
                                <a:off x="0" y="0"/>
                                <a:ext cx="5191124" cy="30289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 o:spid="_x0000_s35" type="#_x0000_t75" style="width:408.75pt;height:238.50pt;mso-wrap-distance-left:0.00pt;mso-wrap-distance-top:0.00pt;mso-wrap-distance-right:0.00pt;mso-wrap-distance-bottom:0.00pt;z-index:1;" stroked="false">
                      <v:imagedata r:id="rId49" o:title=""/>
                      <o:lock v:ext="edit" rotation="t"/>
                    </v:shape>
                  </w:pict>
                </mc:Fallback>
              </mc:AlternateContent>
            </w:r>
            <w:r>
              <w:rPr>
                <w:rFonts w:ascii="Times New Roman" w:hAnsi="Times New Roman" w:eastAsia="Times New Roman" w:cs="Times New Roman"/>
                <w:sz w:val="24"/>
              </w:rPr>
            </w:r>
          </w:p>
          <w:p>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szCs w:val="24"/>
              </w:rPr>
            </w:pPr>
            <w:r>
              <w:rPr>
                <w:highlight w:val="none"/>
              </w:rPr>
            </w:r>
            <w:r>
              <mc:AlternateContent>
                <mc:Choice Requires="wpg">
                  <w:drawing>
                    <wp:inline xmlns:wp="http://schemas.openxmlformats.org/drawingml/2006/wordprocessingDrawing" distT="0" distB="0" distL="0" distR="0">
                      <wp:extent cx="4743450" cy="2466975"/>
                      <wp:effectExtent l="0" t="0" r="0" b="0"/>
                      <wp:docPr id="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94996" name=""/>
                              <pic:cNvPicPr>
                                <a:picLocks noChangeAspect="1"/>
                              </pic:cNvPicPr>
                              <pic:nvPr/>
                            </pic:nvPicPr>
                            <pic:blipFill rotWithShape="1">
                              <a:blip r:embed="rId50"/>
                              <a:stretch/>
                            </pic:blipFill>
                            <pic:spPr bwMode="auto">
                              <a:xfrm>
                                <a:off x="0" y="0"/>
                                <a:ext cx="4743449" cy="24669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 o:spid="_x0000_s36" type="#_x0000_t75" style="width:373.50pt;height:194.25pt;mso-wrap-distance-left:0.00pt;mso-wrap-distance-top:0.00pt;mso-wrap-distance-right:0.00pt;mso-wrap-distance-bottom:0.00pt;z-index:1;" stroked="false">
                      <v:imagedata r:id="rId50" o:title=""/>
                      <o:lock v:ext="edit" rotation="t"/>
                    </v:shape>
                  </w:pict>
                </mc:Fallback>
              </mc:AlternateContent>
            </w:r>
            <w:r>
              <w:rPr>
                <w:highlight w:val="none"/>
              </w:rPr>
            </w:r>
            <w:r>
              <w:rPr>
                <w:highlight w:val="none"/>
              </w:rPr>
            </w:r>
            <w:r>
              <w:rPr>
                <w:highlight w:val="none"/>
              </w:rPr>
            </w:r>
          </w:p>
        </w:tc>
      </w:tr>
    </w:tbl>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TSSS2</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495"/>
        <w:gridCol w:w="4151"/>
        <w:gridCol w:w="5352"/>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1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53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1479" w:firstLine="0" w:left="0"/>
              <w:jc w:val="center"/>
              <w:rPr/>
            </w:pPr>
            <w:r>
              <w:rPr>
                <w:rFonts w:ascii="Times New Roman" w:hAnsi="Times New Roman" w:eastAsia="Times New Roman" w:cs="Times New Roman"/>
                <w:b/>
                <w:color w:val="000000"/>
                <w:sz w:val="22"/>
              </w:rPr>
              <w:t xml:space="preserve">TSSS2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1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53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1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53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Cụm Công Nghiệp xã Nam Đông Hưng, tỉnh Hưng 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1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53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https://batdongsan.com.vn/ban-kho-nha-xuong-xa-dong-dong/chuyen-nhuong-du-an-lam-may-va-cho-thue-tai-thai-binh-pr44840139?gidzl=qbyZKM2wY5_KHILHOAABMTj38LHsyuyEnXDs0ttqt5p74dPHVFBRNfmNT5Cizji9cqHrL6A3qPmvOxsENW</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41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53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SĐT: 0868006298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1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53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1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53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4/2026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1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53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41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53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1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535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cụm công nghiệp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1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53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ất khu công nghiệp – Có thời hạn (đến 31/12/2067, 41 năm)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1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53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nằm trong Cụm Công Nghiệp xã Nam Đông Hưng, tỉnh Hưng 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1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53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nhựa rộng khoảng 8m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1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ở (m²)</w:t>
            </w:r>
            <w:r/>
          </w:p>
        </w:tc>
        <w:tc>
          <w:tcPr>
            <w:tcBorders>
              <w:bottom w:val="single" w:color="000000" w:sz="8" w:space="0"/>
              <w:right w:val="single" w:color="000000" w:sz="8" w:space="0"/>
            </w:tcBorders>
            <w:tcMar>
              <w:left w:w="108" w:type="dxa"/>
              <w:top w:w="0" w:type="dxa"/>
              <w:right w:w="108" w:type="dxa"/>
              <w:bottom w:w="0" w:type="dxa"/>
            </w:tcMar>
            <w:tcW w:w="53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12500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1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53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1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53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1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53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1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53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Phù hợp làm nhà xưởng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41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53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41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53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41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53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trống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41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53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31.250.000.000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41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Khả năng giao dịch thành công</w:t>
            </w:r>
            <w:r/>
          </w:p>
        </w:tc>
        <w:tc>
          <w:tcPr>
            <w:tcBorders>
              <w:bottom w:val="single" w:color="000000" w:sz="8" w:space="0"/>
              <w:right w:val="single" w:color="000000" w:sz="8" w:space="0"/>
            </w:tcBorders>
            <w:tcMar>
              <w:left w:w="108" w:type="dxa"/>
              <w:top w:w="0" w:type="dxa"/>
              <w:right w:w="108" w:type="dxa"/>
              <w:bottom w:w="0" w:type="dxa"/>
            </w:tcMar>
            <w:tcW w:w="53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108" w:type="dxa"/>
              <w:top w:w="0" w:type="dxa"/>
              <w:right w:w="108" w:type="dxa"/>
              <w:bottom w:w="0" w:type="dxa"/>
            </w:tcMar>
            <w:tcW w:w="41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53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29.690.000.000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22</w:t>
            </w:r>
            <w:r/>
          </w:p>
        </w:tc>
        <w:tc>
          <w:tcPr>
            <w:tcBorders>
              <w:bottom w:val="single" w:color="000000" w:sz="8" w:space="0"/>
              <w:right w:val="single" w:color="000000" w:sz="8" w:space="0"/>
            </w:tcBorders>
            <w:tcMar>
              <w:left w:w="108" w:type="dxa"/>
              <w:top w:w="0" w:type="dxa"/>
              <w:right w:w="108" w:type="dxa"/>
              <w:bottom w:w="0" w:type="dxa"/>
            </w:tcMar>
            <w:tcW w:w="41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trị tài sản trên đất (đồng) đã bao gồm thang máy</w:t>
            </w:r>
            <w:r/>
          </w:p>
        </w:tc>
        <w:tc>
          <w:tcPr>
            <w:tcBorders>
              <w:bottom w:val="single" w:color="000000" w:sz="8" w:space="0"/>
              <w:right w:val="single" w:color="000000" w:sz="8" w:space="0"/>
            </w:tcBorders>
            <w:tcMar>
              <w:left w:w="108" w:type="dxa"/>
              <w:top w:w="0" w:type="dxa"/>
              <w:right w:w="108" w:type="dxa"/>
              <w:bottom w:w="0" w:type="dxa"/>
            </w:tcMar>
            <w:tcW w:w="53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23</w:t>
            </w:r>
            <w:r/>
          </w:p>
        </w:tc>
        <w:tc>
          <w:tcPr>
            <w:tcBorders>
              <w:bottom w:val="single" w:color="000000" w:sz="8" w:space="0"/>
              <w:right w:val="single" w:color="000000" w:sz="8" w:space="0"/>
            </w:tcBorders>
            <w:tcMar>
              <w:left w:w="108" w:type="dxa"/>
              <w:top w:w="0" w:type="dxa"/>
              <w:right w:w="108" w:type="dxa"/>
              <w:bottom w:w="0" w:type="dxa"/>
            </w:tcMar>
            <w:tcW w:w="41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53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2.375.200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1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53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950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029200" cy="3114675"/>
                      <wp:effectExtent l="0" t="0" r="0" b="0"/>
                      <wp:docPr id="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732705" name=""/>
                              <pic:cNvPicPr>
                                <a:picLocks noChangeAspect="1"/>
                              </pic:cNvPicPr>
                              <pic:nvPr/>
                            </pic:nvPicPr>
                            <pic:blipFill rotWithShape="1">
                              <a:blip r:embed="rId51"/>
                              <a:stretch/>
                            </pic:blipFill>
                            <pic:spPr bwMode="auto">
                              <a:xfrm>
                                <a:off x="0" y="0"/>
                                <a:ext cx="5029199" cy="31146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 o:spid="_x0000_s37" type="#_x0000_t75" style="width:396.00pt;height:245.25pt;mso-wrap-distance-left:0.00pt;mso-wrap-distance-top:0.00pt;mso-wrap-distance-right:0.00pt;mso-wrap-distance-bottom:0.00pt;z-index:1;" stroked="false">
                      <v:imagedata r:id="rId51" o:title=""/>
                      <o:lock v:ext="edit" rotation="t"/>
                    </v:shape>
                  </w:pict>
                </mc:Fallback>
              </mc:AlternateContent>
            </w:r>
            <w:r>
              <mc:AlternateContent>
                <mc:Choice Requires="wpg">
                  <w:drawing>
                    <wp:inline xmlns:wp="http://schemas.openxmlformats.org/drawingml/2006/wordprocessingDrawing" distT="0" distB="0" distL="0" distR="0">
                      <wp:extent cx="5324475" cy="3990975"/>
                      <wp:effectExtent l="0" t="0" r="0" b="0"/>
                      <wp:docPr id="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5616" name=""/>
                              <pic:cNvPicPr>
                                <a:picLocks noChangeAspect="1"/>
                              </pic:cNvPicPr>
                              <pic:nvPr/>
                            </pic:nvPicPr>
                            <pic:blipFill rotWithShape="1">
                              <a:blip r:embed="rId52"/>
                              <a:stretch/>
                            </pic:blipFill>
                            <pic:spPr bwMode="auto">
                              <a:xfrm>
                                <a:off x="0" y="0"/>
                                <a:ext cx="5324474" cy="39909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 o:spid="_x0000_s38" type="#_x0000_t75" style="width:419.25pt;height:314.25pt;mso-wrap-distance-left:0.00pt;mso-wrap-distance-top:0.00pt;mso-wrap-distance-right:0.00pt;mso-wrap-distance-bottom:0.00pt;z-index:1;" stroked="false">
                      <v:imagedata r:id="rId52" o:title=""/>
                      <o:lock v:ext="edit" rotation="t"/>
                    </v:shape>
                  </w:pict>
                </mc:Fallback>
              </mc:AlternateContent>
            </w:r>
            <w:r/>
            <w:r>
              <w:rPr>
                <w:rFonts w:ascii="Times New Roman" w:hAnsi="Times New Roman" w:eastAsia="Times New Roman" w:cs="Times New Roman"/>
                <w:color w:val="000000"/>
                <w:sz w:val="24"/>
              </w:rPr>
            </w:r>
            <w:r/>
            <w:r>
              <w:rPr>
                <w:rFonts w:ascii="Times New Roman" w:hAnsi="Times New Roman" w:eastAsia="Times New Roman" w:cs="Times New Roman"/>
                <w:color w:val="000000"/>
                <w:sz w:val="24"/>
              </w:rPr>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 3</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Cụm công nghiệp Cầu Nghìn, xã Quỳnh Phụ, tỉnh Hưng Yên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https://alonhadat.com.vn/cty-can-ban-1-ha-dat-sxkd-kcn-cau-nghin-chi-85-usd-m2-18103677.html</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SĐT: 966.039.646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4/2026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cụm công nghiệp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khu công nghiệp – Có thời hạn (đến 31/12/2065, 39 năm)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nằm trong Cụm công nghiệp Cầu Nghìn, xã Quỳnh Phụ, tỉnh Hưng Yên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nhựa rộng khoảng 8m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ở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Phù hợp làm nhà xưởng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trống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23.850.000.000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Khả năng giao dịch thành công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22.660.000.000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trị tài sản trên đất (đồng) đã bao gồm thang máy</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2.266.000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5210175" cy="3676650"/>
                      <wp:effectExtent l="0" t="0" r="0" b="0"/>
                      <wp:docPr id="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60978" name=""/>
                              <pic:cNvPicPr>
                                <a:picLocks noChangeAspect="1"/>
                              </pic:cNvPicPr>
                              <pic:nvPr/>
                            </pic:nvPicPr>
                            <pic:blipFill rotWithShape="1">
                              <a:blip r:embed="rId53"/>
                              <a:stretch/>
                            </pic:blipFill>
                            <pic:spPr bwMode="auto">
                              <a:xfrm>
                                <a:off x="0" y="0"/>
                                <a:ext cx="5210174" cy="36766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 o:spid="_x0000_s39" type="#_x0000_t75" style="width:410.25pt;height:289.50pt;mso-wrap-distance-left:0.00pt;mso-wrap-distance-top:0.00pt;mso-wrap-distance-right:0.00pt;mso-wrap-distance-bottom:0.00pt;z-index:1;" stroked="false">
                      <v:imagedata r:id="rId53" o:title=""/>
                      <o:lock v:ext="edit" rotation="t"/>
                    </v:shape>
                  </w:pict>
                </mc:Fallback>
              </mc:AlternateContent>
            </w:r>
            <w:r>
              <w:rPr>
                <w:rFonts w:ascii="Times New Roman" w:hAnsi="Times New Roman" w:eastAsia="Times New Roman" w:cs="Times New Roman"/>
                <w:color w:val="000000"/>
                <w:sz w:val="22"/>
              </w:rPr>
            </w:r>
            <w:r>
              <mc:AlternateContent>
                <mc:Choice Requires="wpg">
                  <w:drawing>
                    <wp:inline xmlns:wp="http://schemas.openxmlformats.org/drawingml/2006/wordprocessingDrawing" distT="0" distB="0" distL="0" distR="0">
                      <wp:extent cx="5324475" cy="3990975"/>
                      <wp:effectExtent l="0" t="0" r="0" b="0"/>
                      <wp:docPr id="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780785" name=""/>
                              <pic:cNvPicPr>
                                <a:picLocks noChangeAspect="1"/>
                              </pic:cNvPicPr>
                              <pic:nvPr/>
                            </pic:nvPicPr>
                            <pic:blipFill rotWithShape="1">
                              <a:blip r:embed="rId54"/>
                              <a:stretch/>
                            </pic:blipFill>
                            <pic:spPr bwMode="auto">
                              <a:xfrm>
                                <a:off x="0" y="0"/>
                                <a:ext cx="5324474" cy="39909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 o:spid="_x0000_s40" type="#_x0000_t75" style="width:419.25pt;height:314.25pt;mso-wrap-distance-left:0.00pt;mso-wrap-distance-top:0.00pt;mso-wrap-distance-right:0.00pt;mso-wrap-distance-bottom:0.00pt;z-index:1;" stroked="false">
                      <v:imagedata r:id="rId54" o:title=""/>
                      <o:lock v:ext="edit" rotation="t"/>
                    </v:shape>
                  </w:pict>
                </mc:Fallback>
              </mc:AlternateContent>
            </w:r>
            <w:r>
              <w:rPr>
                <w:rFonts w:ascii="Times New Roman" w:hAnsi="Times New Roman" w:eastAsia="Times New Roman" w:cs="Times New Roman"/>
                <w:color w:val="000000"/>
                <w:sz w:val="22"/>
              </w:rPr>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w:p>
    <w:tbl>
      <w:tblPr>
        <w:tblStyle w:val="860"/>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27"/>
        <w:gridCol w:w="4776"/>
      </w:tblGrid>
      <w:tr>
        <w:trPr>
          <w:trHeight w:val="31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tc>
      </w:tr>
      <w:tr>
        <w:trPr>
          <w:trHeight w:val="32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Lê Đình Duy</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312"/>
        </w:trPr>
        <w:tc>
          <w:tcPr>
            <w:tcBorders/>
            <w:tcMar>
              <w:left w:w="108" w:type="dxa"/>
              <w:top w:w="0" w:type="dxa"/>
              <w:right w:w="108" w:type="dxa"/>
              <w:bottom w:w="0" w:type="dxa"/>
            </w:tcMar>
            <w:tcW w:w="4427"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r>
    </w:tbl>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BIÊN BẢN KHẢO SÁT</w:t>
      </w:r>
      <w:r/>
    </w:p>
    <w:p>
      <w:pPr>
        <w:pBdr/>
        <w:spacing w:after="200" w:line="276" w:lineRule="auto"/>
        <w:ind/>
        <w:rPr>
          <w:iCs/>
          <w:highlight w:val="none"/>
          <w:lang w:val="pt-BR"/>
        </w:rPr>
      </w:pPr>
      <w:r>
        <w:rPr>
          <w:iCs/>
          <w:lang w:val="pt-BR"/>
        </w:rPr>
      </w:r>
      <w:r>
        <mc:AlternateContent>
          <mc:Choice Requires="wpg">
            <w:drawing>
              <wp:inline xmlns:wp="http://schemas.openxmlformats.org/drawingml/2006/wordprocessingDrawing" distT="0" distB="0" distL="0" distR="0">
                <wp:extent cx="6048375" cy="8067675"/>
                <wp:effectExtent l="0" t="0" r="0" b="0"/>
                <wp:docPr id="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94972" name=""/>
                        <pic:cNvPicPr>
                          <a:picLocks noChangeAspect="1"/>
                        </pic:cNvPicPr>
                        <pic:nvPr/>
                      </pic:nvPicPr>
                      <pic:blipFill rotWithShape="1">
                        <a:blip r:embed="rId55"/>
                        <a:stretch/>
                      </pic:blipFill>
                      <pic:spPr bwMode="auto">
                        <a:xfrm>
                          <a:off x="0" y="0"/>
                          <a:ext cx="6048374" cy="80676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 o:spid="_x0000_s41" type="#_x0000_t75" style="width:476.25pt;height:635.25pt;mso-wrap-distance-left:0.00pt;mso-wrap-distance-top:0.00pt;mso-wrap-distance-right:0.00pt;mso-wrap-distance-bottom:0.00pt;z-index:1;" stroked="false">
                <v:imagedata r:id="rId55" o:title=""/>
                <o:lock v:ext="edit" rotation="t"/>
              </v:shape>
            </w:pict>
          </mc:Fallback>
        </mc:AlternateContent>
      </w:r>
      <w:r>
        <w:rPr>
          <w:iCs/>
          <w:lang w:val="pt-BR"/>
        </w:rPr>
      </w:r>
      <w:r>
        <w:rPr>
          <w:iCs/>
          <w:lang w:val="pt-BR"/>
        </w:rPr>
      </w:r>
    </w:p>
    <w:p>
      <w:pPr>
        <w:pBdr/>
        <w:spacing w:after="200" w:line="276" w:lineRule="auto"/>
        <w:ind/>
        <w:rPr>
          <w:highlight w:val="none"/>
          <w:lang w:val="pt-BR" w:bidi="pt-BR"/>
        </w:rPr>
      </w:pPr>
      <w:r>
        <w:rPr>
          <w:iCs/>
          <w:highlight w:val="none"/>
          <w:lang w:val="pt-BR" w:bidi="pt-BR"/>
        </w:rPr>
      </w:r>
      <w:r>
        <mc:AlternateContent>
          <mc:Choice Requires="wpg">
            <w:drawing>
              <wp:inline xmlns:wp="http://schemas.openxmlformats.org/drawingml/2006/wordprocessingDrawing" distT="0" distB="0" distL="0" distR="0">
                <wp:extent cx="6048375" cy="8067675"/>
                <wp:effectExtent l="0" t="0" r="0" b="0"/>
                <wp:docPr id="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27832" name=""/>
                        <pic:cNvPicPr>
                          <a:picLocks noChangeAspect="1"/>
                        </pic:cNvPicPr>
                        <pic:nvPr/>
                      </pic:nvPicPr>
                      <pic:blipFill rotWithShape="1">
                        <a:blip r:embed="rId56"/>
                        <a:stretch/>
                      </pic:blipFill>
                      <pic:spPr bwMode="auto">
                        <a:xfrm>
                          <a:off x="0" y="0"/>
                          <a:ext cx="6048374" cy="80676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 o:spid="_x0000_s42" type="#_x0000_t75" style="width:476.25pt;height:635.25pt;mso-wrap-distance-left:0.00pt;mso-wrap-distance-top:0.00pt;mso-wrap-distance-right:0.00pt;mso-wrap-distance-bottom:0.00pt;z-index:1;" stroked="false">
                <v:imagedata r:id="rId56" o:title=""/>
                <o:lock v:ext="edit" rotation="t"/>
              </v:shape>
            </w:pict>
          </mc:Fallback>
        </mc:AlternateContent>
      </w:r>
      <w:r>
        <w:rPr>
          <w:iCs/>
          <w:highlight w:val="none"/>
          <w:lang w:val="pt-BR" w:bidi="pt-BR"/>
        </w:rPr>
      </w:r>
      <w:r>
        <w:rPr>
          <w:iCs/>
          <w:highlight w:val="none"/>
          <w:lang w:val="pt-BR" w:bidi="pt-BR"/>
        </w:rPr>
      </w:r>
      <w:r>
        <w:rPr>
          <w:lang w:val="pt-BR"/>
        </w:rPr>
      </w:r>
    </w:p>
    <w:p>
      <w:pPr>
        <w:pBdr/>
        <w:spacing w:after="200" w:line="276" w:lineRule="auto"/>
        <w:ind/>
        <w:rPr>
          <w:highlight w:val="none"/>
          <w:lang w:val="pt-BR" w:bidi="pt-BR"/>
        </w:rPr>
      </w:pPr>
      <w:r>
        <w:rPr>
          <w:iCs/>
          <w:highlight w:val="none"/>
          <w:lang w:val="pt-BR" w:bidi="pt-BR"/>
        </w:rPr>
      </w:r>
      <w:r>
        <mc:AlternateContent>
          <mc:Choice Requires="wpg">
            <w:drawing>
              <wp:inline xmlns:wp="http://schemas.openxmlformats.org/drawingml/2006/wordprocessingDrawing" distT="0" distB="0" distL="0" distR="0">
                <wp:extent cx="6048375" cy="8067675"/>
                <wp:effectExtent l="0" t="0" r="0" b="0"/>
                <wp:docPr id="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58917" name=""/>
                        <pic:cNvPicPr>
                          <a:picLocks noChangeAspect="1"/>
                        </pic:cNvPicPr>
                        <pic:nvPr/>
                      </pic:nvPicPr>
                      <pic:blipFill rotWithShape="1">
                        <a:blip r:embed="rId57"/>
                        <a:stretch/>
                      </pic:blipFill>
                      <pic:spPr bwMode="auto">
                        <a:xfrm>
                          <a:off x="0" y="0"/>
                          <a:ext cx="6048374" cy="80676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 o:spid="_x0000_s43" type="#_x0000_t75" style="width:476.25pt;height:635.25pt;mso-wrap-distance-left:0.00pt;mso-wrap-distance-top:0.00pt;mso-wrap-distance-right:0.00pt;mso-wrap-distance-bottom:0.00pt;z-index:1;" stroked="false">
                <v:imagedata r:id="rId57" o:title=""/>
                <o:lock v:ext="edit" rotation="t"/>
              </v:shape>
            </w:pict>
          </mc:Fallback>
        </mc:AlternateContent>
      </w:r>
      <w:r>
        <w:rPr>
          <w:iCs/>
          <w:highlight w:val="none"/>
          <w:lang w:val="pt-BR" w:bidi="pt-BR"/>
        </w:rPr>
      </w:r>
      <w:r>
        <w:rPr>
          <w:iCs/>
          <w:highlight w:val="none"/>
          <w:lang w:val="pt-BR" w:bidi="pt-BR"/>
        </w:rPr>
      </w:r>
      <w:r>
        <w:rPr>
          <w:lang w:val="pt-BR"/>
        </w:rPr>
      </w:r>
    </w:p>
    <w:p>
      <w:pPr>
        <w:pBdr/>
        <w:spacing w:after="200" w:line="276" w:lineRule="auto"/>
        <w:ind/>
        <w:rPr>
          <w:lang w:val="pt-BR"/>
        </w:rPr>
      </w:pPr>
      <w:r>
        <w:rPr>
          <w:iCs/>
          <w:highlight w:val="none"/>
          <w:lang w:val="pt-BR" w:bidi="pt-BR"/>
        </w:rPr>
      </w:r>
      <w:r>
        <mc:AlternateContent>
          <mc:Choice Requires="wpg">
            <w:drawing>
              <wp:inline xmlns:wp="http://schemas.openxmlformats.org/drawingml/2006/wordprocessingDrawing" distT="0" distB="0" distL="0" distR="0">
                <wp:extent cx="6048375" cy="8067675"/>
                <wp:effectExtent l="0" t="0" r="0" b="0"/>
                <wp:docPr id="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98177" name=""/>
                        <pic:cNvPicPr>
                          <a:picLocks noChangeAspect="1"/>
                        </pic:cNvPicPr>
                        <pic:nvPr/>
                      </pic:nvPicPr>
                      <pic:blipFill rotWithShape="1">
                        <a:blip r:embed="rId58"/>
                        <a:stretch/>
                      </pic:blipFill>
                      <pic:spPr bwMode="auto">
                        <a:xfrm>
                          <a:off x="0" y="0"/>
                          <a:ext cx="6048374" cy="80676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 o:spid="_x0000_s44" type="#_x0000_t75" style="width:476.25pt;height:635.25pt;mso-wrap-distance-left:0.00pt;mso-wrap-distance-top:0.00pt;mso-wrap-distance-right:0.00pt;mso-wrap-distance-bottom:0.00pt;z-index:1;" stroked="false">
                <v:imagedata r:id="rId58" o:title=""/>
                <o:lock v:ext="edit" rotation="t"/>
              </v:shape>
            </w:pict>
          </mc:Fallback>
        </mc:AlternateContent>
      </w:r>
      <w:r>
        <w:rPr>
          <w:iCs/>
          <w:highlight w:val="none"/>
          <w:lang w:val="pt-BR" w:bidi="pt-BR"/>
        </w:rPr>
      </w:r>
      <w:r>
        <w:rPr>
          <w:iCs/>
          <w:highlight w:val="none"/>
          <w:lang w:val="pt-BR" w:bidi="pt-BR"/>
        </w:rPr>
      </w:r>
      <w:r>
        <w:rPr>
          <w:iCs/>
          <w:highlight w:val="none"/>
          <w:lang w:val="pt-BR" w:bidi="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2"/>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p>
  <w:p>
    <w:pPr>
      <w:pStyle w:val="852"/>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2"/>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0"/>
      <w:pBdr/>
      <w:spacing/>
      <w:ind/>
      <w:rPr/>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0"/>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09668196"/>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2405169D"/>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9">
    <w:nsid w:val="467C505B"/>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0">
    <w:nsid w:val="64084D84"/>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1">
    <w:nsid w:val="519D8287"/>
    <w:lvl w:ilvl="0">
      <w:isLgl w:val="false"/>
      <w:lvlJc w:val="left"/>
      <w:lvlText w:val=""/>
      <w:numFmt w:val="bullet"/>
      <w:pPr>
        <w:pBdr/>
        <w:spacing/>
        <w:ind w:hanging="360" w:left="1080"/>
      </w:pPr>
      <w:rPr>
        <w:rFonts w:hint="default" w:ascii="Wingdings" w:hAnsi="Wingdings" w:eastAsia="Wingdings" w:cs="Wingdings"/>
      </w:rPr>
      <w:start w:val="1"/>
      <w:suff w:val="tab"/>
    </w:lvl>
    <w:lvl w:ilvl="1">
      <w:isLgl w:val="false"/>
      <w:lvlJc w:val="left"/>
      <w:lvlText w:val="o"/>
      <w:numFmt w:val="bullet"/>
      <w:pPr>
        <w:pBdr/>
        <w:spacing/>
        <w:ind w:hanging="360" w:left="1800"/>
      </w:pPr>
      <w:rPr>
        <w:rFonts w:hint="default" w:ascii="Courier New" w:hAnsi="Courier New" w:eastAsia="Courier New" w:cs="Courier New"/>
      </w:rPr>
      <w:start w:val="1"/>
      <w:suff w:val="tab"/>
    </w:lvl>
    <w:lvl w:ilvl="2">
      <w:isLgl w:val="false"/>
      <w:lvlJc w:val="left"/>
      <w:lvlText w:val=""/>
      <w:numFmt w:val="bullet"/>
      <w:pPr>
        <w:pBdr/>
        <w:spacing/>
        <w:ind w:hanging="360" w:left="2520"/>
      </w:pPr>
      <w:rPr>
        <w:rFonts w:hint="default" w:ascii="Wingdings" w:hAnsi="Wingdings" w:eastAsia="Wingdings" w:cs="Wingdings"/>
      </w:rPr>
      <w:start w:val="1"/>
      <w:suff w:val="tab"/>
    </w:lvl>
    <w:lvl w:ilvl="3">
      <w:isLgl w:val="false"/>
      <w:lvlJc w:val="left"/>
      <w:lvlText w:val=""/>
      <w:numFmt w:val="bullet"/>
      <w:pPr>
        <w:pBdr/>
        <w:spacing/>
        <w:ind w:hanging="360" w:left="3240"/>
      </w:pPr>
      <w:rPr>
        <w:rFonts w:hint="default" w:ascii="Symbol" w:hAnsi="Symbol" w:eastAsia="Symbol" w:cs="Symbol"/>
      </w:rPr>
      <w:start w:val="1"/>
      <w:suff w:val="tab"/>
    </w:lvl>
    <w:lvl w:ilvl="4">
      <w:isLgl w:val="false"/>
      <w:lvlJc w:val="left"/>
      <w:lvlText w:val="o"/>
      <w:numFmt w:val="bullet"/>
      <w:pPr>
        <w:pBdr/>
        <w:spacing/>
        <w:ind w:hanging="360" w:left="3960"/>
      </w:pPr>
      <w:rPr>
        <w:rFonts w:hint="default" w:ascii="Courier New" w:hAnsi="Courier New" w:eastAsia="Courier New" w:cs="Courier New"/>
      </w:rPr>
      <w:start w:val="1"/>
      <w:suff w:val="tab"/>
    </w:lvl>
    <w:lvl w:ilvl="5">
      <w:isLgl w:val="false"/>
      <w:lvlJc w:val="left"/>
      <w:lvlText w:val=""/>
      <w:numFmt w:val="bullet"/>
      <w:pPr>
        <w:pBdr/>
        <w:spacing/>
        <w:ind w:hanging="360" w:left="4680"/>
      </w:pPr>
      <w:rPr>
        <w:rFonts w:hint="default" w:ascii="Wingdings" w:hAnsi="Wingdings" w:eastAsia="Wingdings" w:cs="Wingdings"/>
      </w:rPr>
      <w:start w:val="1"/>
      <w:suff w:val="tab"/>
    </w:lvl>
    <w:lvl w:ilvl="6">
      <w:isLgl w:val="false"/>
      <w:lvlJc w:val="left"/>
      <w:lvlText w:val=""/>
      <w:numFmt w:val="bullet"/>
      <w:pPr>
        <w:pBdr/>
        <w:spacing/>
        <w:ind w:hanging="360" w:left="5400"/>
      </w:pPr>
      <w:rPr>
        <w:rFonts w:hint="default" w:ascii="Symbol" w:hAnsi="Symbol" w:eastAsia="Symbol" w:cs="Symbol"/>
      </w:rPr>
      <w:start w:val="1"/>
      <w:suff w:val="tab"/>
    </w:lvl>
    <w:lvl w:ilvl="7">
      <w:isLgl w:val="false"/>
      <w:lvlJc w:val="left"/>
      <w:lvlText w:val="o"/>
      <w:numFmt w:val="bullet"/>
      <w:pPr>
        <w:pBdr/>
        <w:spacing/>
        <w:ind w:hanging="360" w:left="6120"/>
      </w:pPr>
      <w:rPr>
        <w:rFonts w:hint="default" w:ascii="Courier New" w:hAnsi="Courier New" w:eastAsia="Courier New" w:cs="Courier New"/>
      </w:rPr>
      <w:start w:val="1"/>
      <w:suff w:val="tab"/>
    </w:lvl>
    <w:lvl w:ilvl="8">
      <w:isLgl w:val="false"/>
      <w:lvlJc w:val="left"/>
      <w:lvlText w:val=""/>
      <w:numFmt w:val="bullet"/>
      <w:pPr>
        <w:pBdr/>
        <w:spacing/>
        <w:ind w:hanging="360" w:left="6840"/>
      </w:pPr>
      <w:rPr>
        <w:rFonts w:hint="default" w:ascii="Wingdings" w:hAnsi="Wingdings" w:eastAsia="Wingdings" w:cs="Wingdings"/>
      </w:rPr>
      <w:start w:val="1"/>
      <w:suff w:val="tab"/>
    </w:lvl>
  </w:abstractNum>
  <w:abstractNum w:abstractNumId="42">
    <w:nsid w:val="16AD9766"/>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3">
    <w:nsid w:val="0A1EDE79"/>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4">
    <w:nsid w:val="37F62686"/>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5">
    <w:nsid w:val="0FA1BF33"/>
    <w:lvl w:ilvl="0">
      <w:isLgl w:val="false"/>
      <w:lvlJc w:val="left"/>
      <w:lvlText w:val=""/>
      <w:numFmt w:val="bullet"/>
      <w:pPr>
        <w:pBdr/>
        <w:spacing/>
        <w:ind w:hanging="360" w:left="1080"/>
      </w:pPr>
      <w:rPr>
        <w:rFonts w:hint="default" w:ascii="Wingdings" w:hAnsi="Wingdings" w:eastAsia="Wingdings" w:cs="Wingdings"/>
      </w:rPr>
      <w:start w:val="1"/>
      <w:suff w:val="tab"/>
    </w:lvl>
    <w:lvl w:ilvl="1">
      <w:isLgl w:val="false"/>
      <w:lvlJc w:val="left"/>
      <w:lvlText w:val="o"/>
      <w:numFmt w:val="bullet"/>
      <w:pPr>
        <w:pBdr/>
        <w:spacing/>
        <w:ind w:hanging="360" w:left="1800"/>
      </w:pPr>
      <w:rPr>
        <w:rFonts w:hint="default" w:ascii="Courier New" w:hAnsi="Courier New" w:eastAsia="Courier New" w:cs="Courier New"/>
      </w:rPr>
      <w:start w:val="1"/>
      <w:suff w:val="tab"/>
    </w:lvl>
    <w:lvl w:ilvl="2">
      <w:isLgl w:val="false"/>
      <w:lvlJc w:val="left"/>
      <w:lvlText w:val=""/>
      <w:numFmt w:val="bullet"/>
      <w:pPr>
        <w:pBdr/>
        <w:spacing/>
        <w:ind w:hanging="360" w:left="2520"/>
      </w:pPr>
      <w:rPr>
        <w:rFonts w:hint="default" w:ascii="Wingdings" w:hAnsi="Wingdings" w:eastAsia="Wingdings" w:cs="Wingdings"/>
      </w:rPr>
      <w:start w:val="1"/>
      <w:suff w:val="tab"/>
    </w:lvl>
    <w:lvl w:ilvl="3">
      <w:isLgl w:val="false"/>
      <w:lvlJc w:val="left"/>
      <w:lvlText w:val=""/>
      <w:numFmt w:val="bullet"/>
      <w:pPr>
        <w:pBdr/>
        <w:spacing/>
        <w:ind w:hanging="360" w:left="3240"/>
      </w:pPr>
      <w:rPr>
        <w:rFonts w:hint="default" w:ascii="Symbol" w:hAnsi="Symbol" w:eastAsia="Symbol" w:cs="Symbol"/>
      </w:rPr>
      <w:start w:val="1"/>
      <w:suff w:val="tab"/>
    </w:lvl>
    <w:lvl w:ilvl="4">
      <w:isLgl w:val="false"/>
      <w:lvlJc w:val="left"/>
      <w:lvlText w:val="o"/>
      <w:numFmt w:val="bullet"/>
      <w:pPr>
        <w:pBdr/>
        <w:spacing/>
        <w:ind w:hanging="360" w:left="3960"/>
      </w:pPr>
      <w:rPr>
        <w:rFonts w:hint="default" w:ascii="Courier New" w:hAnsi="Courier New" w:eastAsia="Courier New" w:cs="Courier New"/>
      </w:rPr>
      <w:start w:val="1"/>
      <w:suff w:val="tab"/>
    </w:lvl>
    <w:lvl w:ilvl="5">
      <w:isLgl w:val="false"/>
      <w:lvlJc w:val="left"/>
      <w:lvlText w:val=""/>
      <w:numFmt w:val="bullet"/>
      <w:pPr>
        <w:pBdr/>
        <w:spacing/>
        <w:ind w:hanging="360" w:left="4680"/>
      </w:pPr>
      <w:rPr>
        <w:rFonts w:hint="default" w:ascii="Wingdings" w:hAnsi="Wingdings" w:eastAsia="Wingdings" w:cs="Wingdings"/>
      </w:rPr>
      <w:start w:val="1"/>
      <w:suff w:val="tab"/>
    </w:lvl>
    <w:lvl w:ilvl="6">
      <w:isLgl w:val="false"/>
      <w:lvlJc w:val="left"/>
      <w:lvlText w:val=""/>
      <w:numFmt w:val="bullet"/>
      <w:pPr>
        <w:pBdr/>
        <w:spacing/>
        <w:ind w:hanging="360" w:left="5400"/>
      </w:pPr>
      <w:rPr>
        <w:rFonts w:hint="default" w:ascii="Symbol" w:hAnsi="Symbol" w:eastAsia="Symbol" w:cs="Symbol"/>
      </w:rPr>
      <w:start w:val="1"/>
      <w:suff w:val="tab"/>
    </w:lvl>
    <w:lvl w:ilvl="7">
      <w:isLgl w:val="false"/>
      <w:lvlJc w:val="left"/>
      <w:lvlText w:val="o"/>
      <w:numFmt w:val="bullet"/>
      <w:pPr>
        <w:pBdr/>
        <w:spacing/>
        <w:ind w:hanging="360" w:left="6120"/>
      </w:pPr>
      <w:rPr>
        <w:rFonts w:hint="default" w:ascii="Courier New" w:hAnsi="Courier New" w:eastAsia="Courier New" w:cs="Courier New"/>
      </w:rPr>
      <w:start w:val="1"/>
      <w:suff w:val="tab"/>
    </w:lvl>
    <w:lvl w:ilvl="8">
      <w:isLgl w:val="false"/>
      <w:lvlJc w:val="left"/>
      <w:lvlText w:val=""/>
      <w:numFmt w:val="bullet"/>
      <w:pPr>
        <w:pBdr/>
        <w:spacing/>
        <w:ind w:hanging="360" w:left="684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 w:numId="46">
    <w:abstractNumId w:val="44"/>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84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84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84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84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84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84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84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84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84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84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84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84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84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84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84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84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84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84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84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84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84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84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84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84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84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84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84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84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84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84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84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84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84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84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84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84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84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84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84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84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84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84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84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84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84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84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84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84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84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84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84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117">
    <w:name w:val="Lined - Accent"/>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84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84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84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84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84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84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84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84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3">
    <w:name w:val="Heading 5"/>
    <w:basedOn w:val="834"/>
    <w:next w:val="834"/>
    <w:link w:val="15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4">
    <w:name w:val="Heading 6"/>
    <w:basedOn w:val="834"/>
    <w:next w:val="834"/>
    <w:link w:val="15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5">
    <w:name w:val="Heading 7"/>
    <w:basedOn w:val="834"/>
    <w:next w:val="834"/>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834"/>
    <w:next w:val="834"/>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834"/>
    <w:next w:val="834"/>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4">
    <w:name w:val="Heading 5 Char"/>
    <w:basedOn w:val="839"/>
    <w:link w:val="143"/>
    <w:uiPriority w:val="9"/>
    <w:pPr>
      <w:pBdr/>
      <w:spacing/>
      <w:ind/>
    </w:pPr>
    <w:rPr>
      <w:rFonts w:ascii="Arial" w:hAnsi="Arial" w:eastAsia="Arial" w:cs="Arial"/>
      <w:color w:val="0f4761" w:themeColor="accent1" w:themeShade="BF"/>
    </w:rPr>
  </w:style>
  <w:style w:type="character" w:styleId="155">
    <w:name w:val="Heading 6 Char"/>
    <w:basedOn w:val="839"/>
    <w:link w:val="144"/>
    <w:uiPriority w:val="9"/>
    <w:pPr>
      <w:pBdr/>
      <w:spacing/>
      <w:ind/>
    </w:pPr>
    <w:rPr>
      <w:rFonts w:ascii="Arial" w:hAnsi="Arial" w:eastAsia="Arial" w:cs="Arial"/>
      <w:i/>
      <w:iCs/>
      <w:color w:val="595959" w:themeColor="text1" w:themeTint="A6"/>
    </w:rPr>
  </w:style>
  <w:style w:type="character" w:styleId="156">
    <w:name w:val="Heading 7 Char"/>
    <w:basedOn w:val="839"/>
    <w:link w:val="145"/>
    <w:uiPriority w:val="9"/>
    <w:pPr>
      <w:pBdr/>
      <w:spacing/>
      <w:ind/>
    </w:pPr>
    <w:rPr>
      <w:rFonts w:ascii="Arial" w:hAnsi="Arial" w:eastAsia="Arial" w:cs="Arial"/>
      <w:color w:val="595959" w:themeColor="text1" w:themeTint="A6"/>
    </w:rPr>
  </w:style>
  <w:style w:type="character" w:styleId="157">
    <w:name w:val="Heading 8 Char"/>
    <w:basedOn w:val="839"/>
    <w:link w:val="146"/>
    <w:uiPriority w:val="9"/>
    <w:pPr>
      <w:pBdr/>
      <w:spacing/>
      <w:ind/>
    </w:pPr>
    <w:rPr>
      <w:rFonts w:ascii="Arial" w:hAnsi="Arial" w:eastAsia="Arial" w:cs="Arial"/>
      <w:i/>
      <w:iCs/>
      <w:color w:val="272727" w:themeColor="text1" w:themeTint="D8"/>
    </w:rPr>
  </w:style>
  <w:style w:type="character" w:styleId="158">
    <w:name w:val="Heading 9 Char"/>
    <w:basedOn w:val="839"/>
    <w:link w:val="147"/>
    <w:uiPriority w:val="9"/>
    <w:pPr>
      <w:pBdr/>
      <w:spacing/>
      <w:ind/>
    </w:pPr>
    <w:rPr>
      <w:rFonts w:ascii="Arial" w:hAnsi="Arial" w:eastAsia="Arial" w:cs="Arial"/>
      <w:i/>
      <w:iCs/>
      <w:color w:val="272727" w:themeColor="text1" w:themeTint="D8"/>
    </w:rPr>
  </w:style>
  <w:style w:type="paragraph" w:styleId="161">
    <w:name w:val="Subtitle"/>
    <w:basedOn w:val="834"/>
    <w:next w:val="834"/>
    <w:link w:val="162"/>
    <w:uiPriority w:val="11"/>
    <w:qFormat/>
    <w:pPr>
      <w:numPr>
        <w:ilvl w:val="1"/>
      </w:numPr>
      <w:pBdr/>
      <w:spacing/>
      <w:ind/>
    </w:pPr>
    <w:rPr>
      <w:color w:val="595959" w:themeColor="text1" w:themeTint="A6"/>
      <w:spacing w:val="15"/>
      <w:sz w:val="28"/>
      <w:szCs w:val="28"/>
    </w:rPr>
  </w:style>
  <w:style w:type="character" w:styleId="162">
    <w:name w:val="Subtitle Char"/>
    <w:basedOn w:val="839"/>
    <w:link w:val="161"/>
    <w:uiPriority w:val="11"/>
    <w:pPr>
      <w:pBdr/>
      <w:spacing/>
      <w:ind/>
    </w:pPr>
    <w:rPr>
      <w:color w:val="595959" w:themeColor="text1" w:themeTint="A6"/>
      <w:spacing w:val="15"/>
      <w:sz w:val="28"/>
      <w:szCs w:val="28"/>
    </w:rPr>
  </w:style>
  <w:style w:type="paragraph" w:styleId="163">
    <w:name w:val="Quote"/>
    <w:basedOn w:val="834"/>
    <w:next w:val="834"/>
    <w:link w:val="164"/>
    <w:uiPriority w:val="29"/>
    <w:qFormat/>
    <w:pPr>
      <w:pBdr/>
      <w:spacing w:before="160"/>
      <w:ind/>
      <w:jc w:val="center"/>
    </w:pPr>
    <w:rPr>
      <w:i/>
      <w:iCs/>
      <w:color w:val="404040" w:themeColor="text1" w:themeTint="BF"/>
    </w:rPr>
  </w:style>
  <w:style w:type="character" w:styleId="164">
    <w:name w:val="Quote Char"/>
    <w:basedOn w:val="839"/>
    <w:link w:val="163"/>
    <w:uiPriority w:val="29"/>
    <w:pPr>
      <w:pBdr/>
      <w:spacing/>
      <w:ind/>
    </w:pPr>
    <w:rPr>
      <w:i/>
      <w:iCs/>
      <w:color w:val="404040" w:themeColor="text1" w:themeTint="BF"/>
    </w:rPr>
  </w:style>
  <w:style w:type="character" w:styleId="166">
    <w:name w:val="Intense Emphasis"/>
    <w:basedOn w:val="839"/>
    <w:uiPriority w:val="21"/>
    <w:qFormat/>
    <w:pPr>
      <w:pBdr/>
      <w:spacing/>
      <w:ind/>
    </w:pPr>
    <w:rPr>
      <w:i/>
      <w:iCs/>
      <w:color w:val="0f4761" w:themeColor="accent1" w:themeShade="BF"/>
    </w:rPr>
  </w:style>
  <w:style w:type="paragraph" w:styleId="167">
    <w:name w:val="Intense Quote"/>
    <w:basedOn w:val="834"/>
    <w:next w:val="834"/>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839"/>
    <w:link w:val="167"/>
    <w:uiPriority w:val="30"/>
    <w:pPr>
      <w:pBdr/>
      <w:spacing/>
      <w:ind/>
    </w:pPr>
    <w:rPr>
      <w:i/>
      <w:iCs/>
      <w:color w:val="0f4761" w:themeColor="accent1" w:themeShade="BF"/>
    </w:rPr>
  </w:style>
  <w:style w:type="character" w:styleId="169">
    <w:name w:val="Intense Reference"/>
    <w:basedOn w:val="839"/>
    <w:uiPriority w:val="32"/>
    <w:qFormat/>
    <w:pPr>
      <w:pBdr/>
      <w:spacing/>
      <w:ind/>
    </w:pPr>
    <w:rPr>
      <w:b/>
      <w:bCs/>
      <w:smallCaps/>
      <w:color w:val="0f4761" w:themeColor="accent1" w:themeShade="BF"/>
      <w:spacing w:val="5"/>
    </w:rPr>
  </w:style>
  <w:style w:type="paragraph" w:styleId="170">
    <w:name w:val="No Spacing"/>
    <w:basedOn w:val="834"/>
    <w:uiPriority w:val="1"/>
    <w:qFormat/>
    <w:pPr>
      <w:pBdr/>
      <w:spacing w:after="0" w:line="240" w:lineRule="auto"/>
      <w:ind/>
    </w:pPr>
  </w:style>
  <w:style w:type="character" w:styleId="171">
    <w:name w:val="Subtle Emphasis"/>
    <w:basedOn w:val="839"/>
    <w:uiPriority w:val="19"/>
    <w:qFormat/>
    <w:pPr>
      <w:pBdr/>
      <w:spacing/>
      <w:ind/>
    </w:pPr>
    <w:rPr>
      <w:i/>
      <w:iCs/>
      <w:color w:val="404040" w:themeColor="text1" w:themeTint="BF"/>
    </w:rPr>
  </w:style>
  <w:style w:type="character" w:styleId="174">
    <w:name w:val="Subtle Reference"/>
    <w:basedOn w:val="839"/>
    <w:uiPriority w:val="31"/>
    <w:qFormat/>
    <w:pPr>
      <w:pBdr/>
      <w:spacing/>
      <w:ind/>
    </w:pPr>
    <w:rPr>
      <w:smallCaps/>
      <w:color w:val="5a5a5a" w:themeColor="text1" w:themeTint="A5"/>
    </w:rPr>
  </w:style>
  <w:style w:type="character" w:styleId="175">
    <w:name w:val="Book Title"/>
    <w:basedOn w:val="839"/>
    <w:uiPriority w:val="33"/>
    <w:qFormat/>
    <w:pPr>
      <w:pBdr/>
      <w:spacing/>
      <w:ind/>
    </w:pPr>
    <w:rPr>
      <w:b/>
      <w:bCs/>
      <w:i/>
      <w:iCs/>
      <w:spacing w:val="5"/>
    </w:rPr>
  </w:style>
  <w:style w:type="paragraph" w:styleId="180">
    <w:name w:val="Caption"/>
    <w:basedOn w:val="834"/>
    <w:next w:val="834"/>
    <w:uiPriority w:val="35"/>
    <w:unhideWhenUsed/>
    <w:qFormat/>
    <w:pPr>
      <w:pBdr/>
      <w:spacing w:after="200" w:line="240" w:lineRule="auto"/>
      <w:ind/>
    </w:pPr>
    <w:rPr>
      <w:i/>
      <w:iCs/>
      <w:color w:val="0e2841" w:themeColor="text2"/>
      <w:sz w:val="18"/>
      <w:szCs w:val="18"/>
    </w:rPr>
  </w:style>
  <w:style w:type="paragraph" w:styleId="181">
    <w:name w:val="footnote text"/>
    <w:basedOn w:val="834"/>
    <w:link w:val="182"/>
    <w:uiPriority w:val="99"/>
    <w:semiHidden/>
    <w:unhideWhenUsed/>
    <w:pPr>
      <w:pBdr/>
      <w:spacing w:after="0" w:line="240" w:lineRule="auto"/>
      <w:ind/>
    </w:pPr>
    <w:rPr>
      <w:sz w:val="20"/>
      <w:szCs w:val="20"/>
    </w:rPr>
  </w:style>
  <w:style w:type="character" w:styleId="182">
    <w:name w:val="Footnote Text Char"/>
    <w:basedOn w:val="839"/>
    <w:link w:val="181"/>
    <w:uiPriority w:val="99"/>
    <w:semiHidden/>
    <w:pPr>
      <w:pBdr/>
      <w:spacing/>
      <w:ind/>
    </w:pPr>
    <w:rPr>
      <w:sz w:val="20"/>
      <w:szCs w:val="20"/>
    </w:rPr>
  </w:style>
  <w:style w:type="character" w:styleId="183">
    <w:name w:val="footnote reference"/>
    <w:basedOn w:val="839"/>
    <w:uiPriority w:val="99"/>
    <w:semiHidden/>
    <w:unhideWhenUsed/>
    <w:pPr>
      <w:pBdr/>
      <w:spacing/>
      <w:ind/>
    </w:pPr>
    <w:rPr>
      <w:vertAlign w:val="superscript"/>
    </w:rPr>
  </w:style>
  <w:style w:type="paragraph" w:styleId="184">
    <w:name w:val="endnote text"/>
    <w:basedOn w:val="834"/>
    <w:link w:val="185"/>
    <w:uiPriority w:val="99"/>
    <w:semiHidden/>
    <w:unhideWhenUsed/>
    <w:pPr>
      <w:pBdr/>
      <w:spacing w:after="0" w:line="240" w:lineRule="auto"/>
      <w:ind/>
    </w:pPr>
    <w:rPr>
      <w:sz w:val="20"/>
      <w:szCs w:val="20"/>
    </w:rPr>
  </w:style>
  <w:style w:type="character" w:styleId="185">
    <w:name w:val="Endnote Text Char"/>
    <w:basedOn w:val="839"/>
    <w:link w:val="184"/>
    <w:uiPriority w:val="99"/>
    <w:semiHidden/>
    <w:pPr>
      <w:pBdr/>
      <w:spacing/>
      <w:ind/>
    </w:pPr>
    <w:rPr>
      <w:sz w:val="20"/>
      <w:szCs w:val="20"/>
    </w:rPr>
  </w:style>
  <w:style w:type="character" w:styleId="186">
    <w:name w:val="endnote reference"/>
    <w:basedOn w:val="839"/>
    <w:uiPriority w:val="99"/>
    <w:semiHidden/>
    <w:unhideWhenUsed/>
    <w:pPr>
      <w:pBdr/>
      <w:spacing/>
      <w:ind/>
    </w:pPr>
    <w:rPr>
      <w:vertAlign w:val="superscript"/>
    </w:rPr>
  </w:style>
  <w:style w:type="paragraph" w:styleId="189">
    <w:name w:val="toc 1"/>
    <w:basedOn w:val="834"/>
    <w:next w:val="834"/>
    <w:uiPriority w:val="39"/>
    <w:unhideWhenUsed/>
    <w:pPr>
      <w:pBdr/>
      <w:spacing w:after="100"/>
      <w:ind/>
    </w:pPr>
  </w:style>
  <w:style w:type="paragraph" w:styleId="190">
    <w:name w:val="toc 2"/>
    <w:basedOn w:val="834"/>
    <w:next w:val="834"/>
    <w:uiPriority w:val="39"/>
    <w:unhideWhenUsed/>
    <w:pPr>
      <w:pBdr/>
      <w:spacing w:after="100"/>
      <w:ind w:left="220"/>
    </w:pPr>
  </w:style>
  <w:style w:type="paragraph" w:styleId="191">
    <w:name w:val="toc 3"/>
    <w:basedOn w:val="834"/>
    <w:next w:val="834"/>
    <w:uiPriority w:val="39"/>
    <w:unhideWhenUsed/>
    <w:pPr>
      <w:pBdr/>
      <w:spacing w:after="100"/>
      <w:ind w:left="440"/>
    </w:pPr>
  </w:style>
  <w:style w:type="paragraph" w:styleId="192">
    <w:name w:val="toc 4"/>
    <w:basedOn w:val="834"/>
    <w:next w:val="834"/>
    <w:uiPriority w:val="39"/>
    <w:unhideWhenUsed/>
    <w:pPr>
      <w:pBdr/>
      <w:spacing w:after="100"/>
      <w:ind w:left="660"/>
    </w:pPr>
  </w:style>
  <w:style w:type="paragraph" w:styleId="193">
    <w:name w:val="toc 5"/>
    <w:basedOn w:val="834"/>
    <w:next w:val="834"/>
    <w:uiPriority w:val="39"/>
    <w:unhideWhenUsed/>
    <w:pPr>
      <w:pBdr/>
      <w:spacing w:after="100"/>
      <w:ind w:left="880"/>
    </w:pPr>
  </w:style>
  <w:style w:type="paragraph" w:styleId="194">
    <w:name w:val="toc 6"/>
    <w:basedOn w:val="834"/>
    <w:next w:val="834"/>
    <w:uiPriority w:val="39"/>
    <w:unhideWhenUsed/>
    <w:pPr>
      <w:pBdr/>
      <w:spacing w:after="100"/>
      <w:ind w:left="1100"/>
    </w:pPr>
  </w:style>
  <w:style w:type="paragraph" w:styleId="195">
    <w:name w:val="toc 7"/>
    <w:basedOn w:val="834"/>
    <w:next w:val="834"/>
    <w:uiPriority w:val="39"/>
    <w:unhideWhenUsed/>
    <w:pPr>
      <w:pBdr/>
      <w:spacing w:after="100"/>
      <w:ind w:left="1320"/>
    </w:pPr>
  </w:style>
  <w:style w:type="paragraph" w:styleId="196">
    <w:name w:val="toc 8"/>
    <w:basedOn w:val="834"/>
    <w:next w:val="834"/>
    <w:uiPriority w:val="39"/>
    <w:unhideWhenUsed/>
    <w:pPr>
      <w:pBdr/>
      <w:spacing w:after="100"/>
      <w:ind w:left="1540"/>
    </w:pPr>
  </w:style>
  <w:style w:type="paragraph" w:styleId="197">
    <w:name w:val="toc 9"/>
    <w:basedOn w:val="834"/>
    <w:next w:val="834"/>
    <w:uiPriority w:val="39"/>
    <w:unhideWhenUsed/>
    <w:pPr>
      <w:pBdr/>
      <w:spacing w:after="100"/>
      <w:ind w:left="1760"/>
    </w:pPr>
  </w:style>
  <w:style w:type="character" w:styleId="198">
    <w:name w:val="Placeholder Text"/>
    <w:basedOn w:val="839"/>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834"/>
    <w:next w:val="834"/>
    <w:uiPriority w:val="99"/>
    <w:unhideWhenUsed/>
    <w:pPr>
      <w:pBdr/>
      <w:spacing w:after="0" w:afterAutospacing="0"/>
      <w:ind/>
    </w:pPr>
  </w:style>
  <w:style w:type="paragraph" w:styleId="834" w:default="1">
    <w:name w:val="Normal"/>
    <w:qFormat/>
    <w:pPr>
      <w:pBdr/>
      <w:spacing w:after="0" w:line="240" w:lineRule="auto"/>
      <w:ind/>
    </w:pPr>
    <w:rPr>
      <w:rFonts w:ascii="Times New Roman" w:hAnsi="Times New Roman" w:eastAsia="Times New Roman" w:cs="Times New Roman"/>
      <w:sz w:val="24"/>
      <w:szCs w:val="24"/>
    </w:rPr>
  </w:style>
  <w:style w:type="paragraph" w:styleId="835">
    <w:name w:val="Heading 1"/>
    <w:basedOn w:val="834"/>
    <w:next w:val="834"/>
    <w:link w:val="842"/>
    <w:qFormat/>
    <w:pPr>
      <w:keepNext w:val="true"/>
      <w:pBdr/>
      <w:spacing w:after="120" w:before="120"/>
      <w:ind/>
      <w:jc w:val="center"/>
      <w:outlineLvl w:val="0"/>
    </w:pPr>
    <w:rPr>
      <w:b/>
      <w:bCs/>
      <w:sz w:val="27"/>
      <w:szCs w:val="27"/>
    </w:rPr>
  </w:style>
  <w:style w:type="paragraph" w:styleId="836">
    <w:name w:val="Heading 2"/>
    <w:basedOn w:val="834"/>
    <w:next w:val="834"/>
    <w:link w:val="843"/>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837">
    <w:name w:val="Heading 3"/>
    <w:basedOn w:val="834"/>
    <w:next w:val="834"/>
    <w:link w:val="844"/>
    <w:qFormat/>
    <w:pPr>
      <w:keepNext w:val="true"/>
      <w:pBdr/>
      <w:spacing w:before="60"/>
      <w:ind/>
      <w:outlineLvl w:val="2"/>
    </w:pPr>
    <w:rPr>
      <w:sz w:val="28"/>
      <w:szCs w:val="28"/>
    </w:rPr>
  </w:style>
  <w:style w:type="paragraph" w:styleId="838">
    <w:name w:val="Heading 4"/>
    <w:basedOn w:val="834"/>
    <w:next w:val="834"/>
    <w:link w:val="845"/>
    <w:qFormat/>
    <w:pPr>
      <w:keepNext w:val="true"/>
      <w:pBdr/>
      <w:spacing/>
      <w:ind/>
      <w:jc w:val="center"/>
      <w:outlineLvl w:val="3"/>
    </w:pPr>
    <w:rPr>
      <w:b/>
      <w:bCs/>
    </w:rPr>
  </w:style>
  <w:style w:type="character" w:styleId="839" w:default="1">
    <w:name w:val="Default Paragraph Font"/>
    <w:uiPriority w:val="1"/>
    <w:semiHidden/>
    <w:unhideWhenUsed/>
    <w:pPr>
      <w:pBdr/>
      <w:spacing/>
      <w:ind/>
    </w:pPr>
  </w:style>
  <w:style w:type="table" w:styleId="840"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41" w:default="1">
    <w:name w:val="No List"/>
    <w:uiPriority w:val="99"/>
    <w:semiHidden/>
    <w:unhideWhenUsed/>
    <w:pPr>
      <w:pBdr/>
      <w:spacing/>
      <w:ind/>
    </w:pPr>
  </w:style>
  <w:style w:type="character" w:styleId="842" w:customStyle="1">
    <w:name w:val="Heading 1 Char"/>
    <w:basedOn w:val="839"/>
    <w:link w:val="835"/>
    <w:pPr>
      <w:pBdr/>
      <w:spacing/>
      <w:ind/>
    </w:pPr>
    <w:rPr>
      <w:rFonts w:ascii="Times New Roman" w:hAnsi="Times New Roman" w:eastAsia="Times New Roman" w:cs="Times New Roman"/>
      <w:b/>
      <w:bCs/>
      <w:sz w:val="27"/>
      <w:szCs w:val="27"/>
    </w:rPr>
  </w:style>
  <w:style w:type="character" w:styleId="843" w:customStyle="1">
    <w:name w:val="Heading 2 Char"/>
    <w:basedOn w:val="839"/>
    <w:link w:val="836"/>
    <w:uiPriority w:val="9"/>
    <w:pPr>
      <w:pBdr/>
      <w:spacing/>
      <w:ind/>
    </w:pPr>
    <w:rPr>
      <w:rFonts w:asciiTheme="majorHAnsi" w:hAnsiTheme="majorHAnsi" w:eastAsiaTheme="majorEastAsia" w:cstheme="majorBidi"/>
      <w:color w:val="365f91" w:themeColor="accent1" w:themeShade="BF"/>
      <w:sz w:val="26"/>
      <w:szCs w:val="26"/>
    </w:rPr>
  </w:style>
  <w:style w:type="character" w:styleId="844" w:customStyle="1">
    <w:name w:val="Heading 3 Char"/>
    <w:basedOn w:val="839"/>
    <w:link w:val="837"/>
    <w:pPr>
      <w:pBdr/>
      <w:spacing/>
      <w:ind/>
    </w:pPr>
    <w:rPr>
      <w:rFonts w:ascii="Times New Roman" w:hAnsi="Times New Roman" w:eastAsia="Times New Roman" w:cs="Times New Roman"/>
      <w:sz w:val="28"/>
      <w:szCs w:val="28"/>
    </w:rPr>
  </w:style>
  <w:style w:type="character" w:styleId="845" w:customStyle="1">
    <w:name w:val="Heading 4 Char"/>
    <w:basedOn w:val="839"/>
    <w:link w:val="838"/>
    <w:pPr>
      <w:pBdr/>
      <w:spacing/>
      <w:ind/>
    </w:pPr>
    <w:rPr>
      <w:rFonts w:ascii="Times New Roman" w:hAnsi="Times New Roman" w:eastAsia="Times New Roman" w:cs="Times New Roman"/>
      <w:b/>
      <w:bCs/>
      <w:sz w:val="24"/>
      <w:szCs w:val="24"/>
    </w:rPr>
  </w:style>
  <w:style w:type="character" w:styleId="846">
    <w:name w:val="Hyperlink"/>
    <w:uiPriority w:val="99"/>
    <w:pPr>
      <w:pBdr/>
      <w:spacing/>
      <w:ind/>
    </w:pPr>
    <w:rPr>
      <w:color w:val="000000"/>
      <w:u w:val="single"/>
    </w:rPr>
  </w:style>
  <w:style w:type="character" w:styleId="847">
    <w:name w:val="Strong"/>
    <w:uiPriority w:val="22"/>
    <w:qFormat/>
    <w:pPr>
      <w:pBdr/>
      <w:spacing/>
      <w:ind/>
    </w:pPr>
    <w:rPr>
      <w:b/>
      <w:bCs/>
    </w:rPr>
  </w:style>
  <w:style w:type="paragraph" w:styleId="848">
    <w:name w:val="Balloon Text"/>
    <w:basedOn w:val="834"/>
    <w:link w:val="849"/>
    <w:uiPriority w:val="99"/>
    <w:semiHidden/>
    <w:unhideWhenUsed/>
    <w:pPr>
      <w:pBdr/>
      <w:spacing/>
      <w:ind/>
    </w:pPr>
    <w:rPr>
      <w:rFonts w:ascii="Tahoma" w:hAnsi="Tahoma" w:cs="Tahoma"/>
      <w:sz w:val="16"/>
      <w:szCs w:val="16"/>
    </w:rPr>
  </w:style>
  <w:style w:type="character" w:styleId="849" w:customStyle="1">
    <w:name w:val="Balloon Text Char"/>
    <w:basedOn w:val="839"/>
    <w:link w:val="848"/>
    <w:uiPriority w:val="99"/>
    <w:semiHidden/>
    <w:pPr>
      <w:pBdr/>
      <w:spacing/>
      <w:ind/>
    </w:pPr>
    <w:rPr>
      <w:rFonts w:ascii="Tahoma" w:hAnsi="Tahoma" w:eastAsia="Times New Roman" w:cs="Tahoma"/>
      <w:sz w:val="16"/>
      <w:szCs w:val="16"/>
    </w:rPr>
  </w:style>
  <w:style w:type="paragraph" w:styleId="850">
    <w:name w:val="Header"/>
    <w:basedOn w:val="834"/>
    <w:link w:val="851"/>
    <w:unhideWhenUsed/>
    <w:pPr>
      <w:pBdr/>
      <w:tabs>
        <w:tab w:val="center" w:leader="none" w:pos="4680"/>
        <w:tab w:val="right" w:leader="none" w:pos="9360"/>
      </w:tabs>
      <w:spacing/>
      <w:ind/>
    </w:pPr>
  </w:style>
  <w:style w:type="character" w:styleId="851" w:customStyle="1">
    <w:name w:val="Header Char"/>
    <w:basedOn w:val="839"/>
    <w:link w:val="850"/>
    <w:pPr>
      <w:pBdr/>
      <w:spacing/>
      <w:ind/>
    </w:pPr>
    <w:rPr>
      <w:rFonts w:ascii="Times New Roman" w:hAnsi="Times New Roman" w:eastAsia="Times New Roman" w:cs="Times New Roman"/>
      <w:sz w:val="24"/>
      <w:szCs w:val="24"/>
    </w:rPr>
  </w:style>
  <w:style w:type="paragraph" w:styleId="852">
    <w:name w:val="Footer"/>
    <w:basedOn w:val="834"/>
    <w:link w:val="853"/>
    <w:uiPriority w:val="99"/>
    <w:unhideWhenUsed/>
    <w:pPr>
      <w:pBdr/>
      <w:tabs>
        <w:tab w:val="center" w:leader="none" w:pos="4680"/>
        <w:tab w:val="right" w:leader="none" w:pos="9360"/>
      </w:tabs>
      <w:spacing/>
      <w:ind/>
    </w:pPr>
  </w:style>
  <w:style w:type="character" w:styleId="853" w:customStyle="1">
    <w:name w:val="Footer Char"/>
    <w:basedOn w:val="839"/>
    <w:link w:val="852"/>
    <w:uiPriority w:val="99"/>
    <w:pPr>
      <w:pBdr/>
      <w:spacing/>
      <w:ind/>
    </w:pPr>
    <w:rPr>
      <w:rFonts w:ascii="Times New Roman" w:hAnsi="Times New Roman" w:eastAsia="Times New Roman" w:cs="Times New Roman"/>
      <w:sz w:val="24"/>
      <w:szCs w:val="24"/>
    </w:rPr>
  </w:style>
  <w:style w:type="character" w:styleId="854" w:customStyle="1">
    <w:name w:val="normal-h1"/>
    <w:pPr>
      <w:pBdr/>
      <w:spacing/>
      <w:ind/>
    </w:pPr>
    <w:rPr>
      <w:rFonts w:hint="default" w:ascii=".VnTime" w:hAnsi=".VnTime"/>
      <w:color w:val="0000ff"/>
      <w:sz w:val="24"/>
      <w:szCs w:val="24"/>
    </w:rPr>
  </w:style>
  <w:style w:type="paragraph" w:styleId="855" w:customStyle="1">
    <w:name w:val="normal-p"/>
    <w:basedOn w:val="834"/>
    <w:pPr>
      <w:pBdr/>
      <w:spacing/>
      <w:ind/>
      <w:jc w:val="both"/>
    </w:pPr>
    <w:rPr>
      <w:sz w:val="20"/>
      <w:szCs w:val="20"/>
    </w:rPr>
  </w:style>
  <w:style w:type="paragraph" w:styleId="856">
    <w:name w:val="List Paragraph"/>
    <w:basedOn w:val="834"/>
    <w:link w:val="943"/>
    <w:uiPriority w:val="34"/>
    <w:qFormat/>
    <w:pPr>
      <w:pBdr/>
      <w:spacing/>
      <w:ind w:left="720"/>
    </w:pPr>
  </w:style>
  <w:style w:type="paragraph" w:styleId="857">
    <w:name w:val="Normal (Web)"/>
    <w:basedOn w:val="834"/>
    <w:uiPriority w:val="99"/>
    <w:pPr>
      <w:pBdr/>
      <w:spacing w:after="100" w:afterAutospacing="1" w:before="100" w:beforeAutospacing="1"/>
      <w:ind/>
    </w:pPr>
  </w:style>
  <w:style w:type="paragraph" w:styleId="858">
    <w:name w:val="Body Text"/>
    <w:basedOn w:val="834"/>
    <w:link w:val="859"/>
    <w:pPr>
      <w:pBdr/>
      <w:spacing w:after="120"/>
      <w:ind/>
      <w:jc w:val="both"/>
    </w:pPr>
  </w:style>
  <w:style w:type="character" w:styleId="859" w:customStyle="1">
    <w:name w:val="Body Text Char"/>
    <w:basedOn w:val="839"/>
    <w:link w:val="858"/>
    <w:pPr>
      <w:pBdr/>
      <w:spacing/>
      <w:ind/>
    </w:pPr>
    <w:rPr>
      <w:rFonts w:ascii="Times New Roman" w:hAnsi="Times New Roman" w:eastAsia="Times New Roman" w:cs="Times New Roman"/>
      <w:sz w:val="24"/>
      <w:szCs w:val="24"/>
    </w:rPr>
  </w:style>
  <w:style w:type="table" w:styleId="860">
    <w:name w:val="Table Grid"/>
    <w:basedOn w:val="840"/>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61"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862">
    <w:name w:val="annotation reference"/>
    <w:basedOn w:val="839"/>
    <w:uiPriority w:val="99"/>
    <w:semiHidden/>
    <w:unhideWhenUsed/>
    <w:pPr>
      <w:pBdr/>
      <w:spacing/>
      <w:ind/>
    </w:pPr>
    <w:rPr>
      <w:sz w:val="16"/>
      <w:szCs w:val="16"/>
    </w:rPr>
  </w:style>
  <w:style w:type="paragraph" w:styleId="863">
    <w:name w:val="annotation text"/>
    <w:basedOn w:val="834"/>
    <w:link w:val="864"/>
    <w:uiPriority w:val="99"/>
    <w:unhideWhenUsed/>
    <w:pPr>
      <w:pBdr/>
      <w:spacing/>
      <w:ind/>
    </w:pPr>
    <w:rPr>
      <w:sz w:val="20"/>
      <w:szCs w:val="20"/>
    </w:rPr>
  </w:style>
  <w:style w:type="character" w:styleId="864" w:customStyle="1">
    <w:name w:val="Comment Text Char"/>
    <w:basedOn w:val="839"/>
    <w:link w:val="863"/>
    <w:uiPriority w:val="99"/>
    <w:pPr>
      <w:pBdr/>
      <w:spacing/>
      <w:ind/>
    </w:pPr>
    <w:rPr>
      <w:rFonts w:ascii="Times New Roman" w:hAnsi="Times New Roman" w:eastAsia="Times New Roman" w:cs="Times New Roman"/>
      <w:sz w:val="20"/>
      <w:szCs w:val="20"/>
    </w:rPr>
  </w:style>
  <w:style w:type="paragraph" w:styleId="865">
    <w:name w:val="annotation subject"/>
    <w:basedOn w:val="863"/>
    <w:next w:val="863"/>
    <w:link w:val="866"/>
    <w:uiPriority w:val="99"/>
    <w:semiHidden/>
    <w:unhideWhenUsed/>
    <w:pPr>
      <w:pBdr/>
      <w:spacing/>
      <w:ind/>
    </w:pPr>
    <w:rPr>
      <w:b/>
      <w:bCs/>
    </w:rPr>
  </w:style>
  <w:style w:type="character" w:styleId="866" w:customStyle="1">
    <w:name w:val="Comment Subject Char"/>
    <w:basedOn w:val="864"/>
    <w:link w:val="865"/>
    <w:uiPriority w:val="99"/>
    <w:semiHidden/>
    <w:pPr>
      <w:pBdr/>
      <w:spacing/>
      <w:ind/>
    </w:pPr>
    <w:rPr>
      <w:rFonts w:ascii="Times New Roman" w:hAnsi="Times New Roman" w:eastAsia="Times New Roman" w:cs="Times New Roman"/>
      <w:b/>
      <w:bCs/>
      <w:sz w:val="20"/>
      <w:szCs w:val="20"/>
    </w:rPr>
  </w:style>
  <w:style w:type="paragraph" w:styleId="867" w:customStyle="1">
    <w:name w:val="font5"/>
    <w:basedOn w:val="834"/>
    <w:pPr>
      <w:pBdr/>
      <w:spacing w:after="100" w:afterAutospacing="1" w:before="100" w:beforeAutospacing="1"/>
      <w:ind/>
    </w:pPr>
    <w:rPr>
      <w:rFonts w:ascii="Tahoma" w:hAnsi="Tahoma" w:cs="Tahoma"/>
      <w:color w:val="000000"/>
      <w:sz w:val="18"/>
      <w:szCs w:val="18"/>
    </w:rPr>
  </w:style>
  <w:style w:type="paragraph" w:styleId="868" w:customStyle="1">
    <w:name w:val="font6"/>
    <w:basedOn w:val="834"/>
    <w:pPr>
      <w:pBdr/>
      <w:spacing w:after="100" w:afterAutospacing="1" w:before="100" w:beforeAutospacing="1"/>
      <w:ind/>
    </w:pPr>
    <w:rPr>
      <w:rFonts w:ascii="Tahoma" w:hAnsi="Tahoma" w:cs="Tahoma"/>
      <w:b/>
      <w:bCs/>
      <w:color w:val="000000"/>
      <w:sz w:val="18"/>
      <w:szCs w:val="18"/>
    </w:rPr>
  </w:style>
  <w:style w:type="paragraph" w:styleId="869" w:customStyle="1">
    <w:name w:val="xl23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70" w:customStyle="1">
    <w:name w:val="xl234"/>
    <w:basedOn w:val="834"/>
    <w:pPr>
      <w:pBdr/>
      <w:spacing w:after="100" w:afterAutospacing="1" w:before="100" w:beforeAutospacing="1"/>
      <w:ind/>
      <w:jc w:val="center"/>
    </w:pPr>
  </w:style>
  <w:style w:type="paragraph" w:styleId="871" w:customStyle="1">
    <w:name w:val="xl235"/>
    <w:basedOn w:val="834"/>
    <w:pPr>
      <w:pBdr/>
      <w:spacing w:after="100" w:afterAutospacing="1" w:before="100" w:beforeAutospacing="1"/>
      <w:ind/>
      <w:jc w:val="center"/>
    </w:pPr>
    <w:rPr>
      <w:b/>
      <w:bCs/>
    </w:rPr>
  </w:style>
  <w:style w:type="paragraph" w:styleId="872" w:customStyle="1">
    <w:name w:val="xl236"/>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73" w:customStyle="1">
    <w:name w:val="xl23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4" w:customStyle="1">
    <w:name w:val="xl238"/>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75" w:customStyle="1">
    <w:name w:val="xl23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876" w:customStyle="1">
    <w:name w:val="xl240"/>
    <w:basedOn w:val="834"/>
    <w:pPr>
      <w:pBdr/>
      <w:spacing w:after="100" w:afterAutospacing="1" w:before="100" w:beforeAutospacing="1"/>
      <w:ind/>
    </w:pPr>
  </w:style>
  <w:style w:type="paragraph" w:styleId="877" w:customStyle="1">
    <w:name w:val="xl241"/>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8" w:customStyle="1">
    <w:name w:val="xl242"/>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79" w:customStyle="1">
    <w:name w:val="xl243"/>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80" w:customStyle="1">
    <w:name w:val="xl244"/>
    <w:basedOn w:val="834"/>
    <w:pPr>
      <w:pBdr/>
      <w:spacing w:after="100" w:afterAutospacing="1" w:before="100" w:beforeAutospacing="1"/>
      <w:ind/>
    </w:pPr>
    <w:rPr>
      <w:b/>
      <w:bCs/>
    </w:rPr>
  </w:style>
  <w:style w:type="paragraph" w:styleId="881" w:customStyle="1">
    <w:name w:val="xl245"/>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82" w:customStyle="1">
    <w:name w:val="xl24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83" w:customStyle="1">
    <w:name w:val="xl247"/>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84" w:customStyle="1">
    <w:name w:val="xl24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885" w:customStyle="1">
    <w:name w:val="xl24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86" w:customStyle="1">
    <w:name w:val="xl25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887" w:customStyle="1">
    <w:name w:val="xl25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888" w:customStyle="1">
    <w:name w:val="xl25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89" w:customStyle="1">
    <w:name w:val="xl253"/>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0" w:customStyle="1">
    <w:name w:val="xl254"/>
    <w:basedOn w:val="834"/>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91" w:customStyle="1">
    <w:name w:val="xl255"/>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892" w:customStyle="1">
    <w:name w:val="xl25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93" w:customStyle="1">
    <w:name w:val="xl25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4" w:customStyle="1">
    <w:name w:val="xl258"/>
    <w:basedOn w:val="834"/>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95" w:customStyle="1">
    <w:name w:val="xl25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6" w:customStyle="1">
    <w:name w:val="xl260"/>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7" w:customStyle="1">
    <w:name w:val="xl261"/>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98" w:customStyle="1">
    <w:name w:val="xl262"/>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99" w:customStyle="1">
    <w:name w:val="xl263"/>
    <w:basedOn w:val="834"/>
    <w:pPr>
      <w:pBdr/>
      <w:shd w:val="clear" w:color="000000" w:fill="ffffff"/>
      <w:spacing w:after="100" w:afterAutospacing="1" w:before="100" w:beforeAutospacing="1"/>
      <w:ind/>
    </w:pPr>
  </w:style>
  <w:style w:type="paragraph" w:styleId="900" w:customStyle="1">
    <w:name w:val="xl264"/>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01" w:customStyle="1">
    <w:name w:val="xl265"/>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02" w:customStyle="1">
    <w:name w:val="xl26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903" w:customStyle="1">
    <w:name w:val="xl26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904" w:customStyle="1">
    <w:name w:val="xl268"/>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5" w:customStyle="1">
    <w:name w:val="xl269"/>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6" w:customStyle="1">
    <w:name w:val="xl27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07" w:customStyle="1">
    <w:name w:val="xl271"/>
    <w:basedOn w:val="834"/>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908" w:customStyle="1">
    <w:name w:val="xl27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909" w:customStyle="1">
    <w:name w:val="xl273"/>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10" w:customStyle="1">
    <w:name w:val="xl274"/>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11" w:customStyle="1">
    <w:name w:val="xl275"/>
    <w:basedOn w:val="834"/>
    <w:pPr>
      <w:pBdr/>
      <w:spacing w:after="100" w:afterAutospacing="1" w:before="100" w:beforeAutospacing="1"/>
      <w:ind/>
    </w:pPr>
  </w:style>
  <w:style w:type="paragraph" w:styleId="912" w:customStyle="1">
    <w:name w:val="xl27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13" w:customStyle="1">
    <w:name w:val="xl277"/>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914" w:customStyle="1">
    <w:name w:val="xl27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5" w:customStyle="1">
    <w:name w:val="xl27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6" w:customStyle="1">
    <w:name w:val="xl28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17" w:customStyle="1">
    <w:name w:val="xl28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918" w:customStyle="1">
    <w:name w:val="xl28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19" w:customStyle="1">
    <w:name w:val="xl28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0" w:customStyle="1">
    <w:name w:val="xl284"/>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21" w:customStyle="1">
    <w:name w:val="xl285"/>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22" w:customStyle="1">
    <w:name w:val="xl28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23" w:customStyle="1">
    <w:name w:val="xl287"/>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4" w:customStyle="1">
    <w:name w:val="xl288"/>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5" w:customStyle="1">
    <w:name w:val="xl289"/>
    <w:basedOn w:val="834"/>
    <w:pPr>
      <w:pBdr>
        <w:left w:val="single" w:color="000000" w:sz="4" w:space="0"/>
        <w:right w:val="single" w:color="000000" w:sz="4" w:space="0"/>
      </w:pBdr>
      <w:spacing w:after="100" w:afterAutospacing="1" w:before="100" w:beforeAutospacing="1"/>
      <w:ind/>
    </w:pPr>
    <w:rPr>
      <w:b/>
      <w:bCs/>
    </w:rPr>
  </w:style>
  <w:style w:type="paragraph" w:styleId="926" w:customStyle="1">
    <w:name w:val="xl29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27" w:customStyle="1">
    <w:name w:val="xl291"/>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28" w:customStyle="1">
    <w:name w:val="xl292"/>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9" w:customStyle="1">
    <w:name w:val="xl293"/>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30" w:customStyle="1">
    <w:name w:val="xl294"/>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31">
    <w:name w:val="Title"/>
    <w:basedOn w:val="834"/>
    <w:link w:val="932"/>
    <w:qFormat/>
    <w:pPr>
      <w:pBdr/>
      <w:spacing/>
      <w:ind/>
      <w:jc w:val="center"/>
    </w:pPr>
    <w:rPr>
      <w:b/>
      <w:bCs/>
      <w:sz w:val="32"/>
      <w:szCs w:val="26"/>
    </w:rPr>
  </w:style>
  <w:style w:type="character" w:styleId="932" w:customStyle="1">
    <w:name w:val="Title Char"/>
    <w:basedOn w:val="839"/>
    <w:link w:val="931"/>
    <w:pPr>
      <w:pBdr/>
      <w:spacing/>
      <w:ind/>
    </w:pPr>
    <w:rPr>
      <w:rFonts w:ascii="Times New Roman" w:hAnsi="Times New Roman" w:eastAsia="Times New Roman" w:cs="Times New Roman"/>
      <w:b/>
      <w:bCs/>
      <w:sz w:val="32"/>
      <w:szCs w:val="26"/>
    </w:rPr>
  </w:style>
  <w:style w:type="character" w:styleId="933" w:customStyle="1">
    <w:name w:val="Unresolved Mention1"/>
    <w:basedOn w:val="839"/>
    <w:uiPriority w:val="99"/>
    <w:semiHidden/>
    <w:unhideWhenUsed/>
    <w:pPr>
      <w:pBdr/>
      <w:spacing/>
      <w:ind/>
    </w:pPr>
    <w:rPr>
      <w:color w:val="605e5c"/>
      <w:shd w:val="clear" w:color="auto" w:fill="e1dfdd"/>
    </w:rPr>
  </w:style>
  <w:style w:type="character" w:styleId="934" w:customStyle="1">
    <w:name w:val="Body text (3)_"/>
    <w:link w:val="935"/>
    <w:pPr>
      <w:pBdr/>
      <w:spacing/>
      <w:ind/>
    </w:pPr>
    <w:rPr>
      <w:rFonts w:ascii="Times New Roman" w:hAnsi="Times New Roman" w:cs="Times New Roman"/>
      <w:i/>
      <w:iCs/>
      <w:spacing w:val="4"/>
      <w:shd w:val="clear" w:color="auto" w:fill="ffffff"/>
    </w:rPr>
  </w:style>
  <w:style w:type="paragraph" w:styleId="935" w:customStyle="1">
    <w:name w:val="Body text (3)1"/>
    <w:basedOn w:val="834"/>
    <w:link w:val="934"/>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936" w:customStyle="1">
    <w:name w:val="t-j"/>
    <w:basedOn w:val="834"/>
    <w:pPr>
      <w:pBdr/>
      <w:spacing w:after="100" w:afterAutospacing="1" w:before="100" w:beforeAutospacing="1"/>
      <w:ind/>
    </w:pPr>
  </w:style>
  <w:style w:type="character" w:styleId="937" w:customStyle="1">
    <w:name w:val="Unresolved Mention2"/>
    <w:basedOn w:val="839"/>
    <w:uiPriority w:val="99"/>
    <w:semiHidden/>
    <w:unhideWhenUsed/>
    <w:pPr>
      <w:pBdr/>
      <w:spacing/>
      <w:ind/>
    </w:pPr>
    <w:rPr>
      <w:color w:val="605e5c"/>
      <w:shd w:val="clear" w:color="auto" w:fill="e1dfdd"/>
    </w:rPr>
  </w:style>
  <w:style w:type="character" w:styleId="938">
    <w:name w:val="FollowedHyperlink"/>
    <w:basedOn w:val="839"/>
    <w:uiPriority w:val="99"/>
    <w:semiHidden/>
    <w:unhideWhenUsed/>
    <w:pPr>
      <w:pBdr/>
      <w:spacing/>
      <w:ind/>
    </w:pPr>
    <w:rPr>
      <w:color w:val="800080" w:themeColor="followedHyperlink"/>
      <w:u w:val="single"/>
    </w:rPr>
  </w:style>
  <w:style w:type="character" w:styleId="939" w:customStyle="1">
    <w:name w:val="text"/>
    <w:basedOn w:val="839"/>
    <w:pPr>
      <w:pBdr/>
      <w:spacing/>
      <w:ind/>
    </w:pPr>
  </w:style>
  <w:style w:type="character" w:styleId="940" w:customStyle="1">
    <w:name w:val="card-send-time__sendtime"/>
    <w:basedOn w:val="839"/>
    <w:pPr>
      <w:pBdr/>
      <w:spacing/>
      <w:ind/>
    </w:pPr>
  </w:style>
  <w:style w:type="character" w:styleId="941" w:customStyle="1">
    <w:name w:val="Đề cập Chưa giải quyết1"/>
    <w:basedOn w:val="839"/>
    <w:uiPriority w:val="99"/>
    <w:semiHidden/>
    <w:unhideWhenUsed/>
    <w:pPr>
      <w:pBdr/>
      <w:spacing/>
      <w:ind/>
    </w:pPr>
    <w:rPr>
      <w:color w:val="605e5c"/>
      <w:shd w:val="clear" w:color="auto" w:fill="e1dfdd"/>
    </w:rPr>
  </w:style>
  <w:style w:type="paragraph" w:styleId="942" w:customStyle="1">
    <w:name w:val="nqtitle"/>
    <w:basedOn w:val="834"/>
    <w:pPr>
      <w:pBdr/>
      <w:spacing w:after="100" w:afterAutospacing="1" w:before="100" w:beforeAutospacing="1"/>
      <w:ind/>
    </w:pPr>
    <w:rPr>
      <w:lang w:val="vi-VN" w:eastAsia="vi-VN"/>
    </w:rPr>
  </w:style>
  <w:style w:type="character" w:styleId="943" w:customStyle="1">
    <w:name w:val="List Paragraph Char"/>
    <w:link w:val="856"/>
    <w:uiPriority w:val="34"/>
    <w:qFormat/>
    <w:pPr>
      <w:pBdr/>
      <w:spacing/>
      <w:ind/>
    </w:pPr>
    <w:rPr>
      <w:rFonts w:ascii="Times New Roman" w:hAnsi="Times New Roman" w:eastAsia="Times New Roman" w:cs="Times New Roman"/>
      <w:sz w:val="24"/>
      <w:szCs w:val="24"/>
    </w:rPr>
  </w:style>
  <w:style w:type="character" w:styleId="944" w:customStyle="1">
    <w:name w:val="Đề cập Chưa giải quyết2"/>
    <w:basedOn w:val="839"/>
    <w:uiPriority w:val="99"/>
    <w:semiHidden/>
    <w:unhideWhenUsed/>
    <w:pPr>
      <w:pBdr/>
      <w:spacing/>
      <w:ind/>
    </w:pPr>
    <w:rPr>
      <w:color w:val="605e5c"/>
      <w:shd w:val="clear" w:color="auto" w:fill="e1dfdd"/>
    </w:rPr>
  </w:style>
  <w:style w:type="character" w:styleId="945" w:customStyle="1">
    <w:name w:val="Unresolved Mention3"/>
    <w:basedOn w:val="839"/>
    <w:uiPriority w:val="99"/>
    <w:semiHidden/>
    <w:unhideWhenUsed/>
    <w:pPr>
      <w:pBdr/>
      <w:spacing/>
      <w:ind/>
    </w:pPr>
    <w:rPr>
      <w:color w:val="605e5c"/>
      <w:shd w:val="clear" w:color="auto" w:fill="e1dfdd"/>
    </w:rPr>
  </w:style>
  <w:style w:type="character" w:styleId="946" w:customStyle="1">
    <w:name w:val="copy"/>
    <w:basedOn w:val="839"/>
    <w:pPr>
      <w:pBdr/>
      <w:spacing/>
      <w:ind/>
    </w:pPr>
  </w:style>
  <w:style w:type="paragraph" w:styleId="947" w:customStyle="1">
    <w:name w:val="align-justify"/>
    <w:basedOn w:val="834"/>
    <w:pPr>
      <w:pBdr/>
      <w:spacing w:after="100" w:afterAutospacing="1" w:before="100" w:beforeAutospacing="1"/>
      <w:ind/>
    </w:pPr>
  </w:style>
  <w:style w:type="character" w:styleId="948" w:customStyle="1">
    <w:name w:val="btn"/>
    <w:basedOn w:val="839"/>
    <w:pPr>
      <w:pBdr/>
      <w:spacing/>
      <w:ind/>
    </w:pPr>
  </w:style>
  <w:style w:type="character" w:styleId="949" w:customStyle="1">
    <w:name w:val="hide_mobile"/>
    <w:basedOn w:val="839"/>
    <w:pPr>
      <w:pBdr/>
      <w:spacing/>
      <w:ind/>
    </w:pPr>
  </w:style>
  <w:style w:type="character" w:styleId="950">
    <w:name w:val="Emphasis"/>
    <w:basedOn w:val="839"/>
    <w:uiPriority w:val="20"/>
    <w:qFormat/>
    <w:pPr>
      <w:pBdr/>
      <w:spacing/>
      <w:ind/>
    </w:pPr>
    <w:rPr>
      <w:i/>
      <w:iCs/>
    </w:rPr>
  </w:style>
  <w:style w:type="character" w:styleId="951" w:customStyle="1">
    <w:name w:val="t1"/>
    <w:basedOn w:val="839"/>
    <w:pPr>
      <w:pBdr/>
      <w:spacing/>
      <w:ind/>
    </w:pPr>
  </w:style>
  <w:style w:type="character" w:styleId="952" w:customStyle="1">
    <w:name w:val="Unresolved Mention4"/>
    <w:basedOn w:val="839"/>
    <w:uiPriority w:val="99"/>
    <w:semiHidden/>
    <w:unhideWhenUsed/>
    <w:pPr>
      <w:pBdr/>
      <w:spacing/>
      <w:ind/>
    </w:pPr>
    <w:rPr>
      <w:color w:val="605e5c"/>
      <w:shd w:val="clear" w:color="auto" w:fill="e1dfdd"/>
    </w:rPr>
  </w:style>
  <w:style w:type="character" w:styleId="953">
    <w:name w:val="Unresolved Mention"/>
    <w:basedOn w:val="839"/>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customXml" Target="../customXml/item1.xml" /><Relationship Id="rId14" Type="http://schemas.openxmlformats.org/officeDocument/2006/relationships/image" Target="media/image2.png"/><Relationship Id="rId15" Type="http://schemas.openxmlformats.org/officeDocument/2006/relationships/hyperlink" Target="mailto:ilotus.contact@gmail.com" TargetMode="External"/><Relationship Id="rId16" Type="http://schemas.openxmlformats.org/officeDocument/2006/relationships/image" Target="media/image3.png"/><Relationship Id="rId17" Type="http://schemas.openxmlformats.org/officeDocument/2006/relationships/hyperlink" Target="mailto:ilotus.contact@gmail.com" TargetMode="External"/><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image" Target="media/image33.png"/><Relationship Id="rId48" Type="http://schemas.openxmlformats.org/officeDocument/2006/relationships/image" Target="media/image34.png"/><Relationship Id="rId49" Type="http://schemas.openxmlformats.org/officeDocument/2006/relationships/image" Target="media/image35.png"/><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image" Target="media/image43.png"/><Relationship Id="rId58" Type="http://schemas.openxmlformats.org/officeDocument/2006/relationships/image" Target="media/image44.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Đình Duy</cp:lastModifiedBy>
  <cp:revision>279</cp:revision>
  <dcterms:created xsi:type="dcterms:W3CDTF">2025-09-15T09:58:00Z</dcterms:created>
  <dcterms:modified xsi:type="dcterms:W3CDTF">2026-04-29T08:05:46Z</dcterms:modified>
</cp:coreProperties>
</file>