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61162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61162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275/2026/0656/VFI-CT.21.A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XUẤT NHẬP KHẨU VÀ XÂY DỰNG VIỆT ÂU</w:t>
                            </w:r>
                            <w:r>
                              <w:rPr>
                                <w:rFonts w:ascii="Times New Roman Bold" w:hAnsi="Times New Roman Bold"/>
                                <w:b/>
                                <w:lang w:val="pt-BR"/>
                              </w:rPr>
                            </w:r>
                          </w:p>
                          <w:p>
                            <w:pPr>
                              <w:pBdr/>
                              <w:spacing w:after="120" w:before="120" w:line="360" w:lineRule="auto"/>
                              <w:ind/>
                              <w:jc w:val="center"/>
                              <w:rPr>
                                <w:iCs/>
                                <w:color w:val="000000"/>
                              </w:rPr>
                            </w:pPr>
                            <w:r>
                              <w:rPr>
                                <w:b/>
                              </w:rPr>
                              <w:t xml:space="preserve">Tài sản thẩm </w:t>
                            </w:r>
                            <w:r>
                              <w:rPr>
                                <w:b/>
                              </w:rPr>
                              <w:t xml:space="preserve">định: </w:t>
                            </w:r>
                            <w:r>
                              <w:rPr>
                                <w:color w:val="000000"/>
                              </w:rPr>
                            </w:r>
                            <w:r>
                              <w:rPr>
                                <w:bCs/>
                                <w:i/>
                                <w:iCs/>
                              </w:rPr>
                            </w:r>
                          </w:p>
                          <w:p>
                            <w:pPr>
                              <w:pBdr/>
                              <w:spacing w:after="120" w:before="120" w:line="360" w:lineRule="auto"/>
                              <w:ind/>
                              <w:jc w:val="both"/>
                              <w:rPr>
                                <w:color w:val="000000"/>
                              </w:rPr>
                            </w:pPr>
                            <w:r>
                              <w:rPr>
                                <w:b/>
                                <w:bCs/>
                                <w:i/>
                                <w:iCs/>
                                <w:color w:val="000000"/>
                              </w:rPr>
                              <w:t xml:space="preserve">Tài sản 01:</w:t>
                            </w:r>
                            <w:r>
                              <w:rPr>
                                <w:color w:val="000000"/>
                              </w:rPr>
                              <w:t xml:space="preserve"> </w:t>
                            </w:r>
                            <w:r>
                              <w:rPr>
                                <w:color w:val="000000"/>
                              </w:rPr>
                              <w:t xml:space="preserve">Giá trị quyền sử dụng đất tại thửa đất số: 366, tờ bản đồ số 53, đo vẽ năm 2012 có địa chỉ: Tổ dân phố Phong Mỹ, thị trấn Yên Lâm, huyện Yên Định, tỉnh Thanh Hoá (</w:t>
                            </w:r>
                            <w:r>
                              <w:rPr>
                                <w:i/>
                                <w:iCs/>
                                <w:color w:val="000000"/>
                              </w:rPr>
                              <w:t xml:space="preserve">Nay là xã Quý Lộc, tỉnh Thanh Hoá</w:t>
                            </w:r>
                            <w:r>
                              <w:rPr>
                                <w:color w:val="000000"/>
                              </w:rPr>
                              <w:t xml:space="preserve">) theo Giấy chứng nhận quyền sử dụng đất quyền sở hữu nhà ở v</w:t>
                            </w:r>
                            <w:r>
                              <w:rPr>
                                <w:color w:val="000000"/>
                              </w:rPr>
                              <w:t xml:space="preserve">à tài sản khác gắn liền với đất số: DL 914994, số vào sổ cấp GCN: CN 00758 do Chi nhánh Văn phòng đăng ký đất đai huyện Yên Định cấp ngày 29/8/2023; Chủ sử dụng đất là Ông Lê Doãn Vượng</w:t>
                            </w:r>
                            <w:r>
                              <w:rPr>
                                <w:color w:val="000000"/>
                              </w:rPr>
                              <w:t xml:space="preserve">.</w:t>
                            </w:r>
                            <w:r>
                              <w:rPr>
                                <w:bCs/>
                                <w:i/>
                              </w:rPr>
                            </w:r>
                          </w:p>
                          <w:p>
                            <w:pPr>
                              <w:pBdr/>
                              <w:spacing w:after="120" w:before="120" w:line="360" w:lineRule="auto"/>
                              <w:ind/>
                              <w:jc w:val="both"/>
                              <w:rPr>
                                <w:bCs/>
                                <w:i/>
                              </w:rPr>
                            </w:pPr>
                            <w:r>
                              <w:rPr>
                                <w:b/>
                                <w:bCs/>
                                <w:i/>
                                <w:iCs/>
                                <w:color w:val="000000"/>
                              </w:rPr>
                              <w:t xml:space="preserve">Tài sản 02</w:t>
                            </w:r>
                            <w:r>
                              <w:rPr>
                                <w:color w:val="000000"/>
                              </w:rPr>
                              <w:t xml:space="preserve">: </w:t>
                            </w:r>
                            <w:r>
                              <w:rPr>
                                <w:color w:val="000000"/>
                              </w:rPr>
                              <w:t xml:space="preserve">Giá trị quyền sử dụng đất tại thửa đất số: 365, tờ bản đồ số 53, đo vẽ năm 2012 có địa chỉ: Tổ dân phố Phong Mỹ, thị trấn Yên Lâm, huyện Yên Định, tỉnh Thanh Hoá (</w:t>
                            </w:r>
                            <w:r>
                              <w:rPr>
                                <w:i/>
                                <w:iCs/>
                                <w:color w:val="000000"/>
                              </w:rPr>
                              <w:t xml:space="preserve">Nay là xã Quý Lộc, tỉnh Thanh Hoá</w:t>
                            </w:r>
                            <w:r>
                              <w:rPr>
                                <w:color w:val="000000"/>
                              </w:rPr>
                              <w:t xml:space="preserve">) theo Giấy chứng nhận quyền sử dụng đất quyền sở hữu nhà ở v</w:t>
                            </w:r>
                            <w:r>
                              <w:rPr>
                                <w:color w:val="000000"/>
                              </w:rPr>
                              <w:t xml:space="preserve">à tài sản khác gắn liền với đất số: DL 914995, số vào sổ cấp GCN: CN 00759 do Chi nhánh Văn phòng đăng ký đất đai huyện Yên Định cấp ngày 29/8/2023; Chủ sử dụng đất là Ông Lê Doãn Phúc.</w:t>
                            </w:r>
                            <w:r>
                              <w:rPr>
                                <w:color w:val="000000"/>
                              </w:rPr>
                            </w: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81.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275/2026/0656/VFI-CT.21.A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XUẤT NHẬP KHẨU VÀ XÂY DỰNG VIỆT ÂU</w:t>
                      </w:r>
                      <w:r>
                        <w:rPr>
                          <w:rFonts w:ascii="Times New Roman Bold" w:hAnsi="Times New Roman Bold"/>
                          <w:b/>
                          <w:lang w:val="pt-BR"/>
                        </w:rPr>
                      </w:r>
                    </w:p>
                    <w:p>
                      <w:pPr>
                        <w:pBdr/>
                        <w:spacing w:after="120" w:before="120" w:line="360" w:lineRule="auto"/>
                        <w:ind/>
                        <w:jc w:val="center"/>
                        <w:rPr>
                          <w:iCs/>
                          <w:color w:val="000000"/>
                        </w:rPr>
                      </w:pPr>
                      <w:r>
                        <w:rPr>
                          <w:b/>
                        </w:rPr>
                        <w:t xml:space="preserve">Tài sản thẩm </w:t>
                      </w:r>
                      <w:r>
                        <w:rPr>
                          <w:b/>
                        </w:rPr>
                        <w:t xml:space="preserve">định: </w:t>
                      </w:r>
                      <w:r>
                        <w:rPr>
                          <w:color w:val="000000"/>
                        </w:rPr>
                      </w:r>
                      <w:r>
                        <w:rPr>
                          <w:bCs/>
                          <w:i/>
                          <w:iCs/>
                        </w:rPr>
                      </w:r>
                    </w:p>
                    <w:p>
                      <w:pPr>
                        <w:pBdr/>
                        <w:spacing w:after="120" w:before="120" w:line="360" w:lineRule="auto"/>
                        <w:ind/>
                        <w:jc w:val="both"/>
                        <w:rPr>
                          <w:color w:val="000000"/>
                        </w:rPr>
                      </w:pPr>
                      <w:r>
                        <w:rPr>
                          <w:b/>
                          <w:bCs/>
                          <w:i/>
                          <w:iCs/>
                          <w:color w:val="000000"/>
                        </w:rPr>
                        <w:t xml:space="preserve">Tài sản 01:</w:t>
                      </w:r>
                      <w:r>
                        <w:rPr>
                          <w:color w:val="000000"/>
                        </w:rPr>
                        <w:t xml:space="preserve"> </w:t>
                      </w:r>
                      <w:r>
                        <w:rPr>
                          <w:color w:val="000000"/>
                        </w:rPr>
                        <w:t xml:space="preserve">Giá trị quyền sử dụng đất tại thửa đất số: 366, tờ bản đồ số 53, đo vẽ năm 2012 có địa chỉ: Tổ dân phố Phong Mỹ, thị trấn Yên Lâm, huyện Yên Định, tỉnh Thanh Hoá (</w:t>
                      </w:r>
                      <w:r>
                        <w:rPr>
                          <w:i/>
                          <w:iCs/>
                          <w:color w:val="000000"/>
                        </w:rPr>
                        <w:t xml:space="preserve">Nay là xã Quý Lộc, tỉnh Thanh Hoá</w:t>
                      </w:r>
                      <w:r>
                        <w:rPr>
                          <w:color w:val="000000"/>
                        </w:rPr>
                        <w:t xml:space="preserve">) theo Giấy chứng nhận quyền sử dụng đất quyền sở hữu nhà ở v</w:t>
                      </w:r>
                      <w:r>
                        <w:rPr>
                          <w:color w:val="000000"/>
                        </w:rPr>
                        <w:t xml:space="preserve">à tài sản khác gắn liền với đất số: DL 914994, số vào sổ cấp GCN: CN 00758 do Chi nhánh Văn phòng đăng ký đất đai huyện Yên Định cấp ngày 29/8/2023; Chủ sử dụng đất là Ông Lê Doãn Vượng</w:t>
                      </w:r>
                      <w:r>
                        <w:rPr>
                          <w:color w:val="000000"/>
                        </w:rPr>
                        <w:t xml:space="preserve">.</w:t>
                      </w:r>
                      <w:r>
                        <w:rPr>
                          <w:bCs/>
                          <w:i/>
                        </w:rPr>
                      </w:r>
                    </w:p>
                    <w:p>
                      <w:pPr>
                        <w:pBdr/>
                        <w:spacing w:after="120" w:before="120" w:line="360" w:lineRule="auto"/>
                        <w:ind/>
                        <w:jc w:val="both"/>
                        <w:rPr>
                          <w:bCs/>
                          <w:i/>
                        </w:rPr>
                      </w:pPr>
                      <w:r>
                        <w:rPr>
                          <w:b/>
                          <w:bCs/>
                          <w:i/>
                          <w:iCs/>
                          <w:color w:val="000000"/>
                        </w:rPr>
                        <w:t xml:space="preserve">Tài sản 02</w:t>
                      </w:r>
                      <w:r>
                        <w:rPr>
                          <w:color w:val="000000"/>
                        </w:rPr>
                        <w:t xml:space="preserve">: </w:t>
                      </w:r>
                      <w:r>
                        <w:rPr>
                          <w:color w:val="000000"/>
                        </w:rPr>
                        <w:t xml:space="preserve">Giá trị quyền sử dụng đất tại thửa đất số: 365, tờ bản đồ số 53, đo vẽ năm 2012 có địa chỉ: Tổ dân phố Phong Mỹ, thị trấn Yên Lâm, huyện Yên Định, tỉnh Thanh Hoá (</w:t>
                      </w:r>
                      <w:r>
                        <w:rPr>
                          <w:i/>
                          <w:iCs/>
                          <w:color w:val="000000"/>
                        </w:rPr>
                        <w:t xml:space="preserve">Nay là xã Quý Lộc, tỉnh Thanh Hoá</w:t>
                      </w:r>
                      <w:r>
                        <w:rPr>
                          <w:color w:val="000000"/>
                        </w:rPr>
                        <w:t xml:space="preserve">) theo Giấy chứng nhận quyền sử dụng đất quyền sở hữu nhà ở v</w:t>
                      </w:r>
                      <w:r>
                        <w:rPr>
                          <w:color w:val="000000"/>
                        </w:rPr>
                        <w:t xml:space="preserve">à tài sản khác gắn liền với đất số: DL 914995, số vào sổ cấp GCN: CN 00759 do Chi nhánh Văn phòng đăng ký đất đai huyện Yên Định cấp ngày 29/8/2023; Chủ sử dụng đất là Ông Lê Doãn Phúc.</w:t>
                      </w:r>
                      <w:r>
                        <w:rPr>
                          <w:color w:val="000000"/>
                        </w:rPr>
                      </w: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1-4</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5-27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 + Hồ sơ pháp lý + BBKS</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29-35</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275/2026/0656/VFI-CT.21.A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29 tháng 4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XUẤT NHẬP KHẨU VÀ XÂY DỰNG VIỆT ÂU</w:t>
      </w:r>
      <w:r>
        <w:rPr>
          <w:rFonts w:ascii="Times New Roman Bold" w:hAnsi="Times New Roman Bold"/>
          <w:b/>
          <w:lang w:val="pt-BR"/>
        </w:rPr>
      </w:r>
    </w:p>
    <w:p>
      <w:pPr>
        <w:pBdr/>
        <w:tabs>
          <w:tab w:val="left" w:leader="none" w:pos="450"/>
        </w:tabs>
        <w:spacing w:after="120" w:before="120" w:line="312"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275/2026/0656/VFI-HĐTĐ.21.A</w:t>
      </w:r>
      <w:r>
        <w:rPr>
          <w:spacing w:val="-4"/>
          <w:lang w:val="vi-VN"/>
        </w:rPr>
        <w:t xml:space="preserve"> ký ngày </w:t>
      </w:r>
      <w:r>
        <w:rPr>
          <w:color w:val="000000" w:themeColor="text1"/>
          <w:spacing w:val="-4"/>
        </w:rPr>
        <w:t xml:space="preserve">17 tháng 4 năm 2026</w:t>
      </w:r>
      <w:r>
        <w:rPr>
          <w:spacing w:val="-4"/>
          <w:lang w:val="vi-VN"/>
        </w:rPr>
        <w:t xml:space="preserve"> </w:t>
      </w:r>
      <w:r>
        <w:rPr>
          <w:spacing w:val="-4"/>
          <w:lang w:val="vi-VN"/>
        </w:rPr>
        <w:t xml:space="preserve">giữa </w:t>
      </w:r>
      <w:r>
        <w:rPr>
          <w:color w:val="000000" w:themeColor="text1"/>
          <w:spacing w:val="-4"/>
        </w:rPr>
        <w:t xml:space="preserve">Công ty Cổ phần Xuất nhập khẩu và Xây dựng Việt Âu</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312"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275/2026/0656/VFI-BC.21.A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29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312"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312"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300"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30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line="300" w:lineRule="auto"/>
              <w:ind/>
              <w:rPr/>
            </w:pPr>
            <w:r>
              <w:rPr>
                <w:b/>
                <w:bCs/>
              </w:rPr>
              <w:t xml:space="preserve">CÔNG TY CỔ PHẦN XUẤT NHẬP KHẨU VÀ XÂY DỰNG ÂU VIỆT</w:t>
            </w:r>
            <w:r/>
            <w:r/>
          </w:p>
        </w:tc>
      </w:tr>
      <w:tr>
        <w:trPr>
          <w:trHeight w:val="20"/>
        </w:trPr>
        <w:tc>
          <w:tcPr>
            <w:shd w:val="clear" w:color="ffffff" w:fill="ffffff"/>
            <w:tcBorders/>
            <w:tcW w:w="1109" w:type="pct"/>
            <w:vAlign w:val="center"/>
            <w:vMerge w:val="restart"/>
            <w:textDirection w:val="lrTb"/>
            <w:noWrap w:val="false"/>
          </w:tcPr>
          <w:p>
            <w:pPr>
              <w:pBdr/>
              <w:spacing w:after="40" w:before="40" w:line="300"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ffffff" w:fill="ffffff"/>
            <w:tcBorders/>
            <w:tcW w:w="248" w:type="pct"/>
            <w:vAlign w:val="center"/>
            <w:vMerge w:val="restart"/>
            <w:textDirection w:val="lrTb"/>
            <w:noWrap w:val="false"/>
          </w:tcPr>
          <w:p>
            <w:pPr>
              <w:pBdr/>
              <w:spacing w:after="40" w:before="40" w:line="300" w:lineRule="auto"/>
              <w:ind/>
              <w:rPr>
                <w:color w:val="000000" w:themeColor="text1"/>
                <w:spacing w:val="-2"/>
                <w14:ligatures w14:val="none"/>
              </w:rPr>
            </w:pPr>
            <w:r>
              <w:rPr>
                <w:color w:val="000000" w:themeColor="text1"/>
                <w:spacing w:val="-2"/>
              </w:rPr>
              <w:t xml:space="preserve">:</w:t>
            </w:r>
            <w:r>
              <w:rPr>
                <w:color w:val="000000" w:themeColor="text1"/>
                <w:spacing w:val="-2"/>
                <w14:ligatures w14:val="none"/>
              </w:rPr>
            </w:r>
            <w:r>
              <w:rPr>
                <w:color w:val="000000" w:themeColor="text1"/>
                <w:spacing w:val="-2"/>
                <w14:ligatures w14:val="none"/>
              </w:rPr>
            </w:r>
          </w:p>
        </w:tc>
        <w:tc>
          <w:tcPr>
            <w:tcBorders/>
            <w:tcW w:w="3643" w:type="pct"/>
            <w:vAlign w:val="center"/>
            <w:vMerge w:val="restart"/>
            <w:textDirection w:val="lrTb"/>
            <w:noWrap w:val="false"/>
          </w:tcPr>
          <w:p>
            <w:pPr>
              <w:pBdr/>
              <w:spacing w:after="40" w:before="40" w:line="300" w:lineRule="auto"/>
              <w:ind/>
              <w:jc w:val="both"/>
              <w:rPr>
                <w:color w:val="000000" w:themeColor="text1"/>
                <w:spacing w:val="-2"/>
                <w14:ligatures w14:val="none"/>
              </w:rPr>
            </w:pPr>
            <w:r>
              <w:rPr>
                <w:color w:val="000000" w:themeColor="text1"/>
                <w:spacing w:val="-2"/>
              </w:rPr>
            </w:r>
            <w:r>
              <w:rPr>
                <w:color w:val="000000" w:themeColor="text1"/>
                <w:spacing w:val="-2"/>
              </w:rPr>
              <w:t xml:space="preserve">A7-6/2 Trung tâm đô thị Chí Linh, Phường Tam Thắng, Thành phố Hồ Chí Minh</w:t>
            </w:r>
            <w:r>
              <w:rPr>
                <w:color w:val="000000" w:themeColor="text1"/>
                <w:spacing w:val="-2"/>
                <w14:ligatures w14:val="none"/>
              </w:rPr>
            </w:r>
            <w:r>
              <w:rPr>
                <w:color w:val="000000" w:themeColor="text1"/>
                <w:spacing w:val="-2"/>
                <w14:ligatures w14:val="none"/>
              </w:rPr>
            </w:r>
          </w:p>
        </w:tc>
      </w:tr>
      <w:tr>
        <w:trPr>
          <w:trHeight w:val="20"/>
        </w:trPr>
        <w:tc>
          <w:tcPr>
            <w:shd w:val="clear" w:color="auto" w:fill="auto"/>
            <w:tcBorders/>
            <w:tcW w:w="1109" w:type="pct"/>
            <w:vAlign w:val="center"/>
            <w:textDirection w:val="lrTb"/>
            <w:noWrap w:val="false"/>
          </w:tcPr>
          <w:p>
            <w:pPr>
              <w:pBdr/>
              <w:spacing w:after="40" w:before="40" w:line="300"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300"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300" w:lineRule="auto"/>
              <w:ind/>
              <w:jc w:val="both"/>
              <w:rPr>
                <w:color w:val="ff0000"/>
                <w:lang w:val="pt-BR"/>
              </w:rPr>
            </w:pPr>
            <w:r>
              <w:rPr>
                <w:color w:val="000000" w:themeColor="text1"/>
                <w:lang w:val="vi-VN"/>
              </w:rPr>
              <w:t xml:space="preserve">0106024032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300" w:lineRule="auto"/>
              <w:ind/>
              <w:rPr>
                <w:bCs/>
              </w:rPr>
            </w:pPr>
            <w:r>
              <w:rPr>
                <w:bCs/>
              </w:rPr>
              <w:t xml:space="preserve">Đại diện</w:t>
            </w:r>
            <w:r>
              <w:rPr>
                <w:bCs/>
              </w:rPr>
            </w:r>
            <w:r>
              <w:rPr>
                <w:bCs/>
              </w:rPr>
            </w:r>
          </w:p>
        </w:tc>
        <w:tc>
          <w:tcPr>
            <w:shd w:val="clear" w:color="auto" w:fill="auto"/>
            <w:tcBorders/>
            <w:tcW w:w="248" w:type="pct"/>
            <w:vAlign w:val="center"/>
            <w:textDirection w:val="lrTb"/>
            <w:noWrap w:val="false"/>
          </w:tcPr>
          <w:p>
            <w:pPr>
              <w:pBdr/>
              <w:spacing w:after="40" w:before="40" w:line="300" w:lineRule="auto"/>
              <w:ind/>
              <w:jc w:val="center"/>
              <w:rPr>
                <w:bCs/>
              </w:rPr>
            </w:pPr>
            <w:r>
              <w:rPr>
                <w:bCs/>
              </w:rPr>
              <w:t xml:space="preserve">:</w:t>
            </w:r>
            <w:r>
              <w:rPr>
                <w:bCs/>
              </w:rPr>
            </w:r>
            <w:r>
              <w:rPr>
                <w:bCs/>
              </w:rPr>
            </w:r>
          </w:p>
        </w:tc>
        <w:tc>
          <w:tcPr>
            <w:tcBorders/>
            <w:tcW w:w="3643" w:type="pct"/>
            <w:vAlign w:val="center"/>
            <w:textDirection w:val="lrTb"/>
            <w:noWrap w:val="false"/>
          </w:tcPr>
          <w:p>
            <w:pPr>
              <w:pBdr/>
              <w:spacing w:after="40" w:before="40" w:line="300" w:lineRule="auto"/>
              <w:ind/>
              <w:jc w:val="both"/>
              <w:rPr>
                <w:b/>
                <w:bCs/>
                <w:color w:val="ff0000"/>
              </w:rPr>
            </w:pPr>
            <w:r>
              <w:rPr>
                <w:b/>
                <w:bCs/>
                <w:color w:val="000000" w:themeColor="text1"/>
                <w:lang w:val="vi-VN"/>
              </w:rPr>
              <w:t xml:space="preserve">Ông Nguyễn Quang Trung</w:t>
            </w:r>
            <w:r>
              <w:rPr>
                <w:b/>
                <w:bCs/>
                <w:color w:val="ff0000"/>
              </w:rPr>
            </w:r>
            <w:r>
              <w:rPr>
                <w:b/>
                <w:bCs/>
                <w:color w:val="ff0000"/>
              </w:rPr>
            </w:r>
          </w:p>
        </w:tc>
      </w:tr>
      <w:tr>
        <w:trPr>
          <w:trHeight w:val="20"/>
        </w:trPr>
        <w:tc>
          <w:tcPr>
            <w:shd w:val="clear" w:color="auto" w:fill="auto"/>
            <w:tcBorders/>
            <w:tcW w:w="1109" w:type="pct"/>
            <w:vAlign w:val="center"/>
            <w:textDirection w:val="lrTb"/>
            <w:noWrap w:val="false"/>
          </w:tcPr>
          <w:p>
            <w:pPr>
              <w:pBdr/>
              <w:spacing w:after="40" w:before="40" w:line="300" w:lineRule="auto"/>
              <w:ind/>
              <w:rPr>
                <w:bCs/>
              </w:rPr>
            </w:pPr>
            <w:r>
              <w:rPr>
                <w:bCs/>
              </w:rPr>
              <w:t xml:space="preserve">Chức vụ</w:t>
            </w:r>
            <w:r>
              <w:rPr>
                <w:bCs/>
              </w:rPr>
            </w:r>
            <w:r>
              <w:rPr>
                <w:bCs/>
              </w:rPr>
            </w:r>
          </w:p>
        </w:tc>
        <w:tc>
          <w:tcPr>
            <w:shd w:val="clear" w:color="auto" w:fill="auto"/>
            <w:tcBorders/>
            <w:tcW w:w="248" w:type="pct"/>
            <w:vAlign w:val="center"/>
            <w:textDirection w:val="lrTb"/>
            <w:noWrap w:val="false"/>
          </w:tcPr>
          <w:p>
            <w:pPr>
              <w:pBdr/>
              <w:spacing w:after="40" w:before="40" w:line="300" w:lineRule="auto"/>
              <w:ind/>
              <w:jc w:val="center"/>
              <w:rPr>
                <w:bCs/>
              </w:rPr>
            </w:pPr>
            <w:r>
              <w:rPr>
                <w:bCs/>
              </w:rPr>
              <w:t xml:space="preserve">:</w:t>
            </w:r>
            <w:r>
              <w:rPr>
                <w:bCs/>
              </w:rPr>
            </w:r>
            <w:r>
              <w:rPr>
                <w:bCs/>
              </w:rPr>
            </w:r>
          </w:p>
        </w:tc>
        <w:tc>
          <w:tcPr>
            <w:tcBorders/>
            <w:tcW w:w="3643" w:type="pct"/>
            <w:vAlign w:val="center"/>
            <w:textDirection w:val="lrTb"/>
            <w:noWrap w:val="false"/>
          </w:tcPr>
          <w:p>
            <w:pPr>
              <w:pBdr/>
              <w:spacing w:after="40" w:before="40" w:line="300" w:lineRule="auto"/>
              <w:ind/>
              <w:jc w:val="both"/>
              <w:rPr>
                <w:b/>
                <w:bCs/>
                <w:color w:val="000000" w:themeColor="text1"/>
              </w:rPr>
            </w:pPr>
            <w:r>
              <w:rPr>
                <w:b/>
                <w:bCs/>
                <w:color w:val="000000" w:themeColor="text1"/>
                <w:lang w:val="vi-VN"/>
              </w:rPr>
              <w:t xml:space="preserve">Giám đốc</w:t>
            </w:r>
            <w:r>
              <w:rPr>
                <w:b/>
                <w:bCs/>
                <w:color w:val="000000" w:themeColor="text1"/>
              </w:rPr>
            </w:r>
            <w:r>
              <w:rPr>
                <w:b/>
                <w:bCs/>
                <w:color w:val="000000" w:themeColor="text1"/>
              </w:rPr>
            </w:r>
          </w:p>
        </w:tc>
      </w:tr>
    </w:tbl>
    <w:p>
      <w:pPr>
        <w:pBdr/>
        <w:spacing w:after="120" w:before="120" w:line="312"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300"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300"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300"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300"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300"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300"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300"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300"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300"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300" w:lineRule="auto"/>
              <w:ind/>
              <w:rPr>
                <w:bCs/>
              </w:rPr>
            </w:pPr>
            <w:r>
              <w:t xml:space="preserve">Mã số thuế</w:t>
            </w:r>
            <w:r>
              <w:rPr>
                <w:bCs/>
              </w:rPr>
            </w:r>
          </w:p>
        </w:tc>
        <w:tc>
          <w:tcPr>
            <w:tcBorders/>
            <w:tcW w:w="289" w:type="dxa"/>
            <w:vAlign w:val="center"/>
            <w:textDirection w:val="lrTb"/>
            <w:noWrap w:val="false"/>
          </w:tcPr>
          <w:p>
            <w:pPr>
              <w:pBdr/>
              <w:spacing w:after="40" w:before="40" w:line="300"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300"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300"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300"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300"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300" w:lineRule="auto"/>
              <w:ind/>
              <w:jc w:val="both"/>
              <w:rPr/>
            </w:pPr>
            <w:r>
              <w:t xml:space="preserve">Thông báo</w:t>
            </w:r>
            <w:r/>
          </w:p>
        </w:tc>
        <w:tc>
          <w:tcPr>
            <w:tcBorders/>
            <w:tcW w:w="289" w:type="dxa"/>
            <w:vAlign w:val="center"/>
            <w:textDirection w:val="lrTb"/>
            <w:noWrap w:val="false"/>
          </w:tcPr>
          <w:p>
            <w:pPr>
              <w:pBdr/>
              <w:spacing w:after="40" w:before="40" w:line="300"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300"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300"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300" w:lineRule="auto"/>
              <w:ind/>
              <w:rPr>
                <w:bCs/>
              </w:rPr>
            </w:pPr>
            <w:r>
              <w:rPr>
                <w:bCs/>
              </w:rPr>
              <w:t xml:space="preserve">:</w:t>
            </w:r>
            <w:r>
              <w:rPr>
                <w:bCs/>
              </w:rPr>
            </w:r>
          </w:p>
        </w:tc>
        <w:tc>
          <w:tcPr>
            <w:tcBorders/>
            <w:tcW w:w="7115" w:type="dxa"/>
            <w:vAlign w:val="center"/>
            <w:textDirection w:val="lrTb"/>
            <w:noWrap w:val="false"/>
          </w:tcPr>
          <w:p>
            <w:pPr>
              <w:pBdr/>
              <w:spacing w:after="40" w:before="40" w:line="300"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300"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300"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300"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300"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300"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300"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60" w:lineRule="auto"/>
        <w:ind/>
        <w:jc w:val="both"/>
        <w:rPr>
          <w:color w:val="000000" w:themeColor="text1"/>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r>
      <w:r>
        <w:rPr>
          <w:b/>
          <w:bCs/>
        </w:rPr>
      </w:r>
    </w:p>
    <w:p>
      <w:pPr>
        <w:pBdr/>
        <w:spacing w:after="120" w:before="120" w:line="360" w:lineRule="auto"/>
        <w:ind/>
        <w:jc w:val="both"/>
        <w:rPr>
          <w:color w:val="000000"/>
        </w:rPr>
      </w:pPr>
      <w:r>
        <w:rPr>
          <w:b/>
          <w:bCs/>
          <w:i/>
          <w:iCs/>
          <w:color w:val="000000"/>
        </w:rPr>
        <w:t xml:space="preserve">Tài sản 01:</w:t>
      </w:r>
      <w:r>
        <w:rPr>
          <w:color w:val="000000"/>
        </w:rPr>
        <w:t xml:space="preserve"> </w:t>
      </w:r>
      <w:r>
        <w:rPr>
          <w:color w:val="000000"/>
        </w:rPr>
        <w:t xml:space="preserve">G</w:t>
      </w:r>
      <w:r>
        <w:rPr>
          <w:color w:val="000000"/>
        </w:rPr>
        <w:t xml:space="preserve">iá trị quyền sử dụng đất tại thửa đất số: 366, tờ bản đồ số 53, đo vẽ năm 2012 có địa chỉ: Tổ dân phố Phong Mỹ, thị trấn Yên Lâm, huyện Yên Định, tỉnh Thanh Hoá (N</w:t>
      </w:r>
      <w:r>
        <w:rPr>
          <w:i/>
          <w:iCs/>
          <w:color w:val="000000"/>
        </w:rPr>
        <w:t xml:space="preserve">ay là xã Quý Lộc, tỉnh Thanh Hoá)</w:t>
      </w:r>
      <w:r>
        <w:rPr>
          <w:color w:val="000000"/>
        </w:rPr>
        <w:t xml:space="preserve"> theo Giấy chứng nhận quyền sử dụng đất quyền sở hữu nhà ở v</w:t>
      </w:r>
      <w:r>
        <w:rPr>
          <w:color w:val="000000"/>
        </w:rPr>
        <w:t xml:space="preserve">à tài sản khác gắn liền với đất số: DL 914994, số vào sổ cấp GCN: CN 00758 do Chi nhánh Văn phòng đăng ký đất đai huyện Yên Định cấp ngày 29/8/2023; Chủ sử dụng đất là Ông Lê Doãn Vượng</w:t>
      </w:r>
      <w:r>
        <w:rPr>
          <w:color w:val="000000"/>
        </w:rPr>
        <w:t xml:space="preserve">.</w:t>
      </w:r>
      <w:r>
        <w:rPr>
          <w:color w:val="000000"/>
        </w:rPr>
      </w:r>
      <w:r>
        <w:rPr>
          <w:color w:val="000000"/>
        </w:rPr>
      </w:r>
    </w:p>
    <w:p>
      <w:pPr>
        <w:pBdr/>
        <w:spacing w:after="120" w:before="120" w:line="360" w:lineRule="auto"/>
        <w:ind/>
        <w:jc w:val="both"/>
        <w:rPr>
          <w:bCs/>
          <w:i/>
        </w:rPr>
      </w:pPr>
      <w:r>
        <w:rPr>
          <w:b/>
          <w:bCs/>
          <w:i/>
          <w:iCs/>
          <w:color w:val="000000"/>
        </w:rPr>
        <w:t xml:space="preserve">Tài sản 02</w:t>
      </w:r>
      <w:r>
        <w:rPr>
          <w:color w:val="000000"/>
        </w:rPr>
        <w:t xml:space="preserve">: </w:t>
      </w:r>
      <w:r>
        <w:rPr>
          <w:color w:val="000000"/>
        </w:rPr>
        <w:t xml:space="preserve">G</w:t>
      </w:r>
      <w:r>
        <w:rPr>
          <w:color w:val="000000"/>
        </w:rPr>
        <w:t xml:space="preserve">iá trị quyền sử dụng đất tại thửa đất số: 365, tờ bản đồ số 53, đo vẽ năm 2012 có địa chỉ: Tổ dân phố Phong Mỹ, thị trấn Yên Lâm, huyện Yên Định, tỉnh Thanh Hoá (</w:t>
      </w:r>
      <w:r>
        <w:rPr>
          <w:i/>
          <w:iCs/>
          <w:color w:val="000000"/>
        </w:rPr>
        <w:t xml:space="preserve">Nay là xã Quý Lộc, tỉnh Thanh Hoá)</w:t>
      </w:r>
      <w:r>
        <w:rPr>
          <w:color w:val="000000"/>
        </w:rPr>
        <w:t xml:space="preserve"> theo Giấy chứng nhận quyền sử dụng đất quyền sở hữu nhà ở v</w:t>
      </w:r>
      <w:r>
        <w:rPr>
          <w:color w:val="000000"/>
        </w:rPr>
        <w:t xml:space="preserve">à tài sản khác gắn liền với đất số: DL 914995, số vào sổ cấp GCN: CN 00759 do Chi nhánh Văn phòng đăng ký đất đai huyện Yên Định cấp ngày 29/8/2023; Chủ sử dụng đất là Ông Lê Doãn Phúc.</w:t>
      </w:r>
      <w:r>
        <w:rPr>
          <w:bCs/>
          <w:i/>
        </w:rPr>
      </w:r>
      <w:r>
        <w:rPr>
          <w:bCs/>
          <w:i/>
        </w:rPr>
      </w:r>
    </w:p>
    <w:p>
      <w:pPr>
        <w:pBdr/>
        <w:spacing w:after="120" w:before="120" w:line="360"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4/2026</w:t>
      </w:r>
      <w:r>
        <w:rPr>
          <w:bCs/>
          <w:lang w:val="nl-NL"/>
        </w:rPr>
        <w:t xml:space="preserve">.</w:t>
      </w:r>
      <w:r>
        <w:rPr>
          <w:b/>
          <w:bCs/>
        </w:rPr>
      </w:r>
    </w:p>
    <w:p>
      <w:pPr>
        <w:pBdr/>
        <w:tabs>
          <w:tab w:val="left" w:leader="none" w:pos="851"/>
        </w:tabs>
        <w:spacing w:after="120" w:before="120" w:line="360"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60"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60"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60"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60"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60"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60"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60"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60"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4/2026</w:t>
      </w:r>
      <w:r>
        <w:rPr>
          <w:lang w:val="vi-VN"/>
        </w:rPr>
        <w:t xml:space="preserve"> ước tính</w:t>
      </w:r>
      <w:r>
        <w:t xml:space="preserve"> </w:t>
      </w:r>
      <w:r>
        <w:rPr>
          <w:lang w:val="vi-VN"/>
        </w:rPr>
        <w:t xml:space="preserve">như sau:</w:t>
      </w:r>
      <w:r/>
    </w:p>
    <w:p>
      <w:pPr>
        <w:pBdr/>
        <w:shd w:val="nil"/>
        <w:spacing/>
        <w:ind/>
        <w:rPr/>
      </w:pPr>
      <w:r>
        <w:br w:type="page" w:clear="all"/>
      </w:r>
      <w:r/>
      <w:r/>
      <w:r>
        <w:rPr>
          <w:highlight w:val="none"/>
          <w:lang w:val="vi-VN"/>
        </w:rPr>
      </w:r>
      <w:r>
        <w:rPr>
          <w:highlight w:val="none"/>
          <w:lang w:val="vi-VN"/>
        </w:rPr>
      </w:r>
      <w:r>
        <w:rPr>
          <w:highlight w:val="none"/>
          <w:lang w:val="vi-VN"/>
        </w:rPr>
      </w: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3402"/>
        <w:gridCol w:w="1417"/>
        <w:gridCol w:w="1804"/>
        <w:gridCol w:w="1951"/>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402"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04"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51"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22" w:type="dxa"/>
            <w:vAlign w:val="center"/>
            <w:textDirection w:val="lrTb"/>
            <w:noWrap w:val="false"/>
          </w:tcPr>
          <w:p>
            <w:pPr>
              <w:pBdr/>
              <w:spacing w:after="0" w:before="0" w:line="324" w:lineRule="auto"/>
              <w:ind w:right="103" w:firstLine="0" w:left="142"/>
              <w:jc w:val="both"/>
              <w:rPr/>
            </w:pPr>
            <w:r>
              <w:rPr>
                <w:rFonts w:ascii="Times New Roman" w:hAnsi="Times New Roman" w:eastAsia="Times New Roman" w:cs="Times New Roman"/>
                <w:b/>
                <w:color w:val="000000"/>
                <w:sz w:val="24"/>
              </w:rPr>
              <w:t xml:space="preserve">Giá trị quyền sử dụng đất tại thửa đất số: 366, tờ bản đồ số 53, đo vẽ năm 2012 có địa chỉ: Tổ dân phố Phong Mỹ, thị trấn Yên Lâm, huyện Yên Định, tỉnh Thanh Hoá (</w:t>
            </w:r>
            <w:r>
              <w:rPr>
                <w:rFonts w:ascii="Times New Roman" w:hAnsi="Times New Roman" w:eastAsia="Times New Roman" w:cs="Times New Roman"/>
                <w:b/>
                <w:i/>
                <w:iCs/>
                <w:color w:val="000000"/>
                <w:sz w:val="24"/>
              </w:rPr>
              <w:t xml:space="preserve">Nay là xã Quý Lộc, tỉnh Thanh Hoá)</w:t>
            </w:r>
            <w:r>
              <w:rPr>
                <w:rFonts w:ascii="Times New Roman" w:hAnsi="Times New Roman" w:eastAsia="Times New Roman" w:cs="Times New Roman"/>
                <w:b/>
                <w:color w:val="000000"/>
                <w:sz w:val="24"/>
              </w:rPr>
              <w:t xml:space="preserve"> theo Giấy chứng nhận quyền sử dụng đất quyền sở hữu nhà ở </w:t>
            </w:r>
            <w:r>
              <w:rPr>
                <w:rFonts w:ascii="Times New Roman" w:hAnsi="Times New Roman" w:eastAsia="Times New Roman" w:cs="Times New Roman"/>
                <w:b/>
                <w:color w:val="000000"/>
                <w:sz w:val="24"/>
              </w:rPr>
              <w:t xml:space="preserve">và tài sản khác gắn liền với đất số: DL 914994, số vào sổ cấp GCN: CN 00758 do Chi nhánh Văn phòng đăng ký đất đai huyện Yên Định cấp ngày 29/8/2023; Chủ sử dụng đất là Ông Lê Doãn Vượng.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51"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963.800.000</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402" w:type="dxa"/>
            <w:vAlign w:val="center"/>
            <w:textDirection w:val="lrTb"/>
            <w:noWrap w:val="false"/>
          </w:tcPr>
          <w:p>
            <w:pPr>
              <w:pBdr/>
              <w:spacing w:after="0" w:before="0" w:line="324" w:lineRule="auto"/>
              <w:ind w:right="103" w:firstLine="0" w:left="142"/>
              <w:rPr/>
            </w:pPr>
            <w:r>
              <w:rPr>
                <w:rFonts w:ascii="Times New Roman" w:hAnsi="Times New Roman" w:eastAsia="Times New Roman" w:cs="Times New Roman"/>
                <w:color w:val="000000"/>
                <w:sz w:val="24"/>
              </w:rPr>
              <w:t xml:space="preserve">Đất ở nằm ngoài chỉ giới QHGT</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324" w:lineRule="auto"/>
              <w:ind w:right="103" w:firstLine="0" w:left="142"/>
              <w:jc w:val="center"/>
              <w:rPr/>
            </w:pPr>
            <w:r>
              <w:rPr>
                <w:rFonts w:ascii="Times New Roman" w:hAnsi="Times New Roman" w:eastAsia="Times New Roman" w:cs="Times New Roman"/>
                <w:color w:val="000000"/>
                <w:sz w:val="24"/>
              </w:rPr>
              <w:t xml:space="preserve">101,0</w:t>
            </w:r>
            <w:r/>
          </w:p>
        </w:tc>
        <w:tc>
          <w:tcPr>
            <w:shd w:val="clear" w:color="ffffff" w:fill="ffffff"/>
            <w:tcBorders>
              <w:bottom w:val="single" w:color="000000" w:sz="6" w:space="0"/>
              <w:right w:val="single" w:color="000000" w:sz="6" w:space="0"/>
            </w:tcBorders>
            <w:tcMar>
              <w:left w:w="0" w:type="dxa"/>
              <w:top w:w="0" w:type="dxa"/>
              <w:right w:w="0" w:type="dxa"/>
              <w:bottom w:w="0" w:type="dxa"/>
            </w:tcMar>
            <w:tcW w:w="1804" w:type="dxa"/>
            <w:vAlign w:val="center"/>
            <w:textDirection w:val="lrTb"/>
            <w:noWrap w:val="false"/>
          </w:tcPr>
          <w:p>
            <w:pPr>
              <w:pBdr/>
              <w:spacing w:after="0" w:before="0" w:line="324" w:lineRule="auto"/>
              <w:ind w:right="103" w:firstLine="0" w:left="142"/>
              <w:jc w:val="center"/>
              <w:rPr/>
            </w:pPr>
            <w:r>
              <w:rPr>
                <w:rFonts w:ascii="Times New Roman" w:hAnsi="Times New Roman" w:eastAsia="Times New Roman" w:cs="Times New Roman"/>
                <w:color w:val="000000"/>
                <w:sz w:val="24"/>
              </w:rPr>
              <w:t xml:space="preserve">8.800.000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51" w:type="dxa"/>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888.800.000</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402" w:type="dxa"/>
            <w:vAlign w:val="center"/>
            <w:textDirection w:val="lrTb"/>
            <w:noWrap w:val="false"/>
          </w:tcPr>
          <w:p>
            <w:pPr>
              <w:pBdr/>
              <w:spacing w:after="0" w:before="0" w:line="324" w:lineRule="auto"/>
              <w:ind w:right="103" w:firstLine="0" w:left="142"/>
              <w:rPr/>
            </w:pPr>
            <w:r>
              <w:rPr>
                <w:rFonts w:ascii="Times New Roman" w:hAnsi="Times New Roman" w:eastAsia="Times New Roman" w:cs="Times New Roman"/>
                <w:color w:val="000000"/>
                <w:sz w:val="24"/>
              </w:rPr>
              <w:t xml:space="preserve">Đất ở nằm trong chỉ giới QHGT</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324" w:lineRule="auto"/>
              <w:ind w:right="103" w:firstLine="0" w:left="142"/>
              <w:jc w:val="center"/>
              <w:rPr/>
            </w:pPr>
            <w:r>
              <w:rPr>
                <w:rFonts w:ascii="Times New Roman" w:hAnsi="Times New Roman" w:eastAsia="Times New Roman" w:cs="Times New Roman"/>
                <w:color w:val="000000"/>
                <w:sz w:val="24"/>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04" w:type="dxa"/>
            <w:vAlign w:val="center"/>
            <w:textDirection w:val="lrTb"/>
            <w:noWrap w:val="false"/>
          </w:tcPr>
          <w:p>
            <w:pPr>
              <w:pBdr/>
              <w:spacing w:after="0" w:before="0" w:line="324" w:lineRule="auto"/>
              <w:ind w:right="103" w:firstLine="0" w:left="142"/>
              <w:jc w:val="center"/>
              <w:rPr/>
            </w:pPr>
            <w:r>
              <w:rPr>
                <w:rFonts w:ascii="Times New Roman" w:hAnsi="Times New Roman" w:eastAsia="Times New Roman" w:cs="Times New Roman"/>
                <w:color w:val="000000"/>
                <w:sz w:val="24"/>
              </w:rPr>
              <w:t xml:space="preserve">2.500.000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51" w:type="dxa"/>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75.000.000</w:t>
            </w:r>
            <w:r/>
          </w:p>
        </w:tc>
      </w:tr>
      <w:tr>
        <w:trPr>
          <w:trHeight w:val="222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02</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22" w:type="dxa"/>
            <w:vAlign w:val="center"/>
            <w:textDirection w:val="lrTb"/>
            <w:noWrap w:val="false"/>
          </w:tcPr>
          <w:p>
            <w:pPr>
              <w:pBdr/>
              <w:spacing w:after="0" w:before="0" w:line="324" w:lineRule="auto"/>
              <w:ind w:right="103" w:firstLine="0" w:left="142"/>
              <w:jc w:val="both"/>
              <w:rPr/>
            </w:pPr>
            <w:r>
              <w:rPr>
                <w:rFonts w:ascii="Times New Roman" w:hAnsi="Times New Roman" w:eastAsia="Times New Roman" w:cs="Times New Roman"/>
                <w:b/>
                <w:color w:val="000000"/>
                <w:sz w:val="24"/>
              </w:rPr>
              <w:t xml:space="preserve">Giá trị quyền sử dụng đất tại thửa đất số: 365, tờ bản đồ số 53, đo vẽ năm 2012 có địa chỉ: Tổ dân phố Phong Mỹ, thị trấn Yên Lâm, huyện Yên Định, tỉnh Thanh Hoá (</w:t>
            </w:r>
            <w:r>
              <w:rPr>
                <w:rFonts w:ascii="Times New Roman" w:hAnsi="Times New Roman" w:eastAsia="Times New Roman" w:cs="Times New Roman"/>
                <w:b/>
                <w:i/>
                <w:iCs/>
                <w:color w:val="000000"/>
                <w:sz w:val="24"/>
              </w:rPr>
              <w:t xml:space="preserve">Nay là xã Quý Lộc, tỉnh Thanh Hoá</w:t>
            </w:r>
            <w:r>
              <w:rPr>
                <w:rFonts w:ascii="Times New Roman" w:hAnsi="Times New Roman" w:eastAsia="Times New Roman" w:cs="Times New Roman"/>
                <w:b/>
                <w:color w:val="000000"/>
                <w:sz w:val="24"/>
              </w:rPr>
              <w:t xml:space="preserve">) theo Giấy chứng nhận quyền sử dụng đất quyền sở hữu nhà ở </w:t>
            </w:r>
            <w:r>
              <w:rPr>
                <w:rFonts w:ascii="Times New Roman" w:hAnsi="Times New Roman" w:eastAsia="Times New Roman" w:cs="Times New Roman"/>
                <w:b/>
                <w:color w:val="000000"/>
                <w:sz w:val="24"/>
              </w:rPr>
              <w:t xml:space="preserve">và tài sản khác gắn liền với đất số: DL 914995, số vào sổ cấp GCN: CN 00759 do Chi nhánh Văn phòng đăng ký đất đai huyện Yên Định cấp ngày 29/8/2023; Chủ sử dụng đất là Ông Lê Doãn Phúc.</w:t>
            </w:r>
            <w:r/>
          </w:p>
        </w:tc>
        <w:tc>
          <w:tcPr>
            <w:shd w:val="clear" w:color="ffffff" w:fill="ffffff"/>
            <w:tcBorders>
              <w:bottom w:val="single" w:color="000000" w:sz="6" w:space="0"/>
              <w:right w:val="single" w:color="000000" w:sz="6" w:space="0"/>
            </w:tcBorders>
            <w:tcMar>
              <w:left w:w="0" w:type="dxa"/>
              <w:top w:w="0" w:type="dxa"/>
              <w:right w:w="0" w:type="dxa"/>
              <w:bottom w:w="0" w:type="dxa"/>
            </w:tcMar>
            <w:tcW w:w="1951"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1.175.190.000</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402" w:type="dxa"/>
            <w:vAlign w:val="center"/>
            <w:textDirection w:val="lrTb"/>
            <w:noWrap w:val="false"/>
          </w:tcPr>
          <w:p>
            <w:pPr>
              <w:pBdr/>
              <w:spacing w:after="0" w:before="0" w:line="324" w:lineRule="auto"/>
              <w:ind w:right="0" w:firstLine="0" w:left="142"/>
              <w:rPr/>
            </w:pPr>
            <w:r>
              <w:rPr>
                <w:rFonts w:ascii="Times New Roman" w:hAnsi="Times New Roman" w:eastAsia="Times New Roman" w:cs="Times New Roman"/>
                <w:color w:val="000000"/>
                <w:sz w:val="24"/>
              </w:rPr>
              <w:t xml:space="preserve">Đất ở nằm ngoài chỉ giới QHGT</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324" w:lineRule="auto"/>
              <w:ind w:right="0" w:firstLine="0" w:left="142"/>
              <w:jc w:val="center"/>
              <w:rPr/>
            </w:pPr>
            <w:r>
              <w:rPr>
                <w:rFonts w:ascii="Times New Roman" w:hAnsi="Times New Roman" w:eastAsia="Times New Roman" w:cs="Times New Roman"/>
                <w:color w:val="000000"/>
                <w:sz w:val="24"/>
              </w:rPr>
              <w:t xml:space="preserve">118,3</w:t>
            </w:r>
            <w:r/>
          </w:p>
        </w:tc>
        <w:tc>
          <w:tcPr>
            <w:shd w:val="clear" w:color="ffffff" w:fill="ffffff"/>
            <w:tcBorders>
              <w:bottom w:val="single" w:color="000000" w:sz="6" w:space="0"/>
              <w:right w:val="single" w:color="000000" w:sz="6" w:space="0"/>
            </w:tcBorders>
            <w:tcMar>
              <w:left w:w="0" w:type="dxa"/>
              <w:top w:w="0" w:type="dxa"/>
              <w:right w:w="0" w:type="dxa"/>
              <w:bottom w:w="0" w:type="dxa"/>
            </w:tcMar>
            <w:tcW w:w="1804" w:type="dxa"/>
            <w:vAlign w:val="center"/>
            <w:textDirection w:val="lrTb"/>
            <w:noWrap w:val="false"/>
          </w:tcPr>
          <w:p>
            <w:pPr>
              <w:pBdr/>
              <w:spacing w:after="0" w:before="0" w:line="324" w:lineRule="auto"/>
              <w:ind w:right="0" w:firstLine="0" w:left="142"/>
              <w:jc w:val="center"/>
              <w:rPr/>
            </w:pPr>
            <w:r>
              <w:rPr>
                <w:rFonts w:ascii="Times New Roman" w:hAnsi="Times New Roman" w:eastAsia="Times New Roman" w:cs="Times New Roman"/>
                <w:color w:val="000000"/>
                <w:sz w:val="24"/>
              </w:rPr>
              <w:t xml:space="preserve">9.300.000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51" w:type="dxa"/>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1.100.190.000</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402" w:type="dxa"/>
            <w:vAlign w:val="center"/>
            <w:textDirection w:val="lrTb"/>
            <w:noWrap w:val="false"/>
          </w:tcPr>
          <w:p>
            <w:pPr>
              <w:pBdr/>
              <w:spacing w:after="0" w:before="0" w:line="324" w:lineRule="auto"/>
              <w:ind w:right="0" w:firstLine="0" w:left="142"/>
              <w:rPr/>
            </w:pPr>
            <w:r>
              <w:rPr>
                <w:rFonts w:ascii="Times New Roman" w:hAnsi="Times New Roman" w:eastAsia="Times New Roman" w:cs="Times New Roman"/>
                <w:color w:val="000000"/>
                <w:sz w:val="24"/>
              </w:rPr>
              <w:t xml:space="preserve">Đất ở nằm trong chỉ giới QHGT</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324" w:lineRule="auto"/>
              <w:ind w:right="0" w:firstLine="0" w:left="142"/>
              <w:jc w:val="center"/>
              <w:rPr/>
            </w:pPr>
            <w:r>
              <w:rPr>
                <w:rFonts w:ascii="Times New Roman" w:hAnsi="Times New Roman" w:eastAsia="Times New Roman" w:cs="Times New Roman"/>
                <w:color w:val="000000"/>
                <w:sz w:val="24"/>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04" w:type="dxa"/>
            <w:vAlign w:val="center"/>
            <w:textDirection w:val="lrTb"/>
            <w:noWrap w:val="false"/>
          </w:tcPr>
          <w:p>
            <w:pPr>
              <w:pBdr/>
              <w:spacing w:after="0" w:before="0" w:line="324" w:lineRule="auto"/>
              <w:ind w:right="0" w:firstLine="0" w:left="142"/>
              <w:jc w:val="center"/>
              <w:rPr/>
            </w:pPr>
            <w:r>
              <w:rPr>
                <w:rFonts w:ascii="Times New Roman" w:hAnsi="Times New Roman" w:eastAsia="Times New Roman" w:cs="Times New Roman"/>
                <w:color w:val="000000"/>
                <w:sz w:val="24"/>
              </w:rPr>
              <w:t xml:space="preserve">2.500.000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51" w:type="dxa"/>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75.000.000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59" w:type="dxa"/>
            <w:vAlign w:val="center"/>
            <w:textDirection w:val="lrTb"/>
            <w:noWrap/>
          </w:tcPr>
          <w:p>
            <w:pPr>
              <w:pBdr/>
              <w:spacing w:after="0" w:before="0" w:line="324"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51" w:type="dxa"/>
            <w:vAlign w:val="center"/>
            <w:textDirection w:val="lrTb"/>
            <w:noWrap/>
          </w:tcPr>
          <w:p>
            <w:pPr>
              <w:pBdr/>
              <w:spacing w:after="0" w:before="0" w:line="324" w:lineRule="auto"/>
              <w:ind/>
              <w:jc w:val="center"/>
              <w:rPr/>
            </w:pPr>
            <w:r>
              <w:rPr>
                <w:rFonts w:ascii="Times New Roman" w:hAnsi="Times New Roman" w:eastAsia="Times New Roman" w:cs="Times New Roman"/>
                <w:b/>
                <w:color w:val="000000"/>
                <w:sz w:val="24"/>
              </w:rPr>
              <w:t xml:space="preserve">2.138.990.000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59" w:type="dxa"/>
            <w:vAlign w:val="center"/>
            <w:textDirection w:val="lrTb"/>
            <w:noWrap/>
          </w:tcPr>
          <w:p>
            <w:pPr>
              <w:pBdr/>
              <w:spacing w:after="0" w:before="0" w:line="324"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951" w:type="dxa"/>
            <w:vAlign w:val="center"/>
            <w:textDirection w:val="lrTb"/>
            <w:noWrap/>
          </w:tcPr>
          <w:p>
            <w:pPr>
              <w:pBdr/>
              <w:spacing w:after="0" w:before="0" w:line="324" w:lineRule="auto"/>
              <w:ind/>
              <w:jc w:val="center"/>
              <w:rPr/>
            </w:pPr>
            <w:r>
              <w:rPr>
                <w:rFonts w:ascii="Times New Roman" w:hAnsi="Times New Roman" w:eastAsia="Times New Roman" w:cs="Times New Roman"/>
                <w:b/>
                <w:color w:val="000000"/>
                <w:sz w:val="24"/>
              </w:rPr>
              <w:t xml:space="preserve">2.139.000.000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10" w:type="dxa"/>
            <w:vAlign w:val="center"/>
            <w:textDirection w:val="lrTb"/>
            <w:noWrap w:val="false"/>
          </w:tcPr>
          <w:p>
            <w:pPr>
              <w:pBdr/>
              <w:spacing w:after="0" w:before="0" w:line="324" w:lineRule="auto"/>
              <w:ind/>
              <w:jc w:val="center"/>
              <w:rPr/>
            </w:pPr>
            <w:r>
              <w:rPr>
                <w:rFonts w:ascii="Times New Roman" w:hAnsi="Times New Roman" w:eastAsia="Times New Roman" w:cs="Times New Roman"/>
                <w:b/>
                <w:i/>
                <w:color w:val="000000"/>
                <w:sz w:val="24"/>
              </w:rPr>
              <w:t xml:space="preserve">(Bằng chữ: Hai tỷ, một trăm ba mươi chín triệu đồng chẵn./.)</w:t>
            </w:r>
            <w:r/>
          </w:p>
        </w:tc>
      </w:tr>
    </w:tbl>
    <w:p>
      <w:pPr>
        <w:pBdr/>
        <w:spacing w:after="120" w:before="120" w:line="360" w:lineRule="auto"/>
        <w:ind/>
        <w:jc w:val="both"/>
        <w:rPr>
          <w:b/>
          <w:bCs/>
        </w:rPr>
      </w:pPr>
      <w:r>
        <w:rPr>
          <w:b/>
          <w:bCs/>
          <w:lang w:val="vi-VN"/>
        </w:rPr>
        <w:t xml:space="preserve">10. Thời hạn hiệu lực của kết quả thẩm định giá:</w:t>
      </w:r>
      <w:r>
        <w:rPr>
          <w:b/>
          <w:bCs/>
        </w:rPr>
      </w:r>
    </w:p>
    <w:p>
      <w:pPr>
        <w:pBdr/>
        <w:spacing w:after="120" w:before="120" w:line="360"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60" w:lineRule="auto"/>
        <w:ind/>
        <w:rPr/>
      </w:pPr>
      <w:r>
        <w:rPr>
          <w:b/>
          <w:bCs/>
          <w:lang w:val="vi-VN"/>
        </w:rPr>
        <w:t xml:space="preserve">11. Những điều khoản loại trừ và hạn chế của kết quả thẩm định giá:</w:t>
      </w:r>
      <w:r/>
    </w:p>
    <w:p>
      <w:pPr>
        <w:pBdr/>
        <w:spacing w:after="120" w:before="120" w:line="360"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5074" w:type="pct"/>
        <w:tblBorders/>
        <w:tblLayout w:type="fixed"/>
        <w:tblLook w:val="01E0" w:firstRow="1" w:lastRow="1" w:firstColumn="1" w:lastColumn="1" w:noHBand="0" w:noVBand="0"/>
      </w:tblPr>
      <w:tblGrid>
        <w:gridCol w:w="4422"/>
        <w:gridCol w:w="5244"/>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5244"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5244" w:type="dxa"/>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5244"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ayout w:type="fixed"/>
        <w:tblLook w:val="04A0" w:firstRow="1" w:lastRow="0" w:firstColumn="1" w:lastColumn="0" w:noHBand="0" w:noVBand="1"/>
      </w:tblPr>
      <w:tblGrid>
        <w:gridCol w:w="244"/>
        <w:gridCol w:w="1344"/>
        <w:gridCol w:w="2563"/>
        <w:gridCol w:w="5412"/>
        <w:gridCol w:w="310"/>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8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275/2026/0656/VFI-BC.21.A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29 tháng 4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275/2026/0656/VFI-CT.21.A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29 tháng 4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CÔNG TY CỔ PHẦN XUẤT NHẬP KHẨU VÀ XÂY DỰNG ÂU VIỆT</w:t>
            </w:r>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rPr>
                <w:color w:val="000000" w:themeColor="text1"/>
                <w:spacing w:val="-2"/>
                <w14:ligatures w14:val="none"/>
              </w:rPr>
            </w:pPr>
            <w:r>
              <w:rPr>
                <w:color w:val="000000" w:themeColor="text1"/>
                <w:spacing w:val="-2"/>
              </w:rPr>
              <w:t xml:space="preserve">:</w:t>
            </w:r>
            <w:r>
              <w:rPr>
                <w:color w:val="000000" w:themeColor="text1"/>
                <w:spacing w:val="-2"/>
                <w14:ligatures w14:val="none"/>
              </w:rPr>
            </w:r>
            <w:r>
              <w:rPr>
                <w:color w:val="000000" w:themeColor="text1"/>
                <w:spacing w:val="-2"/>
                <w14:ligatures w14:val="none"/>
              </w:rPr>
            </w:r>
          </w:p>
        </w:tc>
        <w:tc>
          <w:tcPr>
            <w:tcBorders/>
            <w:tcW w:w="6945" w:type="dxa"/>
            <w:vAlign w:val="center"/>
            <w:textDirection w:val="lrTb"/>
            <w:noWrap w:val="false"/>
          </w:tcPr>
          <w:p>
            <w:pPr>
              <w:pBdr/>
              <w:spacing w:after="40" w:before="40" w:line="276" w:lineRule="auto"/>
              <w:ind/>
              <w:jc w:val="both"/>
              <w:rPr>
                <w:color w:val="000000" w:themeColor="text1"/>
                <w:spacing w:val="-2"/>
                <w14:ligatures w14:val="none"/>
              </w:rPr>
            </w:pPr>
            <w:r>
              <w:rPr>
                <w:color w:val="000000" w:themeColor="text1"/>
                <w:spacing w:val="-2"/>
              </w:rPr>
            </w:r>
            <w:r>
              <w:rPr>
                <w:color w:val="000000" w:themeColor="text1"/>
                <w:spacing w:val="-2"/>
              </w:rPr>
              <w:t xml:space="preserve">A7-6/2 Trung tâm đô thị Chí Linh, Phường Tam Thắng, Thành phố Hồ Chí Minh</w:t>
            </w:r>
            <w:r>
              <w:rPr>
                <w:color w:val="000000" w:themeColor="text1"/>
                <w:spacing w:val="-2"/>
                <w14:ligatures w14:val="none"/>
              </w:rPr>
            </w:r>
            <w:r>
              <w:rPr>
                <w:color w:val="000000" w:themeColor="text1"/>
                <w:spacing w:val="-2"/>
                <w14:ligatures w14:val="non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0106024032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4" w:type="dxa"/>
            <w:vAlign w:val="center"/>
            <w:textDirection w:val="lrTb"/>
            <w:noWrap w:val="false"/>
          </w:tcPr>
          <w:p>
            <w:pPr>
              <w:pBdr/>
              <w:spacing w:after="40" w:before="40" w:line="276" w:lineRule="auto"/>
              <w:ind/>
              <w:jc w:val="center"/>
              <w:rPr>
                <w:bCs/>
              </w:rPr>
            </w:pPr>
            <w:r>
              <w:rPr>
                <w:bCs/>
              </w:rPr>
              <w:t xml:space="preserve">:</w:t>
            </w:r>
            <w:r>
              <w:rPr>
                <w:bCs/>
              </w:rPr>
            </w:r>
            <w:r>
              <w:rPr>
                <w:bCs/>
              </w:rPr>
            </w:r>
          </w:p>
        </w:tc>
        <w:tc>
          <w:tcPr>
            <w:tcBorders/>
            <w:tcW w:w="6945" w:type="dxa"/>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Ông Nguyễn Quang Trung</w:t>
            </w:r>
            <w:r>
              <w:rPr>
                <w:b/>
                <w:bCs/>
                <w:color w:val="ff0000"/>
              </w:rPr>
            </w:r>
            <w:r>
              <w:rPr>
                <w:b/>
                <w:bCs/>
                <w:color w:val="ff0000"/>
              </w:rPr>
            </w:r>
          </w:p>
        </w:tc>
      </w:tr>
      <w:tr>
        <w:trPr>
          <w:trHeight w:val="20"/>
        </w:trPr>
        <w:tc>
          <w:tcPr>
            <w:tcBorders/>
            <w:tcW w:w="2518"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4" w:type="dxa"/>
            <w:vAlign w:val="center"/>
            <w:vMerge w:val="restart"/>
            <w:textDirection w:val="lrTb"/>
            <w:noWrap w:val="false"/>
          </w:tcPr>
          <w:p>
            <w:pPr>
              <w:pBdr/>
              <w:spacing w:after="40" w:before="40" w:line="276" w:lineRule="auto"/>
              <w:ind/>
              <w:jc w:val="center"/>
              <w:rPr>
                <w:bCs/>
              </w:rPr>
            </w:pPr>
            <w:r>
              <w:rPr>
                <w:bCs/>
              </w:rPr>
              <w:t xml:space="preserve">:</w:t>
            </w:r>
            <w:r>
              <w:rPr>
                <w:bCs/>
              </w:rPr>
            </w:r>
            <w:r>
              <w:rPr>
                <w:bCs/>
              </w:rPr>
            </w:r>
          </w:p>
        </w:tc>
        <w:tc>
          <w:tcPr>
            <w:tcBorders/>
            <w:tcW w:w="6945" w:type="dxa"/>
            <w:vAlign w:val="center"/>
            <w:vMerge w:val="restart"/>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Giám đốc</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120" w:before="120" w:line="360" w:lineRule="auto"/>
              <w:ind/>
              <w:jc w:val="both"/>
              <w:rPr>
                <w:color w:val="000000"/>
              </w:rPr>
            </w:pPr>
            <w:r>
              <w:rPr>
                <w:b/>
                <w:bCs/>
                <w:i/>
                <w:iCs/>
                <w:color w:val="000000"/>
              </w:rPr>
              <w:t xml:space="preserve">Tài sản 01:</w:t>
            </w:r>
            <w:r>
              <w:rPr>
                <w:color w:val="000000"/>
              </w:rPr>
              <w:t xml:space="preserve"> </w:t>
            </w:r>
            <w:r>
              <w:rPr>
                <w:color w:val="000000"/>
              </w:rPr>
              <w:t xml:space="preserve">G</w:t>
            </w:r>
            <w:r>
              <w:rPr>
                <w:color w:val="000000"/>
              </w:rPr>
              <w:t xml:space="preserve">iá trị quyền sử dụng đất tại thửa đất số: 366, tờ bản đồ số 53, đo vẽ năm 2012 có địa chỉ: Tổ dân phố Phong Mỹ, thị trấn Yên Lâm, huyện Yên Định, tỉnh Thanh Hoá (</w:t>
            </w:r>
            <w:r>
              <w:rPr>
                <w:i/>
                <w:iCs/>
                <w:color w:val="000000"/>
              </w:rPr>
              <w:t xml:space="preserve">Nay là xã Quý Lộc, tỉnh Thanh Hoá)</w:t>
            </w:r>
            <w:r>
              <w:rPr>
                <w:color w:val="000000"/>
              </w:rPr>
              <w:t xml:space="preserve"> theo Giấy chứng nhận quyền sử dụng đất quyền sở hữu nhà ở v</w:t>
            </w:r>
            <w:r>
              <w:rPr>
                <w:color w:val="000000"/>
              </w:rPr>
              <w:t xml:space="preserve">à tài sản khác gắn liền với đất số: DL 914994, số vào sổ cấp GCN: CN 00758 do Chi nhánh Văn phòng đăng ký đất đai huyện Yên Định cấp ngày 29/8/2023; Chủ sử dụng đất là Ông Lê Doãn Vượng</w:t>
            </w:r>
            <w:r>
              <w:rPr>
                <w:color w:val="000000"/>
              </w:rPr>
              <w:t xml:space="preserve">.</w:t>
            </w:r>
            <w:r>
              <w:rPr>
                <w:color w:val="000000"/>
              </w:rPr>
            </w:r>
            <w:r>
              <w:rPr>
                <w:color w:val="000000"/>
              </w:rPr>
            </w:r>
          </w:p>
          <w:p>
            <w:pPr>
              <w:pBdr/>
              <w:spacing w:after="120" w:before="120" w:line="360" w:lineRule="auto"/>
              <w:ind/>
              <w:jc w:val="both"/>
              <w:rPr>
                <w:bCs/>
                <w:i/>
              </w:rPr>
            </w:pPr>
            <w:r>
              <w:rPr>
                <w:b/>
                <w:bCs/>
                <w:i/>
                <w:iCs/>
                <w:color w:val="000000"/>
              </w:rPr>
              <w:t xml:space="preserve">Tài sản 02</w:t>
            </w:r>
            <w:r>
              <w:rPr>
                <w:color w:val="000000"/>
              </w:rPr>
              <w:t xml:space="preserve">: </w:t>
            </w:r>
            <w:r>
              <w:rPr>
                <w:color w:val="000000"/>
              </w:rPr>
              <w:t xml:space="preserve">G</w:t>
            </w:r>
            <w:r>
              <w:rPr>
                <w:color w:val="000000"/>
              </w:rPr>
              <w:t xml:space="preserve">iá trị quyền sử dụng đất tại thửa đất số: 365, tờ bản đồ số 53, đo vẽ năm 2012 có địa chỉ: Tổ dân phố Phong Mỹ, thị trấn Yên Lâm, huyện Yên Định, tỉnh Thanh Hoá </w:t>
            </w:r>
            <w:r>
              <w:rPr>
                <w:i/>
                <w:iCs/>
                <w:color w:val="000000"/>
              </w:rPr>
              <w:t xml:space="preserve">(Nay là xã Quý Lộc, tỉnh Thanh Hoá)</w:t>
            </w:r>
            <w:r>
              <w:rPr>
                <w:color w:val="000000"/>
              </w:rPr>
              <w:t xml:space="preserve"> theo Giấy chứng nhận quyền sử dụng đất quyền sở hữu nhà ở v</w:t>
            </w:r>
            <w:r>
              <w:rPr>
                <w:color w:val="000000"/>
              </w:rPr>
              <w:t xml:space="preserve">à tài sản khác gắn liền với đất số: DL 914995, số vào sổ cấp GCN: CN 00759 do Chi nhánh Văn phòng đăng ký đất đai huyện Yên Định cấp ngày 29/8/2023; Chủ sử dụng đất là Ông Lê Doãn Phúc.</w:t>
            </w:r>
            <w:r>
              <w:rPr>
                <w:bCs/>
                <w:i/>
              </w:rPr>
            </w:r>
            <w:r/>
            <w:r/>
            <w:r>
              <w:rPr>
                <w:bCs/>
                <w:i/>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4/2026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Quý Lộc, tỉnh Thanh Hoá</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4/2026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highlight w:val="none"/>
          <w:lang w:val="pt-BR" w:bidi="pt-BR"/>
        </w:rP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Nghị quyết số 52/2025/NQ-HĐND ngày 09 tháng 12 năm 2025 của Hội đồng nhân dân tỉnh Thanh Hoá nghị quyết quyết định Bảng giá đất lần đầu để công bố và áp dụng từ ngày 01 tháng 01 năm 2026 trên địa bàn tỉnh Thanh Hoá</w:t>
      </w:r>
      <w:r>
        <w:rPr>
          <w:highlight w:val="none"/>
          <w:lang w:val="pt-BR" w:bidi="pt-BR"/>
        </w:rPr>
        <w:t xml:space="preserve">;</w:t>
      </w:r>
      <w:r>
        <w:rPr>
          <w:highlight w:val="none"/>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nhà ở v</w:t>
      </w:r>
      <w:r>
        <w:rPr>
          <w:color w:val="000000"/>
        </w:rPr>
        <w:t xml:space="preserve">à tài sản khác gắn liền với đất số: DL 914994, số vào sổ cấp GCN: CN 00758 do Chi nhánh Văn phòng đăng ký đất đai huyện Yên Định cấp ngày 29/8/2023; Chủ sử dụng đất là Ông Lê Doãn Vượng</w:t>
      </w:r>
      <w:r>
        <w:rPr>
          <w:lang w:val="pt-BR"/>
        </w:rPr>
        <w:t xml:space="preserve">;</w:t>
      </w:r>
      <w:r>
        <w:rPr>
          <w:i/>
          <w:iCs/>
          <w:lang w:val="pt-BR"/>
        </w:rPr>
      </w:r>
    </w:p>
    <w:p>
      <w:pPr>
        <w:pStyle w:val="856"/>
        <w:numPr>
          <w:ilvl w:val="0"/>
          <w:numId w:val="2"/>
        </w:numPr>
        <w:pBdr/>
        <w:tabs>
          <w:tab w:val="left" w:leader="none" w:pos="993"/>
        </w:tabs>
        <w:spacing w:after="120" w:before="120" w:line="276" w:lineRule="auto"/>
        <w:ind/>
        <w:jc w:val="both"/>
        <w:rPr>
          <w:bCs/>
          <w:i/>
          <w:lang w:val="pt-BR"/>
        </w:rPr>
      </w:pPr>
      <w:r>
        <w:rPr>
          <w:highlight w:val="none"/>
          <w:lang w:val="pt-BR" w:bidi="pt-BR"/>
        </w:rPr>
      </w:r>
      <w:r>
        <w:rPr>
          <w:highlight w:val="none"/>
          <w:lang w:val="pt-BR" w:bidi="pt-BR"/>
        </w:rPr>
      </w:r>
      <w:r>
        <w:rPr>
          <w:color w:val="000000"/>
        </w:rPr>
        <w:t xml:space="preserve">Giấy chứng nhận quyền sử dụng đất quyền sở hữu nhà ở v</w:t>
      </w:r>
      <w:r>
        <w:rPr>
          <w:color w:val="000000"/>
        </w:rPr>
        <w:t xml:space="preserve">à tài sản khác gắn liền với đất số: DL 914995, số vào sổ cấp GCN: CN 00759 do Chi nhánh Văn phòng đăng ký đất đai huyện Yên Định cấp ngày 29/8/2023; Chủ sử dụng đất là Ông Lê Doãn Phúc</w:t>
      </w:r>
      <w:r>
        <w:rPr>
          <w:highlight w:val="none"/>
          <w:lang w:val="pt-BR" w:bidi="pt-BR"/>
        </w:rPr>
        <w:t xml:space="preserve">.</w:t>
      </w:r>
      <w:r>
        <w:rPr>
          <w:highlight w:val="none"/>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275/2026/0656/VFI-HĐTĐ.21.A</w:t>
      </w:r>
      <w:r>
        <w:rPr>
          <w:spacing w:val="-4"/>
          <w:lang w:val="vi-VN"/>
        </w:rPr>
        <w:t xml:space="preserve"> ký ngày </w:t>
      </w:r>
      <w:r>
        <w:rPr>
          <w:color w:val="000000" w:themeColor="text1"/>
          <w:spacing w:val="-4"/>
        </w:rPr>
        <w:t xml:space="preserve">17 tháng 4 năm 2026</w:t>
      </w:r>
      <w:r>
        <w:rPr>
          <w:spacing w:val="-4"/>
          <w:lang w:val="vi-VN"/>
        </w:rPr>
        <w:t xml:space="preserve"> </w:t>
      </w:r>
      <w:r>
        <w:rPr>
          <w:spacing w:val="-4"/>
          <w:lang w:val="vi-VN"/>
        </w:rPr>
        <w:t xml:space="preserve">giữa </w:t>
      </w:r>
      <w:r>
        <w:rPr>
          <w:color w:val="000000" w:themeColor="text1"/>
          <w:spacing w:val="-4"/>
        </w:rPr>
        <w:t xml:space="preserve">Công ty Cổ phần Xuất nhập khẩu và Xây dựng Việt Âu</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lang w:val="pt-BR"/>
        </w:rPr>
        <w:tab/>
        <w:t xml:space="preserve">T</w:t>
      </w:r>
      <w:r>
        <w:rPr>
          <w:i/>
          <w:iCs/>
          <w:lang w:val="pt-BR"/>
        </w:rPr>
      </w:r>
      <w:r>
        <w:rPr>
          <w:rFonts w:ascii="Times New Roman" w:hAnsi="Times New Roman" w:eastAsia="Times New Roman" w:cs="Times New Roman"/>
          <w:color w:val="000000"/>
          <w:spacing w:val="-4"/>
          <w:sz w:val="24"/>
        </w:rPr>
        <w:t xml:space="preserve">hị trường bất động sản tại Thanh Hóa từ năm 2025 đến nay tiếp tục ghi nhận đà tăng mới, đặc biệt tại khu vực đô thị. Điều này dẫn đến hệ lụy, trong khi nguồn cung dự án không thiếu, nhưng người dân có nhu cầu ở thực lại ngày càng khó tiếp cận, bởi giá nhà,</w:t>
      </w:r>
      <w:r>
        <w:rPr>
          <w:rFonts w:ascii="Times New Roman" w:hAnsi="Times New Roman" w:eastAsia="Times New Roman" w:cs="Times New Roman"/>
          <w:color w:val="000000"/>
          <w:spacing w:val="-4"/>
          <w:sz w:val="24"/>
        </w:rPr>
        <w:t xml:space="preserve"> đất đã vượt xa khả năng chi trả, ngay cả với những người có thu nhập khá.</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b/>
          <w:i/>
          <w:color w:val="000000"/>
          <w:spacing w:val="-4"/>
          <w:sz w:val="24"/>
        </w:rPr>
        <w:tab/>
        <w:t xml:space="preserve">Giá nhà đất tăng phi mã</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pacing w:val="-4"/>
          <w:sz w:val="24"/>
        </w:rPr>
        <w:tab/>
        <w:t xml:space="preserve">Khảo sát tại nhiều khu vực đô thị như các phường: Hạc Thành, Quảng Phú, Hàm Rồng, Đông Quang... cho thấy mặt bằng giá bất động sản tăng mạnh chỉ trong thời gian ngắn.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pacing w:val="-4"/>
          <w:sz w:val="24"/>
        </w:rPr>
        <w:tab/>
        <w:t xml:space="preserve">Tại dự án khu nhà ở, công viên cây xanh thuộc Khu Đô thị Nam TP Thanh Hóa, thời điểm tháng 7/2024, giá đất liền kề được giao dịch phổ biến khoảng 31 triệu đồng/m2. Sang đầu năm 2025, mức giá này đã tăng lên gần 40 triệu đồng/m2 và hiện dao động từ 45 - 50</w:t>
      </w:r>
      <w:r>
        <w:rPr>
          <w:rFonts w:ascii="Times New Roman" w:hAnsi="Times New Roman" w:eastAsia="Times New Roman" w:cs="Times New Roman"/>
          <w:color w:val="000000"/>
          <w:spacing w:val="-4"/>
          <w:sz w:val="24"/>
        </w:rPr>
        <w:t xml:space="preserve"> triệu đồng/m2, tùy vị trí. Đáng chú ý, người mua nhà tại đây còn phải hoàn thiện xây thô mới đủ điều kiện hoàn công, cấp giấy chứng nhận quyền sử dụng đất.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pacing w:val="-4"/>
          <w:sz w:val="24"/>
        </w:rPr>
        <w:tab/>
        <w:t xml:space="preserve">Không chỉ các dự án đã hình thành rõ ràng về pháp lý, tại nhiều mặt bằng dân cư khác, dù chưa biết khi nào mới được cấp giấy chứng nhận quyền sử dụng đất và hiện chỉ giao dịch thông qua hợp đồng góp vốn, hợp đồng vay vốn, giá đất vẫn ở mức cao “không tưởn</w:t>
      </w:r>
      <w:r>
        <w:rPr>
          <w:rFonts w:ascii="Times New Roman" w:hAnsi="Times New Roman" w:eastAsia="Times New Roman" w:cs="Times New Roman"/>
          <w:color w:val="000000"/>
          <w:spacing w:val="-4"/>
          <w:sz w:val="24"/>
        </w:rPr>
        <w:t xml:space="preserve">g”. Theo ghi nhận, phần lớn các mặt bằng này đã tăng từ 30% so với đầu năm 2025; cá biệt những khu vực có quy hoạch đẹp, hạ tầng tương đối đồng bộ, gần khu dân cư hiện hữu, mức tăng lên tới 50%.</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pacing w:val="-4"/>
          <w:sz w:val="24"/>
        </w:rPr>
        <w:tab/>
        <w:t xml:space="preserve">Tình trạng tăng giá không chỉ diễn ra tại khu vực trung tâm TP Thanh Hóa cũ, mà còn lan sang các xã trung tâm, khu vực gần khu công nghiệp, nơi có lợi thế giao thương. Một trong những nguyên nhân là do giá trúng đấu giá quyền sử dụng đất rất cao. Điển hìn</w:t>
      </w:r>
      <w:r>
        <w:rPr>
          <w:rFonts w:ascii="Times New Roman" w:hAnsi="Times New Roman" w:eastAsia="Times New Roman" w:cs="Times New Roman"/>
          <w:color w:val="000000"/>
          <w:spacing w:val="-4"/>
          <w:sz w:val="24"/>
        </w:rPr>
        <w:t xml:space="preserve">h, tại cuộc đấu giá 132 lô đất thuộc mặt bằng quy hoạch số 103/MBQH-UBND Hoằng Kim (nay là xã Hoằng Phú) đầu năm 2025, nhiều lô đất được đẩy giá cao hơn từ 800 triệu đến hơn 1 tỷ đồng so với giá khởi điểm. Cá biệt, có những lô đất giá khởi điểm 1,2 tỷ đồng</w:t>
      </w:r>
      <w:r>
        <w:rPr>
          <w:rFonts w:ascii="Times New Roman" w:hAnsi="Times New Roman" w:eastAsia="Times New Roman" w:cs="Times New Roman"/>
          <w:color w:val="000000"/>
          <w:spacing w:val="-4"/>
          <w:sz w:val="24"/>
        </w:rPr>
        <w:t xml:space="preserve"> nhưng giá trúng đấu giá lên tới 3,6 - 3,9 tỷ đồng.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pacing w:val="-4"/>
          <w:sz w:val="24"/>
        </w:rPr>
        <w:tab/>
        <w:t xml:space="preserve">Ở phân khúc chung cư, giá cũng tăng đều và mạnh do đáp ứng nhu cầu ở thực. Căn hộ 2 phòng ngủ, diện tích 48m2 tại chung cư Xuân Mai tăng từ khoảng 1,3 tỷ đồng đầu năm 2025 lên hơn 1,6 tỷ đồng hiện nay, gấp 2,3 lần giá mở bán năm 2019. Một số dự án chung c</w:t>
      </w:r>
      <w:r>
        <w:rPr>
          <w:rFonts w:ascii="Times New Roman" w:hAnsi="Times New Roman" w:eastAsia="Times New Roman" w:cs="Times New Roman"/>
          <w:color w:val="000000"/>
          <w:spacing w:val="-4"/>
          <w:sz w:val="24"/>
        </w:rPr>
        <w:t xml:space="preserve">ư nhà ở xã hội đã đủ điều kiện giao dịch thương mại cũng ghi nhận mức tăng 300 - 400 triệu đồng/căn so với cùng kỳ năm trước.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b/>
          <w:i/>
          <w:color w:val="000000"/>
          <w:spacing w:val="-4"/>
          <w:sz w:val="24"/>
        </w:rPr>
        <w:tab/>
        <w:t xml:space="preserve">Cung thừa, nhưng giấc mơ an cư ngày càng xa</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pacing w:val="-4"/>
          <w:sz w:val="24"/>
        </w:rPr>
        <w:tab/>
        <w:t xml:space="preserve">Giá bất động sản tăng nhanh đang khiến giấc mơ an cư của nhiều người lao động ngày càng trở nên xa vời. Ở phân khúc nhà ở riêng lẻ, nếu như khoảng 2 năm trước, với 2 tỷ đồng, người dân có thể mua được những lô đất có đường rộng, ô tô đi lại thuận tiện tại</w:t>
      </w:r>
      <w:r>
        <w:rPr>
          <w:rFonts w:ascii="Times New Roman" w:hAnsi="Times New Roman" w:eastAsia="Times New Roman" w:cs="Times New Roman"/>
          <w:color w:val="000000"/>
          <w:spacing w:val="-4"/>
          <w:sz w:val="24"/>
        </w:rPr>
        <w:t xml:space="preserve"> khu vực trung tâm TP Thanh Hóa cũ, thì hiện nay, mức tài chính này chỉ đủ mua đất trong các ngõ nhỏ.</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pacing w:val="-4"/>
          <w:sz w:val="24"/>
        </w:rPr>
        <w:tab/>
        <w:t xml:space="preserve">Chị Hoàng Thùy Lan, phường Hạc Thành, chia sẻ: “Năm 2024, gia đình tôi tích lũy được khoảng 1 tỷ đồng, dự định vay thêm ngân hàng để mua một mảnh đất khoảng 60m2, nhưng do lo ngại lãi suất không ổn định nên chần chừ. Đến nay, khi dành dụm thêm được hơn 40</w:t>
      </w:r>
      <w:r>
        <w:rPr>
          <w:rFonts w:ascii="Times New Roman" w:hAnsi="Times New Roman" w:eastAsia="Times New Roman" w:cs="Times New Roman"/>
          <w:color w:val="000000"/>
          <w:spacing w:val="-4"/>
          <w:sz w:val="24"/>
        </w:rPr>
        <w:t xml:space="preserve">0 triệu đồng thì lô đất ấy đã tăng lên 3,3 tỷ đồng, hoàn toàn ngoài khả năng và hiện vẫn đành ở thuê trong căn chung cư nhỏ".</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pacing w:val="-4"/>
          <w:sz w:val="24"/>
        </w:rPr>
        <w:tab/>
        <w:t xml:space="preserve">Tại các xã từng là trung tâm huyện cũ, tình trạng giá đất trúng đấu giá cao, trong khi nhiều lô đất rơi vào tay giới đầu cơ, cũng khiến người có nhu cầu thật khó tiếp cận. Anh Lê Ngọc Long, một người dân vừa đi xuất khẩu lao động về, bày tỏ: “Tôi tích lũy</w:t>
      </w:r>
      <w:r>
        <w:rPr>
          <w:rFonts w:ascii="Times New Roman" w:hAnsi="Times New Roman" w:eastAsia="Times New Roman" w:cs="Times New Roman"/>
          <w:color w:val="000000"/>
          <w:spacing w:val="-4"/>
          <w:sz w:val="24"/>
        </w:rPr>
        <w:t xml:space="preserve"> được ít vốn, muốn mua một lô đất ở trung tâm để mở cửa hàng kinh doanh. Nhưng ngay cả ở khu vực ven, tiện ích chưa đồng bộ, giá đã bị đẩy lên 3 - 4 tỷ đồng mỗi lô, vượt xa khả năng của người lao động”.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pacing w:val="-4"/>
          <w:sz w:val="24"/>
        </w:rPr>
        <w:tab/>
        <w:t xml:space="preserve">Ở phân khúc chung cư, dù có thể sử dụng ngay, giá tăng mạnh cũng khiến nhiều người trẻ gặp khó. Chị Nguyễn Thị Vân, đang làm việc tại Hà Nội và có ý định trở về Thanh Hóa, cho biết: “Hiện một căn chung cư thương mại 2 phòng ngủ, khoảng 60m2 đã lên tới gần</w:t>
      </w:r>
      <w:r>
        <w:rPr>
          <w:rFonts w:ascii="Times New Roman" w:hAnsi="Times New Roman" w:eastAsia="Times New Roman" w:cs="Times New Roman"/>
          <w:color w:val="000000"/>
          <w:spacing w:val="-4"/>
          <w:sz w:val="24"/>
        </w:rPr>
        <w:t xml:space="preserve"> 2 tỷ đồng. Thu nhập hơn 20 triệu đồng/tháng không đủ điều kiện mua nhà ở xã hội, còn mua nhà thương mại thì quá sức".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pacing w:val="-4"/>
          <w:sz w:val="24"/>
        </w:rPr>
        <w:tab/>
        <w:t xml:space="preserve">Giá nhà cao, vượt khả năng chi trả của người dân lao động đã kéo theo hệ quả rõ nét khi nhiều dự án nhà ở chậm được lấp đầy. Theo số liệu khảo sát mới nhất của Sở Xây dựng, toàn tỉnh có khoảng 28.320 sản phẩm nhà ở, đất nền tại các dự án. Trong số này, kh</w:t>
      </w:r>
      <w:r>
        <w:rPr>
          <w:rFonts w:ascii="Times New Roman" w:hAnsi="Times New Roman" w:eastAsia="Times New Roman" w:cs="Times New Roman"/>
          <w:color w:val="000000"/>
          <w:spacing w:val="-4"/>
          <w:sz w:val="24"/>
        </w:rPr>
        <w:t xml:space="preserve">oảng 5.878 căn đã hoàn thành, đủ điều kiện đưa vào sử dụng, chiếm gần 21%. Tuy nhiên, số lượng thực tế có người dân vào ở chỉ khoảng 1.354 căn, chiếm chưa đến 5%.</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pacing w:val="-4"/>
          <w:sz w:val="24"/>
        </w:rPr>
        <w:tab/>
        <w:t xml:space="preserve">Trong khi đó, giai đoạn 2011-2025, trên địa bàn tỉnh có 5 dự án nhà ở thương mại, khu đô thị đã hoàn thành; 52 dự án đang triển khai với tổng vốn đầu tư trên 53.600 tỷ đồng; cùng hàng trăm dự án dự kiến triển khai trong thời gian tới. Những con số này cho</w:t>
      </w:r>
      <w:r>
        <w:rPr>
          <w:rFonts w:ascii="Times New Roman" w:hAnsi="Times New Roman" w:eastAsia="Times New Roman" w:cs="Times New Roman"/>
          <w:color w:val="000000"/>
          <w:spacing w:val="-4"/>
          <w:sz w:val="24"/>
        </w:rPr>
        <w:t xml:space="preserve"> thấy nguồn cung bất động sản không hề thiếu, nhưng lại đang “lệch pha” với nhu cầu thực tế. Không ít khu đô thị được đầu tư hạ tầng kỹ thuật khá đồng bộ nhưng thiếu trường học, chợ, dịch vụ thiết yếu, cũng bởi một nguyên nhân là rất ít cư dân sinh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pacing w:val="-4"/>
          <w:sz w:val="24"/>
        </w:rPr>
        <w:tab/>
        <w:t xml:space="preserve">Trước thực trạng trên, việc điều chỉnh định hướng phát triển thị trường bất động sản là yêu cầu cấp thiết nhằm bảo đảm an sinh xã hội và phát triển bền vững. Đại diện Sở Xây dựng cho biết, cùng với tập trung rà soát, tổ chức thực hiện hiệu quả chương trìn</w:t>
      </w:r>
      <w:r>
        <w:rPr>
          <w:rFonts w:ascii="Times New Roman" w:hAnsi="Times New Roman" w:eastAsia="Times New Roman" w:cs="Times New Roman"/>
          <w:color w:val="000000"/>
          <w:spacing w:val="-4"/>
          <w:sz w:val="24"/>
        </w:rPr>
        <w:t xml:space="preserve">h, kế hoạch phát triển nhà ở đã được phê duyệt; ưu tiên bố trí quỹ đất phát triển nhà ở xã hội, nhà ở công nhân, nhà ở tái định cư, sở sẽ đẩy mạnh công tác quản lý Nhà nước về thị trường bất động sản; công khai, minh bạch thông tin quy hoạch, dự án, giá gi</w:t>
      </w:r>
      <w:r>
        <w:rPr>
          <w:rFonts w:ascii="Times New Roman" w:hAnsi="Times New Roman" w:eastAsia="Times New Roman" w:cs="Times New Roman"/>
          <w:color w:val="000000"/>
          <w:spacing w:val="-4"/>
          <w:sz w:val="24"/>
        </w:rPr>
        <w:t xml:space="preserve">ao dịch; tăng cường thanh tra, kiểm tra, xử lý nghiêm các hành vi đầu cơ, thao túng giá, góp phần ổn định thị trường và bảo đảm môi trường đầu tư lành mạnh.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pacing w:val="-4"/>
          <w:sz w:val="24"/>
        </w:rPr>
        <w:tab/>
        <w:t xml:space="preserve">Mới đây, tại phiên họp lần thứ 5 của Ban Chỉ đạo Trung ương về chính sách nhà ở và thị trường bất động sản, Thủ tướng Chính phủ Phạm Minh Chính đã nhấn mạnh yêu cầu đẩy nhanh nguồn cung nhà ở xã hội, đồng thời xây dựng cơ chế phát triển nhà ở cho người th</w:t>
      </w:r>
      <w:r>
        <w:rPr>
          <w:rFonts w:ascii="Times New Roman" w:hAnsi="Times New Roman" w:eastAsia="Times New Roman" w:cs="Times New Roman"/>
          <w:color w:val="000000"/>
          <w:spacing w:val="-4"/>
          <w:sz w:val="24"/>
        </w:rPr>
        <w:t xml:space="preserve">u nhập trung bình - nhóm đối tượng có thu nhập trên 20 triệu đồng/tháng nhưng không đủ điều kiện tiếp cận nhà ở xã hội. Thủ tướng cũng chỉ đạo nghiên cứu các giải pháp kéo giảm giá nhà ở thương mại, nhất là chung cư, về mức hợp lý; đồng thời rà soát chính </w:t>
      </w:r>
      <w:r>
        <w:rPr>
          <w:rFonts w:ascii="Times New Roman" w:hAnsi="Times New Roman" w:eastAsia="Times New Roman" w:cs="Times New Roman"/>
          <w:color w:val="000000"/>
          <w:spacing w:val="-4"/>
          <w:sz w:val="24"/>
        </w:rPr>
        <w:t xml:space="preserve">sách thuế nhằm hạn chế đầu cơ, thổi giá bất động sản, hướng dòng vốn đầu tư vào sản xuất, kinh doanh.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center"/>
        <w:rPr/>
      </w:pPr>
      <w:r>
        <w:rPr>
          <w:rFonts w:ascii="Times New Roman" w:hAnsi="Times New Roman" w:eastAsia="Times New Roman" w:cs="Times New Roman"/>
          <w:i/>
          <w:color w:val="000000"/>
          <w:spacing w:val="-4"/>
          <w:sz w:val="24"/>
        </w:rPr>
        <w:t xml:space="preserve">(Nguồn tham khảo: https://baothanhhoa.vn/thi-truong-bat-dong-san-nguon-cung-doi-dao-nguoi-mua-kho-tiep-can-276675.htm)</w:t>
      </w:r>
      <w:r/>
      <w:r>
        <w:rPr>
          <w:lang w:val="pt-BR"/>
        </w:rPr>
      </w:r>
      <w:r>
        <w:rPr>
          <w:i/>
          <w:iCs/>
          <w:lang w:val="pt-BR"/>
        </w:rPr>
      </w:r>
      <w:r/>
      <w:r>
        <w:rPr>
          <w:rFonts w:ascii="Times New Roman" w:hAnsi="Times New Roman" w:eastAsia="Times New Roman" w:cs="Times New Roman"/>
          <w:sz w:val="24"/>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p>
      <w:pPr>
        <w:pStyle w:val="856"/>
        <w:numPr>
          <w:ilvl w:val="0"/>
          <w:numId w:val="39"/>
        </w:numPr>
        <w:pBdr/>
        <w:spacing w:line="276" w:lineRule="auto"/>
        <w:ind w:right="0" w:hanging="567" w:left="567"/>
        <w:jc w:val="both"/>
        <w:rPr>
          <w:b/>
          <w:bCs/>
          <w:highlight w:val="none"/>
          <w:u w:val="none"/>
        </w:rPr>
      </w:pPr>
      <w:r>
        <w:rPr>
          <w:b/>
          <w:bCs/>
          <w:u w:val="none"/>
        </w:rPr>
        <w:t xml:space="preserve">Tài sản 01: GCN số </w:t>
      </w:r>
      <w:r>
        <w:rPr>
          <w:b/>
          <w:bCs/>
          <w:u w:val="none"/>
        </w:rPr>
        <w:t xml:space="preserve">DL 914994</w:t>
      </w:r>
      <w:r>
        <w:rPr>
          <w:b/>
          <w:bCs/>
          <w:u w:val="none"/>
        </w:rPr>
        <w:t xml:space="preserve">:</w:t>
      </w:r>
      <w:r>
        <w:rPr>
          <w:b/>
          <w:bCs/>
          <w:highlight w:val="none"/>
          <w:u w:val="none"/>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268"/>
        <w:gridCol w:w="2268"/>
        <w:gridCol w:w="1915"/>
        <w:gridCol w:w="2338"/>
      </w:tblGrid>
      <w:tr>
        <w:trPr>
          <w:trHeight w:val="1572"/>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88" w:type="dxa"/>
            <w:vAlign w:val="center"/>
            <w:textDirection w:val="lrTb"/>
            <w:noWrap w:val="false"/>
          </w:tcPr>
          <w:p>
            <w:pPr>
              <w:pBdr/>
              <w:spacing w:after="0" w:before="0" w:line="276" w:lineRule="auto"/>
              <w:ind w:right="143" w:firstLine="0" w:left="142"/>
              <w:jc w:val="both"/>
              <w:rPr/>
            </w:pPr>
            <w:r>
              <w:rPr>
                <w:rFonts w:ascii="Times New Roman" w:hAnsi="Times New Roman" w:eastAsia="Times New Roman" w:cs="Times New Roman"/>
                <w:b/>
                <w:color w:val="000000"/>
                <w:sz w:val="24"/>
              </w:rPr>
              <w:t xml:space="preserve">Quyền sử dụng đất tại thửa đất số: 366, tờ bản đồ số 53, đo vẽ năm 2012 có địa chỉ: Tổ dân phố Phong Mỹ, thị trấn Yên Lâm, huyện Yên Định, tỉnh Thanh Hoá (</w:t>
            </w:r>
            <w:r>
              <w:rPr>
                <w:rFonts w:ascii="Times New Roman" w:hAnsi="Times New Roman" w:eastAsia="Times New Roman" w:cs="Times New Roman"/>
                <w:b/>
                <w:i/>
                <w:iCs/>
                <w:color w:val="000000"/>
                <w:sz w:val="24"/>
              </w:rPr>
              <w:t xml:space="preserve">Nay là xã Quý Lộc, tỉnh Thanh Hoá) </w:t>
            </w:r>
            <w:r>
              <w:rPr>
                <w:rFonts w:ascii="Times New Roman" w:hAnsi="Times New Roman" w:eastAsia="Times New Roman" w:cs="Times New Roman"/>
                <w:b/>
                <w:color w:val="000000"/>
                <w:sz w:val="24"/>
              </w:rPr>
              <w:t xml:space="preserve">theo Giấy chứng nhận quyền sử dụng đất quyền sở hữu nhà ở </w:t>
            </w:r>
            <w:r>
              <w:rPr>
                <w:rFonts w:ascii="Times New Roman" w:hAnsi="Times New Roman" w:eastAsia="Times New Roman" w:cs="Times New Roman"/>
                <w:b/>
                <w:color w:val="000000"/>
                <w:sz w:val="24"/>
              </w:rPr>
              <w:t xml:space="preserve">và tài sản khác gắn liền với đất số: DL 914994, số vào sổ cấp GCN: CN 00758 do Chi nhánh Văn phòng đăng ký đất đai huyện Yên Định cấp ngày 29/8/2023; Chủ sử dụng đất là Ông Lê Doãn Vượng.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8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366</w:t>
            </w:r>
            <w:r/>
          </w:p>
        </w:tc>
        <w:tc>
          <w:tcPr>
            <w:tcBorders>
              <w:bottom w:val="single" w:color="000000" w:sz="6" w:space="0"/>
              <w:right w:val="single" w:color="000000" w:sz="6" w:space="0"/>
            </w:tcBorders>
            <w:tcMar>
              <w:left w:w="0" w:type="dxa"/>
              <w:top w:w="0" w:type="dxa"/>
              <w:right w:w="0" w:type="dxa"/>
              <w:bottom w:w="0" w:type="dxa"/>
            </w:tcMar>
            <w:tcW w:w="1915"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33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53, đo vẽ năm 2012</w:t>
            </w:r>
            <w:r/>
          </w:p>
        </w:tc>
      </w:tr>
      <w:tr>
        <w:trPr>
          <w:trHeight w:val="624"/>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521" w:type="dxa"/>
            <w:vAlign w:val="center"/>
            <w:textDirection w:val="lrTb"/>
            <w:noWrap w:val="false"/>
          </w:tcPr>
          <w:p>
            <w:pPr>
              <w:pBdr/>
              <w:spacing w:after="0" w:before="0" w:line="276" w:lineRule="auto"/>
              <w:ind w:right="143" w:firstLine="0" w:left="142"/>
              <w:jc w:val="both"/>
              <w:rPr/>
            </w:pPr>
            <w:r>
              <w:rPr>
                <w:rFonts w:ascii="Times New Roman" w:hAnsi="Times New Roman" w:eastAsia="Times New Roman" w:cs="Times New Roman"/>
                <w:color w:val="000000"/>
                <w:sz w:val="24"/>
              </w:rPr>
              <w:t xml:space="preserve">Tổ dân phố Phong Mỹ, thị trấn Yên Lâm, huyện Yên Định, tỉnh Thanh Hoá </w:t>
            </w:r>
            <w:r>
              <w:rPr>
                <w:rFonts w:ascii="Times New Roman" w:hAnsi="Times New Roman" w:eastAsia="Times New Roman" w:cs="Times New Roman"/>
                <w:i/>
                <w:iCs/>
                <w:color w:val="000000"/>
                <w:sz w:val="24"/>
              </w:rPr>
              <w:t xml:space="preserve">(Nay là xã Quý Lộc, tỉnh Thanh Hoá)</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131,0</w:t>
            </w:r>
            <w:r/>
          </w:p>
        </w:tc>
        <w:tc>
          <w:tcPr>
            <w:tcBorders>
              <w:bottom w:val="single" w:color="000000" w:sz="6" w:space="0"/>
              <w:right w:val="single" w:color="000000" w:sz="6" w:space="0"/>
            </w:tcBorders>
            <w:tcMar>
              <w:left w:w="0" w:type="dxa"/>
              <w:top w:w="0" w:type="dxa"/>
              <w:right w:w="0" w:type="dxa"/>
              <w:bottom w:w="0" w:type="dxa"/>
            </w:tcMar>
            <w:tcW w:w="1915"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33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915"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33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Lâu dài</w:t>
            </w:r>
            <w:r/>
          </w:p>
        </w:tc>
      </w:tr>
      <w:tr>
        <w:trPr>
          <w:trHeight w:val="624"/>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521" w:type="dxa"/>
            <w:vAlign w:val="center"/>
            <w:textDirection w:val="lrTb"/>
            <w:noWrap w:val="false"/>
          </w:tcPr>
          <w:p>
            <w:pPr>
              <w:pBdr/>
              <w:spacing w:after="0" w:before="0" w:line="276" w:lineRule="auto"/>
              <w:ind w:right="143" w:firstLine="0" w:left="142"/>
              <w:jc w:val="both"/>
              <w:rPr/>
            </w:pPr>
            <w:r>
              <w:rPr>
                <w:rFonts w:ascii="Times New Roman" w:hAnsi="Times New Roman" w:eastAsia="Times New Roman" w:cs="Times New Roman"/>
                <w:color w:val="000000"/>
                <w:sz w:val="24"/>
              </w:rPr>
              <w:t xml:space="preserve">Nhận tặng cho đất được Công nhận quyền sử dụng đất như giao đất có thu tiền sử dụng đất.</w:t>
            </w:r>
            <w:r/>
          </w:p>
        </w:tc>
      </w:tr>
      <w:tr>
        <w:trPr>
          <w:trHeight w:val="708"/>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Ghi chú:</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521" w:type="dxa"/>
            <w:vAlign w:val="center"/>
            <w:textDirection w:val="lrTb"/>
            <w:noWrap w:val="false"/>
          </w:tcPr>
          <w:p>
            <w:pPr>
              <w:pBdr/>
              <w:spacing w:after="0" w:before="0" w:line="276" w:lineRule="auto"/>
              <w:ind w:right="143" w:firstLine="0" w:left="142"/>
              <w:jc w:val="both"/>
              <w:rPr>
                <w:bCs/>
                <w:i/>
              </w:rPr>
            </w:pPr>
            <w:r>
              <w:rPr>
                <w:rFonts w:ascii="Times New Roman" w:hAnsi="Times New Roman" w:eastAsia="Times New Roman" w:cs="Times New Roman"/>
                <w:i/>
                <w:iCs/>
                <w:color w:val="000000"/>
                <w:sz w:val="24"/>
              </w:rPr>
              <w:t xml:space="preserve">Giấy chứng nhận này thay thế Giấy chứng nhận số BE 109218 do UBND huyện Yên Định cấp ngày 30/5/2011.</w:t>
            </w:r>
            <w:r>
              <w:rPr>
                <w:i/>
                <w:iCs/>
              </w:rPr>
            </w:r>
          </w:p>
        </w:tc>
      </w:tr>
      <w:tr>
        <w:trPr>
          <w:trHeight w:val="624"/>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Thông tin quy hoạch: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521" w:type="dxa"/>
            <w:vAlign w:val="center"/>
            <w:textDirection w:val="lrTb"/>
            <w:noWrap w:val="false"/>
          </w:tcPr>
          <w:p>
            <w:pPr>
              <w:pBdr/>
              <w:spacing w:after="0" w:before="0" w:line="276" w:lineRule="auto"/>
              <w:ind w:right="143" w:firstLine="0" w:left="142"/>
              <w:jc w:val="both"/>
              <w:rPr/>
            </w:pPr>
            <w:r>
              <w:rPr>
                <w:rFonts w:ascii="Times New Roman" w:hAnsi="Times New Roman" w:eastAsia="Times New Roman" w:cs="Times New Roman"/>
                <w:color w:val="000000"/>
                <w:sz w:val="24"/>
              </w:rPr>
              <w:t xml:space="preserve">Căn cứ theo Mục III. Sơ đồ thửa đất, thửa đất có khoảng 30m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nằm trong chỉ giới quy hoạch giao thông.</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8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8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b/>
                <w:color w:val="000000"/>
                <w:sz w:val="24"/>
              </w:rPr>
              <w:t xml:space="preserve">Vị trí; Giao thông:</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Đường nhựa</w:t>
            </w:r>
            <w:r/>
          </w:p>
        </w:tc>
        <w:tc>
          <w:tcPr>
            <w:tcBorders>
              <w:right w:val="single" w:color="000000" w:sz="6" w:space="0"/>
            </w:tcBorders>
            <w:tcMar>
              <w:left w:w="0" w:type="dxa"/>
              <w:top w:w="0" w:type="dxa"/>
              <w:right w:w="0" w:type="dxa"/>
              <w:bottom w:w="0" w:type="dxa"/>
            </w:tcMar>
            <w:tcW w:w="1915"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33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01 mặt tiền</w:t>
            </w:r>
            <w:r/>
          </w:p>
        </w:tc>
      </w:tr>
      <w:tr>
        <w:trPr>
          <w:trHeight w:val="1248"/>
        </w:trPr>
        <w:tc>
          <w:tcPr>
            <w:tcBorders>
              <w:left w:val="single" w:color="000000" w:sz="6" w:space="0"/>
              <w:bottom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Khoảng 7m</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15" w:type="dxa"/>
            <w:vAlign w:val="center"/>
            <w:textDirection w:val="lrTb"/>
            <w:noWrap w:val="false"/>
          </w:tcPr>
          <w:p>
            <w:pPr>
              <w:pBdr/>
              <w:spacing w:after="0" w:before="0" w:line="276" w:lineRule="auto"/>
              <w:ind w:right="143" w:firstLine="0" w:left="142"/>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3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Khoảng 7m</w:t>
            </w:r>
            <w:r/>
          </w:p>
        </w:tc>
      </w:tr>
      <w:tr>
        <w:trPr>
          <w:trHeight w:val="93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521" w:type="dxa"/>
            <w:vAlign w:val="center"/>
            <w:textDirection w:val="lrTb"/>
            <w:noWrap w:val="false"/>
          </w:tcPr>
          <w:p>
            <w:pPr>
              <w:pBdr/>
              <w:spacing w:after="0" w:before="0" w:line="276" w:lineRule="auto"/>
              <w:ind w:right="143" w:firstLine="0" w:left="142"/>
              <w:jc w:val="both"/>
              <w:rPr/>
            </w:pPr>
            <w:r>
              <w:rPr>
                <w:rFonts w:ascii="Times New Roman" w:hAnsi="Times New Roman" w:eastAsia="Times New Roman" w:cs="Times New Roman"/>
                <w:color w:val="000000"/>
                <w:sz w:val="24"/>
              </w:rPr>
              <w:t xml:space="preserve">Tài sản nằm tại Tỉnh lộ 518, xã Quý Lộc, tỉnh Thanh Hoá; cách Ngã tư Bưu Điện Yên Lâm khoảng 2,4km, cách Tiểu học Yên Lâm khu B khoảng 600m.</w:t>
            </w:r>
            <w:r/>
          </w:p>
        </w:tc>
      </w:tr>
      <w:tr>
        <w:trPr>
          <w:trHeight w:val="636"/>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521" w:type="dxa"/>
            <w:vAlign w:val="center"/>
            <w:textDirection w:val="lrTb"/>
            <w:noWrap w:val="false"/>
          </w:tcPr>
          <w:p>
            <w:pPr>
              <w:pBdr/>
              <w:spacing w:after="0" w:before="0" w:line="276" w:lineRule="auto"/>
              <w:ind w:right="143" w:firstLine="0" w:left="142"/>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Tây: Tiếp giáp đường Tỉnh lộ 518;</w:t>
            </w:r>
            <w:r/>
          </w:p>
          <w:p>
            <w:pPr>
              <w:pBdr/>
              <w:spacing w:after="0" w:before="0" w:line="276" w:lineRule="auto"/>
              <w:ind w:right="143" w:firstLine="0" w:left="142"/>
              <w:jc w:val="both"/>
              <w:rPr/>
            </w:pPr>
            <w:r>
              <w:rPr>
                <w:rFonts w:ascii="Times New Roman" w:hAnsi="Times New Roman" w:eastAsia="Times New Roman" w:cs="Times New Roman"/>
                <w:color w:val="000000"/>
                <w:sz w:val="24"/>
              </w:rPr>
              <w:t xml:space="preserve">+ Các hướng khác: Tiếp giáp các thửa đất khác.</w:t>
            </w:r>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76" w:lineRule="auto"/>
              <w:ind w:right="143" w:firstLine="0" w:left="142"/>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Vị trí trên bản đồ vệ tinh: (20.046469, 105.540724)</w:t>
            </w:r>
            <w:r/>
            <w:r>
              <w:rPr>
                <w:rFonts w:ascii="Times New Roman" w:hAnsi="Times New Roman" w:eastAsia="Times New Roman" w:cs="Times New Roman"/>
                <w:color w:val="000000"/>
                <w:sz w:val="24"/>
                <w:highlight w:val="none"/>
              </w:rPr>
            </w: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highlight w:val="none"/>
              </w:rPr>
            </w:r>
            <w:r>
              <w:rPr>
                <w:rFonts w:ascii="Times New Roman" w:hAnsi="Times New Roman" w:eastAsia="Times New Roman" w:cs="Times New Roman"/>
                <w:color w:val="000000"/>
                <w:sz w:val="24"/>
                <w:szCs w:val="24"/>
                <w:highlight w:val="none"/>
              </w:rP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76" w:lineRule="auto"/>
              <w:ind w:right="143" w:firstLine="0" w:left="0"/>
              <w:jc w:val="left"/>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423329" cy="293354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926091" name=""/>
                              <pic:cNvPicPr>
                                <a:picLocks noChangeAspect="1"/>
                              </pic:cNvPicPr>
                              <pic:nvPr/>
                            </pic:nvPicPr>
                            <pic:blipFill rotWithShape="1">
                              <a:blip r:embed="rId17"/>
                              <a:stretch/>
                            </pic:blipFill>
                            <pic:spPr bwMode="auto">
                              <a:xfrm rot="0" flipH="0" flipV="0">
                                <a:off x="0" y="0"/>
                                <a:ext cx="5423329" cy="29335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7.03pt;height:230.99pt;mso-wrap-distance-left:0.00pt;mso-wrap-distance-top:0.00pt;mso-wrap-distance-right:0.00pt;mso-wrap-distance-bottom:0.00pt;rotation:0;z-index:1;" stroked="false">
                      <v:imagedata r:id="rId17" o:title=""/>
                      <o:lock v:ext="edit" rotation="t"/>
                    </v:shape>
                  </w:pict>
                </mc:Fallback>
              </mc:AlternateContent>
            </w:r>
            <w:r/>
            <w:r>
              <w:rPr>
                <w:rFonts w:ascii="Times New Roman" w:hAnsi="Times New Roman" w:eastAsia="Times New Roman" w:cs="Times New Roman"/>
                <w:color w:val="000000"/>
                <w:sz w:val="24"/>
              </w:rPr>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8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131,0</w:t>
            </w:r>
            <w:r/>
          </w:p>
        </w:tc>
        <w:tc>
          <w:tcPr>
            <w:tcBorders>
              <w:bottom w:val="single" w:color="000000" w:sz="6" w:space="0"/>
              <w:right w:val="single" w:color="000000" w:sz="6" w:space="0"/>
            </w:tcBorders>
            <w:tcMar>
              <w:left w:w="0" w:type="dxa"/>
              <w:top w:w="0" w:type="dxa"/>
              <w:right w:w="0" w:type="dxa"/>
              <w:bottom w:w="0" w:type="dxa"/>
            </w:tcMar>
            <w:tcW w:w="1915"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6" w:space="0"/>
              <w:right w:val="single" w:color="000000" w:sz="6" w:space="0"/>
            </w:tcBorders>
            <w:tcMar>
              <w:left w:w="0" w:type="dxa"/>
              <w:top w:w="0" w:type="dxa"/>
              <w:right w:w="0" w:type="dxa"/>
              <w:bottom w:w="0" w:type="dxa"/>
            </w:tcMar>
            <w:tcW w:w="233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Mặt tiền (m):</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5,0</w:t>
            </w:r>
            <w:r/>
          </w:p>
        </w:tc>
        <w:tc>
          <w:tcPr>
            <w:tcBorders>
              <w:bottom w:val="single" w:color="000000" w:sz="6" w:space="0"/>
              <w:right w:val="single" w:color="000000" w:sz="6" w:space="0"/>
            </w:tcBorders>
            <w:tcMar>
              <w:left w:w="0" w:type="dxa"/>
              <w:top w:w="0" w:type="dxa"/>
              <w:right w:w="0" w:type="dxa"/>
              <w:bottom w:w="0" w:type="dxa"/>
            </w:tcMar>
            <w:tcW w:w="1915"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33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26,5-26,58</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Hình dáng:</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Vuông vức</w:t>
            </w:r>
            <w:r/>
          </w:p>
        </w:tc>
        <w:tc>
          <w:tcPr>
            <w:tcBorders>
              <w:bottom w:val="single" w:color="000000" w:sz="6" w:space="0"/>
              <w:right w:val="single" w:color="000000" w:sz="6" w:space="0"/>
            </w:tcBorders>
            <w:tcMar>
              <w:left w:w="0" w:type="dxa"/>
              <w:top w:w="0" w:type="dxa"/>
              <w:right w:w="0" w:type="dxa"/>
              <w:bottom w:w="0" w:type="dxa"/>
            </w:tcMar>
            <w:tcW w:w="1915"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Hướng:</w:t>
            </w:r>
            <w:r/>
          </w:p>
        </w:tc>
        <w:tc>
          <w:tcPr>
            <w:tcBorders>
              <w:bottom w:val="single" w:color="000000" w:sz="6" w:space="0"/>
              <w:right w:val="single" w:color="000000" w:sz="6" w:space="0"/>
            </w:tcBorders>
            <w:tcMar>
              <w:left w:w="0" w:type="dxa"/>
              <w:top w:w="0" w:type="dxa"/>
              <w:right w:w="0" w:type="dxa"/>
              <w:bottom w:w="0" w:type="dxa"/>
            </w:tcMar>
            <w:tcW w:w="233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Tây</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8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521"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521"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Môi trường trong lành, an ninh đảm bảo, dân trí tốt</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1915"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33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Ổn định</w:t>
            </w:r>
            <w:r/>
          </w:p>
        </w:tc>
      </w:tr>
      <w:tr>
        <w:trPr>
          <w:trHeight w:val="1303"/>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Khu vực khu dân cư cũ, dân cư tập trung đông đúc, có thể kinh doanh buôn bán</w:t>
            </w:r>
            <w:r/>
          </w:p>
        </w:tc>
        <w:tc>
          <w:tcPr>
            <w:tcBorders>
              <w:bottom w:val="single" w:color="000000" w:sz="6" w:space="0"/>
              <w:right w:val="single" w:color="000000" w:sz="6" w:space="0"/>
            </w:tcBorders>
            <w:tcMar>
              <w:left w:w="0" w:type="dxa"/>
              <w:top w:w="0" w:type="dxa"/>
              <w:right w:w="0" w:type="dxa"/>
              <w:bottom w:w="0" w:type="dxa"/>
            </w:tcMar>
            <w:tcW w:w="1915"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338" w:type="dxa"/>
            <w:vAlign w:val="center"/>
            <w:textDirection w:val="lrTb"/>
            <w:noWrap w:val="false"/>
          </w:tcPr>
          <w:p>
            <w:pPr>
              <w:pBdr/>
              <w:spacing w:after="0" w:before="0" w:line="276" w:lineRule="auto"/>
              <w:ind w:right="143" w:firstLine="0" w:left="142"/>
              <w:jc w:val="center"/>
              <w:rPr/>
            </w:pPr>
            <w:r>
              <w:rPr>
                <w:rFonts w:ascii="Times New Roman" w:hAnsi="Times New Roman" w:eastAsia="Times New Roman" w:cs="Times New Roman"/>
                <w:color w:val="000000"/>
                <w:sz w:val="24"/>
              </w:rPr>
              <w:t xml:space="preserve">Tốt </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8788" w:type="dxa"/>
            <w:vAlign w:val="center"/>
            <w:textDirection w:val="lrTb"/>
            <w:noWrap w:val="false"/>
          </w:tcPr>
          <w:p>
            <w:pPr>
              <w:pBdr/>
              <w:spacing w:after="0" w:before="0" w:line="276" w:lineRule="auto"/>
              <w:ind w:right="143" w:firstLine="0" w:left="142"/>
              <w:rPr/>
            </w:pPr>
            <w:r>
              <w:rPr>
                <w:rFonts w:ascii="Times New Roman" w:hAnsi="Times New Roman" w:eastAsia="Times New Roman" w:cs="Times New Roman"/>
                <w:b/>
                <w:color w:val="000000"/>
                <w:sz w:val="24"/>
              </w:rPr>
              <w:t xml:space="preserve">Tài sản gắn liền với đất: </w:t>
            </w:r>
            <w:r>
              <w:rPr>
                <w:rFonts w:ascii="Times New Roman" w:hAnsi="Times New Roman" w:eastAsia="Times New Roman" w:cs="Times New Roman"/>
                <w:b/>
                <w:i/>
                <w:color w:val="000000"/>
                <w:sz w:val="24"/>
              </w:rPr>
              <w:t xml:space="preserve">(Đất trống).</w:t>
            </w:r>
            <w:r/>
          </w:p>
        </w:tc>
      </w:tr>
    </w:tbl>
    <w:p>
      <w:pPr>
        <w:pBdr/>
        <w:shd w:val="nil"/>
        <w:spacing/>
        <w:ind/>
        <w:rPr>
          <w:b/>
          <w:bCs/>
        </w:rPr>
      </w:pPr>
      <w:r>
        <w:rPr>
          <w:b/>
          <w:bCs/>
          <w:highlight w:val="none"/>
          <w:shd w:val="clear" w:color="auto" w:fill="ffffff"/>
        </w:rPr>
      </w:r>
      <w:r>
        <w:rPr>
          <w:b/>
          <w:bCs/>
          <w:highlight w:val="none"/>
          <w:shd w:val="clear" w:color="auto" w:fill="ffffff"/>
        </w:rPr>
      </w:r>
    </w:p>
    <w:p>
      <w:pPr>
        <w:pBdr/>
        <w:spacing w:line="360" w:lineRule="auto"/>
        <w:ind/>
        <w:rPr>
          <w:b/>
          <w:bCs/>
          <w:highlight w:val="none"/>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r>
        <w:rPr>
          <w:b/>
          <w:bCs/>
          <w:shd w:val="clear" w:color="auto" w:fill="ffffff"/>
        </w:rPr>
      </w:r>
      <w:r>
        <w:rPr>
          <w:b/>
          <w:bCs/>
          <w:shd w:val="clear" w:color="auto" w:fill="ffffff"/>
        </w:rPr>
      </w:r>
      <w:r>
        <w:rPr>
          <w:b/>
          <w:bCs/>
          <w:shd w:val="clear" w:color="auto" w:fill="ffffff"/>
        </w:rPr>
      </w:r>
      <w:r>
        <w:rPr>
          <w:b/>
          <w:bCs/>
          <w:highlight w:val="none"/>
          <w:shd w:val="clear" w:color="auto" w:fill="ffffff"/>
        </w:rPr>
      </w:r>
    </w:p>
    <w:tbl>
      <w:tblPr>
        <w:tblStyle w:val="860"/>
        <w:jc w:val="center"/>
        <w:tblW w:w="0" w:type="auto"/>
        <w:tblBorders/>
        <w:tblLayout w:type="fixed"/>
        <w:tblLook w:val="04A0" w:firstRow="1" w:lastRow="0" w:firstColumn="1" w:lastColumn="0" w:noHBand="0" w:noVBand="1"/>
      </w:tblPr>
      <w:tblGrid>
        <w:gridCol w:w="732"/>
        <w:gridCol w:w="2098"/>
        <w:gridCol w:w="1998"/>
        <w:gridCol w:w="1998"/>
        <w:gridCol w:w="1344"/>
        <w:gridCol w:w="1344"/>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2098"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998"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998"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44"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344"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r/>
          </w:p>
        </w:tc>
        <w:tc>
          <w:tcPr>
            <w:tcBorders/>
            <w:tcW w:w="2098" w:type="dxa"/>
            <w:vAlign w:val="center"/>
            <w:textDirection w:val="lrTb"/>
            <w:noWrap w:val="false"/>
          </w:tcPr>
          <w:p>
            <w:pPr>
              <w:pBdr/>
              <w:spacing/>
              <w:ind/>
              <w:jc w:val="center"/>
              <w:rPr/>
            </w:pPr>
            <w:r>
              <w:t xml:space="preserve">Địa chỉ trên sổ</w:t>
            </w:r>
            <w:r/>
            <w:r/>
          </w:p>
        </w:tc>
        <w:tc>
          <w:tcPr>
            <w:tcBorders/>
            <w:tcW w:w="1998" w:type="dxa"/>
            <w:vAlign w:val="center"/>
            <w:textDirection w:val="lrTb"/>
            <w:noWrap w:val="false"/>
          </w:tcPr>
          <w:p>
            <w:pPr>
              <w:pBdr/>
              <w:spacing/>
              <w:ind/>
              <w:jc w:val="center"/>
              <w:rPr/>
            </w:pPr>
            <w:r>
              <w:t xml:space="preserve">Tổ dân phố Phong Mỹ, thị trấn Yên Lâm, huyện Yên Định, tỉnh Thanh Hoá</w:t>
            </w:r>
            <w:r/>
            <w:r/>
          </w:p>
        </w:tc>
        <w:tc>
          <w:tcPr>
            <w:tcBorders/>
            <w:tcW w:w="1998" w:type="dxa"/>
            <w:vAlign w:val="center"/>
            <w:textDirection w:val="lrTb"/>
            <w:noWrap w:val="false"/>
          </w:tcPr>
          <w:p>
            <w:pPr>
              <w:pBdr/>
              <w:spacing/>
              <w:ind/>
              <w:jc w:val="center"/>
              <w:rPr>
                <w:b w:val="0"/>
                <w:bCs w:val="0"/>
                <w:i w:val="0"/>
              </w:rPr>
            </w:pPr>
            <w:r>
              <w:rPr>
                <w:b w:val="0"/>
                <w:bCs w:val="0"/>
                <w:i w:val="0"/>
                <w:iCs w:val="0"/>
              </w:rPr>
            </w:r>
            <w:r>
              <w:rPr>
                <w:rFonts w:ascii="Times New Roman" w:hAnsi="Times New Roman" w:eastAsia="Times New Roman" w:cs="Times New Roman"/>
                <w:b w:val="0"/>
                <w:bCs w:val="0"/>
                <w:i w:val="0"/>
                <w:iCs w:val="0"/>
                <w:color w:val="000000"/>
                <w:sz w:val="24"/>
              </w:rPr>
              <w:t xml:space="preserve">Xã Quý Lộc, tỉnh Thanh Hoá</w:t>
            </w:r>
            <w:r>
              <w:rPr>
                <w:b w:val="0"/>
                <w:bCs w:val="0"/>
                <w:i w:val="0"/>
                <w:iCs w:val="0"/>
              </w:rPr>
              <w:t xml:space="preserve"> ✔</w:t>
            </w:r>
            <w:r>
              <w:rPr>
                <w:b w:val="0"/>
                <w:bCs w:val="0"/>
                <w:i w:val="0"/>
                <w:iCs w:val="0"/>
              </w:rPr>
            </w:r>
            <w:r>
              <w:rPr>
                <w:b w:val="0"/>
                <w:bCs w:val="0"/>
                <w:i w:val="0"/>
                <w:iCs w:val="0"/>
              </w:rPr>
            </w:r>
          </w:p>
        </w:tc>
        <w:tc>
          <w:tcPr>
            <w:tcBorders/>
            <w:tcW w:w="1344" w:type="dxa"/>
            <w:vAlign w:val="center"/>
            <w:textDirection w:val="lrTb"/>
            <w:noWrap w:val="false"/>
          </w:tcPr>
          <w:p>
            <w:pPr>
              <w:pBdr/>
              <w:spacing/>
              <w:ind/>
              <w:jc w:val="center"/>
              <w:rPr/>
            </w:pPr>
            <w:r>
              <w:t xml:space="preserve">Có</w:t>
            </w:r>
            <w:r/>
          </w:p>
        </w:tc>
        <w:tc>
          <w:tcPr>
            <w:tcBorders/>
            <w:tcW w:w="1344" w:type="dxa"/>
            <w:vAlign w:val="center"/>
            <w:textDirection w:val="lrTb"/>
            <w:noWrap w:val="false"/>
          </w:tcPr>
          <w:p>
            <w:pPr>
              <w:pBdr/>
              <w:spacing/>
              <w:ind/>
              <w:jc w:val="center"/>
              <w:rPr/>
            </w:pPr>
            <w:r>
              <w:t xml:space="preserve">Xác nhập đơn vị hành chính</w:t>
            </w:r>
            <w:r/>
            <w:r/>
          </w:p>
        </w:tc>
      </w:tr>
      <w:tr>
        <w:trPr>
          <w:jc w:val="center"/>
        </w:trPr>
        <w:tc>
          <w:tcPr>
            <w:tcBorders/>
            <w:tcW w:w="732" w:type="dxa"/>
            <w:vAlign w:val="center"/>
            <w:textDirection w:val="lrTb"/>
            <w:noWrap w:val="false"/>
          </w:tcPr>
          <w:p>
            <w:pPr>
              <w:pBdr/>
              <w:spacing/>
              <w:ind/>
              <w:jc w:val="center"/>
              <w:rPr/>
            </w:pPr>
            <w:r>
              <w:t xml:space="preserve">2</w:t>
            </w:r>
            <w:r/>
          </w:p>
        </w:tc>
        <w:tc>
          <w:tcPr>
            <w:tcBorders/>
            <w:tcW w:w="2098" w:type="dxa"/>
            <w:vAlign w:val="center"/>
            <w:textDirection w:val="lrTb"/>
            <w:noWrap w:val="false"/>
          </w:tcPr>
          <w:p>
            <w:pPr>
              <w:pBdr/>
              <w:spacing/>
              <w:ind/>
              <w:jc w:val="center"/>
              <w:rPr/>
            </w:pPr>
            <w:r>
              <w:t xml:space="preserve">Pháp lý</w:t>
            </w:r>
            <w:r/>
            <w:r/>
          </w:p>
        </w:tc>
        <w:tc>
          <w:tcPr>
            <w:tcBorders/>
            <w:tcW w:w="1998" w:type="dxa"/>
            <w:vAlign w:val="center"/>
            <w:textDirection w:val="lrTb"/>
            <w:noWrap w:val="false"/>
          </w:tcPr>
          <w:p>
            <w:pPr>
              <w:pBdr/>
              <w:spacing/>
              <w:ind/>
              <w:jc w:val="center"/>
              <w:rPr/>
            </w:pPr>
            <w:r>
              <w:t xml:space="preserve">Giấy chứng nhận quyền sử dụng đất, quyền sở hữu nhà ở và tài sản gắn liền với đất</w:t>
            </w:r>
            <w:r/>
            <w:r/>
          </w:p>
        </w:tc>
        <w:tc>
          <w:tcPr>
            <w:tcBorders/>
            <w:tcW w:w="1998"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jc w:val="center"/>
              <w:rPr/>
            </w:pPr>
            <w:r/>
            <w:r/>
            <w:r/>
          </w:p>
        </w:tc>
      </w:tr>
      <w:tr>
        <w:trPr>
          <w:jc w:val="center"/>
        </w:trPr>
        <w:tc>
          <w:tcPr>
            <w:tcBorders/>
            <w:tcW w:w="732" w:type="dxa"/>
            <w:vAlign w:val="center"/>
            <w:textDirection w:val="lrTb"/>
            <w:noWrap w:val="false"/>
          </w:tcPr>
          <w:p>
            <w:pPr>
              <w:pBdr/>
              <w:spacing/>
              <w:ind/>
              <w:jc w:val="center"/>
              <w:rPr/>
            </w:pPr>
            <w:r>
              <w:t xml:space="preserve">3</w:t>
            </w:r>
            <w:r/>
          </w:p>
        </w:tc>
        <w:tc>
          <w:tcPr>
            <w:tcBorders/>
            <w:tcW w:w="2098" w:type="dxa"/>
            <w:vAlign w:val="center"/>
            <w:textDirection w:val="lrTb"/>
            <w:noWrap w:val="false"/>
          </w:tcPr>
          <w:p>
            <w:pPr>
              <w:pBdr/>
              <w:spacing/>
              <w:ind/>
              <w:jc w:val="center"/>
              <w:rPr/>
            </w:pPr>
            <w:r>
              <w:t xml:space="preserve">Loại đất</w:t>
            </w:r>
            <w:r/>
            <w:r/>
          </w:p>
        </w:tc>
        <w:tc>
          <w:tcPr>
            <w:tcBorders/>
            <w:tcW w:w="1998" w:type="dxa"/>
            <w:vAlign w:val="center"/>
            <w:textDirection w:val="lrTb"/>
            <w:noWrap w:val="false"/>
          </w:tcPr>
          <w:p>
            <w:pPr>
              <w:pBdr/>
              <w:spacing/>
              <w:ind/>
              <w:jc w:val="center"/>
              <w:rPr/>
            </w:pPr>
            <w:r>
              <w:t xml:space="preserve">Đất ở tại đô thị</w:t>
            </w:r>
            <w:r/>
            <w:r/>
          </w:p>
        </w:tc>
        <w:tc>
          <w:tcPr>
            <w:tcBorders/>
            <w:tcW w:w="1998" w:type="dxa"/>
            <w:vAlign w:val="center"/>
            <w:textDirection w:val="lrTb"/>
            <w:noWrap w:val="false"/>
          </w:tcPr>
          <w:p>
            <w:pPr>
              <w:pBdr/>
              <w:spacing/>
              <w:ind/>
              <w:jc w:val="center"/>
              <w:rPr/>
            </w:pPr>
            <w:r>
              <w:t xml:space="preserve">Đất ở tại đô thị ✔</w:t>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jc w:val="center"/>
              <w:rPr/>
            </w:pPr>
            <w:r/>
            <w:r/>
            <w:r/>
          </w:p>
        </w:tc>
      </w:tr>
      <w:tr>
        <w:trPr>
          <w:jc w:val="center"/>
        </w:trPr>
        <w:tc>
          <w:tcPr>
            <w:tcBorders/>
            <w:tcW w:w="732" w:type="dxa"/>
            <w:vAlign w:val="center"/>
            <w:textDirection w:val="lrTb"/>
            <w:noWrap w:val="false"/>
          </w:tcPr>
          <w:p>
            <w:pPr>
              <w:pBdr/>
              <w:spacing/>
              <w:ind/>
              <w:jc w:val="center"/>
              <w:rPr/>
            </w:pPr>
            <w:r>
              <w:t xml:space="preserve">4</w:t>
            </w:r>
            <w:r/>
          </w:p>
        </w:tc>
        <w:tc>
          <w:tcPr>
            <w:tcBorders/>
            <w:tcW w:w="2098" w:type="dxa"/>
            <w:vAlign w:val="center"/>
            <w:textDirection w:val="lrTb"/>
            <w:noWrap w:val="false"/>
          </w:tcPr>
          <w:p>
            <w:pPr>
              <w:pBdr/>
              <w:spacing/>
              <w:ind/>
              <w:jc w:val="center"/>
              <w:rPr/>
            </w:pPr>
            <w:r>
              <w:t xml:space="preserve">Thời hạn sử dụng</w:t>
            </w:r>
            <w:r/>
            <w:r/>
          </w:p>
        </w:tc>
        <w:tc>
          <w:tcPr>
            <w:tcBorders/>
            <w:tcW w:w="1998" w:type="dxa"/>
            <w:vAlign w:val="center"/>
            <w:textDirection w:val="lrTb"/>
            <w:noWrap w:val="false"/>
          </w:tcPr>
          <w:p>
            <w:pPr>
              <w:pBdr/>
              <w:spacing/>
              <w:ind/>
              <w:jc w:val="center"/>
              <w:rPr/>
            </w:pPr>
            <w:r>
              <w:t xml:space="preserve">Lâu dài</w:t>
            </w:r>
            <w:r/>
            <w:r/>
          </w:p>
        </w:tc>
        <w:tc>
          <w:tcPr>
            <w:tcBorders/>
            <w:tcW w:w="1998" w:type="dxa"/>
            <w:vAlign w:val="center"/>
            <w:textDirection w:val="lrTb"/>
            <w:noWrap w:val="false"/>
          </w:tcPr>
          <w:p>
            <w:pPr>
              <w:pBdr/>
              <w:spacing/>
              <w:ind/>
              <w:jc w:val="center"/>
              <w:rPr/>
            </w:pPr>
            <w:r>
              <w:t xml:space="preserve">Lâu dài ✔</w:t>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jc w:val="center"/>
              <w:rPr/>
            </w:pPr>
            <w:r/>
            <w:r/>
            <w:r/>
          </w:p>
        </w:tc>
      </w:tr>
      <w:tr>
        <w:trPr>
          <w:jc w:val="center"/>
        </w:trPr>
        <w:tc>
          <w:tcPr>
            <w:tcBorders/>
            <w:tcW w:w="732" w:type="dxa"/>
            <w:vAlign w:val="center"/>
            <w:textDirection w:val="lrTb"/>
            <w:noWrap w:val="false"/>
          </w:tcPr>
          <w:p>
            <w:pPr>
              <w:pBdr/>
              <w:spacing/>
              <w:ind/>
              <w:jc w:val="center"/>
              <w:rPr/>
            </w:pPr>
            <w:r>
              <w:t xml:space="preserve">5</w:t>
            </w:r>
            <w:r/>
          </w:p>
        </w:tc>
        <w:tc>
          <w:tcPr>
            <w:tcBorders/>
            <w:tcW w:w="2098" w:type="dxa"/>
            <w:vAlign w:val="center"/>
            <w:textDirection w:val="lrTb"/>
            <w:noWrap w:val="false"/>
          </w:tcPr>
          <w:p>
            <w:pPr>
              <w:pBdr/>
              <w:spacing/>
              <w:ind/>
              <w:jc w:val="center"/>
              <w:rPr/>
            </w:pPr>
            <w:r>
              <w:t xml:space="preserve">Vị trí</w:t>
            </w:r>
            <w:r/>
            <w:r/>
          </w:p>
        </w:tc>
        <w:tc>
          <w:tcPr>
            <w:tcBorders/>
            <w:tcW w:w="1998" w:type="dxa"/>
            <w:vAlign w:val="center"/>
            <w:textDirection w:val="lrTb"/>
            <w:noWrap w:val="false"/>
          </w:tcPr>
          <w:p>
            <w:pPr>
              <w:pBdr/>
              <w:spacing/>
              <w:ind/>
              <w:jc w:val="center"/>
              <w:rPr/>
            </w:pPr>
            <w:r>
              <w:t xml:space="preserve">VT1</w:t>
            </w:r>
            <w:r/>
            <w:r/>
          </w:p>
        </w:tc>
        <w:tc>
          <w:tcPr>
            <w:tcBorders/>
            <w:tcW w:w="1998" w:type="dxa"/>
            <w:vAlign w:val="center"/>
            <w:textDirection w:val="lrTb"/>
            <w:noWrap w:val="false"/>
          </w:tcPr>
          <w:p>
            <w:pPr>
              <w:pBdr/>
              <w:spacing/>
              <w:ind/>
              <w:jc w:val="center"/>
              <w:rPr/>
            </w:pPr>
            <w:r>
              <w:t xml:space="preserve">VT1 ✔</w:t>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jc w:val="center"/>
              <w:rPr/>
            </w:pPr>
            <w:r/>
            <w:r/>
            <w:r/>
          </w:p>
        </w:tc>
      </w:tr>
      <w:tr>
        <w:trPr>
          <w:jc w:val="center"/>
        </w:trPr>
        <w:tc>
          <w:tcPr>
            <w:tcBorders/>
            <w:tcW w:w="732" w:type="dxa"/>
            <w:vAlign w:val="center"/>
            <w:textDirection w:val="lrTb"/>
            <w:noWrap w:val="false"/>
          </w:tcPr>
          <w:p>
            <w:pPr>
              <w:pBdr/>
              <w:spacing/>
              <w:ind/>
              <w:jc w:val="center"/>
              <w:rPr/>
            </w:pPr>
            <w:r>
              <w:t xml:space="preserve">6</w:t>
            </w:r>
            <w:r/>
          </w:p>
        </w:tc>
        <w:tc>
          <w:tcPr>
            <w:tcBorders/>
            <w:tcW w:w="2098" w:type="dxa"/>
            <w:vAlign w:val="center"/>
            <w:textDirection w:val="lrTb"/>
            <w:noWrap w:val="false"/>
          </w:tcPr>
          <w:p>
            <w:pPr>
              <w:pBdr/>
              <w:spacing/>
              <w:ind/>
              <w:jc w:val="center"/>
              <w:rPr/>
            </w:pPr>
            <w:r>
              <w:t xml:space="preserve">Diện tích</w:t>
            </w:r>
            <w:r/>
            <w:r/>
          </w:p>
        </w:tc>
        <w:tc>
          <w:tcPr>
            <w:tcBorders/>
            <w:tcW w:w="1998" w:type="dxa"/>
            <w:vAlign w:val="center"/>
            <w:textDirection w:val="lrTb"/>
            <w:noWrap w:val="false"/>
          </w:tcPr>
          <w:p>
            <w:pPr>
              <w:pBdr/>
              <w:spacing/>
              <w:ind/>
              <w:jc w:val="center"/>
              <w:rPr/>
            </w:pPr>
            <w:r>
              <w:t xml:space="preserve">131,0</w:t>
            </w:r>
            <w:r/>
          </w:p>
        </w:tc>
        <w:tc>
          <w:tcPr>
            <w:tcBorders/>
            <w:tcW w:w="1998" w:type="dxa"/>
            <w:vAlign w:val="center"/>
            <w:textDirection w:val="lrTb"/>
            <w:noWrap w:val="false"/>
          </w:tcPr>
          <w:p>
            <w:pPr>
              <w:pBdr/>
              <w:spacing/>
              <w:ind/>
              <w:jc w:val="center"/>
              <w:rPr/>
            </w:pPr>
            <w:r>
              <w:t xml:space="preserve">131 ✔</w:t>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2098" w:type="dxa"/>
            <w:vAlign w:val="center"/>
            <w:textDirection w:val="lrTb"/>
            <w:noWrap w:val="false"/>
          </w:tcPr>
          <w:p>
            <w:pPr>
              <w:pBdr/>
              <w:spacing/>
              <w:ind/>
              <w:jc w:val="center"/>
              <w:rPr/>
            </w:pPr>
            <w:r>
              <w:t xml:space="preserve">Mặt tiền</w:t>
            </w:r>
            <w:r/>
            <w:r/>
          </w:p>
        </w:tc>
        <w:tc>
          <w:tcPr>
            <w:tcBorders/>
            <w:tcW w:w="1998" w:type="dxa"/>
            <w:vAlign w:val="center"/>
            <w:textDirection w:val="lrTb"/>
            <w:noWrap w:val="false"/>
          </w:tcPr>
          <w:p>
            <w:pPr>
              <w:pBdr/>
              <w:spacing/>
              <w:ind/>
              <w:jc w:val="center"/>
              <w:rPr/>
            </w:pPr>
            <w:r>
              <w:t xml:space="preserve">5,0</w:t>
            </w:r>
            <w:r/>
            <w:r/>
          </w:p>
        </w:tc>
        <w:tc>
          <w:tcPr>
            <w:tcBorders/>
            <w:tcW w:w="1998" w:type="dxa"/>
            <w:vAlign w:val="center"/>
            <w:textDirection w:val="lrTb"/>
            <w:noWrap w:val="false"/>
          </w:tcPr>
          <w:p>
            <w:pPr>
              <w:pBdr/>
              <w:spacing/>
              <w:ind/>
              <w:jc w:val="center"/>
              <w:rPr/>
            </w:pPr>
            <w:r>
              <w:t xml:space="preserve">5,0 ✔</w:t>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2098" w:type="dxa"/>
            <w:vAlign w:val="center"/>
            <w:textDirection w:val="lrTb"/>
            <w:noWrap w:val="false"/>
          </w:tcPr>
          <w:p>
            <w:pPr>
              <w:pBdr/>
              <w:spacing/>
              <w:ind/>
              <w:jc w:val="center"/>
              <w:rPr/>
            </w:pPr>
            <w:r>
              <w:t xml:space="preserve">Chiều sâu</w:t>
            </w:r>
            <w:r/>
            <w:r/>
          </w:p>
        </w:tc>
        <w:tc>
          <w:tcPr>
            <w:tcBorders/>
            <w:tcW w:w="199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26,5-26,58</w:t>
            </w:r>
            <w:r/>
            <w:r/>
            <w:r/>
            <w:r/>
            <w:r/>
          </w:p>
        </w:tc>
        <w:tc>
          <w:tcPr>
            <w:tcBorders/>
            <w:tcW w:w="199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26,5-26,58</w:t>
            </w:r>
            <w:r/>
            <w:r/>
            <w:r>
              <w:t xml:space="preserve"> ✔</w:t>
            </w:r>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rPr/>
            </w:pPr>
            <w:r/>
            <w:r/>
          </w:p>
        </w:tc>
      </w:tr>
      <w:tr>
        <w:trPr>
          <w:jc w:val="center"/>
        </w:trPr>
        <w:tc>
          <w:tcPr>
            <w:tcBorders/>
            <w:tcW w:w="732" w:type="dxa"/>
            <w:vAlign w:val="center"/>
            <w:textDirection w:val="lrTb"/>
            <w:noWrap w:val="false"/>
          </w:tcPr>
          <w:p>
            <w:pPr>
              <w:pBdr/>
              <w:spacing/>
              <w:ind/>
              <w:jc w:val="center"/>
              <w:rPr/>
            </w:pPr>
            <w:r>
              <w:t xml:space="preserve">9</w:t>
            </w:r>
            <w:r/>
          </w:p>
        </w:tc>
        <w:tc>
          <w:tcPr>
            <w:tcBorders/>
            <w:tcW w:w="2098" w:type="dxa"/>
            <w:vAlign w:val="center"/>
            <w:textDirection w:val="lrTb"/>
            <w:noWrap w:val="false"/>
          </w:tcPr>
          <w:p>
            <w:pPr>
              <w:pBdr/>
              <w:spacing/>
              <w:ind/>
              <w:jc w:val="center"/>
              <w:rPr/>
            </w:pPr>
            <w:r>
              <w:t xml:space="preserve">Mặt tiếp giáp</w:t>
            </w:r>
            <w:r/>
            <w:r/>
          </w:p>
        </w:tc>
        <w:tc>
          <w:tcPr>
            <w:tcBorders/>
            <w:tcW w:w="1998" w:type="dxa"/>
            <w:vAlign w:val="center"/>
            <w:textDirection w:val="lrTb"/>
            <w:noWrap w:val="false"/>
          </w:tcPr>
          <w:p>
            <w:pPr>
              <w:pBdr/>
              <w:spacing/>
              <w:ind/>
              <w:jc w:val="center"/>
              <w:rPr/>
            </w:pPr>
            <w:r>
              <w:t xml:space="preserve">01 mặt tiền</w:t>
            </w:r>
            <w:r/>
          </w:p>
        </w:tc>
        <w:tc>
          <w:tcPr>
            <w:tcBorders/>
            <w:tcW w:w="1998" w:type="dxa"/>
            <w:vAlign w:val="center"/>
            <w:textDirection w:val="lrTb"/>
            <w:noWrap w:val="false"/>
          </w:tcPr>
          <w:p>
            <w:pPr>
              <w:pBdr/>
              <w:spacing/>
              <w:ind/>
              <w:jc w:val="center"/>
              <w:rPr/>
            </w:pPr>
            <w:r>
              <w:t xml:space="preserve">01 mặt tiền</w:t>
            </w:r>
            <w:r/>
            <w:r/>
            <w:r>
              <w:t xml:space="preserve"> ✔</w:t>
            </w:r>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rPr/>
            </w:pPr>
            <w:r/>
            <w:r/>
          </w:p>
        </w:tc>
      </w:tr>
      <w:tr>
        <w:trPr>
          <w:jc w:val="center"/>
        </w:trPr>
        <w:tc>
          <w:tcPr>
            <w:tcBorders/>
            <w:tcW w:w="732" w:type="dxa"/>
            <w:vAlign w:val="center"/>
            <w:textDirection w:val="lrTb"/>
            <w:noWrap w:val="false"/>
          </w:tcPr>
          <w:p>
            <w:pPr>
              <w:pBdr/>
              <w:spacing/>
              <w:ind/>
              <w:jc w:val="center"/>
              <w:rPr/>
            </w:pPr>
            <w:r>
              <w:t xml:space="preserve">10</w:t>
            </w:r>
            <w:r/>
          </w:p>
        </w:tc>
        <w:tc>
          <w:tcPr>
            <w:tcBorders/>
            <w:tcW w:w="2098" w:type="dxa"/>
            <w:vAlign w:val="center"/>
            <w:textDirection w:val="lrTb"/>
            <w:noWrap w:val="false"/>
          </w:tcPr>
          <w:p>
            <w:pPr>
              <w:pBdr/>
              <w:spacing/>
              <w:ind/>
              <w:jc w:val="center"/>
              <w:rPr/>
            </w:pPr>
            <w:r>
              <w:t xml:space="preserve">Hình dạng thửa đất</w:t>
            </w:r>
            <w:r/>
            <w:r/>
          </w:p>
        </w:tc>
        <w:tc>
          <w:tcPr>
            <w:tcBorders/>
            <w:tcW w:w="1998" w:type="dxa"/>
            <w:vAlign w:val="center"/>
            <w:textDirection w:val="lrTb"/>
            <w:noWrap w:val="false"/>
          </w:tcPr>
          <w:p>
            <w:pPr>
              <w:pBdr/>
              <w:spacing/>
              <w:ind/>
              <w:jc w:val="center"/>
              <w:rPr/>
            </w:pPr>
            <w:r>
              <w:t xml:space="preserve">Vuông vức</w:t>
            </w:r>
            <w:r/>
          </w:p>
        </w:tc>
        <w:tc>
          <w:tcPr>
            <w:tcBorders/>
            <w:tcW w:w="1998" w:type="dxa"/>
            <w:vAlign w:val="center"/>
            <w:textDirection w:val="lrTb"/>
            <w:noWrap w:val="false"/>
          </w:tcPr>
          <w:p>
            <w:pPr>
              <w:pBdr/>
              <w:spacing/>
              <w:ind/>
              <w:jc w:val="center"/>
              <w:rPr/>
            </w:pPr>
            <w:r>
              <w:t xml:space="preserve">Vuông vức</w:t>
            </w:r>
            <w:r/>
            <w:r/>
            <w:r>
              <w:t xml:space="preserve"> ✔</w:t>
            </w:r>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jc w:val="center"/>
              <w:rPr/>
            </w:pPr>
            <w:r/>
            <w:r/>
            <w:r/>
          </w:p>
        </w:tc>
      </w:tr>
      <w:tr>
        <w:trPr>
          <w:jc w:val="center"/>
        </w:trPr>
        <w:tc>
          <w:tcPr>
            <w:tcBorders/>
            <w:tcW w:w="732" w:type="dxa"/>
            <w:vAlign w:val="center"/>
            <w:textDirection w:val="lrTb"/>
            <w:noWrap w:val="false"/>
          </w:tcPr>
          <w:p>
            <w:pPr>
              <w:pBdr/>
              <w:spacing/>
              <w:ind/>
              <w:jc w:val="center"/>
              <w:rPr/>
            </w:pPr>
            <w:r>
              <w:t xml:space="preserve">11</w:t>
            </w:r>
            <w:r/>
            <w:r/>
          </w:p>
        </w:tc>
        <w:tc>
          <w:tcPr>
            <w:tcBorders/>
            <w:tcW w:w="2098" w:type="dxa"/>
            <w:vAlign w:val="center"/>
            <w:textDirection w:val="lrTb"/>
            <w:noWrap w:val="false"/>
          </w:tcPr>
          <w:p>
            <w:pPr>
              <w:pBdr/>
              <w:spacing/>
              <w:ind/>
              <w:jc w:val="center"/>
              <w:rPr/>
            </w:pPr>
            <w:r>
              <w:t xml:space="preserve">Hướng</w:t>
            </w:r>
            <w:r/>
            <w:r/>
          </w:p>
        </w:tc>
        <w:tc>
          <w:tcPr>
            <w:tcBorders/>
            <w:tcW w:w="1998" w:type="dxa"/>
            <w:vAlign w:val="center"/>
            <w:textDirection w:val="lrTb"/>
            <w:noWrap w:val="false"/>
          </w:tcPr>
          <w:p>
            <w:pPr>
              <w:pBdr/>
              <w:spacing/>
              <w:ind/>
              <w:jc w:val="center"/>
              <w:rPr/>
            </w:pPr>
            <w:r>
              <w:t xml:space="preserve">Tây</w:t>
            </w:r>
            <w:r/>
            <w:r/>
          </w:p>
        </w:tc>
        <w:tc>
          <w:tcPr>
            <w:tcBorders/>
            <w:tcW w:w="1998" w:type="dxa"/>
            <w:vAlign w:val="center"/>
            <w:textDirection w:val="lrTb"/>
            <w:noWrap w:val="false"/>
          </w:tcPr>
          <w:p>
            <w:pPr>
              <w:pBdr/>
              <w:spacing/>
              <w:ind/>
              <w:jc w:val="center"/>
              <w:rPr/>
            </w:pPr>
            <w:r>
              <w:t xml:space="preserve">Tây ✔</w:t>
            </w:r>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r/>
          </w:p>
        </w:tc>
      </w:tr>
    </w:tbl>
    <w:p>
      <w:pPr>
        <w:pBdr/>
        <w:spacing w:line="235" w:lineRule="auto"/>
        <w:ind w:left="646"/>
        <w:jc w:val="both"/>
        <w:rPr>
          <w:b/>
          <w:bCs/>
          <w:u w:val="none"/>
        </w:rPr>
      </w:pPr>
      <w:r>
        <w:rPr>
          <w:b/>
          <w:bCs/>
          <w:u w:val="none"/>
        </w:rPr>
      </w:r>
      <w:r>
        <w:rPr>
          <w:b/>
          <w:bCs/>
          <w:u w:val="none"/>
        </w:rPr>
      </w:r>
      <w:r>
        <w:rPr>
          <w:b/>
          <w:bCs/>
          <w:u w:val="none"/>
        </w:rPr>
      </w:r>
    </w:p>
    <w:p>
      <w:pPr>
        <w:pStyle w:val="856"/>
        <w:numPr>
          <w:ilvl w:val="0"/>
          <w:numId w:val="39"/>
        </w:numPr>
        <w:pBdr/>
        <w:spacing w:line="276" w:lineRule="auto"/>
        <w:ind w:right="0" w:hanging="567" w:left="567"/>
        <w:jc w:val="both"/>
        <w:rPr>
          <w:b/>
          <w:bCs/>
          <w:u w:val="none"/>
          <w14:ligatures w14:val="none"/>
        </w:rPr>
      </w:pPr>
      <w:r>
        <w:rPr>
          <w:b/>
          <w:bCs/>
          <w:highlight w:val="none"/>
          <w:u w:val="none"/>
        </w:rPr>
        <w:t xml:space="preserve">Tài sản 02:</w:t>
      </w:r>
      <w:r>
        <w:rPr>
          <w:b/>
          <w:bCs/>
          <w:u w:val="none"/>
        </w:rPr>
        <w:t xml:space="preserve"> GCN số DL 914995</w:t>
      </w:r>
      <w:r>
        <w:rPr>
          <w:b/>
          <w:bCs/>
          <w:u w:val="none"/>
        </w:rPr>
        <w:t xml:space="preserve">:</w:t>
      </w:r>
      <w:r>
        <w:rPr>
          <w:b/>
          <w:bCs/>
          <w:u w:val="none"/>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268"/>
        <w:gridCol w:w="2268"/>
        <w:gridCol w:w="1916"/>
        <w:gridCol w:w="2337"/>
      </w:tblGrid>
      <w:tr>
        <w:trPr>
          <w:trHeight w:val="157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ind w:right="70" w:firstLine="0" w:left="142"/>
              <w:jc w:val="both"/>
              <w:rPr/>
            </w:pPr>
            <w:r>
              <w:rPr>
                <w:rFonts w:ascii="Times New Roman" w:hAnsi="Times New Roman" w:eastAsia="Times New Roman" w:cs="Times New Roman"/>
                <w:b/>
                <w:color w:val="000000"/>
                <w:sz w:val="24"/>
              </w:rPr>
              <w:t xml:space="preserve">Quyền sử dụng đất tại thửa đất số: 365, tờ bản đồ số 53, đo vẽ năm 2012 có địa chỉ: Tổ dân phố Phong Mỹ, thị trấn Yên Lâm, huyện Yên Định, tỉnh Thanh Hoá (</w:t>
            </w:r>
            <w:r>
              <w:rPr>
                <w:rFonts w:ascii="Times New Roman" w:hAnsi="Times New Roman" w:eastAsia="Times New Roman" w:cs="Times New Roman"/>
                <w:b/>
                <w:i/>
                <w:iCs/>
                <w:color w:val="000000"/>
                <w:sz w:val="24"/>
              </w:rPr>
              <w:t xml:space="preserve">Nay là xã Quý Lộc, tỉnh Thanh Hoá)</w:t>
            </w:r>
            <w:r>
              <w:rPr>
                <w:rFonts w:ascii="Times New Roman" w:hAnsi="Times New Roman" w:eastAsia="Times New Roman" w:cs="Times New Roman"/>
                <w:b/>
                <w:color w:val="000000"/>
                <w:sz w:val="24"/>
              </w:rPr>
              <w:t xml:space="preserve"> theo Giấy chứng nhận quyền sử dụng đất quyền sở hữu nhà ở </w:t>
            </w:r>
            <w:r>
              <w:rPr>
                <w:rFonts w:ascii="Times New Roman" w:hAnsi="Times New Roman" w:eastAsia="Times New Roman" w:cs="Times New Roman"/>
                <w:b/>
                <w:color w:val="000000"/>
                <w:sz w:val="24"/>
              </w:rPr>
              <w:t xml:space="preserve">và tài sản khác gắn liền với đất số: DL 914995, số vào sổ cấp GCN: CN 00759 do Chi nhánh Văn phòng đăng ký đất đai huyện Yên Định cấp ngày 29/8/2023; Chủ sử dụng đất là Ông Lê Doãn Phúc.</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ind w:right="70"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Thửa đất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365</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16"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Tờ bản đồ số:</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7"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53, đo vẽ năm 2012</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1" w:type="dxa"/>
            <w:vAlign w:val="center"/>
            <w:textDirection w:val="lrTb"/>
            <w:noWrap w:val="false"/>
          </w:tcPr>
          <w:p>
            <w:pPr>
              <w:pBdr/>
              <w:spacing w:after="0" w:before="0" w:line="240"/>
              <w:ind w:right="70" w:firstLine="0" w:left="142"/>
              <w:jc w:val="both"/>
              <w:rPr/>
            </w:pPr>
            <w:r>
              <w:rPr>
                <w:rFonts w:ascii="Times New Roman" w:hAnsi="Times New Roman" w:eastAsia="Times New Roman" w:cs="Times New Roman"/>
                <w:color w:val="000000"/>
                <w:sz w:val="24"/>
              </w:rPr>
              <w:t xml:space="preserve">Tổ dân phố Phong Mỹ, thị trấn Yên Lâm, huyện Yên Định, tỉnh Thanh Hoá (</w:t>
            </w:r>
            <w:r>
              <w:rPr>
                <w:rFonts w:ascii="Times New Roman" w:hAnsi="Times New Roman" w:eastAsia="Times New Roman" w:cs="Times New Roman"/>
                <w:i/>
                <w:iCs/>
                <w:color w:val="000000"/>
                <w:sz w:val="24"/>
              </w:rPr>
              <w:t xml:space="preserve">Nay là xã Quý Lộc, tỉnh Thanh Hoá</w:t>
            </w:r>
            <w:r>
              <w:rPr>
                <w:rFonts w:ascii="Times New Roman" w:hAnsi="Times New Roman" w:eastAsia="Times New Roman" w:cs="Times New Roman"/>
                <w:color w:val="000000"/>
                <w:sz w:val="24"/>
              </w:rPr>
              <w:t xml:space="preserve">).</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Diện tích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148,3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16"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Hình thức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7"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Sử dụng riêng</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16"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Thời hạn sử dụng: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7"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Lâu dài</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1" w:type="dxa"/>
            <w:vAlign w:val="center"/>
            <w:textDirection w:val="lrTb"/>
            <w:noWrap w:val="false"/>
          </w:tcPr>
          <w:p>
            <w:pPr>
              <w:pBdr/>
              <w:spacing w:after="0" w:before="0" w:line="240"/>
              <w:ind w:right="70" w:firstLine="0" w:left="142"/>
              <w:jc w:val="both"/>
              <w:rPr/>
            </w:pPr>
            <w:r>
              <w:rPr>
                <w:rFonts w:ascii="Times New Roman" w:hAnsi="Times New Roman" w:eastAsia="Times New Roman" w:cs="Times New Roman"/>
                <w:color w:val="000000"/>
                <w:sz w:val="24"/>
              </w:rPr>
              <w:t xml:space="preserve">Nhận tặng cho đất được Công nhận quyền sử dụng đất như giao đất có thu tiền sử dụng đất</w:t>
            </w:r>
            <w:r/>
          </w:p>
        </w:tc>
      </w:tr>
      <w:tr>
        <w:trPr>
          <w:trHeight w:val="70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Ghi chú:</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1" w:type="dxa"/>
            <w:vAlign w:val="center"/>
            <w:textDirection w:val="lrTb"/>
            <w:noWrap w:val="false"/>
          </w:tcPr>
          <w:p>
            <w:pPr>
              <w:pBdr/>
              <w:spacing w:after="0" w:before="0" w:line="240"/>
              <w:ind w:right="70" w:firstLine="0" w:left="142"/>
              <w:jc w:val="both"/>
              <w:rPr>
                <w:bCs/>
                <w:i/>
              </w:rPr>
            </w:pPr>
            <w:r>
              <w:rPr>
                <w:rFonts w:ascii="Times New Roman" w:hAnsi="Times New Roman" w:eastAsia="Times New Roman" w:cs="Times New Roman"/>
                <w:i/>
                <w:iCs/>
                <w:color w:val="000000"/>
                <w:sz w:val="24"/>
              </w:rPr>
              <w:t xml:space="preserve">Giấy chứng nhận này thay thế Giấy chứng nhận số AB 737771 do UBND huyện Yên Định cấp ngày 01/2/2010.</w:t>
            </w:r>
            <w:r>
              <w:rPr>
                <w:i/>
                <w:iCs/>
              </w:rP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Thông tin quy hoạch: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1" w:type="dxa"/>
            <w:vAlign w:val="center"/>
            <w:textDirection w:val="lrTb"/>
            <w:noWrap w:val="false"/>
          </w:tcPr>
          <w:p>
            <w:pPr>
              <w:pBdr/>
              <w:spacing w:after="0" w:before="0" w:line="240"/>
              <w:ind w:right="70" w:firstLine="0" w:left="142"/>
              <w:jc w:val="both"/>
              <w:rPr/>
            </w:pPr>
            <w:r>
              <w:rPr>
                <w:rFonts w:ascii="Times New Roman" w:hAnsi="Times New Roman" w:eastAsia="Times New Roman" w:cs="Times New Roman"/>
                <w:color w:val="000000"/>
                <w:sz w:val="24"/>
              </w:rPr>
              <w:t xml:space="preserve">Căn cứ theo Mục III. Sơ đồ thửa đất, thửa đất có khoảng 30m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nằm trong chỉ giới quy hoạch giao thông.</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ind w:right="70" w:firstLine="0" w:left="142"/>
              <w:rPr/>
            </w:pPr>
            <w:r>
              <w:rPr>
                <w:rFonts w:ascii="Times New Roman" w:hAnsi="Times New Roman" w:eastAsia="Times New Roman" w:cs="Times New Roman"/>
                <w:b/>
                <w:color w:val="000000"/>
                <w:sz w:val="24"/>
              </w:rPr>
              <w:t xml:space="preserve">Về đất:</w:t>
            </w:r>
            <w:r/>
          </w:p>
        </w:tc>
      </w:tr>
      <w:tr>
        <w:trPr>
          <w:trHeight w:val="300"/>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2.1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ind w:right="70" w:firstLine="0" w:left="142"/>
              <w:rPr/>
            </w:pPr>
            <w:r>
              <w:rPr>
                <w:rFonts w:ascii="Times New Roman" w:hAnsi="Times New Roman" w:eastAsia="Times New Roman" w:cs="Times New Roman"/>
                <w:b/>
                <w:color w:val="000000"/>
                <w:sz w:val="24"/>
              </w:rPr>
              <w:t xml:space="preserve">Vị trí; Giao thông:</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Đường nhựa</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16"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7"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02 mặt tiền (lô góc)</w:t>
            </w:r>
            <w:r/>
          </w:p>
        </w:tc>
      </w:tr>
      <w:tr>
        <w:trPr>
          <w:trHeight w:val="124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Khoảng 7m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16" w:type="dxa"/>
            <w:vAlign w:val="center"/>
            <w:textDirection w:val="lrTb"/>
            <w:noWrap w:val="false"/>
          </w:tcPr>
          <w:p>
            <w:pPr>
              <w:pBdr/>
              <w:spacing w:after="0" w:before="0" w:line="240"/>
              <w:ind w:right="70" w:firstLine="0" w:left="142"/>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7"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Khoảng 7m</w:t>
            </w:r>
            <w:r/>
          </w:p>
        </w:tc>
      </w:tr>
      <w:tr>
        <w:trPr>
          <w:trHeight w:val="936"/>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1" w:type="dxa"/>
            <w:vAlign w:val="center"/>
            <w:textDirection w:val="lrTb"/>
            <w:noWrap w:val="false"/>
          </w:tcPr>
          <w:p>
            <w:pPr>
              <w:pBdr/>
              <w:spacing w:after="0" w:before="0" w:line="240"/>
              <w:ind w:right="70" w:firstLine="0" w:left="142"/>
              <w:jc w:val="both"/>
              <w:rPr/>
            </w:pPr>
            <w:r>
              <w:rPr>
                <w:rFonts w:ascii="Times New Roman" w:hAnsi="Times New Roman" w:eastAsia="Times New Roman" w:cs="Times New Roman"/>
                <w:color w:val="000000"/>
                <w:sz w:val="24"/>
              </w:rPr>
              <w:t xml:space="preserve">Tài sản nằm tại Tỉnh lộ 518, xã Quý Lộc, tỉnh Thanh Hoá; cách Ngã tư Bưu Điện Yên Lâm khoảng 2,4km, cách Tiểu học Yên Lâm khu B khoảng 600m.</w:t>
            </w:r>
            <w:r/>
          </w:p>
        </w:tc>
      </w:tr>
      <w:tr>
        <w:trPr>
          <w:trHeight w:val="1008"/>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Các hướng tiếp giáp:</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1" w:type="dxa"/>
            <w:vAlign w:val="center"/>
            <w:textDirection w:val="lrTb"/>
            <w:noWrap w:val="false"/>
          </w:tcPr>
          <w:p>
            <w:pPr>
              <w:pBdr/>
              <w:spacing w:after="0" w:before="0" w:line="240"/>
              <w:ind w:right="70" w:firstLine="0" w:left="142"/>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Tây: Tiếp giáp đường Tỉnh lộ 518;</w:t>
            </w:r>
            <w:r/>
          </w:p>
          <w:p>
            <w:pPr>
              <w:pBdr/>
              <w:spacing w:after="0" w:before="0" w:line="240"/>
              <w:ind w:right="70" w:firstLine="0" w:left="142"/>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Nam: Tiếp giáp đường bê tông khoảng 3m;</w:t>
            </w:r>
            <w:r/>
          </w:p>
          <w:p>
            <w:pPr>
              <w:pBdr/>
              <w:spacing w:after="0" w:before="0" w:line="240"/>
              <w:ind w:right="70" w:firstLine="0" w:left="142"/>
              <w:jc w:val="both"/>
              <w:rPr/>
            </w:pPr>
            <w:r>
              <w:rPr>
                <w:rFonts w:ascii="Times New Roman" w:hAnsi="Times New Roman" w:eastAsia="Times New Roman" w:cs="Times New Roman"/>
                <w:color w:val="000000"/>
                <w:sz w:val="24"/>
              </w:rPr>
              <w:t xml:space="preserve">+ Các hướng khác: Tiếp giáp các thửa đất khác.</w:t>
            </w:r>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Vị trí trên bản đồ vệ tinh: (20.046450, 105.540722)</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 </w:t>
            </w:r>
            <w:r/>
            <w:r>
              <mc:AlternateContent>
                <mc:Choice Requires="wpg">
                  <w:drawing>
                    <wp:inline xmlns:wp="http://schemas.openxmlformats.org/drawingml/2006/wordprocessingDrawing" distT="0" distB="0" distL="0" distR="0">
                      <wp:extent cx="5318964" cy="286203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734186" name=""/>
                              <pic:cNvPicPr>
                                <a:picLocks noChangeAspect="1"/>
                              </pic:cNvPicPr>
                              <pic:nvPr/>
                            </pic:nvPicPr>
                            <pic:blipFill rotWithShape="1">
                              <a:blip r:embed="rId18"/>
                              <a:stretch/>
                            </pic:blipFill>
                            <pic:spPr bwMode="auto">
                              <a:xfrm flipH="0" flipV="0">
                                <a:off x="0" y="0"/>
                                <a:ext cx="5318964" cy="28620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8.82pt;height:225.36pt;mso-wrap-distance-left:0.00pt;mso-wrap-distance-top:0.00pt;mso-wrap-distance-right:0.00pt;mso-wrap-distance-bottom:0.00pt;z-index:1;" stroked="false">
                      <v:imagedata r:id="rId18" o:title=""/>
                      <o:lock v:ext="edit" rotation="t"/>
                    </v:shape>
                  </w:pict>
                </mc:Fallback>
              </mc:AlternateContent>
            </w:r>
            <w:r/>
            <w:r>
              <w:rPr>
                <w:rFonts w:ascii="Times New Roman" w:hAnsi="Times New Roman" w:eastAsia="Times New Roman" w:cs="Times New Roman"/>
                <w:color w:val="000000"/>
                <w:sz w:val="24"/>
              </w:rPr>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2.2.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ind w:right="70" w:firstLine="0" w:left="142"/>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Diện tích sử dụng riêng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148,3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16"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Diện tích sử dụng chung thực tế (m²):</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7"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0</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Mặt tiền (m):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5,0</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16"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Chiều sâu (m): </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7"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30,0</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Hình dáng: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Vuông vức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16"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Hướng: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7"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Tây</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2.3.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ind w:right="70"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Hạ tầng nội bộ:</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1"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Hạ tầng xung quanh: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1"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Môi trường trong lành, an ninh đảm bảo, dân trí tốt</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Mật độ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Đông đúc</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16"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Đời sống dân cư:</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7"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Ổn định</w:t>
            </w:r>
            <w:r/>
          </w:p>
        </w:tc>
      </w:tr>
      <w:tr>
        <w:trPr>
          <w:trHeight w:val="577"/>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Lợi thế kinh doanh: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68"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Khu vực khu dân cư cũ, dân cư tập trung đông đúc, có thể kinh doanh buôn bán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16" w:type="dxa"/>
            <w:vAlign w:val="center"/>
            <w:textDirection w:val="lrTb"/>
            <w:noWrap w:val="false"/>
          </w:tcPr>
          <w:p>
            <w:pPr>
              <w:pBdr/>
              <w:spacing w:after="0" w:before="0" w:line="240"/>
              <w:ind w:right="70" w:firstLine="0" w:left="142"/>
              <w:rPr/>
            </w:pPr>
            <w:r>
              <w:rPr>
                <w:rFonts w:ascii="Times New Roman" w:hAnsi="Times New Roman" w:eastAsia="Times New Roman" w:cs="Times New Roman"/>
                <w:color w:val="000000"/>
                <w:sz w:val="24"/>
              </w:rPr>
              <w:t xml:space="preserve">Khả năng chuyển nhượng: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337" w:type="dxa"/>
            <w:vAlign w:val="center"/>
            <w:textDirection w:val="lrTb"/>
            <w:noWrap w:val="false"/>
          </w:tcPr>
          <w:p>
            <w:pPr>
              <w:pBdr/>
              <w:spacing w:after="0" w:before="0" w:line="240"/>
              <w:ind w:right="70" w:firstLine="0" w:left="142"/>
              <w:jc w:val="center"/>
              <w:rPr/>
            </w:pPr>
            <w:r>
              <w:rPr>
                <w:rFonts w:ascii="Times New Roman" w:hAnsi="Times New Roman" w:eastAsia="Times New Roman" w:cs="Times New Roman"/>
                <w:color w:val="000000"/>
                <w:sz w:val="24"/>
              </w:rPr>
              <w:t xml:space="preserve">Tốt </w:t>
            </w: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3.</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ind/>
              <w:rPr/>
            </w:pPr>
            <w:r>
              <w:rPr>
                <w:rFonts w:ascii="Times New Roman" w:hAnsi="Times New Roman" w:eastAsia="Times New Roman" w:cs="Times New Roman"/>
                <w:b/>
                <w:color w:val="000000"/>
                <w:sz w:val="24"/>
              </w:rPr>
              <w:t xml:space="preserve">Tài sản gắn liền với đất: </w:t>
            </w:r>
            <w:r>
              <w:rPr>
                <w:rFonts w:ascii="Times New Roman" w:hAnsi="Times New Roman" w:eastAsia="Times New Roman" w:cs="Times New Roman"/>
                <w:b/>
                <w:i/>
                <w:color w:val="000000"/>
                <w:sz w:val="24"/>
              </w:rPr>
              <w:t xml:space="preserve">(Đất trống).</w:t>
            </w:r>
            <w:r/>
          </w:p>
        </w:tc>
      </w:tr>
    </w:tbl>
    <w:p>
      <w:pPr>
        <w:pBdr/>
        <w:spacing w:line="235" w:lineRule="auto"/>
        <w:ind w:left="646"/>
        <w:jc w:val="both"/>
        <w:rPr>
          <w:u w:val="single"/>
        </w:rPr>
      </w:pPr>
      <w:r>
        <w:rPr>
          <w:u w:val="single"/>
        </w:rPr>
      </w:r>
      <w:r>
        <w:rPr>
          <w:u w:val="single"/>
        </w:rPr>
      </w:r>
    </w:p>
    <w:p>
      <w:pPr>
        <w:pBdr/>
        <w:spacing w:line="360" w:lineRule="auto"/>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tbl>
      <w:tblPr>
        <w:tblStyle w:val="860"/>
        <w:jc w:val="center"/>
        <w:tblW w:w="0" w:type="auto"/>
        <w:tblBorders/>
        <w:tblLayout w:type="fixed"/>
        <w:tblLook w:val="04A0" w:firstRow="1" w:lastRow="0" w:firstColumn="1" w:lastColumn="0" w:noHBand="0" w:noVBand="1"/>
      </w:tblPr>
      <w:tblGrid>
        <w:gridCol w:w="732"/>
        <w:gridCol w:w="2098"/>
        <w:gridCol w:w="1998"/>
        <w:gridCol w:w="1998"/>
        <w:gridCol w:w="1344"/>
        <w:gridCol w:w="1344"/>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2098"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998"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998"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44"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344"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r/>
          </w:p>
        </w:tc>
        <w:tc>
          <w:tcPr>
            <w:tcBorders/>
            <w:tcW w:w="2098" w:type="dxa"/>
            <w:vAlign w:val="center"/>
            <w:textDirection w:val="lrTb"/>
            <w:noWrap w:val="false"/>
          </w:tcPr>
          <w:p>
            <w:pPr>
              <w:pBdr/>
              <w:spacing/>
              <w:ind/>
              <w:jc w:val="center"/>
              <w:rPr/>
            </w:pPr>
            <w:r>
              <w:t xml:space="preserve">Địa chỉ trên sổ</w:t>
            </w:r>
            <w:r/>
            <w:r/>
          </w:p>
        </w:tc>
        <w:tc>
          <w:tcPr>
            <w:tcBorders/>
            <w:tcW w:w="1998" w:type="dxa"/>
            <w:vAlign w:val="center"/>
            <w:textDirection w:val="lrTb"/>
            <w:noWrap w:val="false"/>
          </w:tcPr>
          <w:p>
            <w:pPr>
              <w:pBdr/>
              <w:spacing/>
              <w:ind/>
              <w:jc w:val="center"/>
              <w:rPr/>
            </w:pPr>
            <w:r>
              <w:t xml:space="preserve">Tổ dân phố Phong Mỹ, thị trấn Yên Lâm, huyện Yên Định, tỉnh Thanh Hoá</w:t>
            </w:r>
            <w:r/>
            <w:r/>
          </w:p>
        </w:tc>
        <w:tc>
          <w:tcPr>
            <w:tcBorders/>
            <w:tcW w:w="1998" w:type="dxa"/>
            <w:vAlign w:val="center"/>
            <w:textDirection w:val="lrTb"/>
            <w:noWrap w:val="false"/>
          </w:tcPr>
          <w:p>
            <w:pPr>
              <w:pBdr/>
              <w:spacing/>
              <w:ind/>
              <w:jc w:val="center"/>
              <w:rPr>
                <w:b w:val="0"/>
                <w:bCs w:val="0"/>
                <w:i w:val="0"/>
              </w:rPr>
            </w:pPr>
            <w:r>
              <w:rPr>
                <w:b w:val="0"/>
                <w:bCs w:val="0"/>
                <w:i w:val="0"/>
                <w:iCs w:val="0"/>
              </w:rPr>
            </w:r>
            <w:r>
              <w:rPr>
                <w:rFonts w:ascii="Times New Roman" w:hAnsi="Times New Roman" w:eastAsia="Times New Roman" w:cs="Times New Roman"/>
                <w:b w:val="0"/>
                <w:bCs w:val="0"/>
                <w:i w:val="0"/>
                <w:iCs w:val="0"/>
                <w:color w:val="000000"/>
                <w:sz w:val="24"/>
              </w:rPr>
              <w:t xml:space="preserve">Xã Quý Lộc, tỉnh Thanh Hoá</w:t>
            </w:r>
            <w:r>
              <w:rPr>
                <w:b w:val="0"/>
                <w:bCs w:val="0"/>
                <w:i w:val="0"/>
                <w:iCs w:val="0"/>
              </w:rPr>
              <w:t xml:space="preserve"> ✔</w:t>
            </w:r>
            <w:r>
              <w:rPr>
                <w:b w:val="0"/>
                <w:bCs w:val="0"/>
                <w:i w:val="0"/>
              </w:rPr>
            </w:r>
            <w:r>
              <w:rPr>
                <w:b w:val="0"/>
                <w:bCs w:val="0"/>
                <w:i w:val="0"/>
              </w:rPr>
            </w:r>
          </w:p>
        </w:tc>
        <w:tc>
          <w:tcPr>
            <w:tcBorders/>
            <w:tcW w:w="1344" w:type="dxa"/>
            <w:vAlign w:val="center"/>
            <w:textDirection w:val="lrTb"/>
            <w:noWrap w:val="false"/>
          </w:tcPr>
          <w:p>
            <w:pPr>
              <w:pBdr/>
              <w:spacing/>
              <w:ind/>
              <w:jc w:val="center"/>
              <w:rPr/>
            </w:pPr>
            <w:r>
              <w:t xml:space="preserve">Có</w:t>
            </w:r>
            <w:r/>
            <w:r/>
          </w:p>
        </w:tc>
        <w:tc>
          <w:tcPr>
            <w:tcBorders/>
            <w:tcW w:w="1344" w:type="dxa"/>
            <w:vAlign w:val="center"/>
            <w:textDirection w:val="lrTb"/>
            <w:noWrap w:val="false"/>
          </w:tcPr>
          <w:p>
            <w:pPr>
              <w:pBdr/>
              <w:spacing/>
              <w:ind/>
              <w:jc w:val="center"/>
              <w:rPr/>
            </w:pPr>
            <w:r>
              <w:t xml:space="preserve">Xác nhập đơn vị hành chính</w:t>
            </w:r>
            <w:r/>
            <w:r/>
          </w:p>
        </w:tc>
      </w:tr>
      <w:tr>
        <w:trPr>
          <w:jc w:val="center"/>
        </w:trPr>
        <w:tc>
          <w:tcPr>
            <w:tcBorders/>
            <w:tcW w:w="732" w:type="dxa"/>
            <w:vAlign w:val="center"/>
            <w:textDirection w:val="lrTb"/>
            <w:noWrap w:val="false"/>
          </w:tcPr>
          <w:p>
            <w:pPr>
              <w:pBdr/>
              <w:spacing/>
              <w:ind/>
              <w:jc w:val="center"/>
              <w:rPr/>
            </w:pPr>
            <w:r>
              <w:t xml:space="preserve">2</w:t>
            </w:r>
            <w:r/>
            <w:r/>
          </w:p>
        </w:tc>
        <w:tc>
          <w:tcPr>
            <w:tcBorders/>
            <w:tcW w:w="2098" w:type="dxa"/>
            <w:vAlign w:val="center"/>
            <w:textDirection w:val="lrTb"/>
            <w:noWrap w:val="false"/>
          </w:tcPr>
          <w:p>
            <w:pPr>
              <w:pBdr/>
              <w:spacing/>
              <w:ind/>
              <w:jc w:val="center"/>
              <w:rPr/>
            </w:pPr>
            <w:r>
              <w:t xml:space="preserve">Pháp lý</w:t>
            </w:r>
            <w:r/>
            <w:r/>
          </w:p>
        </w:tc>
        <w:tc>
          <w:tcPr>
            <w:tcBorders/>
            <w:tcW w:w="1998" w:type="dxa"/>
            <w:vAlign w:val="center"/>
            <w:textDirection w:val="lrTb"/>
            <w:noWrap w:val="false"/>
          </w:tcPr>
          <w:p>
            <w:pPr>
              <w:pBdr/>
              <w:spacing/>
              <w:ind/>
              <w:jc w:val="center"/>
              <w:rPr/>
            </w:pPr>
            <w:r>
              <w:t xml:space="preserve">Giấy chứng nhận quyền sử dụng đất, quyền sở hữu nhà ở và tài sản gắn liền với đất</w:t>
            </w:r>
            <w:r/>
            <w:r/>
          </w:p>
        </w:tc>
        <w:tc>
          <w:tcPr>
            <w:tcBorders/>
            <w:tcW w:w="1998"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jc w:val="center"/>
              <w:rPr/>
            </w:pPr>
            <w:r/>
            <w:r/>
            <w:r/>
          </w:p>
        </w:tc>
      </w:tr>
      <w:tr>
        <w:trPr>
          <w:jc w:val="center"/>
        </w:trPr>
        <w:tc>
          <w:tcPr>
            <w:tcBorders/>
            <w:tcW w:w="732" w:type="dxa"/>
            <w:vAlign w:val="center"/>
            <w:textDirection w:val="lrTb"/>
            <w:noWrap w:val="false"/>
          </w:tcPr>
          <w:p>
            <w:pPr>
              <w:pBdr/>
              <w:spacing/>
              <w:ind/>
              <w:jc w:val="center"/>
              <w:rPr/>
            </w:pPr>
            <w:r>
              <w:t xml:space="preserve">3</w:t>
            </w:r>
            <w:r/>
            <w:r/>
          </w:p>
        </w:tc>
        <w:tc>
          <w:tcPr>
            <w:tcBorders/>
            <w:tcW w:w="2098" w:type="dxa"/>
            <w:vAlign w:val="center"/>
            <w:textDirection w:val="lrTb"/>
            <w:noWrap w:val="false"/>
          </w:tcPr>
          <w:p>
            <w:pPr>
              <w:pBdr/>
              <w:spacing/>
              <w:ind/>
              <w:jc w:val="center"/>
              <w:rPr/>
            </w:pPr>
            <w:r>
              <w:t xml:space="preserve">Loại đất</w:t>
            </w:r>
            <w:r/>
            <w:r/>
          </w:p>
        </w:tc>
        <w:tc>
          <w:tcPr>
            <w:tcBorders/>
            <w:tcW w:w="1998" w:type="dxa"/>
            <w:vAlign w:val="center"/>
            <w:textDirection w:val="lrTb"/>
            <w:noWrap w:val="false"/>
          </w:tcPr>
          <w:p>
            <w:pPr>
              <w:pBdr/>
              <w:spacing/>
              <w:ind/>
              <w:jc w:val="center"/>
              <w:rPr/>
            </w:pPr>
            <w:r>
              <w:t xml:space="preserve">Đất ở tại đô thị</w:t>
            </w:r>
            <w:r/>
            <w:r/>
          </w:p>
        </w:tc>
        <w:tc>
          <w:tcPr>
            <w:tcBorders/>
            <w:tcW w:w="1998" w:type="dxa"/>
            <w:vAlign w:val="center"/>
            <w:textDirection w:val="lrTb"/>
            <w:noWrap w:val="false"/>
          </w:tcPr>
          <w:p>
            <w:pPr>
              <w:pBdr/>
              <w:spacing/>
              <w:ind/>
              <w:jc w:val="center"/>
              <w:rPr/>
            </w:pPr>
            <w:r>
              <w:t xml:space="preserve">Đất ở tại đô thị ✔</w:t>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jc w:val="center"/>
              <w:rPr/>
            </w:pPr>
            <w:r/>
            <w:r/>
            <w:r/>
          </w:p>
        </w:tc>
      </w:tr>
      <w:tr>
        <w:trPr>
          <w:jc w:val="center"/>
        </w:trPr>
        <w:tc>
          <w:tcPr>
            <w:tcBorders/>
            <w:tcW w:w="732" w:type="dxa"/>
            <w:vAlign w:val="center"/>
            <w:textDirection w:val="lrTb"/>
            <w:noWrap w:val="false"/>
          </w:tcPr>
          <w:p>
            <w:pPr>
              <w:pBdr/>
              <w:spacing/>
              <w:ind/>
              <w:jc w:val="center"/>
              <w:rPr/>
            </w:pPr>
            <w:r>
              <w:t xml:space="preserve">4</w:t>
            </w:r>
            <w:r/>
            <w:r/>
          </w:p>
        </w:tc>
        <w:tc>
          <w:tcPr>
            <w:tcBorders/>
            <w:tcW w:w="2098" w:type="dxa"/>
            <w:vAlign w:val="center"/>
            <w:textDirection w:val="lrTb"/>
            <w:noWrap w:val="false"/>
          </w:tcPr>
          <w:p>
            <w:pPr>
              <w:pBdr/>
              <w:spacing/>
              <w:ind/>
              <w:jc w:val="center"/>
              <w:rPr/>
            </w:pPr>
            <w:r>
              <w:t xml:space="preserve">Thời hạn sử dụng</w:t>
            </w:r>
            <w:r/>
            <w:r/>
          </w:p>
        </w:tc>
        <w:tc>
          <w:tcPr>
            <w:tcBorders/>
            <w:tcW w:w="1998" w:type="dxa"/>
            <w:vAlign w:val="center"/>
            <w:textDirection w:val="lrTb"/>
            <w:noWrap w:val="false"/>
          </w:tcPr>
          <w:p>
            <w:pPr>
              <w:pBdr/>
              <w:spacing/>
              <w:ind/>
              <w:jc w:val="center"/>
              <w:rPr/>
            </w:pPr>
            <w:r>
              <w:t xml:space="preserve">Lâu dài</w:t>
            </w:r>
            <w:r/>
            <w:r/>
          </w:p>
        </w:tc>
        <w:tc>
          <w:tcPr>
            <w:tcBorders/>
            <w:tcW w:w="1998" w:type="dxa"/>
            <w:vAlign w:val="center"/>
            <w:textDirection w:val="lrTb"/>
            <w:noWrap w:val="false"/>
          </w:tcPr>
          <w:p>
            <w:pPr>
              <w:pBdr/>
              <w:spacing/>
              <w:ind/>
              <w:jc w:val="center"/>
              <w:rPr/>
            </w:pPr>
            <w:r>
              <w:t xml:space="preserve">Lâu dài ✔</w:t>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jc w:val="center"/>
              <w:rPr/>
            </w:pPr>
            <w:r/>
            <w:r/>
            <w:r/>
          </w:p>
        </w:tc>
      </w:tr>
      <w:tr>
        <w:trPr>
          <w:jc w:val="center"/>
        </w:trPr>
        <w:tc>
          <w:tcPr>
            <w:tcBorders/>
            <w:tcW w:w="732" w:type="dxa"/>
            <w:vAlign w:val="center"/>
            <w:textDirection w:val="lrTb"/>
            <w:noWrap w:val="false"/>
          </w:tcPr>
          <w:p>
            <w:pPr>
              <w:pBdr/>
              <w:spacing/>
              <w:ind/>
              <w:jc w:val="center"/>
              <w:rPr/>
            </w:pPr>
            <w:r>
              <w:t xml:space="preserve">5</w:t>
            </w:r>
            <w:r/>
            <w:r/>
          </w:p>
        </w:tc>
        <w:tc>
          <w:tcPr>
            <w:tcBorders/>
            <w:tcW w:w="2098" w:type="dxa"/>
            <w:vAlign w:val="center"/>
            <w:textDirection w:val="lrTb"/>
            <w:noWrap w:val="false"/>
          </w:tcPr>
          <w:p>
            <w:pPr>
              <w:pBdr/>
              <w:spacing/>
              <w:ind/>
              <w:jc w:val="center"/>
              <w:rPr/>
            </w:pPr>
            <w:r>
              <w:t xml:space="preserve">Vị trí</w:t>
            </w:r>
            <w:r/>
            <w:r/>
          </w:p>
        </w:tc>
        <w:tc>
          <w:tcPr>
            <w:tcBorders/>
            <w:tcW w:w="1998" w:type="dxa"/>
            <w:vAlign w:val="center"/>
            <w:textDirection w:val="lrTb"/>
            <w:noWrap w:val="false"/>
          </w:tcPr>
          <w:p>
            <w:pPr>
              <w:pBdr/>
              <w:spacing/>
              <w:ind/>
              <w:jc w:val="center"/>
              <w:rPr/>
            </w:pPr>
            <w:r>
              <w:t xml:space="preserve">VT1</w:t>
            </w:r>
            <w:r/>
            <w:r/>
          </w:p>
        </w:tc>
        <w:tc>
          <w:tcPr>
            <w:tcBorders/>
            <w:tcW w:w="1998" w:type="dxa"/>
            <w:vAlign w:val="center"/>
            <w:textDirection w:val="lrTb"/>
            <w:noWrap w:val="false"/>
          </w:tcPr>
          <w:p>
            <w:pPr>
              <w:pBdr/>
              <w:spacing/>
              <w:ind/>
              <w:jc w:val="center"/>
              <w:rPr/>
            </w:pPr>
            <w:r>
              <w:t xml:space="preserve">VT1 ✔</w:t>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jc w:val="center"/>
              <w:rPr/>
            </w:pPr>
            <w:r/>
            <w:r/>
            <w:r/>
          </w:p>
        </w:tc>
      </w:tr>
      <w:tr>
        <w:trPr>
          <w:jc w:val="center"/>
        </w:trPr>
        <w:tc>
          <w:tcPr>
            <w:tcBorders/>
            <w:tcW w:w="732" w:type="dxa"/>
            <w:vAlign w:val="center"/>
            <w:textDirection w:val="lrTb"/>
            <w:noWrap w:val="false"/>
          </w:tcPr>
          <w:p>
            <w:pPr>
              <w:pBdr/>
              <w:spacing/>
              <w:ind/>
              <w:jc w:val="center"/>
              <w:rPr/>
            </w:pPr>
            <w:r>
              <w:t xml:space="preserve">6</w:t>
            </w:r>
            <w:r/>
            <w:r/>
          </w:p>
        </w:tc>
        <w:tc>
          <w:tcPr>
            <w:tcBorders/>
            <w:tcW w:w="2098" w:type="dxa"/>
            <w:vAlign w:val="center"/>
            <w:textDirection w:val="lrTb"/>
            <w:noWrap w:val="false"/>
          </w:tcPr>
          <w:p>
            <w:pPr>
              <w:pBdr/>
              <w:spacing/>
              <w:ind/>
              <w:jc w:val="center"/>
              <w:rPr/>
            </w:pPr>
            <w:r>
              <w:t xml:space="preserve">Diện tích</w:t>
            </w:r>
            <w:r/>
            <w:r/>
          </w:p>
        </w:tc>
        <w:tc>
          <w:tcPr>
            <w:tcBorders/>
            <w:tcW w:w="1998" w:type="dxa"/>
            <w:vAlign w:val="center"/>
            <w:textDirection w:val="lrTb"/>
            <w:noWrap w:val="false"/>
          </w:tcPr>
          <w:p>
            <w:pPr>
              <w:pBdr/>
              <w:spacing/>
              <w:ind/>
              <w:jc w:val="center"/>
              <w:rPr/>
            </w:pPr>
            <w:r/>
            <w:r>
              <w:t xml:space="preserve">148,3</w:t>
            </w:r>
            <w:r/>
            <w:r/>
          </w:p>
        </w:tc>
        <w:tc>
          <w:tcPr>
            <w:tcBorders/>
            <w:tcW w:w="1998" w:type="dxa"/>
            <w:vAlign w:val="center"/>
            <w:textDirection w:val="lrTb"/>
            <w:noWrap w:val="false"/>
          </w:tcPr>
          <w:p>
            <w:pPr>
              <w:pBdr/>
              <w:spacing/>
              <w:ind/>
              <w:jc w:val="center"/>
              <w:rPr/>
            </w:pPr>
            <w:r/>
            <w:r>
              <w:t xml:space="preserve">148,3</w:t>
            </w:r>
            <w:r>
              <w:t xml:space="preserve"> ✔</w:t>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rPr/>
            </w:pPr>
            <w:r/>
            <w:r/>
            <w:r/>
          </w:p>
        </w:tc>
      </w:tr>
      <w:tr>
        <w:trPr>
          <w:jc w:val="center"/>
        </w:trPr>
        <w:tc>
          <w:tcPr>
            <w:tcBorders/>
            <w:tcW w:w="732" w:type="dxa"/>
            <w:vAlign w:val="center"/>
            <w:textDirection w:val="lrTb"/>
            <w:noWrap w:val="false"/>
          </w:tcPr>
          <w:p>
            <w:pPr>
              <w:pBdr/>
              <w:spacing/>
              <w:ind/>
              <w:jc w:val="center"/>
              <w:rPr/>
            </w:pPr>
            <w:r>
              <w:t xml:space="preserve">7</w:t>
            </w:r>
            <w:r/>
            <w:r/>
          </w:p>
        </w:tc>
        <w:tc>
          <w:tcPr>
            <w:tcBorders/>
            <w:tcW w:w="2098" w:type="dxa"/>
            <w:vAlign w:val="center"/>
            <w:textDirection w:val="lrTb"/>
            <w:noWrap w:val="false"/>
          </w:tcPr>
          <w:p>
            <w:pPr>
              <w:pBdr/>
              <w:spacing/>
              <w:ind/>
              <w:jc w:val="center"/>
              <w:rPr/>
            </w:pPr>
            <w:r>
              <w:t xml:space="preserve">Mặt tiền</w:t>
            </w:r>
            <w:r/>
            <w:r/>
          </w:p>
        </w:tc>
        <w:tc>
          <w:tcPr>
            <w:tcBorders/>
            <w:tcW w:w="1998" w:type="dxa"/>
            <w:vAlign w:val="center"/>
            <w:textDirection w:val="lrTb"/>
            <w:noWrap w:val="false"/>
          </w:tcPr>
          <w:p>
            <w:pPr>
              <w:pBdr/>
              <w:spacing/>
              <w:ind/>
              <w:jc w:val="center"/>
              <w:rPr/>
            </w:pPr>
            <w:r>
              <w:t xml:space="preserve">5,0</w:t>
            </w:r>
            <w:r/>
            <w:r/>
          </w:p>
        </w:tc>
        <w:tc>
          <w:tcPr>
            <w:tcBorders/>
            <w:tcW w:w="1998" w:type="dxa"/>
            <w:vAlign w:val="center"/>
            <w:textDirection w:val="lrTb"/>
            <w:noWrap w:val="false"/>
          </w:tcPr>
          <w:p>
            <w:pPr>
              <w:pBdr/>
              <w:spacing/>
              <w:ind/>
              <w:jc w:val="center"/>
              <w:rPr/>
            </w:pPr>
            <w:r>
              <w:t xml:space="preserve">5,0 ✔</w:t>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rPr/>
            </w:pPr>
            <w:r/>
            <w:r/>
            <w:r/>
          </w:p>
        </w:tc>
      </w:tr>
      <w:tr>
        <w:trPr>
          <w:jc w:val="center"/>
        </w:trPr>
        <w:tc>
          <w:tcPr>
            <w:tcBorders/>
            <w:tcW w:w="732" w:type="dxa"/>
            <w:vAlign w:val="center"/>
            <w:textDirection w:val="lrTb"/>
            <w:noWrap w:val="false"/>
          </w:tcPr>
          <w:p>
            <w:pPr>
              <w:pBdr/>
              <w:spacing/>
              <w:ind/>
              <w:jc w:val="center"/>
              <w:rPr/>
            </w:pPr>
            <w:r>
              <w:t xml:space="preserve">8</w:t>
            </w:r>
            <w:r/>
            <w:r/>
          </w:p>
        </w:tc>
        <w:tc>
          <w:tcPr>
            <w:tcBorders/>
            <w:tcW w:w="2098" w:type="dxa"/>
            <w:vAlign w:val="center"/>
            <w:textDirection w:val="lrTb"/>
            <w:noWrap w:val="false"/>
          </w:tcPr>
          <w:p>
            <w:pPr>
              <w:pBdr/>
              <w:spacing/>
              <w:ind/>
              <w:jc w:val="center"/>
              <w:rPr/>
            </w:pPr>
            <w:r>
              <w:t xml:space="preserve">Chiều sâu</w:t>
            </w:r>
            <w:r/>
            <w:r/>
          </w:p>
        </w:tc>
        <w:tc>
          <w:tcPr>
            <w:tcBorders/>
            <w:tcW w:w="199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30,0</w:t>
            </w:r>
            <w:r/>
          </w:p>
        </w:tc>
        <w:tc>
          <w:tcPr>
            <w:tcBorders/>
            <w:tcW w:w="199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30,0</w:t>
            </w:r>
            <w:r>
              <w:t xml:space="preserve"> ✔</w:t>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rPr/>
            </w:pPr>
            <w:r/>
            <w:r/>
            <w:r/>
          </w:p>
        </w:tc>
      </w:tr>
      <w:tr>
        <w:trPr>
          <w:jc w:val="center"/>
        </w:trPr>
        <w:tc>
          <w:tcPr>
            <w:tcBorders/>
            <w:tcW w:w="732" w:type="dxa"/>
            <w:vAlign w:val="center"/>
            <w:textDirection w:val="lrTb"/>
            <w:noWrap w:val="false"/>
          </w:tcPr>
          <w:p>
            <w:pPr>
              <w:pBdr/>
              <w:spacing/>
              <w:ind/>
              <w:jc w:val="center"/>
              <w:rPr/>
            </w:pPr>
            <w:r>
              <w:t xml:space="preserve">9</w:t>
            </w:r>
            <w:r/>
            <w:r/>
          </w:p>
        </w:tc>
        <w:tc>
          <w:tcPr>
            <w:tcBorders/>
            <w:tcW w:w="2098" w:type="dxa"/>
            <w:vAlign w:val="center"/>
            <w:textDirection w:val="lrTb"/>
            <w:noWrap w:val="false"/>
          </w:tcPr>
          <w:p>
            <w:pPr>
              <w:pBdr/>
              <w:spacing/>
              <w:ind/>
              <w:jc w:val="center"/>
              <w:rPr/>
            </w:pPr>
            <w:r>
              <w:t xml:space="preserve">Mặt tiếp giáp</w:t>
            </w:r>
            <w:r/>
            <w:r/>
          </w:p>
        </w:tc>
        <w:tc>
          <w:tcPr>
            <w:tcBorders/>
            <w:tcW w:w="1998" w:type="dxa"/>
            <w:vAlign w:val="center"/>
            <w:textDirection w:val="lrTb"/>
            <w:noWrap w:val="false"/>
          </w:tcPr>
          <w:p>
            <w:pPr>
              <w:pBdr/>
              <w:spacing/>
              <w:ind/>
              <w:jc w:val="center"/>
              <w:rPr/>
            </w:pPr>
            <w:r>
              <w:t xml:space="preserve">02 mặt tiền</w:t>
            </w:r>
            <w:r/>
            <w:r/>
          </w:p>
        </w:tc>
        <w:tc>
          <w:tcPr>
            <w:tcBorders/>
            <w:tcW w:w="1998" w:type="dxa"/>
            <w:vAlign w:val="center"/>
            <w:textDirection w:val="lrTb"/>
            <w:noWrap w:val="false"/>
          </w:tcPr>
          <w:p>
            <w:pPr>
              <w:pBdr/>
              <w:spacing/>
              <w:ind/>
              <w:jc w:val="center"/>
              <w:rPr/>
            </w:pPr>
            <w:r>
              <w:t xml:space="preserve">02 mặt tiền</w:t>
            </w:r>
            <w:r>
              <w:t xml:space="preserve"> ✔</w:t>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rPr/>
            </w:pPr>
            <w:r/>
            <w:r/>
            <w:r/>
          </w:p>
        </w:tc>
      </w:tr>
      <w:tr>
        <w:trPr>
          <w:jc w:val="center"/>
        </w:trPr>
        <w:tc>
          <w:tcPr>
            <w:tcBorders/>
            <w:tcW w:w="732" w:type="dxa"/>
            <w:vAlign w:val="center"/>
            <w:textDirection w:val="lrTb"/>
            <w:noWrap w:val="false"/>
          </w:tcPr>
          <w:p>
            <w:pPr>
              <w:pBdr/>
              <w:spacing/>
              <w:ind/>
              <w:jc w:val="center"/>
              <w:rPr/>
            </w:pPr>
            <w:r>
              <w:t xml:space="preserve">10</w:t>
            </w:r>
            <w:r/>
            <w:r/>
          </w:p>
        </w:tc>
        <w:tc>
          <w:tcPr>
            <w:tcBorders/>
            <w:tcW w:w="2098" w:type="dxa"/>
            <w:vAlign w:val="center"/>
            <w:textDirection w:val="lrTb"/>
            <w:noWrap w:val="false"/>
          </w:tcPr>
          <w:p>
            <w:pPr>
              <w:pBdr/>
              <w:spacing/>
              <w:ind/>
              <w:jc w:val="center"/>
              <w:rPr/>
            </w:pPr>
            <w:r>
              <w:t xml:space="preserve">Hình dạng thửa đất</w:t>
            </w:r>
            <w:r/>
            <w:r/>
          </w:p>
        </w:tc>
        <w:tc>
          <w:tcPr>
            <w:tcBorders/>
            <w:tcW w:w="1998" w:type="dxa"/>
            <w:vAlign w:val="center"/>
            <w:textDirection w:val="lrTb"/>
            <w:noWrap w:val="false"/>
          </w:tcPr>
          <w:p>
            <w:pPr>
              <w:pBdr/>
              <w:spacing/>
              <w:ind/>
              <w:jc w:val="center"/>
              <w:rPr/>
            </w:pPr>
            <w:r>
              <w:t xml:space="preserve">Vuông vức</w:t>
            </w:r>
            <w:r/>
            <w:r/>
          </w:p>
        </w:tc>
        <w:tc>
          <w:tcPr>
            <w:tcBorders/>
            <w:tcW w:w="1998" w:type="dxa"/>
            <w:vAlign w:val="center"/>
            <w:textDirection w:val="lrTb"/>
            <w:noWrap w:val="false"/>
          </w:tcPr>
          <w:p>
            <w:pPr>
              <w:pBdr/>
              <w:spacing/>
              <w:ind/>
              <w:jc w:val="center"/>
              <w:rPr/>
            </w:pPr>
            <w:r>
              <w:t xml:space="preserve">Vuông vức</w:t>
            </w:r>
            <w:r>
              <w:t xml:space="preserve"> ✔</w:t>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jc w:val="center"/>
              <w:rPr/>
            </w:pPr>
            <w:r/>
            <w:r/>
            <w:r/>
          </w:p>
        </w:tc>
      </w:tr>
      <w:tr>
        <w:trPr>
          <w:jc w:val="center"/>
        </w:trPr>
        <w:tc>
          <w:tcPr>
            <w:tcBorders/>
            <w:tcW w:w="732" w:type="dxa"/>
            <w:vAlign w:val="center"/>
            <w:textDirection w:val="lrTb"/>
            <w:noWrap w:val="false"/>
          </w:tcPr>
          <w:p>
            <w:pPr>
              <w:pBdr/>
              <w:spacing/>
              <w:ind/>
              <w:jc w:val="center"/>
              <w:rPr/>
            </w:pPr>
            <w:r>
              <w:t xml:space="preserve">11</w:t>
            </w:r>
            <w:r/>
            <w:r/>
          </w:p>
        </w:tc>
        <w:tc>
          <w:tcPr>
            <w:tcBorders/>
            <w:tcW w:w="2098" w:type="dxa"/>
            <w:vAlign w:val="center"/>
            <w:textDirection w:val="lrTb"/>
            <w:noWrap w:val="false"/>
          </w:tcPr>
          <w:p>
            <w:pPr>
              <w:pBdr/>
              <w:spacing/>
              <w:ind/>
              <w:jc w:val="center"/>
              <w:rPr/>
            </w:pPr>
            <w:r>
              <w:t xml:space="preserve">Hướng chính</w:t>
            </w:r>
            <w:r/>
            <w:r/>
          </w:p>
        </w:tc>
        <w:tc>
          <w:tcPr>
            <w:tcBorders/>
            <w:tcW w:w="1998" w:type="dxa"/>
            <w:vAlign w:val="center"/>
            <w:textDirection w:val="lrTb"/>
            <w:noWrap w:val="false"/>
          </w:tcPr>
          <w:p>
            <w:pPr>
              <w:pBdr/>
              <w:spacing/>
              <w:ind/>
              <w:jc w:val="center"/>
              <w:rPr/>
            </w:pPr>
            <w:r>
              <w:t xml:space="preserve">Tây</w:t>
            </w:r>
            <w:r/>
            <w:r/>
          </w:p>
        </w:tc>
        <w:tc>
          <w:tcPr>
            <w:tcBorders/>
            <w:tcW w:w="1998" w:type="dxa"/>
            <w:vAlign w:val="center"/>
            <w:textDirection w:val="lrTb"/>
            <w:noWrap w:val="false"/>
          </w:tcPr>
          <w:p>
            <w:pPr>
              <w:pBdr/>
              <w:spacing/>
              <w:ind/>
              <w:jc w:val="center"/>
              <w:rPr/>
            </w:pPr>
            <w:r>
              <w:t xml:space="preserve">Tây ✔</w:t>
            </w:r>
            <w:r/>
            <w:r/>
          </w:p>
        </w:tc>
        <w:tc>
          <w:tcPr>
            <w:tcBorders/>
            <w:tcW w:w="1344" w:type="dxa"/>
            <w:vAlign w:val="center"/>
            <w:textDirection w:val="lrTb"/>
            <w:noWrap w:val="false"/>
          </w:tcPr>
          <w:p>
            <w:pPr>
              <w:pBdr/>
              <w:spacing/>
              <w:ind/>
              <w:jc w:val="center"/>
              <w:rPr/>
            </w:pPr>
            <w:r>
              <w:t xml:space="preserve">Không</w:t>
            </w:r>
            <w:r/>
            <w:r/>
          </w:p>
        </w:tc>
        <w:tc>
          <w:tcPr>
            <w:tcBorders/>
            <w:tcW w:w="1344" w:type="dxa"/>
            <w:vAlign w:val="center"/>
            <w:textDirection w:val="lrTb"/>
            <w:noWrap w:val="false"/>
          </w:tcPr>
          <w:p>
            <w:pPr>
              <w:pBdr/>
              <w:spacing/>
              <w:ind/>
              <w:jc w:val="center"/>
              <w:rPr/>
            </w:pPr>
            <w:r/>
            <w:r/>
            <w:r/>
          </w:p>
        </w:tc>
      </w:tr>
    </w:tbl>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nằm ngoài quy hoạch:</w:t>
      </w:r>
      <w:r>
        <w:rPr>
          <w:b/>
          <w:lang w:val="pt-BR"/>
        </w:rPr>
      </w:r>
    </w:p>
    <w:p>
      <w:pPr>
        <w:pStyle w:val="856"/>
        <w:numPr>
          <w:ilvl w:val="0"/>
          <w:numId w:val="40"/>
        </w:numPr>
        <w:pBdr/>
        <w:spacing w:line="276" w:lineRule="auto"/>
        <w:ind w:right="0" w:hanging="567" w:left="567"/>
        <w:jc w:val="both"/>
        <w:rPr>
          <w:b/>
          <w:bCs/>
          <w:highlight w:val="none"/>
          <w:u w:val="none"/>
        </w:rPr>
      </w:pPr>
      <w:r>
        <w:rPr>
          <w:b/>
          <w:bCs/>
          <w:u w:val="none"/>
        </w:rPr>
        <w:t xml:space="preserve">Tài sản 01: GCN số </w:t>
      </w:r>
      <w:r>
        <w:rPr>
          <w:b/>
          <w:bCs/>
          <w:u w:val="none"/>
        </w:rPr>
        <w:t xml:space="preserve">DL 914994</w:t>
      </w:r>
      <w:r>
        <w:rPr>
          <w:b/>
          <w:bCs/>
          <w:highlight w:val="none"/>
          <w:u w:val="none"/>
        </w:rPr>
      </w:r>
      <w:r>
        <w:rPr>
          <w:b/>
          <w:bCs/>
          <w:highlight w:val="none"/>
          <w:u w:val="none"/>
        </w:rPr>
      </w:r>
      <w:r>
        <w:rPr>
          <w:b/>
          <w:highlight w:val="none"/>
          <w:lang w:val="pt-BR" w:bidi="pt-BR"/>
        </w:rPr>
      </w:r>
      <w:r>
        <w:rPr>
          <w:b/>
          <w:highlight w:val="none"/>
          <w:lang w:val="pt-BR" w:bidi="pt-BR"/>
        </w:rPr>
      </w:r>
      <w:r>
        <w:rPr>
          <w:b/>
          <w:highlight w:val="none"/>
          <w:lang w:val="pt-BR"/>
        </w:rPr>
      </w:r>
      <w:r>
        <w:rPr>
          <w:b/>
          <w:bCs/>
          <w:highlight w:val="none"/>
          <w:u w:val="none"/>
        </w:rPr>
        <w:t xml:space="preserve">:</w:t>
      </w:r>
      <w:r>
        <w:rPr>
          <w:b/>
          <w:bCs/>
          <w:highlight w:val="none"/>
          <w:u w:val="none"/>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984"/>
        <w:gridCol w:w="1736"/>
        <w:gridCol w:w="1736"/>
        <w:gridCol w:w="1736"/>
        <w:gridCol w:w="1736"/>
      </w:tblGrid>
      <w:tr>
        <w:trPr>
          <w:trHeight w:val="300"/>
          <w:tblHeader/>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193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Tổ dân phố Phong Mỹ, thị trấn Yên Lâm, huyện Yên Định, tỉnh Thanh Hoá (Nay là xã Quý Lộc, tỉnh Thanh Hoá)</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Xã Yên Lâm, huyện Lâm Định, tỉnh Thanh Hoá (Nay là xã Quý Lộc, tỉnh Thanh Hoá)</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Xã Yên Lâm, huyện Lâm Định, tỉnh Thanh Hoá (Nay là xã Quý Lộc, tỉnh Thanh Hoá)</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Tổ dân phố Phong Mỹ, thị trấn Yên Lâm, huyện Yên Định, tỉnh Thanh Hoá (Nay là xã Quý Lộc, tỉnh Thanh Hoá)</w:t>
            </w:r>
            <w:r/>
          </w:p>
        </w:tc>
      </w:tr>
      <w:tr>
        <w:trPr>
          <w:trHeight w:val="13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hyperlink r:id="rId19" w:tooltip="https://www.facebook.com/groups/1578807535713418/permalink/4397950467132430/" w:history="1">
              <w:r>
                <w:rPr>
                  <w:rStyle w:val="846"/>
                  <w:rFonts w:ascii="Times New Roman" w:hAnsi="Times New Roman" w:eastAsia="Times New Roman" w:cs="Times New Roman"/>
                  <w:color w:val="000000"/>
                  <w:sz w:val="22"/>
                  <w:u w:val="none"/>
                </w:rPr>
                <w:t xml:space="preserve">https://www.facebook.com/groups/1578807535713418/permalink/4397950467132430/</w:t>
              </w:r>
            </w:hyperlink>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hyperlink r:id="rId20" w:tooltip="https://www.facebook.com/groups/1578807535713418/permalink/4390536977873779/" w:history="1">
              <w:r>
                <w:rPr>
                  <w:rStyle w:val="846"/>
                  <w:rFonts w:ascii="Times New Roman" w:hAnsi="Times New Roman" w:eastAsia="Times New Roman" w:cs="Times New Roman"/>
                  <w:color w:val="000000"/>
                  <w:sz w:val="22"/>
                  <w:u w:val="none"/>
                </w:rPr>
                <w:t xml:space="preserve">https://www.facebook.com/groups/1578807535713418/permalink/4390536977873779/</w:t>
              </w:r>
            </w:hyperlink>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SĐT: 0346.749444 </w:t>
              <w:br/>
              <w:t xml:space="preserve">(Sale Chị Liên)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SĐT: 0346.749444 </w:t>
              <w:br/>
              <w:t xml:space="preserve">(Sale Chị Liên)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SĐT: 0384.377618 </w:t>
              <w:br/>
              <w:t xml:space="preserve">(Sale Chị Ca)</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4/2026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4/2026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4/2026 </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ở tại đô thị</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Thời hạn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Lâu dài</w:t>
            </w:r>
            <w:r/>
          </w:p>
        </w:tc>
      </w:tr>
      <w:tr>
        <w:trPr>
          <w:trHeight w:val="220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nằm tại tỉnh lộ 518, xã Quý Lộc, tỉnh Thanh Hoá; cách Ngã tư Bưu Điện Yên Lâm khoảng 2,4km, cách Tiểu học Yên Lâm khu B khoảng 600m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nằm tại tỉnh lộ 518, xã Quý Lộc, tỉnh Thanh Hoá; cách Ngã tư Bưu Điện Yên Lâm khoảng 1,2km, cách Cấp I, Cấp II Yên Lâm khoảng 1,3km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nằm tại tỉnh lộ 518, xã Quý Lộc, tỉnh Thanh Hoá; cách Ngã tư Bưu Điện Yên Lâm khoảng 1km, cách Cấp I, Cấp II Yên Lâm khoảng 1,1km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nằm tại tỉnh lộ 518, xã Quý Lộc, tỉnh Thanh Hoá; cách Ngã tư Bưu Điện Yên Lâm khoảng 2,1km, cách Cấp I, Cấp II Yên Lâm khoảng 2,2km</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Khoảng 7m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Khoảng 7m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Khoảng 7m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Khoảng 7m</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Diện tích đất nằm ngoài quy hoạch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101,0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125,0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125,0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01 mặt tiền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Vuông vức</w:t>
            </w:r>
            <w:r/>
          </w:p>
        </w:tc>
      </w:tr>
      <w:tr>
        <w:trPr>
          <w:trHeight w:val="165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Khu vực khu dân cư cũ, dân cư tập trung đông đúc, có thể kinh doanh buôn bán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Khu vực khu dân cư mới, xung quanh chưa có nhiều hộ dân sinh sống, kinh doanh trung bình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Khu vực khu dân cư mới, dân cư tương đối gần khu vực trung tâm thị trấn, có thể kinh doanh buôn bán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Khu vực khu dân cư mới, xung quanh chưa có nhiều hộ dân sinh sống, kinh doanh trung bình</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Không lỗi phong thủy</w:t>
            </w:r>
            <w:r/>
          </w:p>
        </w:tc>
      </w:tr>
      <w:tr>
        <w:trPr>
          <w:trHeight w:val="1104"/>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Điều kiện cơ sở hạ tầng kỹ thuật và các yếu tố khác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 Đất đã san lấp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 Đất đã san lấp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 Đất đã san lấp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 Đất ruộng chưa san lấp</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trống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1.280.000.000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1.320.000.000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950.000.000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1.088.000.000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1.122.000.000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902.500.000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b/>
                <w:bCs/>
              </w:rPr>
            </w:pPr>
            <w:r>
              <w:rPr>
                <w:rFonts w:ascii="Times New Roman" w:hAnsi="Times New Roman" w:eastAsia="Times New Roman" w:cs="Times New Roman"/>
                <w:b/>
                <w:bCs/>
                <w:color w:val="000000"/>
                <w:sz w:val="22"/>
              </w:rPr>
              <w:t xml:space="preserve">1.088.000.000</w:t>
            </w:r>
            <w:r>
              <w:rPr>
                <w:b/>
                <w:b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b/>
                <w:bCs/>
              </w:rPr>
            </w:pPr>
            <w:r>
              <w:rPr>
                <w:rFonts w:ascii="Times New Roman" w:hAnsi="Times New Roman" w:eastAsia="Times New Roman" w:cs="Times New Roman"/>
                <w:b/>
                <w:bCs/>
                <w:color w:val="000000"/>
                <w:sz w:val="22"/>
              </w:rPr>
              <w:t xml:space="preserve">1.122.000.000</w:t>
            </w:r>
            <w:r>
              <w:rPr>
                <w:b/>
                <w:b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b/>
                <w:bCs/>
              </w:rPr>
            </w:pPr>
            <w:r>
              <w:rPr>
                <w:rFonts w:ascii="Times New Roman" w:hAnsi="Times New Roman" w:eastAsia="Times New Roman" w:cs="Times New Roman"/>
                <w:b/>
                <w:bCs/>
                <w:color w:val="000000"/>
                <w:sz w:val="22"/>
              </w:rPr>
              <w:t xml:space="preserve">902.500.000</w:t>
            </w:r>
            <w:r>
              <w:rPr>
                <w:b/>
                <w:bCs/>
              </w:rP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b/>
                <w:bCs/>
              </w:rPr>
            </w:pPr>
            <w:r>
              <w:rPr>
                <w:rFonts w:ascii="Times New Roman" w:hAnsi="Times New Roman" w:eastAsia="Times New Roman" w:cs="Times New Roman"/>
                <w:b/>
                <w:bCs/>
                <w:color w:val="000000"/>
                <w:sz w:val="22"/>
              </w:rPr>
              <w:t xml:space="preserve">8.704.000</w:t>
            </w:r>
            <w:r>
              <w:rPr>
                <w:b/>
                <w:b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b/>
                <w:bCs/>
              </w:rPr>
            </w:pPr>
            <w:r>
              <w:rPr>
                <w:rFonts w:ascii="Times New Roman" w:hAnsi="Times New Roman" w:eastAsia="Times New Roman" w:cs="Times New Roman"/>
                <w:b/>
                <w:bCs/>
                <w:color w:val="000000"/>
                <w:sz w:val="22"/>
              </w:rPr>
              <w:t xml:space="preserve">11.220.000</w:t>
            </w:r>
            <w:r>
              <w:rPr>
                <w:b/>
                <w:b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b/>
                <w:bCs/>
              </w:rPr>
            </w:pPr>
            <w:r>
              <w:rPr>
                <w:rFonts w:ascii="Times New Roman" w:hAnsi="Times New Roman" w:eastAsia="Times New Roman" w:cs="Times New Roman"/>
                <w:b/>
                <w:bCs/>
                <w:color w:val="000000"/>
                <w:sz w:val="22"/>
              </w:rPr>
              <w:t xml:space="preserve">7.220.000</w:t>
            </w:r>
            <w:r>
              <w:rPr>
                <w:b/>
                <w:bCs/>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Diện tích đất nằm ngoài quy hoạch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Điều kiện cơ sở hạ tầng kỹ thuật và các yếu tố khác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0"/>
        <w:gridCol w:w="1686"/>
        <w:gridCol w:w="850"/>
        <w:gridCol w:w="1595"/>
        <w:gridCol w:w="1595"/>
        <w:gridCol w:w="1595"/>
        <w:gridCol w:w="1595"/>
      </w:tblGrid>
      <w:tr>
        <w:trPr>
          <w:trHeight w:val="630"/>
          <w:tblHeader/>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1.088.000.000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1.122.000.000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902.500.000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8.704.000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11.220.000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7.220.000</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8.704.000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11.220.000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7.220.000 </w:t>
            </w:r>
            <w:r/>
          </w:p>
        </w:tc>
      </w:tr>
      <w:tr>
        <w:trPr>
          <w:trHeight w:val="220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nằm tại tỉnh lộ 518, xã Quý Lộc, tỉnh Thanh Hoá; cách Ngã tư Bưu Điện Yên Lâm khoảng 2,4km, cách Tiểu học Yên Lâm khu B khoảng 600m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nằm tại tỉnh lộ 518, xã Quý Lộc, tỉnh Thanh Hoá; cách Ngã tư Bưu Điện Yên Lâm khoảng 1,2km, cách Cấp I, Cấp II Yên Lâm khoảng 1,3km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nằm tại tỉnh lộ 518, xã Quý Lộc, tỉnh Thanh Hoá; cách Ngã tư Bưu Điện Yên Lâm khoảng 1km, cách Cấp I, Cấp II Yên Lâm khoảng 1,1km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nằm tại tỉnh lộ 518, xã Quý Lộc, tỉnh Thanh Hoá; cách Ngã tư Bưu Điện Yên Lâm khoảng 2,1km, cách Cấp I, Cấp II Yên Lâm khoảng 2,2km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-1.305.600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-2.244.000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7.398.400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8.976.000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7.220.000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Khoảng 7m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Khoảng 7m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Khoảng 7m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Khoảng 7m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7.398.400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8.976.000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7.220.000 </w:t>
            </w:r>
            <w:r/>
          </w:p>
        </w:tc>
      </w:tr>
      <w:tr>
        <w:trPr>
          <w:trHeight w:val="82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Diện tích đất nằm ngoài quy hoạch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t xml:space="preserve">(m²)</w:t>
            </w:r>
            <w:r/>
            <w:r>
              <w:rPr>
                <w:rFonts w:ascii="Times New Roman" w:hAnsi="Times New Roman" w:eastAsia="Times New Roman" w:cs="Times New Roman"/>
                <w:b/>
                <w:color w:val="000000"/>
                <w:sz w:val="22"/>
              </w:rPr>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101,0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125,0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125</w:t>
            </w:r>
            <w:r>
              <w:t xml:space="preserve">,0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435.200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361.000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7.833.600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8.976.000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7.581.000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tcPr>
          <w:p>
            <w:pPr>
              <w:pBdr/>
              <w:spacing w:after="0" w:before="0" w:line="240"/>
              <w:ind w:right="0" w:firstLine="0" w:left="142"/>
              <w:rPr/>
            </w:pPr>
            <w:r>
              <w:rPr>
                <w:rFonts w:ascii="Times New Roman" w:hAnsi="Times New Roman" w:eastAsia="Times New Roman" w:cs="Times New Roman"/>
                <w:b/>
                <w:color w:val="000000"/>
                <w:sz w:val="22"/>
              </w:rPr>
              <w:t xml:space="preserve">Mặt tiền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5,0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5,0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5,0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5,0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7.833.600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8.976.000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7.581.000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01 mặt tiền</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7.833.600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8.976.000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7.581.000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Vuông vức</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7.833.600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8.976.000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7.581.000 </w:t>
            </w:r>
            <w:r/>
          </w:p>
        </w:tc>
      </w:tr>
      <w:tr>
        <w:trPr>
          <w:trHeight w:val="165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Khu vực khu dân cư cũ, dân cư tập trung đông đúc, có thể kinh doanh buôn bán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Khu vực khu dân cư mới, xung quanh chưa có nhiều hộ dân sinh sống, kinh doanh trung bình</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Khu vực khu dân cư mới, dân cư tương đối gần khu vực trung tâm thị trấn, có thể kinh doanh buôn bán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Khu vực khu dân cư mới, xung quanh chưa có nhiều hộ dân sinh sống, kinh doanh trung bình</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870.400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722.000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8.704.000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8.976.000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8.303.000 </w:t>
            </w:r>
            <w:r/>
          </w:p>
        </w:tc>
      </w:tr>
      <w:tr>
        <w:trPr>
          <w:trHeight w:val="1104"/>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Điều kiện cơ sở hạ tầng kỹ thuật và các yếu tố khác</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 Đất đã san lấp</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 Đất đã san lấp</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 Đất đã san lấp</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 Đất ruộng chưa san lấp</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361.000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8.704.000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8.976.000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8.664.000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tcPr>
          <w:p>
            <w:pPr>
              <w:pBdr/>
              <w:spacing w:after="0" w:before="0" w:line="240"/>
              <w:ind w:right="0" w:firstLine="0" w:left="142"/>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8.704.000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8.976.000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8.664.000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6" w:space="0"/>
              <w:right w:val="single" w:color="000000" w:sz="6" w:space="0"/>
            </w:tcBorders>
            <w:tcMar>
              <w:left w:w="0" w:type="dxa"/>
              <w:top w:w="0" w:type="dxa"/>
              <w:right w:w="0" w:type="dxa"/>
              <w:bottom w:w="0" w:type="dxa"/>
            </w:tcMar>
            <w:tcW w:w="4784"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8.781.333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-0,88%</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2,22%</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-1,34%</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2.611.200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2.244.000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1.444.000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 - 15%</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- 20%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 - 10%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2.244.000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1.444.000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-1,34</w:t>
      </w:r>
      <w:r>
        <w:t xml:space="preserve">% đến</w:t>
      </w:r>
      <w:r>
        <w:t xml:space="preserve"> </w:t>
      </w:r>
      <w:r>
        <w:t xml:space="preserve"> </w:t>
      </w:r>
      <w:r>
        <w:t xml:space="preserve">2,22</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8.704.000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2.901.914</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8.976.000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2.991.701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8.664.000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2.887.711</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8.781.326</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8.800.000</w:t>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8.800.000</w:t>
      </w:r>
      <w:r>
        <w:rPr>
          <w:b/>
          <w:bCs/>
          <w:color w:val="000000" w:themeColor="text1"/>
        </w:rPr>
        <w:t xml:space="preserve"> </w:t>
      </w:r>
      <w:r>
        <w:rPr>
          <w:b/>
          <w:bCs/>
        </w:rPr>
        <w:t xml:space="preserve">đồng/m².</w:t>
      </w:r>
      <w:r>
        <w:rPr>
          <w:b/>
          <w:bCs/>
        </w:rPr>
      </w:r>
    </w:p>
    <w:p>
      <w:pPr>
        <w:pStyle w:val="856"/>
        <w:numPr>
          <w:ilvl w:val="0"/>
          <w:numId w:val="41"/>
        </w:numPr>
        <w:pBdr/>
        <w:spacing w:line="276" w:lineRule="auto"/>
        <w:ind w:right="0" w:hanging="567" w:left="567"/>
        <w:jc w:val="both"/>
        <w:rPr>
          <w:b/>
          <w:bCs/>
          <w:highlight w:val="none"/>
          <w:u w:val="none"/>
        </w:rPr>
      </w:pPr>
      <w:r>
        <w:rPr>
          <w:b/>
          <w:bCs/>
          <w:u w:val="none"/>
        </w:rPr>
        <w:t xml:space="preserve">Tài sản 02: GCN số </w:t>
      </w:r>
      <w:r>
        <w:rPr>
          <w:b/>
          <w:bCs/>
          <w:u w:val="none"/>
        </w:rPr>
        <w:t xml:space="preserve">DL 914995:</w:t>
      </w:r>
      <w:r>
        <w:rPr>
          <w:b/>
          <w:bCs/>
          <w:highlight w:val="none"/>
          <w:u w:val="none"/>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856"/>
        <w:numPr>
          <w:ilvl w:val="0"/>
          <w:numId w:val="42"/>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984"/>
        <w:gridCol w:w="1736"/>
        <w:gridCol w:w="1736"/>
        <w:gridCol w:w="1736"/>
        <w:gridCol w:w="1736"/>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193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Tổ dân phố Phong Mỹ, thị trấn Yên Lâm, huyện Yên Định, tỉnh Thanh Hoá (Nay là xã Quý Lộc, tỉnh Thanh Hoá)</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Xã Yên Lâm, huyện Lâm Định, tỉnh Thanh Hoá (Nay là xã Quý Lộc, tỉnh Thanh Hoá)</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Xã Yên Lâm, huyện Lâm Định, tỉnh Thanh Hoá (Nay là xã Quý Lộc, tỉnh Thanh Hoá)</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Tổ dân phố Phong Mỹ, thị trấn Yên Lâm, huyện Yên Định, tỉnh Thanh Hoá (Nay là xã Quý Lộc, tỉnh Thanh Hoá)</w:t>
            </w:r>
            <w:r/>
          </w:p>
        </w:tc>
      </w:tr>
      <w:tr>
        <w:trPr>
          <w:trHeight w:val="13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hyperlink r:id="rId21" w:tooltip="https://www.facebook.com/groups/1578807535713418/permalink/4397950467132430/" w:history="1">
              <w:r>
                <w:rPr>
                  <w:rStyle w:val="846"/>
                  <w:rFonts w:ascii="Times New Roman" w:hAnsi="Times New Roman" w:eastAsia="Times New Roman" w:cs="Times New Roman"/>
                  <w:color w:val="000000"/>
                  <w:sz w:val="22"/>
                  <w:u w:val="none"/>
                </w:rPr>
                <w:t xml:space="preserve">https://www.facebook.com/groups/1578807535713418/permalink/4397950467132430/</w:t>
              </w:r>
            </w:hyperlink>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Liên hệ trực tiếp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hyperlink r:id="rId22" w:tooltip="https://www.facebook.com/groups/1578807535713418/permalink/4390536977873779/" w:history="1">
              <w:r>
                <w:rPr>
                  <w:rStyle w:val="846"/>
                  <w:rFonts w:ascii="Times New Roman" w:hAnsi="Times New Roman" w:eastAsia="Times New Roman" w:cs="Times New Roman"/>
                  <w:color w:val="000000"/>
                  <w:sz w:val="22"/>
                  <w:u w:val="none"/>
                </w:rPr>
                <w:t xml:space="preserve">https://www.facebook.com/groups/1578807535713418/permalink/4390536977873779/</w:t>
              </w:r>
            </w:hyperlink>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SĐT: 03467.49444 </w:t>
              <w:br/>
              <w:t xml:space="preserve">(Sale Chị Liên)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SĐT: 03467.49444 </w:t>
              <w:br/>
              <w:t xml:space="preserve">(Sale Chị Liên)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SĐT: 0384.377618 </w:t>
              <w:br/>
              <w:t xml:space="preserve">(Sale Chị Ca)</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4/2026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4/2026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Tháng 4/2026 </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ở tại đô thị</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Thời hạn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Lâu dài</w:t>
            </w:r>
            <w:r/>
          </w:p>
        </w:tc>
      </w:tr>
      <w:tr>
        <w:trPr>
          <w:trHeight w:val="220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nằm tại tỉnh lộ 518, xã Quý Lộc, tỉnh Thanh Hoá; cách Ngã tư Bưu Điện Yên Lâm khoảng 2,4km, cách Tiểu học Yên Lâm khu B khoảng 600m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nằm tại tỉnh lộ 518, xã Quý Lộc, tỉnh Thanh Hoá; cách Ngã tư Bưu Điện Yên Lâm khoảng 1,2km, cách Cấp I, Cấp II Yên Lâm khoảng 1,3km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nằm tại tỉnh lộ 518, xã Quý Lộc, tỉnh Thanh Hoá; cách Ngã tư Bưu Điện Yên Lâm khoảng 1km, cách Cấp I, Cấp II Yên Lâm khoảng 1,1km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Tài sản nằm tại tỉnh lộ 518, xã Quý Lộc, tỉnh Thanh Hoá; cách Ngã tư Bưu Điện Yên Lâm khoảng 2,1km, cách Cấp I, Cấp II Yên Lâm khoảng 2,2km</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Khoảng 7m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Khoảng 7m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Khoảng 7m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Khoảng 7m</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Diện tích đất nằm ngoài quy hoạch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118,3</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125,0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125,0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02 mặt tiền (lô góc)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01 mặt tiền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Vuông vức</w:t>
            </w:r>
            <w:r/>
          </w:p>
        </w:tc>
      </w:tr>
      <w:tr>
        <w:trPr>
          <w:trHeight w:val="165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Khu vực khu dân cư cũ, dân cư tập trung đông đúc, có thể kinh doanh buôn bán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Khu vực khu dân cư mới, xung quanh chưa có nhiều hộ dân sinh sống, kinh doanh trung bình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Khu vực khu dân cư mới, dân cư tương đối gần khu vực trung tâm thị trấn, có thể kinh doanh buôn bán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Khu vực khu dân cư mới, xung quanh chưa có nhiều hộ dân sinh sống, kinh doanh trung bình</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Không lỗi phong thủy</w:t>
            </w:r>
            <w:r/>
          </w:p>
        </w:tc>
      </w:tr>
      <w:tr>
        <w:trPr>
          <w:trHeight w:val="1104"/>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 Đất đã san lấp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 Đất đã san lấp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 Đất đã san lấp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Hệ thống cấp điện, cấp thoát nước đầy đủ. Đất ruộng chưa san lấp</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Đất trống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1.280.000.000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1.320.000.000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950.000.000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1.088.000.000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1.122.000.000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902.500.000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b/>
                <w:bCs/>
              </w:rPr>
            </w:pPr>
            <w:r>
              <w:rPr>
                <w:rFonts w:ascii="Times New Roman" w:hAnsi="Times New Roman" w:eastAsia="Times New Roman" w:cs="Times New Roman"/>
                <w:b/>
                <w:bCs/>
                <w:color w:val="000000"/>
                <w:sz w:val="22"/>
              </w:rPr>
              <w:t xml:space="preserve">1.088.000.000</w:t>
            </w:r>
            <w:r>
              <w:rPr>
                <w:b/>
                <w:b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b/>
                <w:bCs/>
              </w:rPr>
            </w:pPr>
            <w:r>
              <w:rPr>
                <w:rFonts w:ascii="Times New Roman" w:hAnsi="Times New Roman" w:eastAsia="Times New Roman" w:cs="Times New Roman"/>
                <w:b/>
                <w:bCs/>
                <w:color w:val="000000"/>
                <w:sz w:val="22"/>
              </w:rPr>
              <w:t xml:space="preserve">1.122.000.000</w:t>
            </w:r>
            <w:r>
              <w:rPr>
                <w:b/>
                <w:b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b/>
                <w:bCs/>
              </w:rPr>
            </w:pPr>
            <w:r>
              <w:rPr>
                <w:rFonts w:ascii="Times New Roman" w:hAnsi="Times New Roman" w:eastAsia="Times New Roman" w:cs="Times New Roman"/>
                <w:b/>
                <w:bCs/>
                <w:color w:val="000000"/>
                <w:sz w:val="22"/>
              </w:rPr>
              <w:t xml:space="preserve">902.500.000</w:t>
            </w:r>
            <w:r>
              <w:rPr>
                <w:b/>
                <w:bCs/>
              </w:rP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b/>
                <w:bCs/>
              </w:rPr>
            </w:pPr>
            <w:r>
              <w:rPr>
                <w:rFonts w:ascii="Times New Roman" w:hAnsi="Times New Roman" w:eastAsia="Times New Roman" w:cs="Times New Roman"/>
                <w:b/>
                <w:bCs/>
                <w:color w:val="000000"/>
                <w:sz w:val="22"/>
              </w:rPr>
              <w:t xml:space="preserve">8.704.000</w:t>
            </w:r>
            <w:r>
              <w:rPr>
                <w:b/>
                <w:b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b/>
                <w:bCs/>
              </w:rPr>
            </w:pPr>
            <w:r>
              <w:rPr>
                <w:rFonts w:ascii="Times New Roman" w:hAnsi="Times New Roman" w:eastAsia="Times New Roman" w:cs="Times New Roman"/>
                <w:b/>
                <w:bCs/>
                <w:color w:val="000000"/>
                <w:sz w:val="22"/>
              </w:rPr>
              <w:t xml:space="preserve">11.220.000</w:t>
            </w:r>
            <w:r>
              <w:rPr>
                <w:b/>
                <w:bCs/>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b/>
                <w:bCs/>
              </w:rPr>
            </w:pPr>
            <w:r>
              <w:rPr>
                <w:rFonts w:ascii="Times New Roman" w:hAnsi="Times New Roman" w:eastAsia="Times New Roman" w:cs="Times New Roman"/>
                <w:b/>
                <w:bCs/>
                <w:color w:val="000000"/>
                <w:sz w:val="22"/>
              </w:rPr>
              <w:t xml:space="preserve">7.220.000</w:t>
            </w:r>
            <w:r>
              <w:rPr>
                <w:b/>
                <w:bCs/>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Diện tích đất nằm ngoài quy hoạch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Điều kiện cơ sở hạ tầng kỹ thuật và các yếu tố khác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Kém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856"/>
        <w:numPr>
          <w:ilvl w:val="0"/>
          <w:numId w:val="42"/>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0"/>
        <w:gridCol w:w="1686"/>
        <w:gridCol w:w="850"/>
        <w:gridCol w:w="1595"/>
        <w:gridCol w:w="1595"/>
        <w:gridCol w:w="1595"/>
        <w:gridCol w:w="1595"/>
      </w:tblGrid>
      <w:tr>
        <w:trPr>
          <w:trHeight w:val="630"/>
          <w:tblHeader/>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36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1.088.000.000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1.122.000.000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902.500.000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8.704.000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11.220.000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7.220.000</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8.704.000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11.220.000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7.220.000 </w:t>
            </w:r>
            <w:r/>
          </w:p>
        </w:tc>
      </w:tr>
      <w:tr>
        <w:trPr>
          <w:trHeight w:val="220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nằm tại tỉnh lộ 518, xã Quý Lộc, tỉnh Thanh Hoá; cách Ngã tư Bưu Điện Yên Lâm khoảng 2,4km, cách Tiểu học Yên Lâm khu B khoảng 600m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nằm tại tỉnh lộ 518, xã Quý Lộc, tỉnh Thanh Hoá; cách Ngã tư Bưu Điện Yên Lâm khoảng 1,2km, cách Cấp I, Cấp II Yên Lâm khoảng 1,3km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nằm tại tỉnh lộ 518, xã Quý Lộc, tỉnh Thanh Hoá; cách Ngã tư Bưu Điện Yên Lâm khoảng 1km, cách Cấp I, Cấp II Yên Lâm khoảng 1,1km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nằm tại tỉnh lộ 518, xã Quý Lộc, tỉnh Thanh Hoá; cách Ngã tư Bưu Điện Yên Lâm khoảng 2,1km, cách Cấp I, Cấp II Yên Lâm khoảng 2,2km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-1.305.600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-2.244.000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7.398.400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8.976.000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7.220.000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Khoảng 7m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Khoảng 7m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Khoảng 7m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Khoảng 7m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7.398.400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8.976.000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7.220.000 </w:t>
            </w:r>
            <w:r/>
          </w:p>
        </w:tc>
      </w:tr>
      <w:tr>
        <w:trPr>
          <w:trHeight w:val="82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Diện tích đất nằm ngoài quy hoạch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r>
            <w:r>
              <w:rPr>
                <w:rFonts w:ascii="Times New Roman" w:hAnsi="Times New Roman" w:eastAsia="Times New Roman" w:cs="Times New Roman"/>
                <w:b/>
                <w:color w:val="000000"/>
                <w:sz w:val="22"/>
              </w:rPr>
              <w:t xml:space="preserve">(m²)</w:t>
            </w:r>
            <w:r/>
            <w:r>
              <w:rPr>
                <w:rFonts w:ascii="Times New Roman" w:hAnsi="Times New Roman" w:eastAsia="Times New Roman" w:cs="Times New Roman"/>
                <w:b/>
                <w:color w:val="000000"/>
                <w:sz w:val="22"/>
              </w:rPr>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118,3</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125,0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125,0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-336.600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7.398.400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8.639.400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7.220.000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tcPr>
          <w:p>
            <w:pPr>
              <w:pBdr/>
              <w:spacing w:after="0" w:before="0" w:line="240"/>
              <w:ind w:right="0" w:firstLine="0" w:left="142"/>
              <w:rPr/>
            </w:pPr>
            <w:r>
              <w:rPr>
                <w:rFonts w:ascii="Times New Roman" w:hAnsi="Times New Roman" w:eastAsia="Times New Roman" w:cs="Times New Roman"/>
                <w:b/>
                <w:color w:val="000000"/>
                <w:sz w:val="22"/>
              </w:rPr>
              <w:t xml:space="preserve">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5,0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5,0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5,0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5,0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7.398.400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8.639.400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7.220.000 </w:t>
            </w:r>
            <w:r/>
          </w:p>
        </w:tc>
      </w:tr>
      <w:tr>
        <w:trPr>
          <w:trHeight w:val="175"/>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02 mặt tiền (lô góc)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01 mặt tiền</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870.400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1.122.000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722.000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8.268.800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9.761.400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7.942.000 </w:t>
            </w:r>
            <w:r/>
          </w:p>
        </w:tc>
      </w:tr>
      <w:tr>
        <w:trPr>
          <w:trHeight w:val="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Vuông vức</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8.268.800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9.761.400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7.942.000 </w:t>
            </w:r>
            <w:r/>
          </w:p>
        </w:tc>
      </w:tr>
      <w:tr>
        <w:trPr>
          <w:trHeight w:val="1497"/>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Khu vực khu dân cư cũ, dân cư tập trung đông đúc, có thể kinh doanh buôn bán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Khu vực khu dân cư mới, xung quanh chưa có nhiều hộ dân sinh sống, kinh doanh trung bình</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Khu vực khu dân cư mới, dân cư tương đối gần khu vực trung tâm thị trấn, có thể kinh doanh buôn bán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Khu vực khu dân cư mới, xung quanh chưa có nhiều hộ dân sinh sống, kinh doanh trung bình</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870.400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722.000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9.139.200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9.761.400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8.664.000 </w:t>
            </w:r>
            <w:r/>
          </w:p>
        </w:tc>
      </w:tr>
      <w:tr>
        <w:trPr>
          <w:trHeight w:val="144"/>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 Đất đã san lấp</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 Đất đã san lấp</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 Đất đã san lấp</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 Đất ruộng chưa san lấp</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361.000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9.139.200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9.761.400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9.025.000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tcPr>
          <w:p>
            <w:pPr>
              <w:pBdr/>
              <w:spacing w:after="0" w:before="0" w:line="240"/>
              <w:ind w:right="0" w:firstLine="0" w:left="142"/>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9.139.200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9.761.400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9.025.000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6" w:space="0"/>
              <w:right w:val="single" w:color="000000" w:sz="6" w:space="0"/>
            </w:tcBorders>
            <w:tcMar>
              <w:left w:w="0" w:type="dxa"/>
              <w:top w:w="0" w:type="dxa"/>
              <w:right w:w="0" w:type="dxa"/>
              <w:bottom w:w="0" w:type="dxa"/>
            </w:tcMar>
            <w:tcW w:w="4784"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9.308.533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-1,82%</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4,87%</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-3,05%</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15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3.046.400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3.702.600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1.805.000 </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10% - 15%</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 - 20%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 - 10%</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ind w:right="0" w:firstLine="0" w:left="142"/>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435.200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1.458.600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1.805.000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-3,05</w:t>
      </w:r>
      <w:r>
        <w:t xml:space="preserve">% đến</w:t>
      </w:r>
      <w:r>
        <w:t xml:space="preserve"> </w:t>
      </w:r>
      <w:r>
        <w:t xml:space="preserve">4,87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169"/>
        </w:trPr>
        <w:tc>
          <w:tcPr>
            <w:tcBorders>
              <w:top w:val="singl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9.139.200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3.047.009</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9.761.400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3.253.475</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9.025.000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3.008.033</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9.308.517</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9.300.000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9.300.000</w:t>
      </w:r>
      <w:r>
        <w:rPr>
          <w:b/>
          <w:bCs/>
          <w:color w:val="000000" w:themeColor="text1"/>
        </w:rPr>
        <w:t xml:space="preserve"> </w:t>
      </w:r>
      <w:r>
        <w:rPr>
          <w:b/>
          <w:bCs/>
        </w:rPr>
        <w:t xml:space="preserve">đồng/m².</w:t>
      </w:r>
      <w:r>
        <w:rPr>
          <w:b/>
          <w:bCs/>
        </w:rPr>
      </w:r>
      <w:r>
        <w:rPr>
          <w:b/>
          <w:bCs/>
        </w:rPr>
      </w:r>
    </w:p>
    <w:p>
      <w:pPr>
        <w:pStyle w:val="856"/>
        <w:numPr>
          <w:ilvl w:val="0"/>
          <w:numId w:val="26"/>
        </w:numPr>
        <w:pBdr/>
        <w:spacing w:after="120" w:before="120" w:line="276" w:lineRule="auto"/>
        <w:ind w:hanging="357" w:left="357"/>
        <w:jc w:val="both"/>
        <w:rPr>
          <w:b/>
          <w:bCs/>
        </w:rPr>
      </w:pPr>
      <w:r>
        <w:rPr>
          <w:b/>
          <w:bCs/>
        </w:rPr>
        <w:t xml:space="preserve">Xác định đơn giá quyền sử dụng đất ở nằm </w:t>
      </w:r>
      <w:r>
        <w:rPr>
          <w:b/>
          <w:bCs/>
        </w:rPr>
        <w:t xml:space="preserve">trong chỉ giới QHGT</w:t>
      </w:r>
      <w:r>
        <w:rPr>
          <w:b/>
          <w:bCs/>
        </w:rPr>
        <w:t xml:space="preserve">:</w:t>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z w:val="24"/>
        </w:rPr>
        <w:t xml:space="preserve">Theo GCN số </w:t>
      </w:r>
      <w:r>
        <w:rPr>
          <w:rFonts w:ascii="Times New Roman" w:hAnsi="Times New Roman" w:eastAsia="Times New Roman" w:cs="Times New Roman"/>
          <w:color w:val="000000"/>
          <w:sz w:val="24"/>
        </w:rPr>
        <w:t xml:space="preserve">DL 914994</w:t>
      </w:r>
      <w:r>
        <w:rPr>
          <w:rFonts w:ascii="Times New Roman" w:hAnsi="Times New Roman" w:eastAsia="Times New Roman" w:cs="Times New Roman"/>
          <w:color w:val="000000"/>
          <w:sz w:val="24"/>
        </w:rPr>
        <w:t xml:space="preserve"> thửa đất 366 có </w:t>
      </w:r>
      <w:r>
        <w:rPr>
          <w:rFonts w:ascii="Times New Roman" w:hAnsi="Times New Roman" w:eastAsia="Times New Roman" w:cs="Times New Roman"/>
          <w:color w:val="000000"/>
          <w:sz w:val="24"/>
        </w:rPr>
        <w:t xml:space="preserve">khoảng 30m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nằm trong chỉ giới quy hoạch giao thông;</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 và Theo GCN số </w:t>
      </w:r>
      <w:r>
        <w:rPr>
          <w:rFonts w:ascii="Times New Roman" w:hAnsi="Times New Roman" w:eastAsia="Times New Roman" w:cs="Times New Roman"/>
          <w:color w:val="000000"/>
          <w:sz w:val="24"/>
        </w:rPr>
        <w:t xml:space="preserve">DL 914995</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thửa đất 365 có khoảng 30m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nằm trong chỉ giới quy hoạch giao thông</w:t>
      </w:r>
      <w:r>
        <w:rPr>
          <w:rFonts w:ascii="Times New Roman" w:hAnsi="Times New Roman" w:eastAsia="Times New Roman" w:cs="Times New Roman"/>
          <w:color w:val="000000"/>
          <w:sz w:val="24"/>
        </w:rPr>
        <w:t xml:space="preserve">, hiện nay chưa có thông báo thu hồi đất/quyết định thu hồi đất/phương án giải tỏa bồi thường. Cho mục đích định giá tại báo cáo này, và theo đề nghị của Ngân hàng/Khách hàng, tổ thẩm định xác định đơn giá quyền sử dụng</w:t>
      </w:r>
      <w:r>
        <w:rPr>
          <w:rFonts w:ascii="Times New Roman" w:hAnsi="Times New Roman" w:eastAsia="Times New Roman" w:cs="Times New Roman"/>
          <w:color w:val="000000"/>
          <w:sz w:val="24"/>
        </w:rPr>
        <w:t xml:space="preserve"> đất phần diện tích này theo khung giá UBND hiện hành. </w:t>
      </w: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z w:val="24"/>
        </w:rPr>
        <w:t xml:space="preserve">Căn cứ </w:t>
      </w:r>
      <w:r>
        <w:rPr>
          <w:rFonts w:ascii="Times New Roman" w:hAnsi="Times New Roman" w:eastAsia="Times New Roman" w:cs="Times New Roman"/>
          <w:color w:val="000000"/>
          <w:sz w:val="24"/>
        </w:rPr>
        <w:t xml:space="preserve">Nghị quyết số 52/2025/NQ-HĐND ngày 09 tháng 12 năm 2025 của Hội đồng nhân dân tỉnh Thanh Hoá nghị quyết quyết định Bảng giá đất lần đầu để công bố và áp dụng từ ngày 01 tháng 01 năm 2026 trên địa bàn tỉnh Thanh Hoá</w:t>
      </w:r>
      <w:r>
        <w:rPr>
          <w:rFonts w:ascii="Times New Roman" w:hAnsi="Times New Roman" w:eastAsia="Times New Roman" w:cs="Times New Roman"/>
          <w:color w:val="000000"/>
          <w:sz w:val="24"/>
        </w:rPr>
        <w:t xml:space="preserve">, Đơn giá đất ở tại địa bàn thẩm định giá: </w:t>
      </w:r>
      <w:r>
        <w:rPr>
          <w:rFonts w:ascii="Times New Roman" w:hAnsi="Times New Roman" w:eastAsia="Times New Roman" w:cs="Times New Roman"/>
          <w:i/>
          <w:color w:val="000000"/>
          <w:sz w:val="24"/>
        </w:rPr>
        <w:t xml:space="preserve">“Xã Quý Lộc -</w:t>
      </w:r>
      <w:r>
        <w:rPr>
          <w:rFonts w:ascii="Times New Roman" w:hAnsi="Times New Roman" w:eastAsia="Times New Roman" w:cs="Times New Roman"/>
          <w:i/>
          <w:color w:val="000000"/>
          <w:sz w:val="24"/>
        </w:rPr>
        <w:t xml:space="preserve"> Tỉnh lộ 518: Đoạn từ giáp dân cư thôn Phong Mỹ đến ngã ba đi thị trấn Quý Lộc</w:t>
      </w:r>
      <w:r>
        <w:rPr>
          <w:rFonts w:ascii="Times New Roman" w:hAnsi="Times New Roman" w:eastAsia="Times New Roman" w:cs="Times New Roman"/>
          <w:i/>
          <w:color w:val="000000"/>
          <w:sz w:val="24"/>
        </w:rPr>
        <w:t xml:space="preserve">, Vị trí 1 là:2.500.000 đồng/m</w:t>
      </w:r>
      <w:r>
        <w:rPr>
          <w:rFonts w:ascii="Times New Roman" w:hAnsi="Times New Roman" w:eastAsia="Times New Roman" w:cs="Times New Roman"/>
          <w:i/>
          <w:color w:val="000000"/>
          <w:sz w:val="24"/>
          <w:vertAlign w:val="superscript"/>
        </w:rPr>
        <w:t xml:space="preserve">2</w:t>
      </w:r>
      <w:r>
        <w:rPr>
          <w:rFonts w:ascii="Times New Roman" w:hAnsi="Times New Roman" w:eastAsia="Times New Roman" w:cs="Times New Roman"/>
          <w:i/>
          <w:color w:val="000000"/>
          <w:sz w:val="24"/>
        </w:rPr>
        <w:t xml:space="preserve">.”</w:t>
      </w:r>
      <w:r/>
    </w:p>
    <w:p>
      <w:pPr>
        <w:pBdr/>
        <w:spacing w:after="0" w:before="0" w:line="324" w:lineRule="auto"/>
        <w:ind/>
        <w:rPr/>
      </w:pPr>
      <w:r>
        <w:rPr>
          <w:rFonts w:ascii="Times New Roman" w:hAnsi="Times New Roman" w:eastAsia="Times New Roman" w:cs="Times New Roman"/>
          <w:color w:val="000000"/>
          <w:sz w:val="24"/>
        </w:rPr>
        <w:t xml:space="preserve">=&gt; Đơn giá </w:t>
      </w:r>
      <w:r>
        <w:rPr>
          <w:rFonts w:ascii="Times New Roman" w:hAnsi="Times New Roman" w:eastAsia="Times New Roman" w:cs="Times New Roman"/>
          <w:color w:val="000000"/>
          <w:sz w:val="24"/>
        </w:rPr>
        <w:t xml:space="preserve">Đất ở nằm trong chỉ giới QHGT</w:t>
      </w:r>
      <w:r/>
      <w:r/>
      <w:r>
        <w:rPr>
          <w:rFonts w:ascii="Times New Roman" w:hAnsi="Times New Roman" w:eastAsia="Times New Roman" w:cs="Times New Roman"/>
          <w:color w:val="000000"/>
          <w:sz w:val="24"/>
        </w:rPr>
        <w:t xml:space="preserve"> là: </w:t>
      </w:r>
      <w:r>
        <w:rPr>
          <w:rFonts w:ascii="Times New Roman" w:hAnsi="Times New Roman" w:eastAsia="Times New Roman" w:cs="Times New Roman"/>
          <w:b/>
          <w:color w:val="000000"/>
          <w:sz w:val="24"/>
        </w:rPr>
        <w:t xml:space="preserve">2.500.000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w:t>
      </w:r>
      <w:r/>
      <w: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4/2026</w:t>
      </w:r>
      <w:r>
        <w:t xml:space="preserve"> </w:t>
      </w:r>
      <w:r>
        <w:t xml:space="preserve">ước tính </w:t>
      </w:r>
      <w:r>
        <w:t xml:space="preserve">như sau</w:t>
      </w:r>
      <w:r>
        <w:t xml:space="preserve">:</w:t>
      </w: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3402"/>
        <w:gridCol w:w="1417"/>
        <w:gridCol w:w="1804"/>
        <w:gridCol w:w="1951"/>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TT</w:t>
            </w: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402"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Tài sản</w:t>
            </w: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Diện tích </w:t>
              <w:br/>
              <w:t xml:space="preserve">(m²)</w:t>
            </w: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04"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Đơn giá </w:t>
              <w:br/>
              <w:t xml:space="preserve">(đồng/m²)</w:t>
            </w:r>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51"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Thành tiền </w:t>
              <w:br/>
              <w:t xml:space="preserve">(đồng)</w:t>
            </w:r>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01</w:t>
            </w:r>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22" w:type="dxa"/>
            <w:vAlign w:val="center"/>
            <w:textDirection w:val="lrTb"/>
            <w:noWrap w:val="false"/>
          </w:tcPr>
          <w:p>
            <w:pPr>
              <w:pBdr/>
              <w:spacing w:after="0" w:before="0" w:line="324" w:lineRule="auto"/>
              <w:ind w:right="103" w:firstLine="0" w:left="142"/>
              <w:jc w:val="both"/>
              <w:rPr/>
            </w:pPr>
            <w:r>
              <w:rPr>
                <w:rFonts w:ascii="Times New Roman" w:hAnsi="Times New Roman" w:eastAsia="Times New Roman" w:cs="Times New Roman"/>
                <w:b/>
                <w:color w:val="000000"/>
                <w:sz w:val="24"/>
              </w:rPr>
              <w:t xml:space="preserve">Giá trị quyền sử dụng đất tại thửa đất số: 366, tờ bản đồ số 53, đo vẽ năm 2012 có địa chỉ: Tổ dân phố Phong Mỹ, thị trấn Yên Lâm, huyện Yên Định, tỉnh Thanh Hoá (</w:t>
            </w:r>
            <w:r>
              <w:rPr>
                <w:rFonts w:ascii="Times New Roman" w:hAnsi="Times New Roman" w:eastAsia="Times New Roman" w:cs="Times New Roman"/>
                <w:b/>
                <w:i/>
                <w:iCs/>
                <w:color w:val="000000"/>
                <w:sz w:val="24"/>
              </w:rPr>
              <w:t xml:space="preserve">Nay là xã Quý Lộc, tỉnh Thanh Hoá)</w:t>
            </w:r>
            <w:r>
              <w:rPr>
                <w:rFonts w:ascii="Times New Roman" w:hAnsi="Times New Roman" w:eastAsia="Times New Roman" w:cs="Times New Roman"/>
                <w:b/>
                <w:color w:val="000000"/>
                <w:sz w:val="24"/>
              </w:rPr>
              <w:t xml:space="preserve"> theo Giấy chứng nhận quyền sử dụng đất quyền sở hữu nhà ở </w:t>
            </w:r>
            <w:r>
              <w:rPr>
                <w:rFonts w:ascii="Times New Roman" w:hAnsi="Times New Roman" w:eastAsia="Times New Roman" w:cs="Times New Roman"/>
                <w:b/>
                <w:color w:val="000000"/>
                <w:sz w:val="24"/>
              </w:rPr>
              <w:t xml:space="preserve">và tài sản khác gắn liền với đất số: DL 914994, số vào sổ cấp GCN: CN 00758 do Chi nhánh Văn phòng đăng ký đất đai huyện Yên Định cấp ngày 29/8/2023; Chủ sử dụng đất là Ông Lê Doãn Vượng.</w:t>
            </w:r>
            <w:r/>
            <w:r/>
          </w:p>
        </w:tc>
        <w:tc>
          <w:tcPr>
            <w:shd w:val="clear" w:color="ffffff" w:fill="ffffff"/>
            <w:tcBorders>
              <w:bottom w:val="single" w:color="000000" w:sz="6" w:space="0"/>
              <w:right w:val="single" w:color="000000" w:sz="6" w:space="0"/>
            </w:tcBorders>
            <w:tcMar>
              <w:left w:w="0" w:type="dxa"/>
              <w:top w:w="0" w:type="dxa"/>
              <w:right w:w="0" w:type="dxa"/>
              <w:bottom w:w="0" w:type="dxa"/>
            </w:tcMar>
            <w:tcW w:w="1951"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963.800.000</w:t>
            </w:r>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6" w:space="0"/>
              <w:right w:val="single" w:color="000000" w:sz="6" w:space="0"/>
            </w:tcBorders>
            <w:tcMar>
              <w:left w:w="0" w:type="dxa"/>
              <w:top w:w="0" w:type="dxa"/>
              <w:right w:w="0" w:type="dxa"/>
              <w:bottom w:w="0" w:type="dxa"/>
            </w:tcMar>
            <w:tcW w:w="3402" w:type="dxa"/>
            <w:vAlign w:val="center"/>
            <w:textDirection w:val="lrTb"/>
            <w:noWrap w:val="false"/>
          </w:tcPr>
          <w:p>
            <w:pPr>
              <w:pBdr/>
              <w:spacing w:after="0" w:before="0" w:line="324" w:lineRule="auto"/>
              <w:ind w:right="103" w:firstLine="0" w:left="142"/>
              <w:rPr/>
            </w:pPr>
            <w:r>
              <w:rPr>
                <w:rFonts w:ascii="Times New Roman" w:hAnsi="Times New Roman" w:eastAsia="Times New Roman" w:cs="Times New Roman"/>
                <w:color w:val="000000"/>
                <w:sz w:val="24"/>
              </w:rPr>
              <w:t xml:space="preserve">Đất ở nằm ngoài chỉ giới QHGT</w:t>
            </w:r>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324" w:lineRule="auto"/>
              <w:ind w:right="103" w:firstLine="0" w:left="142"/>
              <w:jc w:val="center"/>
              <w:rPr/>
            </w:pPr>
            <w:r>
              <w:rPr>
                <w:rFonts w:ascii="Times New Roman" w:hAnsi="Times New Roman" w:eastAsia="Times New Roman" w:cs="Times New Roman"/>
                <w:color w:val="000000"/>
                <w:sz w:val="24"/>
              </w:rPr>
              <w:t xml:space="preserve">101,0</w:t>
            </w:r>
            <w:r/>
            <w:r/>
          </w:p>
        </w:tc>
        <w:tc>
          <w:tcPr>
            <w:shd w:val="clear" w:color="ffffff" w:fill="ffffff"/>
            <w:tcBorders>
              <w:bottom w:val="single" w:color="000000" w:sz="6" w:space="0"/>
              <w:right w:val="single" w:color="000000" w:sz="6" w:space="0"/>
            </w:tcBorders>
            <w:tcMar>
              <w:left w:w="0" w:type="dxa"/>
              <w:top w:w="0" w:type="dxa"/>
              <w:right w:w="0" w:type="dxa"/>
              <w:bottom w:w="0" w:type="dxa"/>
            </w:tcMar>
            <w:tcW w:w="1804" w:type="dxa"/>
            <w:vAlign w:val="center"/>
            <w:textDirection w:val="lrTb"/>
            <w:noWrap w:val="false"/>
          </w:tcPr>
          <w:p>
            <w:pPr>
              <w:pBdr/>
              <w:spacing w:after="0" w:before="0" w:line="324" w:lineRule="auto"/>
              <w:ind w:right="103" w:firstLine="0" w:left="142"/>
              <w:jc w:val="center"/>
              <w:rPr/>
            </w:pPr>
            <w:r>
              <w:rPr>
                <w:rFonts w:ascii="Times New Roman" w:hAnsi="Times New Roman" w:eastAsia="Times New Roman" w:cs="Times New Roman"/>
                <w:color w:val="000000"/>
                <w:sz w:val="24"/>
              </w:rPr>
              <w:t xml:space="preserve">8.800.000</w:t>
            </w:r>
            <w:r/>
            <w:r/>
          </w:p>
        </w:tc>
        <w:tc>
          <w:tcPr>
            <w:shd w:val="clear" w:color="ffffff" w:fill="ffffff"/>
            <w:tcBorders>
              <w:bottom w:val="single" w:color="000000" w:sz="6" w:space="0"/>
              <w:right w:val="single" w:color="000000" w:sz="6" w:space="0"/>
            </w:tcBorders>
            <w:tcMar>
              <w:left w:w="0" w:type="dxa"/>
              <w:top w:w="0" w:type="dxa"/>
              <w:right w:w="0" w:type="dxa"/>
              <w:bottom w:w="0" w:type="dxa"/>
            </w:tcMar>
            <w:tcW w:w="1951" w:type="dxa"/>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888.800.000</w:t>
            </w:r>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6" w:space="0"/>
              <w:right w:val="single" w:color="000000" w:sz="6" w:space="0"/>
            </w:tcBorders>
            <w:tcMar>
              <w:left w:w="0" w:type="dxa"/>
              <w:top w:w="0" w:type="dxa"/>
              <w:right w:w="0" w:type="dxa"/>
              <w:bottom w:w="0" w:type="dxa"/>
            </w:tcMar>
            <w:tcW w:w="3402" w:type="dxa"/>
            <w:vAlign w:val="center"/>
            <w:textDirection w:val="lrTb"/>
            <w:noWrap w:val="false"/>
          </w:tcPr>
          <w:p>
            <w:pPr>
              <w:pBdr/>
              <w:spacing w:after="0" w:before="0" w:line="324" w:lineRule="auto"/>
              <w:ind w:right="103" w:firstLine="0" w:left="142"/>
              <w:rPr/>
            </w:pPr>
            <w:r>
              <w:rPr>
                <w:rFonts w:ascii="Times New Roman" w:hAnsi="Times New Roman" w:eastAsia="Times New Roman" w:cs="Times New Roman"/>
                <w:color w:val="000000"/>
                <w:sz w:val="24"/>
              </w:rPr>
              <w:t xml:space="preserve">Đất ở nằm trong chỉ giới QHGT</w:t>
            </w:r>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324" w:lineRule="auto"/>
              <w:ind w:right="103" w:firstLine="0" w:left="142"/>
              <w:jc w:val="center"/>
              <w:rPr/>
            </w:pPr>
            <w:r>
              <w:rPr>
                <w:rFonts w:ascii="Times New Roman" w:hAnsi="Times New Roman" w:eastAsia="Times New Roman" w:cs="Times New Roman"/>
                <w:color w:val="000000"/>
                <w:sz w:val="24"/>
              </w:rPr>
              <w:t xml:space="preserve">30,0</w:t>
            </w:r>
            <w:r/>
            <w:r/>
          </w:p>
        </w:tc>
        <w:tc>
          <w:tcPr>
            <w:shd w:val="clear" w:color="ffffff" w:fill="ffffff"/>
            <w:tcBorders>
              <w:bottom w:val="single" w:color="000000" w:sz="6" w:space="0"/>
              <w:right w:val="single" w:color="000000" w:sz="6" w:space="0"/>
            </w:tcBorders>
            <w:tcMar>
              <w:left w:w="0" w:type="dxa"/>
              <w:top w:w="0" w:type="dxa"/>
              <w:right w:w="0" w:type="dxa"/>
              <w:bottom w:w="0" w:type="dxa"/>
            </w:tcMar>
            <w:tcW w:w="1804" w:type="dxa"/>
            <w:vAlign w:val="center"/>
            <w:textDirection w:val="lrTb"/>
            <w:noWrap w:val="false"/>
          </w:tcPr>
          <w:p>
            <w:pPr>
              <w:pBdr/>
              <w:spacing w:after="0" w:before="0" w:line="324" w:lineRule="auto"/>
              <w:ind w:right="103" w:firstLine="0" w:left="142"/>
              <w:jc w:val="center"/>
              <w:rPr/>
            </w:pPr>
            <w:r>
              <w:rPr>
                <w:rFonts w:ascii="Times New Roman" w:hAnsi="Times New Roman" w:eastAsia="Times New Roman" w:cs="Times New Roman"/>
                <w:color w:val="000000"/>
                <w:sz w:val="24"/>
              </w:rPr>
              <w:t xml:space="preserve">2.500.000</w:t>
            </w:r>
            <w:r/>
            <w:r/>
          </w:p>
        </w:tc>
        <w:tc>
          <w:tcPr>
            <w:shd w:val="clear" w:color="ffffff" w:fill="ffffff"/>
            <w:tcBorders>
              <w:bottom w:val="single" w:color="000000" w:sz="6" w:space="0"/>
              <w:right w:val="single" w:color="000000" w:sz="6" w:space="0"/>
            </w:tcBorders>
            <w:tcMar>
              <w:left w:w="0" w:type="dxa"/>
              <w:top w:w="0" w:type="dxa"/>
              <w:right w:w="0" w:type="dxa"/>
              <w:bottom w:w="0" w:type="dxa"/>
            </w:tcMar>
            <w:tcW w:w="1951" w:type="dxa"/>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75.000.000</w:t>
            </w:r>
            <w:r/>
            <w:r/>
          </w:p>
        </w:tc>
      </w:tr>
      <w:tr>
        <w:trPr>
          <w:trHeight w:val="222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02</w:t>
            </w:r>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22" w:type="dxa"/>
            <w:vAlign w:val="center"/>
            <w:textDirection w:val="lrTb"/>
            <w:noWrap w:val="false"/>
          </w:tcPr>
          <w:p>
            <w:pPr>
              <w:pBdr/>
              <w:spacing w:after="0" w:before="0" w:line="324" w:lineRule="auto"/>
              <w:ind w:right="103" w:firstLine="0" w:left="142"/>
              <w:jc w:val="both"/>
              <w:rPr/>
            </w:pPr>
            <w:r>
              <w:rPr>
                <w:rFonts w:ascii="Times New Roman" w:hAnsi="Times New Roman" w:eastAsia="Times New Roman" w:cs="Times New Roman"/>
                <w:b/>
                <w:color w:val="000000"/>
                <w:sz w:val="24"/>
              </w:rPr>
              <w:t xml:space="preserve">Giá trị quyền sử dụng đất tại thửa đất số: 365, tờ bản đồ số 53, đo vẽ năm 2012 có địa chỉ: Tổ dân phố Phong Mỹ, thị trấn Yên Lâm, huyện Yên Định, tỉnh Thanh Hoá (</w:t>
            </w:r>
            <w:r>
              <w:rPr>
                <w:rFonts w:ascii="Times New Roman" w:hAnsi="Times New Roman" w:eastAsia="Times New Roman" w:cs="Times New Roman"/>
                <w:b/>
                <w:i/>
                <w:iCs/>
                <w:color w:val="000000"/>
                <w:sz w:val="24"/>
              </w:rPr>
              <w:t xml:space="preserve">Nay là xã Quý Lộc, tỉnh Thanh Hoá</w:t>
            </w:r>
            <w:r>
              <w:rPr>
                <w:rFonts w:ascii="Times New Roman" w:hAnsi="Times New Roman" w:eastAsia="Times New Roman" w:cs="Times New Roman"/>
                <w:b/>
                <w:color w:val="000000"/>
                <w:sz w:val="24"/>
              </w:rPr>
              <w:t xml:space="preserve">) theo Giấy chứng nhận quyền sử dụng đất quyền sở hữu nhà ở </w:t>
            </w:r>
            <w:r>
              <w:rPr>
                <w:rFonts w:ascii="Times New Roman" w:hAnsi="Times New Roman" w:eastAsia="Times New Roman" w:cs="Times New Roman"/>
                <w:b/>
                <w:color w:val="000000"/>
                <w:sz w:val="24"/>
              </w:rPr>
              <w:t xml:space="preserve">và tài sản khác gắn liền với đất số: DL 914995, số vào sổ cấp GCN: CN 00759 do Chi nhánh Văn phòng đăng ký đất đai huyện Yên Định cấp ngày 29/8/2023; Chủ sử dụng đất là Ông Lê Doãn Phúc.</w:t>
            </w:r>
            <w:r/>
            <w:r/>
          </w:p>
        </w:tc>
        <w:tc>
          <w:tcPr>
            <w:shd w:val="clear" w:color="ffffff" w:fill="ffffff"/>
            <w:tcBorders>
              <w:bottom w:val="single" w:color="000000" w:sz="6" w:space="0"/>
              <w:right w:val="single" w:color="000000" w:sz="6" w:space="0"/>
            </w:tcBorders>
            <w:tcMar>
              <w:left w:w="0" w:type="dxa"/>
              <w:top w:w="0" w:type="dxa"/>
              <w:right w:w="0" w:type="dxa"/>
              <w:bottom w:w="0" w:type="dxa"/>
            </w:tcMar>
            <w:tcW w:w="1951" w:type="dxa"/>
            <w:vAlign w:val="center"/>
            <w:textDirection w:val="lrTb"/>
            <w:noWrap w:val="false"/>
          </w:tcPr>
          <w:p>
            <w:pPr>
              <w:pBdr/>
              <w:spacing w:after="0" w:before="0" w:line="324" w:lineRule="auto"/>
              <w:ind/>
              <w:jc w:val="center"/>
              <w:rPr/>
            </w:pPr>
            <w:r>
              <w:rPr>
                <w:rFonts w:ascii="Times New Roman" w:hAnsi="Times New Roman" w:eastAsia="Times New Roman" w:cs="Times New Roman"/>
                <w:b/>
                <w:color w:val="000000"/>
                <w:sz w:val="24"/>
              </w:rPr>
              <w:t xml:space="preserve">1.175.190.000</w:t>
            </w:r>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6" w:space="0"/>
              <w:right w:val="single" w:color="000000" w:sz="6" w:space="0"/>
            </w:tcBorders>
            <w:tcMar>
              <w:left w:w="0" w:type="dxa"/>
              <w:top w:w="0" w:type="dxa"/>
              <w:right w:w="0" w:type="dxa"/>
              <w:bottom w:w="0" w:type="dxa"/>
            </w:tcMar>
            <w:tcW w:w="3402" w:type="dxa"/>
            <w:vAlign w:val="center"/>
            <w:textDirection w:val="lrTb"/>
            <w:noWrap w:val="false"/>
          </w:tcPr>
          <w:p>
            <w:pPr>
              <w:pBdr/>
              <w:spacing w:after="0" w:before="0" w:line="324" w:lineRule="auto"/>
              <w:ind w:right="0" w:firstLine="0" w:left="142"/>
              <w:rPr/>
            </w:pPr>
            <w:r>
              <w:rPr>
                <w:rFonts w:ascii="Times New Roman" w:hAnsi="Times New Roman" w:eastAsia="Times New Roman" w:cs="Times New Roman"/>
                <w:color w:val="000000"/>
                <w:sz w:val="24"/>
              </w:rPr>
              <w:t xml:space="preserve">Đất ở nằm ngoài chỉ giới QHGT</w:t>
            </w:r>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324" w:lineRule="auto"/>
              <w:ind w:right="0" w:firstLine="0" w:left="142"/>
              <w:jc w:val="center"/>
              <w:rPr/>
            </w:pPr>
            <w:r>
              <w:rPr>
                <w:rFonts w:ascii="Times New Roman" w:hAnsi="Times New Roman" w:eastAsia="Times New Roman" w:cs="Times New Roman"/>
                <w:color w:val="000000"/>
                <w:sz w:val="24"/>
              </w:rPr>
              <w:t xml:space="preserve">118,3</w:t>
            </w:r>
            <w:r/>
            <w:r/>
          </w:p>
        </w:tc>
        <w:tc>
          <w:tcPr>
            <w:shd w:val="clear" w:color="ffffff" w:fill="ffffff"/>
            <w:tcBorders>
              <w:bottom w:val="single" w:color="000000" w:sz="6" w:space="0"/>
              <w:right w:val="single" w:color="000000" w:sz="6" w:space="0"/>
            </w:tcBorders>
            <w:tcMar>
              <w:left w:w="0" w:type="dxa"/>
              <w:top w:w="0" w:type="dxa"/>
              <w:right w:w="0" w:type="dxa"/>
              <w:bottom w:w="0" w:type="dxa"/>
            </w:tcMar>
            <w:tcW w:w="1804" w:type="dxa"/>
            <w:vAlign w:val="center"/>
            <w:textDirection w:val="lrTb"/>
            <w:noWrap w:val="false"/>
          </w:tcPr>
          <w:p>
            <w:pPr>
              <w:pBdr/>
              <w:spacing w:after="0" w:before="0" w:line="324" w:lineRule="auto"/>
              <w:ind w:right="0" w:firstLine="0" w:left="142"/>
              <w:jc w:val="center"/>
              <w:rPr/>
            </w:pPr>
            <w:r>
              <w:rPr>
                <w:rFonts w:ascii="Times New Roman" w:hAnsi="Times New Roman" w:eastAsia="Times New Roman" w:cs="Times New Roman"/>
                <w:color w:val="000000"/>
                <w:sz w:val="24"/>
              </w:rPr>
              <w:t xml:space="preserve">9.300.000</w:t>
            </w:r>
            <w:r/>
            <w:r/>
          </w:p>
        </w:tc>
        <w:tc>
          <w:tcPr>
            <w:shd w:val="clear" w:color="ffffff" w:fill="ffffff"/>
            <w:tcBorders>
              <w:bottom w:val="single" w:color="000000" w:sz="6" w:space="0"/>
              <w:right w:val="single" w:color="000000" w:sz="6" w:space="0"/>
            </w:tcBorders>
            <w:tcMar>
              <w:left w:w="0" w:type="dxa"/>
              <w:top w:w="0" w:type="dxa"/>
              <w:right w:w="0" w:type="dxa"/>
              <w:bottom w:w="0" w:type="dxa"/>
            </w:tcMar>
            <w:tcW w:w="1951" w:type="dxa"/>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1.100.190.000</w:t>
            </w:r>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w:t>
            </w:r>
            <w:r/>
            <w:r/>
          </w:p>
        </w:tc>
        <w:tc>
          <w:tcPr>
            <w:shd w:val="clear" w:color="ffffff" w:fill="ffffff"/>
            <w:tcBorders>
              <w:bottom w:val="single" w:color="000000" w:sz="6" w:space="0"/>
              <w:right w:val="single" w:color="000000" w:sz="6" w:space="0"/>
            </w:tcBorders>
            <w:tcMar>
              <w:left w:w="0" w:type="dxa"/>
              <w:top w:w="0" w:type="dxa"/>
              <w:right w:w="0" w:type="dxa"/>
              <w:bottom w:w="0" w:type="dxa"/>
            </w:tcMar>
            <w:tcW w:w="3402" w:type="dxa"/>
            <w:vAlign w:val="center"/>
            <w:textDirection w:val="lrTb"/>
            <w:noWrap w:val="false"/>
          </w:tcPr>
          <w:p>
            <w:pPr>
              <w:pBdr/>
              <w:spacing w:after="0" w:before="0" w:line="324" w:lineRule="auto"/>
              <w:ind w:right="0" w:firstLine="0" w:left="142"/>
              <w:rPr/>
            </w:pPr>
            <w:r>
              <w:rPr>
                <w:rFonts w:ascii="Times New Roman" w:hAnsi="Times New Roman" w:eastAsia="Times New Roman" w:cs="Times New Roman"/>
                <w:color w:val="000000"/>
                <w:sz w:val="24"/>
              </w:rPr>
              <w:t xml:space="preserve">Đất ở nằm trong chỉ giới QHGT</w:t>
            </w:r>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324" w:lineRule="auto"/>
              <w:ind w:right="0" w:firstLine="0" w:left="142"/>
              <w:jc w:val="center"/>
              <w:rPr/>
            </w:pPr>
            <w:r>
              <w:rPr>
                <w:rFonts w:ascii="Times New Roman" w:hAnsi="Times New Roman" w:eastAsia="Times New Roman" w:cs="Times New Roman"/>
                <w:color w:val="000000"/>
                <w:sz w:val="24"/>
              </w:rPr>
              <w:t xml:space="preserve">30,0</w:t>
            </w:r>
            <w:r/>
            <w:r/>
          </w:p>
        </w:tc>
        <w:tc>
          <w:tcPr>
            <w:shd w:val="clear" w:color="ffffff" w:fill="ffffff"/>
            <w:tcBorders>
              <w:bottom w:val="single" w:color="000000" w:sz="6" w:space="0"/>
              <w:right w:val="single" w:color="000000" w:sz="6" w:space="0"/>
            </w:tcBorders>
            <w:tcMar>
              <w:left w:w="0" w:type="dxa"/>
              <w:top w:w="0" w:type="dxa"/>
              <w:right w:w="0" w:type="dxa"/>
              <w:bottom w:w="0" w:type="dxa"/>
            </w:tcMar>
            <w:tcW w:w="1804" w:type="dxa"/>
            <w:vAlign w:val="center"/>
            <w:textDirection w:val="lrTb"/>
            <w:noWrap w:val="false"/>
          </w:tcPr>
          <w:p>
            <w:pPr>
              <w:pBdr/>
              <w:spacing w:after="0" w:before="0" w:line="324" w:lineRule="auto"/>
              <w:ind w:right="0" w:firstLine="0" w:left="142"/>
              <w:jc w:val="center"/>
              <w:rPr/>
            </w:pPr>
            <w:r>
              <w:rPr>
                <w:rFonts w:ascii="Times New Roman" w:hAnsi="Times New Roman" w:eastAsia="Times New Roman" w:cs="Times New Roman"/>
                <w:color w:val="000000"/>
                <w:sz w:val="24"/>
              </w:rPr>
              <w:t xml:space="preserve">2.500.000</w:t>
            </w:r>
            <w:r/>
            <w:r/>
          </w:p>
        </w:tc>
        <w:tc>
          <w:tcPr>
            <w:shd w:val="clear" w:color="ffffff" w:fill="ffffff"/>
            <w:tcBorders>
              <w:bottom w:val="single" w:color="000000" w:sz="6" w:space="0"/>
              <w:right w:val="single" w:color="000000" w:sz="6" w:space="0"/>
            </w:tcBorders>
            <w:tcMar>
              <w:left w:w="0" w:type="dxa"/>
              <w:top w:w="0" w:type="dxa"/>
              <w:right w:w="0" w:type="dxa"/>
              <w:bottom w:w="0" w:type="dxa"/>
            </w:tcMar>
            <w:tcW w:w="1951" w:type="dxa"/>
            <w:vAlign w:val="center"/>
            <w:textDirection w:val="lrTb"/>
            <w:noWrap w:val="false"/>
          </w:tcPr>
          <w:p>
            <w:pPr>
              <w:pBdr/>
              <w:spacing w:after="0" w:before="0" w:line="324" w:lineRule="auto"/>
              <w:ind/>
              <w:jc w:val="center"/>
              <w:rPr/>
            </w:pPr>
            <w:r>
              <w:rPr>
                <w:rFonts w:ascii="Times New Roman" w:hAnsi="Times New Roman" w:eastAsia="Times New Roman" w:cs="Times New Roman"/>
                <w:color w:val="000000"/>
                <w:sz w:val="24"/>
              </w:rPr>
              <w:t xml:space="preserve">75.000.000</w:t>
            </w:r>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59" w:type="dxa"/>
            <w:vAlign w:val="center"/>
            <w:textDirection w:val="lrTb"/>
            <w:noWrap/>
          </w:tcPr>
          <w:p>
            <w:pPr>
              <w:pBdr/>
              <w:spacing w:after="0" w:before="0" w:line="324" w:lineRule="auto"/>
              <w:ind/>
              <w:jc w:val="center"/>
              <w:rPr/>
            </w:pPr>
            <w:r>
              <w:rPr>
                <w:rFonts w:ascii="Times New Roman" w:hAnsi="Times New Roman" w:eastAsia="Times New Roman" w:cs="Times New Roman"/>
                <w:b/>
                <w:color w:val="000000"/>
                <w:sz w:val="24"/>
              </w:rPr>
              <w:t xml:space="preserve">TỔNG CỘNG:</w:t>
            </w:r>
            <w:r/>
            <w:r/>
          </w:p>
        </w:tc>
        <w:tc>
          <w:tcPr>
            <w:tcBorders>
              <w:bottom w:val="single" w:color="000000" w:sz="6" w:space="0"/>
              <w:right w:val="single" w:color="000000" w:sz="6" w:space="0"/>
            </w:tcBorders>
            <w:tcMar>
              <w:left w:w="0" w:type="dxa"/>
              <w:top w:w="0" w:type="dxa"/>
              <w:right w:w="0" w:type="dxa"/>
              <w:bottom w:w="0" w:type="dxa"/>
            </w:tcMar>
            <w:tcW w:w="1951" w:type="dxa"/>
            <w:vAlign w:val="center"/>
            <w:textDirection w:val="lrTb"/>
            <w:noWrap/>
          </w:tcPr>
          <w:p>
            <w:pPr>
              <w:pBdr/>
              <w:spacing w:after="0" w:before="0" w:line="324" w:lineRule="auto"/>
              <w:ind/>
              <w:jc w:val="center"/>
              <w:rPr/>
            </w:pPr>
            <w:r>
              <w:rPr>
                <w:rFonts w:ascii="Times New Roman" w:hAnsi="Times New Roman" w:eastAsia="Times New Roman" w:cs="Times New Roman"/>
                <w:b/>
                <w:color w:val="000000"/>
                <w:sz w:val="24"/>
              </w:rPr>
              <w:t xml:space="preserve">2.138.990.000</w:t>
            </w:r>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59" w:type="dxa"/>
            <w:vAlign w:val="center"/>
            <w:textDirection w:val="lrTb"/>
            <w:noWrap/>
          </w:tcPr>
          <w:p>
            <w:pPr>
              <w:pBdr/>
              <w:spacing w:after="0" w:before="0" w:line="324" w:lineRule="auto"/>
              <w:ind/>
              <w:jc w:val="center"/>
              <w:rPr/>
            </w:pPr>
            <w:r>
              <w:rPr>
                <w:rFonts w:ascii="Times New Roman" w:hAnsi="Times New Roman" w:eastAsia="Times New Roman" w:cs="Times New Roman"/>
                <w:b/>
                <w:color w:val="000000"/>
                <w:sz w:val="24"/>
              </w:rPr>
              <w:t xml:space="preserve">LÀM TRÒN:</w:t>
            </w:r>
            <w:r/>
            <w:r/>
          </w:p>
        </w:tc>
        <w:tc>
          <w:tcPr>
            <w:tcBorders>
              <w:bottom w:val="single" w:color="000000" w:sz="6" w:space="0"/>
              <w:right w:val="single" w:color="000000" w:sz="6" w:space="0"/>
            </w:tcBorders>
            <w:tcMar>
              <w:left w:w="0" w:type="dxa"/>
              <w:top w:w="0" w:type="dxa"/>
              <w:right w:w="0" w:type="dxa"/>
              <w:bottom w:w="0" w:type="dxa"/>
            </w:tcMar>
            <w:tcW w:w="1951" w:type="dxa"/>
            <w:vAlign w:val="center"/>
            <w:textDirection w:val="lrTb"/>
            <w:noWrap/>
          </w:tcPr>
          <w:p>
            <w:pPr>
              <w:pBdr/>
              <w:spacing w:after="0" w:before="0" w:line="324" w:lineRule="auto"/>
              <w:ind/>
              <w:jc w:val="center"/>
              <w:rPr/>
            </w:pPr>
            <w:r>
              <w:rPr>
                <w:rFonts w:ascii="Times New Roman" w:hAnsi="Times New Roman" w:eastAsia="Times New Roman" w:cs="Times New Roman"/>
                <w:b/>
                <w:color w:val="000000"/>
                <w:sz w:val="24"/>
              </w:rPr>
              <w:t xml:space="preserve">2.139.000.000</w:t>
            </w:r>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10" w:type="dxa"/>
            <w:vAlign w:val="center"/>
            <w:textDirection w:val="lrTb"/>
            <w:noWrap w:val="false"/>
          </w:tcPr>
          <w:p>
            <w:pPr>
              <w:pBdr/>
              <w:spacing w:after="0" w:before="0" w:line="324" w:lineRule="auto"/>
              <w:ind/>
              <w:jc w:val="center"/>
              <w:rPr/>
            </w:pPr>
            <w:r>
              <w:rPr>
                <w:rFonts w:ascii="Times New Roman" w:hAnsi="Times New Roman" w:eastAsia="Times New Roman" w:cs="Times New Roman"/>
                <w:b/>
                <w:i/>
                <w:color w:val="000000"/>
                <w:sz w:val="24"/>
              </w:rPr>
              <w:t xml:space="preserve">(Bằng chữ: Hai tỷ, một trăm ba mươi chín triệu đồng chẵn./.)</w:t>
            </w:r>
            <w:r/>
            <w:r/>
          </w:p>
        </w:tc>
      </w:tr>
    </w:tbl>
    <w:p>
      <w:pPr>
        <w:pStyle w:val="856"/>
        <w:pBdr/>
        <w:tabs>
          <w:tab w:val="left" w:leader="none" w:pos="993"/>
        </w:tabs>
        <w:spacing w:after="120" w:before="120" w:line="27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76"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7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7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7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7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7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7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7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312"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312"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312"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312"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312"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312"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312"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312"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312"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312"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3"/>
        </w:numPr>
        <w:pBdr/>
        <w:tabs>
          <w:tab w:val="left" w:leader="none" w:pos="993"/>
        </w:tabs>
        <w:spacing w:after="120" w:before="120" w:line="312"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312"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312"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312"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312"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312"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Bdr/>
        <w:shd w:val="nil"/>
        <w:spacing/>
        <w:ind/>
        <w:rPr>
          <w:lang w:val="vi-VN"/>
        </w:rPr>
      </w:pPr>
      <w:r>
        <w:rPr>
          <w:highlight w:val="none"/>
          <w:lang w:val="vi-VN"/>
        </w:rPr>
        <w:br w:type="page" w:clear="all"/>
      </w:r>
      <w:r>
        <w:rPr>
          <w:highlight w:val="none"/>
          <w:lang w:val="vi-VN"/>
        </w:rPr>
      </w:r>
      <w:r>
        <w:rPr>
          <w:highlight w:val="none"/>
          <w:lang w:val="vi-VN"/>
        </w:rPr>
      </w: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275/2026/0656/VFI-CT.21.A</w:t>
      </w:r>
      <w:r>
        <w:rPr>
          <w:color w:val="ff0000"/>
          <w:lang w:val="vi-VN"/>
        </w:rPr>
        <w:t xml:space="preserve"> </w:t>
      </w:r>
      <w:r>
        <w:rPr>
          <w:color w:val="000000" w:themeColor="text1"/>
        </w:rPr>
        <w:t xml:space="preserve">ngày 29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r>
        <w:rPr>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275/2026/0656/VFI-BC.21.A</w:t>
      </w:r>
      <w:r>
        <w:rPr>
          <w:i/>
          <w:lang w:val="pt-BR"/>
        </w:rPr>
        <w:t xml:space="preserve"> ngày </w:t>
      </w:r>
      <w:r>
        <w:rPr>
          <w:i/>
          <w:lang w:val="pt-BR"/>
        </w:rPr>
        <w:t xml:space="preserve">29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r>
              <w:rPr>
                <w:b/>
                <w:bCs/>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94091" name=""/>
                              <pic:cNvPicPr>
                                <a:picLocks noChangeAspect="1"/>
                              </pic:cNvPicPr>
                              <pic:nvPr/>
                            </pic:nvPicPr>
                            <pic:blipFill rotWithShape="1">
                              <a:blip r:embed="rId23"/>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7pt;height:170.08pt;mso-wrap-distance-left:0.00pt;mso-wrap-distance-top:0.00pt;mso-wrap-distance-right:0.00pt;mso-wrap-distance-bottom:0.00pt;rotation:0;z-index:1;" stroked="false">
                      <v:imagedata r:id="rId23" o:title=""/>
                      <o:lock v:ext="edit" rotation="t"/>
                    </v:shape>
                  </w:pict>
                </mc:Fallback>
              </mc:AlternateContent>
            </w:r>
            <w:r/>
            <w:r>
              <w:rPr>
                <w:i/>
                <w:lang w:val="pt-BR"/>
              </w:rPr>
            </w: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83657" name=""/>
                              <pic:cNvPicPr>
                                <a:picLocks noChangeAspect="1"/>
                              </pic:cNvPicPr>
                              <pic:nvPr/>
                            </pic:nvPicPr>
                            <pic:blipFill rotWithShape="1">
                              <a:blip r:embed="rId24"/>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70.08pt;mso-wrap-distance-left:0.00pt;mso-wrap-distance-top:0.00pt;mso-wrap-distance-right:0.00pt;mso-wrap-distance-bottom:0.00pt;rotation:0;z-index:1;" stroked="false">
                      <v:imagedata r:id="rId24" o:title=""/>
                      <o:lock v:ext="edit" rotation="t"/>
                    </v:shape>
                  </w:pict>
                </mc:Fallback>
              </mc:AlternateContent>
            </w:r>
            <w:r/>
            <w:r>
              <w:rPr>
                <w:i/>
                <w:lang w:val="pt-BR"/>
              </w:rPr>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r>
              <w:rPr>
                <w:b/>
                <w:bCs/>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09510" name=""/>
                              <pic:cNvPicPr>
                                <a:picLocks noChangeAspect="1"/>
                              </pic:cNvPicPr>
                              <pic:nvPr/>
                            </pic:nvPicPr>
                            <pic:blipFill rotWithShape="1">
                              <a:blip r:embed="rId25"/>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5" o:title=""/>
                      <o:lock v:ext="edit" rotation="t"/>
                    </v:shape>
                  </w:pict>
                </mc:Fallback>
              </mc:AlternateContent>
            </w:r>
            <w:r/>
            <w:r>
              <w:rPr>
                <w:i/>
                <w:lang w:val="pt-BR"/>
              </w:rPr>
            </w:r>
            <w:r/>
            <w: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25139" name=""/>
                              <pic:cNvPicPr>
                                <a:picLocks noChangeAspect="1"/>
                              </pic:cNvPicPr>
                              <pic:nvPr/>
                            </pic:nvPicPr>
                            <pic:blipFill rotWithShape="1">
                              <a:blip r:embed="rId26"/>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6" o:title=""/>
                      <o:lock v:ext="edit" rotation="t"/>
                    </v:shape>
                  </w:pict>
                </mc:Fallback>
              </mc:AlternateContent>
            </w:r>
            <w:r/>
            <w:r>
              <w:rPr>
                <w:i/>
                <w:lang w:val="pt-BR"/>
              </w:rPr>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807922" name=""/>
                              <pic:cNvPicPr>
                                <a:picLocks noChangeAspect="1"/>
                              </pic:cNvPicPr>
                              <pic:nvPr/>
                            </pic:nvPicPr>
                            <pic:blipFill rotWithShape="1">
                              <a:blip r:embed="rId27"/>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7" o:title=""/>
                      <o:lock v:ext="edit" rotation="t"/>
                    </v:shape>
                  </w:pict>
                </mc:Fallback>
              </mc:AlternateContent>
            </w:r>
            <w:r/>
            <w:r>
              <w:rPr>
                <w:i/>
                <w:lang w:val="pt-BR"/>
              </w:rPr>
            </w:r>
            <w:r/>
            <w: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565539" name=""/>
                              <pic:cNvPicPr>
                                <a:picLocks noChangeAspect="1"/>
                              </pic:cNvPicPr>
                              <pic:nvPr/>
                            </pic:nvPicPr>
                            <pic:blipFill rotWithShape="1">
                              <a:blip r:embed="rId28"/>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77pt;height:170.08pt;mso-wrap-distance-left:0.00pt;mso-wrap-distance-top:0.00pt;mso-wrap-distance-right:0.00pt;mso-wrap-distance-bottom:0.00pt;rotation:0;z-index:1;" stroked="false">
                      <v:imagedata r:id="rId28" o:title=""/>
                      <o:lock v:ext="edit" rotation="t"/>
                    </v:shape>
                  </w:pict>
                </mc:Fallback>
              </mc:AlternateContent>
            </w:r>
            <w:r/>
            <w:r>
              <w:rPr>
                <w:i/>
                <w:lang w:val="pt-BR"/>
              </w:rPr>
            </w:r>
            <w:r/>
            <w:r/>
            <w:r/>
            <w:r/>
            <w:r/>
            <w:r/>
            <w:r/>
            <w: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275/2026/0656/VFI-BC.21.A</w:t>
      </w:r>
      <w:r>
        <w:rPr>
          <w:i/>
          <w:lang w:val="pt-BR"/>
        </w:rPr>
        <w:t xml:space="preserve"> </w:t>
      </w:r>
      <w:r>
        <w:rPr>
          <w:i/>
          <w:lang w:val="pt-BR"/>
        </w:rPr>
        <w:t xml:space="preserve">ngày 29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
        <mc:AlternateContent>
          <mc:Choice Requires="wpg">
            <w:drawing>
              <wp:inline xmlns:wp="http://schemas.openxmlformats.org/drawingml/2006/wordprocessingDrawing" distT="0" distB="0" distL="0" distR="0">
                <wp:extent cx="5477215" cy="680708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30942" name=""/>
                        <pic:cNvPicPr>
                          <a:picLocks noChangeAspect="1"/>
                        </pic:cNvPicPr>
                        <pic:nvPr/>
                      </pic:nvPicPr>
                      <pic:blipFill rotWithShape="1">
                        <a:blip r:embed="rId29"/>
                        <a:stretch/>
                      </pic:blipFill>
                      <pic:spPr bwMode="auto">
                        <a:xfrm flipH="0" flipV="0">
                          <a:off x="0" y="0"/>
                          <a:ext cx="5477214" cy="68070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31.28pt;height:535.99pt;mso-wrap-distance-left:0.00pt;mso-wrap-distance-top:0.00pt;mso-wrap-distance-right:0.00pt;mso-wrap-distance-bottom:0.00pt;z-index:1;" stroked="false">
                <v:imagedata r:id="rId29" o:title=""/>
                <o:lock v:ext="edit" rotation="t"/>
              </v:shape>
            </w:pict>
          </mc:Fallback>
        </mc:AlternateContent>
      </w: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
            <w:r>
              <mc:AlternateContent>
                <mc:Choice Requires="wpg">
                  <w:drawing>
                    <wp:inline xmlns:wp="http://schemas.openxmlformats.org/drawingml/2006/wordprocessingDrawing" distT="0" distB="0" distL="0" distR="0">
                      <wp:extent cx="1682137" cy="1181501"/>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541860" name=""/>
                              <pic:cNvPicPr>
                                <a:picLocks noChangeAspect="1"/>
                              </pic:cNvPicPr>
                              <pic:nvPr/>
                            </pic:nvPicPr>
                            <pic:blipFill rotWithShape="1">
                              <a:blip r:embed="rId30"/>
                              <a:stretch/>
                            </pic:blipFill>
                            <pic:spPr bwMode="auto">
                              <a:xfrm flipH="0" flipV="0">
                                <a:off x="0" y="0"/>
                                <a:ext cx="1682137" cy="11815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32.45pt;height:93.03pt;mso-wrap-distance-left:0.00pt;mso-wrap-distance-top:0.00pt;mso-wrap-distance-right:0.00pt;mso-wrap-distance-bottom:0.00pt;z-index:1;" stroked="false">
                      <v:imagedata r:id="rId30" o:title=""/>
                      <o:lock v:ext="edit" rotation="t"/>
                    </v:shape>
                  </w:pict>
                </mc:Fallback>
              </mc:AlternateContent>
            </w:r>
            <w:r/>
            <w:r/>
            <w:r>
              <w:rPr>
                <w:b/>
                <w:bCs/>
              </w:rPr>
            </w:r>
            <w:r>
              <w:rPr>
                <w:b/>
                <w:bCs/>
              </w:rPr>
            </w: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p>
        </w:tc>
      </w:tr>
    </w:tbl>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5562940" cy="7584686"/>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193044" name=""/>
                        <pic:cNvPicPr>
                          <a:picLocks noChangeAspect="1"/>
                        </pic:cNvPicPr>
                        <pic:nvPr/>
                      </pic:nvPicPr>
                      <pic:blipFill rotWithShape="1">
                        <a:blip r:embed="rId31"/>
                        <a:stretch/>
                      </pic:blipFill>
                      <pic:spPr bwMode="auto">
                        <a:xfrm flipH="0" flipV="0">
                          <a:off x="0" y="0"/>
                          <a:ext cx="5562939" cy="75846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8.03pt;height:597.22pt;mso-wrap-distance-left:0.00pt;mso-wrap-distance-top:0.00pt;mso-wrap-distance-right:0.00pt;mso-wrap-distance-bottom:0.00pt;z-index:1;" stroked="false">
                <v:imagedata r:id="rId31"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
              <mc:AlternateContent>
                <mc:Choice Requires="wpg">
                  <w:drawing>
                    <wp:inline xmlns:wp="http://schemas.openxmlformats.org/drawingml/2006/wordprocessingDrawing" distT="0" distB="0" distL="0" distR="0">
                      <wp:extent cx="1604985" cy="112731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100834" name=""/>
                              <pic:cNvPicPr>
                                <a:picLocks noChangeAspect="1"/>
                              </pic:cNvPicPr>
                              <pic:nvPr/>
                            </pic:nvPicPr>
                            <pic:blipFill rotWithShape="1">
                              <a:blip r:embed="rId32"/>
                              <a:stretch/>
                            </pic:blipFill>
                            <pic:spPr bwMode="auto">
                              <a:xfrm flipH="0" flipV="0">
                                <a:off x="0" y="0"/>
                                <a:ext cx="1604984" cy="11273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26.38pt;height:88.76pt;mso-wrap-distance-left:0.00pt;mso-wrap-distance-top:0.00pt;mso-wrap-distance-right:0.00pt;mso-wrap-distance-bottom:0.00pt;z-index:1;" stroked="false">
                      <v:imagedata r:id="rId32" o:title=""/>
                      <o:lock v:ext="edit" rotation="t"/>
                    </v:shape>
                  </w:pict>
                </mc:Fallback>
              </mc:AlternateContent>
            </w:r>
            <w: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5770575" cy="733371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29533" name=""/>
                        <pic:cNvPicPr>
                          <a:picLocks noChangeAspect="1"/>
                        </pic:cNvPicPr>
                        <pic:nvPr/>
                      </pic:nvPicPr>
                      <pic:blipFill rotWithShape="1">
                        <a:blip r:embed="rId33"/>
                        <a:stretch/>
                      </pic:blipFill>
                      <pic:spPr bwMode="auto">
                        <a:xfrm flipH="0" flipV="0">
                          <a:off x="0" y="0"/>
                          <a:ext cx="5770574" cy="73337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54.38pt;height:577.46pt;mso-wrap-distance-left:0.00pt;mso-wrap-distance-top:0.00pt;mso-wrap-distance-right:0.00pt;mso-wrap-distance-bottom:0.00pt;z-index:1;" stroked="false">
                <v:imagedata r:id="rId33"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mc:AlternateContent>
                <mc:Choice Requires="wpg">
                  <w:drawing>
                    <wp:inline xmlns:wp="http://schemas.openxmlformats.org/drawingml/2006/wordprocessingDrawing" distT="0" distB="0" distL="0" distR="0">
                      <wp:extent cx="1682138" cy="1181501"/>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04210" name=""/>
                              <pic:cNvPicPr>
                                <a:picLocks noChangeAspect="1"/>
                              </pic:cNvPicPr>
                              <pic:nvPr/>
                            </pic:nvPicPr>
                            <pic:blipFill rotWithShape="1">
                              <a:blip r:embed="rId30"/>
                              <a:stretch/>
                            </pic:blipFill>
                            <pic:spPr bwMode="auto">
                              <a:xfrm rot="0" flipH="0" flipV="0">
                                <a:off x="0" y="0"/>
                                <a:ext cx="1682136" cy="11815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2.45pt;height:93.03pt;mso-wrap-distance-left:0.00pt;mso-wrap-distance-top:0.00pt;mso-wrap-distance-right:0.00pt;mso-wrap-distance-bottom:0.00pt;rotation:0;z-index:1;" stroked="false">
                      <v:imagedata r:id="rId30" o:title=""/>
                      <o:lock v:ext="edit" rotation="t"/>
                    </v:shape>
                  </w:pict>
                </mc:Fallback>
              </mc:AlternateContent>
            </w: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hd w:val="nil"/>
        <w:spacing/>
        <w:ind/>
        <w:rPr>
          <w:lang w:val="pt-BR"/>
        </w:rPr>
      </w:pPr>
      <w:r>
        <w:rPr>
          <w:iCs/>
          <w:lang w:val="pt-BR"/>
        </w:rPr>
        <w:br w:type="page" w:clear="all"/>
      </w:r>
      <w:r>
        <w:rPr>
          <w:iCs/>
          <w:lang w:val="pt-BR"/>
        </w:rPr>
      </w:r>
      <w:r>
        <w:rPr>
          <w:iCs/>
          <w:lang w:val="pt-BR"/>
        </w:rPr>
      </w:r>
    </w:p>
    <w:p>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4171293"/>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265662" name=""/>
                        <pic:cNvPicPr>
                          <a:picLocks noChangeAspect="1"/>
                        </pic:cNvPicPr>
                        <pic:nvPr/>
                      </pic:nvPicPr>
                      <pic:blipFill rotWithShape="1">
                        <a:blip r:embed="rId34"/>
                        <a:stretch/>
                      </pic:blipFill>
                      <pic:spPr bwMode="auto">
                        <a:xfrm>
                          <a:off x="0" y="0"/>
                          <a:ext cx="6048374" cy="41712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28.45pt;mso-wrap-distance-left:0.00pt;mso-wrap-distance-top:0.00pt;mso-wrap-distance-right:0.00pt;mso-wrap-distance-bottom:0.00pt;z-index:1;" stroked="false">
                <v:imagedata r:id="rId34" o:title=""/>
                <o:lock v:ext="edit" rotation="t"/>
              </v:shape>
            </w:pict>
          </mc:Fallback>
        </mc:AlternateContent>
      </w:r>
      <w:r>
        <w:rPr>
          <w:iCs/>
          <w:lang w:val="pt-BR"/>
        </w:rPr>
      </w:r>
      <w:r>
        <w:rPr>
          <w:iCs/>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4218061"/>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01445" name=""/>
                        <pic:cNvPicPr>
                          <a:picLocks noChangeAspect="1"/>
                        </pic:cNvPicPr>
                        <pic:nvPr/>
                      </pic:nvPicPr>
                      <pic:blipFill rotWithShape="1">
                        <a:blip r:embed="rId35"/>
                        <a:stretch/>
                      </pic:blipFill>
                      <pic:spPr bwMode="auto">
                        <a:xfrm>
                          <a:off x="0" y="0"/>
                          <a:ext cx="6048374" cy="42180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32.13pt;mso-wrap-distance-left:0.00pt;mso-wrap-distance-top:0.00pt;mso-wrap-distance-right:0.00pt;mso-wrap-distance-bottom:0.00pt;z-index:1;" stroked="false">
                <v:imagedata r:id="rId35" o:title=""/>
                <o:lock v:ext="edit" rotation="t"/>
              </v:shape>
            </w:pict>
          </mc:Fallback>
        </mc:AlternateContent>
      </w:r>
      <w:r>
        <w:rPr>
          <w:iCs/>
          <w:highlight w:val="none"/>
          <w:lang w:val="pt-BR" w:bidi="pt-BR"/>
        </w:rPr>
      </w:r>
      <w:r>
        <w:rPr>
          <w:iCs/>
          <w:highlight w:val="none"/>
          <w:lang w:val="pt-BR" w:bidi="pt-BR"/>
        </w:rPr>
      </w:r>
      <w:r>
        <w:rPr>
          <w:lang w:val="pt-BR"/>
        </w:rPr>
      </w:r>
    </w:p>
    <w:p>
      <w:pPr>
        <w:pBdr/>
        <w:shd w:val="nil"/>
        <w:spacing/>
        <w:ind/>
        <w:rPr>
          <w:lang w:val="pt-BR"/>
        </w:rPr>
      </w:pPr>
      <w:r>
        <w:rPr>
          <w:lang w:val="pt-BR"/>
        </w:rPr>
        <w:br w:type="page" w:clear="all"/>
      </w:r>
      <w:r>
        <w:rPr>
          <w:lang w:val="pt-BR"/>
        </w:rPr>
      </w:r>
      <w:r>
        <w:rPr>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392101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375120" name=""/>
                        <pic:cNvPicPr>
                          <a:picLocks noChangeAspect="1"/>
                        </pic:cNvPicPr>
                        <pic:nvPr/>
                      </pic:nvPicPr>
                      <pic:blipFill rotWithShape="1">
                        <a:blip r:embed="rId36"/>
                        <a:stretch/>
                      </pic:blipFill>
                      <pic:spPr bwMode="auto">
                        <a:xfrm>
                          <a:off x="0" y="0"/>
                          <a:ext cx="6048374" cy="39210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308.74pt;mso-wrap-distance-left:0.00pt;mso-wrap-distance-top:0.00pt;mso-wrap-distance-right:0.00pt;mso-wrap-distance-bottom:0.00pt;z-index:1;" stroked="false">
                <v:imagedata r:id="rId36" o:title=""/>
                <o:lock v:ext="edit" rotation="t"/>
              </v:shape>
            </w:pict>
          </mc:Fallback>
        </mc:AlternateContent>
      </w:r>
      <w:r>
        <w:rPr>
          <w:iCs/>
          <w:highlight w:val="none"/>
          <w:lang w:val="pt-BR" w:bidi="pt-BR"/>
        </w:rPr>
      </w:r>
      <w:r>
        <w:rPr>
          <w:iCs/>
          <w:highlight w:val="none"/>
          <w:lang w:val="pt-BR" w:bidi="pt-BR"/>
        </w:rPr>
      </w:r>
      <w:r>
        <w:rPr>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415534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638443" name=""/>
                        <pic:cNvPicPr>
                          <a:picLocks noChangeAspect="1"/>
                        </pic:cNvPicPr>
                        <pic:nvPr/>
                      </pic:nvPicPr>
                      <pic:blipFill rotWithShape="1">
                        <a:blip r:embed="rId37"/>
                        <a:stretch/>
                      </pic:blipFill>
                      <pic:spPr bwMode="auto">
                        <a:xfrm>
                          <a:off x="0" y="0"/>
                          <a:ext cx="6048374" cy="41553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327.19pt;mso-wrap-distance-left:0.00pt;mso-wrap-distance-top:0.00pt;mso-wrap-distance-right:0.00pt;mso-wrap-distance-bottom:0.00pt;z-index:1;" stroked="false">
                <v:imagedata r:id="rId37" o:title=""/>
                <o:lock v:ext="edit" rotation="t"/>
              </v:shape>
            </w:pict>
          </mc:Fallback>
        </mc:AlternateContent>
      </w:r>
      <w:r>
        <w:rPr>
          <w:iCs/>
          <w:highlight w:val="none"/>
          <w:lang w:val="pt-BR" w:bidi="pt-BR"/>
        </w:rPr>
      </w:r>
      <w:r>
        <w:rPr>
          <w:iCs/>
          <w:highlight w:val="none"/>
          <w:lang w:val="pt-BR" w:bidi="pt-BR"/>
        </w:rPr>
      </w:r>
      <w:r>
        <w:rPr>
          <w:lang w:val="pt-BR"/>
        </w:rPr>
      </w:r>
    </w:p>
    <w:p>
      <w:pPr>
        <w:pBdr/>
        <w:shd w:val="nil"/>
        <w:spacing/>
        <w:ind/>
        <w:rPr>
          <w:lang w:val="pt-BR"/>
        </w:rPr>
      </w:pPr>
      <w:r>
        <w:rPr>
          <w:lang w:val="pt-BR"/>
        </w:rPr>
        <w:br w:type="page" w:clear="all"/>
      </w:r>
      <w:r>
        <w:rPr>
          <w:lang w:val="pt-BR"/>
        </w:rPr>
      </w:r>
      <w:r>
        <w:rPr>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877265" cy="8352477"/>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90535" name=""/>
                        <pic:cNvPicPr>
                          <a:picLocks noChangeAspect="1"/>
                        </pic:cNvPicPr>
                        <pic:nvPr/>
                      </pic:nvPicPr>
                      <pic:blipFill rotWithShape="1">
                        <a:blip r:embed="rId38"/>
                        <a:stretch/>
                      </pic:blipFill>
                      <pic:spPr bwMode="auto">
                        <a:xfrm flipH="0" flipV="0">
                          <a:off x="0" y="0"/>
                          <a:ext cx="5877264" cy="83524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62.78pt;height:657.68pt;mso-wrap-distance-left:0.00pt;mso-wrap-distance-top:0.00pt;mso-wrap-distance-right:0.00pt;mso-wrap-distance-bottom:0.00pt;z-index:1;" stroked="false">
                <v:imagedata r:id="rId38" o:title=""/>
                <o:lock v:ext="edit" rotation="t"/>
              </v:shape>
            </w:pict>
          </mc:Fallback>
        </mc:AlternateContent>
      </w:r>
      <w:r>
        <w:rPr>
          <w:iCs/>
          <w:highlight w:val="none"/>
          <w:lang w:val="pt-BR" w:bidi="pt-BR"/>
        </w:rPr>
      </w:r>
      <w:r>
        <w:rPr>
          <w:iCs/>
          <w:highlight w:val="none"/>
          <w:lang w:val="pt-BR" w:bidi="pt-BR"/>
        </w:rPr>
      </w:r>
      <w:r>
        <w:rPr>
          <w:lang w:val="pt-BR"/>
        </w:rPr>
      </w:r>
    </w:p>
    <w:p>
      <w:pPr>
        <w:pBdr/>
        <w:spacing w:after="200" w:line="276" w:lineRule="auto"/>
        <w:ind/>
        <w:rPr>
          <w:lang w:val="pt-BR"/>
        </w:rPr>
      </w:pPr>
      <w:r>
        <w:rPr>
          <w:iCs/>
          <w:highlight w:val="none"/>
          <w:lang w:val="pt-BR" w:bidi="pt-BR"/>
        </w:rPr>
      </w:r>
      <w:r/>
      <w:r>
        <mc:AlternateContent>
          <mc:Choice Requires="wpg">
            <w:drawing>
              <wp:inline xmlns:wp="http://schemas.openxmlformats.org/drawingml/2006/wordprocessingDrawing" distT="0" distB="0" distL="0" distR="0">
                <wp:extent cx="5848690" cy="8305574"/>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4214" name=""/>
                        <pic:cNvPicPr>
                          <a:picLocks noChangeAspect="1"/>
                        </pic:cNvPicPr>
                        <pic:nvPr/>
                      </pic:nvPicPr>
                      <pic:blipFill rotWithShape="1">
                        <a:blip r:embed="rId39"/>
                        <a:stretch/>
                      </pic:blipFill>
                      <pic:spPr bwMode="auto">
                        <a:xfrm flipH="0" flipV="0">
                          <a:off x="0" y="0"/>
                          <a:ext cx="5848689" cy="83055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60.53pt;height:653.98pt;mso-wrap-distance-left:0.00pt;mso-wrap-distance-top:0.00pt;mso-wrap-distance-right:0.00pt;mso-wrap-distance-bottom:0.00pt;z-index:1;" stroked="false">
                <v:imagedata r:id="rId39" o:title=""/>
                <o:lock v:ext="edit" rotation="t"/>
              </v:shape>
            </w:pict>
          </mc:Fallback>
        </mc:AlternateContent>
      </w:r>
      <w:r/>
      <w:r>
        <w:rPr>
          <w:iCs/>
          <w:highlight w:val="none"/>
          <w:lang w:val="pt-BR" w:bidi="pt-BR"/>
        </w:rPr>
      </w:r>
      <w:r>
        <w:rPr>
          <w:iCs/>
          <w:highlight w:val="none"/>
          <w:lang w:val="pt-BR" w:bidi="pt-BR"/>
        </w:rPr>
      </w:r>
      <w:r>
        <w:rPr>
          <w:iCs/>
          <w:highlight w:val="none"/>
          <w:lang w:val="pt-BR" w:bidi="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CE617C4"/>
    <w:lvl w:ilvl="0">
      <w:isLgl w:val="false"/>
      <w:lvlJc w:val="left"/>
      <w:lvlText w:val="v"/>
      <w:numFmt w:val="bullet"/>
      <w:pPr>
        <w:pBdr/>
        <w:spacing/>
        <w:ind w:hanging="360" w:left="1355"/>
      </w:pPr>
      <w:rPr>
        <w:rFonts w:ascii="Wingdings" w:hAnsi="Wingdings" w:eastAsia="Wingdings" w:cs="Wingdings"/>
      </w:rPr>
      <w:start w:val="1"/>
      <w:suff w:val="tab"/>
    </w:lvl>
    <w:lvl w:ilvl="1">
      <w:isLgl w:val="false"/>
      <w:lvlJc w:val="left"/>
      <w:lvlText w:val="%2."/>
      <w:numFmt w:val="lowerLetter"/>
      <w:pPr>
        <w:pBdr/>
        <w:spacing/>
        <w:ind w:hanging="360" w:left="2075"/>
      </w:pPr>
      <w:rPr/>
      <w:start w:val="1"/>
      <w:suff w:val="tab"/>
    </w:lvl>
    <w:lvl w:ilvl="2">
      <w:isLgl w:val="false"/>
      <w:lvlJc w:val="right"/>
      <w:lvlText w:val="%3."/>
      <w:numFmt w:val="lowerRoman"/>
      <w:pPr>
        <w:pBdr/>
        <w:spacing/>
        <w:ind w:hanging="180" w:left="2795"/>
      </w:pPr>
      <w:rPr/>
      <w:start w:val="1"/>
      <w:suff w:val="tab"/>
    </w:lvl>
    <w:lvl w:ilvl="3">
      <w:isLgl w:val="false"/>
      <w:lvlJc w:val="left"/>
      <w:lvlText w:val="%4."/>
      <w:numFmt w:val="decimal"/>
      <w:pPr>
        <w:pBdr/>
        <w:spacing/>
        <w:ind w:hanging="360" w:left="3515"/>
      </w:pPr>
      <w:rPr/>
      <w:start w:val="1"/>
      <w:suff w:val="tab"/>
    </w:lvl>
    <w:lvl w:ilvl="4">
      <w:isLgl w:val="false"/>
      <w:lvlJc w:val="left"/>
      <w:lvlText w:val="%5."/>
      <w:numFmt w:val="lowerLetter"/>
      <w:pPr>
        <w:pBdr/>
        <w:spacing/>
        <w:ind w:hanging="360" w:left="4235"/>
      </w:pPr>
      <w:rPr/>
      <w:start w:val="1"/>
      <w:suff w:val="tab"/>
    </w:lvl>
    <w:lvl w:ilvl="5">
      <w:isLgl w:val="false"/>
      <w:lvlJc w:val="right"/>
      <w:lvlText w:val="%6."/>
      <w:numFmt w:val="lowerRoman"/>
      <w:pPr>
        <w:pBdr/>
        <w:spacing/>
        <w:ind w:hanging="180" w:left="4955"/>
      </w:pPr>
      <w:rPr/>
      <w:start w:val="1"/>
      <w:suff w:val="tab"/>
    </w:lvl>
    <w:lvl w:ilvl="6">
      <w:isLgl w:val="false"/>
      <w:lvlJc w:val="left"/>
      <w:lvlText w:val="%7."/>
      <w:numFmt w:val="decimal"/>
      <w:pPr>
        <w:pBdr/>
        <w:spacing/>
        <w:ind w:hanging="360" w:left="5675"/>
      </w:pPr>
      <w:rPr/>
      <w:start w:val="1"/>
      <w:suff w:val="tab"/>
    </w:lvl>
    <w:lvl w:ilvl="7">
      <w:isLgl w:val="false"/>
      <w:lvlJc w:val="left"/>
      <w:lvlText w:val="%8."/>
      <w:numFmt w:val="lowerLetter"/>
      <w:pPr>
        <w:pBdr/>
        <w:spacing/>
        <w:ind w:hanging="360" w:left="6395"/>
      </w:pPr>
      <w:rPr/>
      <w:start w:val="1"/>
      <w:suff w:val="tab"/>
    </w:lvl>
    <w:lvl w:ilvl="8">
      <w:isLgl w:val="false"/>
      <w:lvlJc w:val="right"/>
      <w:lvlText w:val="%9."/>
      <w:numFmt w:val="lowerRoman"/>
      <w:pPr>
        <w:pBdr/>
        <w:spacing/>
        <w:ind w:hanging="180" w:left="7115"/>
      </w:pPr>
      <w:rPr/>
      <w:start w:val="1"/>
      <w:suff w:val="tab"/>
    </w:lvl>
  </w:abstractNum>
  <w:abstractNum w:abstractNumId="38">
    <w:nsid w:val="6CE617C4"/>
    <w:lvl w:ilvl="0">
      <w:isLgl w:val="false"/>
      <w:lvlJc w:val="left"/>
      <w:lvlText w:val="v"/>
      <w:numFmt w:val="bullet"/>
      <w:pPr>
        <w:pBdr/>
        <w:spacing/>
        <w:ind w:hanging="360" w:left="1355"/>
      </w:pPr>
      <w:rPr>
        <w:rFonts w:ascii="Wingdings" w:hAnsi="Wingdings" w:eastAsia="Wingdings" w:cs="Wingdings"/>
      </w:rPr>
      <w:start w:val="1"/>
      <w:suff w:val="tab"/>
    </w:lvl>
    <w:lvl w:ilvl="1">
      <w:isLgl w:val="false"/>
      <w:lvlJc w:val="left"/>
      <w:lvlText w:val="%2."/>
      <w:numFmt w:val="lowerLetter"/>
      <w:pPr>
        <w:pBdr/>
        <w:spacing/>
        <w:ind w:hanging="360" w:left="2075"/>
      </w:pPr>
      <w:rPr/>
      <w:start w:val="1"/>
      <w:suff w:val="tab"/>
    </w:lvl>
    <w:lvl w:ilvl="2">
      <w:isLgl w:val="false"/>
      <w:lvlJc w:val="right"/>
      <w:lvlText w:val="%3."/>
      <w:numFmt w:val="lowerRoman"/>
      <w:pPr>
        <w:pBdr/>
        <w:spacing/>
        <w:ind w:hanging="180" w:left="2795"/>
      </w:pPr>
      <w:rPr/>
      <w:start w:val="1"/>
      <w:suff w:val="tab"/>
    </w:lvl>
    <w:lvl w:ilvl="3">
      <w:isLgl w:val="false"/>
      <w:lvlJc w:val="left"/>
      <w:lvlText w:val="%4."/>
      <w:numFmt w:val="decimal"/>
      <w:pPr>
        <w:pBdr/>
        <w:spacing/>
        <w:ind w:hanging="360" w:left="3515"/>
      </w:pPr>
      <w:rPr/>
      <w:start w:val="1"/>
      <w:suff w:val="tab"/>
    </w:lvl>
    <w:lvl w:ilvl="4">
      <w:isLgl w:val="false"/>
      <w:lvlJc w:val="left"/>
      <w:lvlText w:val="%5."/>
      <w:numFmt w:val="lowerLetter"/>
      <w:pPr>
        <w:pBdr/>
        <w:spacing/>
        <w:ind w:hanging="360" w:left="4235"/>
      </w:pPr>
      <w:rPr/>
      <w:start w:val="1"/>
      <w:suff w:val="tab"/>
    </w:lvl>
    <w:lvl w:ilvl="5">
      <w:isLgl w:val="false"/>
      <w:lvlJc w:val="right"/>
      <w:lvlText w:val="%6."/>
      <w:numFmt w:val="lowerRoman"/>
      <w:pPr>
        <w:pBdr/>
        <w:spacing/>
        <w:ind w:hanging="180" w:left="4955"/>
      </w:pPr>
      <w:rPr/>
      <w:start w:val="1"/>
      <w:suff w:val="tab"/>
    </w:lvl>
    <w:lvl w:ilvl="6">
      <w:isLgl w:val="false"/>
      <w:lvlJc w:val="left"/>
      <w:lvlText w:val="%7."/>
      <w:numFmt w:val="decimal"/>
      <w:pPr>
        <w:pBdr/>
        <w:spacing/>
        <w:ind w:hanging="360" w:left="5675"/>
      </w:pPr>
      <w:rPr/>
      <w:start w:val="1"/>
      <w:suff w:val="tab"/>
    </w:lvl>
    <w:lvl w:ilvl="7">
      <w:isLgl w:val="false"/>
      <w:lvlJc w:val="left"/>
      <w:lvlText w:val="%8."/>
      <w:numFmt w:val="lowerLetter"/>
      <w:pPr>
        <w:pBdr/>
        <w:spacing/>
        <w:ind w:hanging="360" w:left="6395"/>
      </w:pPr>
      <w:rPr/>
      <w:start w:val="1"/>
      <w:suff w:val="tab"/>
    </w:lvl>
    <w:lvl w:ilvl="8">
      <w:isLgl w:val="false"/>
      <w:lvlJc w:val="right"/>
      <w:lvlText w:val="%9."/>
      <w:numFmt w:val="lowerRoman"/>
      <w:pPr>
        <w:pBdr/>
        <w:spacing/>
        <w:ind w:hanging="180" w:left="7115"/>
      </w:pPr>
      <w:rPr/>
      <w:start w:val="1"/>
      <w:suff w:val="tab"/>
    </w:lvl>
  </w:abstractNum>
  <w:abstractNum w:abstractNumId="39">
    <w:nsid w:val="6CE617C4"/>
    <w:lvl w:ilvl="0">
      <w:isLgl w:val="false"/>
      <w:lvlJc w:val="left"/>
      <w:lvlText w:val="v"/>
      <w:numFmt w:val="bullet"/>
      <w:pPr>
        <w:pBdr/>
        <w:spacing/>
        <w:ind w:hanging="360" w:left="1355"/>
      </w:pPr>
      <w:rPr>
        <w:rFonts w:ascii="Wingdings" w:hAnsi="Wingdings" w:eastAsia="Wingdings" w:cs="Wingdings"/>
      </w:rPr>
      <w:start w:val="1"/>
      <w:suff w:val="tab"/>
    </w:lvl>
    <w:lvl w:ilvl="1">
      <w:isLgl w:val="false"/>
      <w:lvlJc w:val="left"/>
      <w:lvlText w:val="%2."/>
      <w:numFmt w:val="lowerLetter"/>
      <w:pPr>
        <w:pBdr/>
        <w:spacing/>
        <w:ind w:hanging="360" w:left="2075"/>
      </w:pPr>
      <w:rPr/>
      <w:start w:val="1"/>
      <w:suff w:val="tab"/>
    </w:lvl>
    <w:lvl w:ilvl="2">
      <w:isLgl w:val="false"/>
      <w:lvlJc w:val="right"/>
      <w:lvlText w:val="%3."/>
      <w:numFmt w:val="lowerRoman"/>
      <w:pPr>
        <w:pBdr/>
        <w:spacing/>
        <w:ind w:hanging="180" w:left="2795"/>
      </w:pPr>
      <w:rPr/>
      <w:start w:val="1"/>
      <w:suff w:val="tab"/>
    </w:lvl>
    <w:lvl w:ilvl="3">
      <w:isLgl w:val="false"/>
      <w:lvlJc w:val="left"/>
      <w:lvlText w:val="%4."/>
      <w:numFmt w:val="decimal"/>
      <w:pPr>
        <w:pBdr/>
        <w:spacing/>
        <w:ind w:hanging="360" w:left="3515"/>
      </w:pPr>
      <w:rPr/>
      <w:start w:val="1"/>
      <w:suff w:val="tab"/>
    </w:lvl>
    <w:lvl w:ilvl="4">
      <w:isLgl w:val="false"/>
      <w:lvlJc w:val="left"/>
      <w:lvlText w:val="%5."/>
      <w:numFmt w:val="lowerLetter"/>
      <w:pPr>
        <w:pBdr/>
        <w:spacing/>
        <w:ind w:hanging="360" w:left="4235"/>
      </w:pPr>
      <w:rPr/>
      <w:start w:val="1"/>
      <w:suff w:val="tab"/>
    </w:lvl>
    <w:lvl w:ilvl="5">
      <w:isLgl w:val="false"/>
      <w:lvlJc w:val="right"/>
      <w:lvlText w:val="%6."/>
      <w:numFmt w:val="lowerRoman"/>
      <w:pPr>
        <w:pBdr/>
        <w:spacing/>
        <w:ind w:hanging="180" w:left="4955"/>
      </w:pPr>
      <w:rPr/>
      <w:start w:val="1"/>
      <w:suff w:val="tab"/>
    </w:lvl>
    <w:lvl w:ilvl="6">
      <w:isLgl w:val="false"/>
      <w:lvlJc w:val="left"/>
      <w:lvlText w:val="%7."/>
      <w:numFmt w:val="decimal"/>
      <w:pPr>
        <w:pBdr/>
        <w:spacing/>
        <w:ind w:hanging="360" w:left="5675"/>
      </w:pPr>
      <w:rPr/>
      <w:start w:val="1"/>
      <w:suff w:val="tab"/>
    </w:lvl>
    <w:lvl w:ilvl="7">
      <w:isLgl w:val="false"/>
      <w:lvlJc w:val="left"/>
      <w:lvlText w:val="%8."/>
      <w:numFmt w:val="lowerLetter"/>
      <w:pPr>
        <w:pBdr/>
        <w:spacing/>
        <w:ind w:hanging="360" w:left="6395"/>
      </w:pPr>
      <w:rPr/>
      <w:start w:val="1"/>
      <w:suff w:val="tab"/>
    </w:lvl>
    <w:lvl w:ilvl="8">
      <w:isLgl w:val="false"/>
      <w:lvlJc w:val="right"/>
      <w:lvlText w:val="%9."/>
      <w:numFmt w:val="lowerRoman"/>
      <w:pPr>
        <w:pBdr/>
        <w:spacing/>
        <w:ind w:hanging="180" w:left="7115"/>
      </w:pPr>
      <w:rPr/>
      <w:start w:val="1"/>
      <w:suff w:val="tab"/>
    </w:lvl>
  </w:abstractNum>
  <w:abstractNum w:abstractNumId="40">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hyperlink" Target="https://www.facebook.com/groups/1578807535713418/permalink/4397950467132430/" TargetMode="External"/><Relationship Id="rId20" Type="http://schemas.openxmlformats.org/officeDocument/2006/relationships/hyperlink" Target="https://www.facebook.com/groups/1578807535713418/permalink/4390536977873779/" TargetMode="External"/><Relationship Id="rId21" Type="http://schemas.openxmlformats.org/officeDocument/2006/relationships/hyperlink" Target="https://www.facebook.com/groups/1578807535713418/permalink/4397950467132430/" TargetMode="External"/><Relationship Id="rId22" Type="http://schemas.openxmlformats.org/officeDocument/2006/relationships/hyperlink" Target="https://www.facebook.com/groups/1578807535713418/permalink/4390536977873779/" TargetMode="External"/><Relationship Id="rId23" Type="http://schemas.openxmlformats.org/officeDocument/2006/relationships/image" Target="media/image5.jpg"/><Relationship Id="rId24" Type="http://schemas.openxmlformats.org/officeDocument/2006/relationships/image" Target="media/image6.jpg"/><Relationship Id="rId25" Type="http://schemas.openxmlformats.org/officeDocument/2006/relationships/image" Target="media/image7.jpg"/><Relationship Id="rId26" Type="http://schemas.openxmlformats.org/officeDocument/2006/relationships/image" Target="media/image8.jpg"/><Relationship Id="rId27" Type="http://schemas.openxmlformats.org/officeDocument/2006/relationships/image" Target="media/image9.jpg"/><Relationship Id="rId28" Type="http://schemas.openxmlformats.org/officeDocument/2006/relationships/image" Target="media/image10.jpg"/><Relationship Id="rId29" Type="http://schemas.openxmlformats.org/officeDocument/2006/relationships/image" Target="media/image11.png"/><Relationship Id="rId30" Type="http://schemas.openxmlformats.org/officeDocument/2006/relationships/image" Target="media/image12.png"/><Relationship Id="rId31" Type="http://schemas.openxmlformats.org/officeDocument/2006/relationships/image" Target="media/image13.png"/><Relationship Id="rId32" Type="http://schemas.openxmlformats.org/officeDocument/2006/relationships/image" Target="media/image14.png"/><Relationship Id="rId33" Type="http://schemas.openxmlformats.org/officeDocument/2006/relationships/image" Target="media/image15.png"/><Relationship Id="rId34" Type="http://schemas.openxmlformats.org/officeDocument/2006/relationships/image" Target="media/image16.jpg"/><Relationship Id="rId35" Type="http://schemas.openxmlformats.org/officeDocument/2006/relationships/image" Target="media/image17.jpg"/><Relationship Id="rId36" Type="http://schemas.openxmlformats.org/officeDocument/2006/relationships/image" Target="media/image18.jpg"/><Relationship Id="rId37" Type="http://schemas.openxmlformats.org/officeDocument/2006/relationships/image" Target="media/image19.jpg"/><Relationship Id="rId38" Type="http://schemas.openxmlformats.org/officeDocument/2006/relationships/image" Target="media/image20.png"/><Relationship Id="rId39"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279</cp:revision>
  <dcterms:created xsi:type="dcterms:W3CDTF">2025-09-15T09:58:00Z</dcterms:created>
  <dcterms:modified xsi:type="dcterms:W3CDTF">2026-04-29T08:18:24Z</dcterms:modified>
</cp:coreProperties>
</file>