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7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7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275/2026/0655/VFI-CT.21.A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XUẤT NHẬP KHẨU VÀ XÂY DỰNG VIỆT ÂU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Cs/>
                                <w:i w:val="0"/>
                                <w:iCs w:val="0"/>
                              </w:rPr>
                              <w:t xml:space="preserve">Giá trị quyền sử dụng đất tại thửa đất số: 546, tờ bản đồ số 22 có địa chỉ: Xóm Bắc Tiền Tiến (xóm Tiền Tiến cũ), xã Diễn Kim, huyện Diễn Châu, tỉnh Nghệ An </w:t>
                            </w:r>
                            <w:r>
                              <w:rPr>
                                <w:bCs/>
                                <w:i/>
                                <w:iCs/>
                              </w:rPr>
                              <w:t xml:space="preserve">(Nay là xã Hải Châu, tỉnh Nghệ An)</w:t>
                            </w:r>
                            <w:r>
                              <w:rPr>
                                <w:bCs/>
                                <w:i w:val="0"/>
                                <w:iCs w:val="0"/>
                              </w:rPr>
                              <w:t xml:space="preserve"> theo Giấy chứng nhận quyền sử dụng đất quyền sở hữu nhà ở và tài </w:t>
                            </w:r>
                            <w:r>
                              <w:rPr>
                                <w:bCs/>
                                <w:i w:val="0"/>
                                <w:iCs w:val="0"/>
                              </w:rPr>
                              <w:t xml:space="preserve">sản khác gắn liền với đất số: DL 881690, số vào sổ cấp GCN: CS 03755 do Sở Tài nguyên và Môi trường tỉnh Nghệ An cấp ngày 06/5/2023; Chủ sử dụng đất là Ông Nguyễn Quang Trung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275/2026/0655/VFI-CT.21.A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XUẤT NHẬP KHẨU VÀ XÂY DỰNG VIỆT ÂU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Cs/>
                          <w:i w:val="0"/>
                          <w:iCs w:val="0"/>
                        </w:rPr>
                        <w:t xml:space="preserve">Giá trị quyền sử dụng đất tại thửa đất số: 546, tờ bản đồ số 22 có địa chỉ: Xóm Bắc Tiền Tiến (xóm Tiền Tiến cũ), xã Diễn Kim, huyện Diễn Châu, tỉnh Nghệ An </w:t>
                      </w:r>
                      <w:r>
                        <w:rPr>
                          <w:bCs/>
                          <w:i/>
                          <w:iCs/>
                        </w:rPr>
                        <w:t xml:space="preserve">(Nay là xã Hải Châu, tỉnh Nghệ An)</w:t>
                      </w:r>
                      <w:r>
                        <w:rPr>
                          <w:bCs/>
                          <w:i w:val="0"/>
                          <w:iCs w:val="0"/>
                        </w:rPr>
                        <w:t xml:space="preserve"> theo Giấy chứng nhận quyền sử dụng đất quyền sở hữu nhà ở và tài </w:t>
                      </w:r>
                      <w:r>
                        <w:rPr>
                          <w:bCs/>
                          <w:i w:val="0"/>
                          <w:iCs w:val="0"/>
                        </w:rPr>
                        <w:t xml:space="preserve">sản khác gắn liền với đất số: DL 881690, số vào sổ cấp GCN: CS 03755 do Sở Tài nguyên và Môi trường tỉnh Nghệ An cấp ngày 06/5/2023; Chủ sử dụng đất là Ông Nguyễn Quang Trung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21-25</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88" w:type="dxa"/>
        <w:tblBorders/>
        <w:tblLayout w:type="fixed"/>
        <w:tblLook w:val="04A0" w:firstRow="1" w:lastRow="0" w:firstColumn="1" w:lastColumn="0" w:noHBand="0" w:noVBand="1"/>
      </w:tblPr>
      <w:tblGrid>
        <w:gridCol w:w="29"/>
        <w:gridCol w:w="1559"/>
        <w:gridCol w:w="8362"/>
        <w:gridCol w:w="38"/>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68"/>
        </w:trPr>
        <w:tc>
          <w:tcPr>
            <w:gridSpan w:val="2"/>
            <w:shd w:val="clear" w:color="auto" w:fill="auto"/>
            <w:tcBorders/>
            <w:tcMar>
              <w:left w:w="108" w:type="dxa"/>
              <w:top w:w="0" w:type="dxa"/>
              <w:right w:w="108" w:type="dxa"/>
              <w:bottom w:w="0" w:type="dxa"/>
            </w:tcMar>
            <w:tcW w:w="992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275/2026/0655/VFI-CT.21.A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29 tháng 4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XUẤT NHẬP KHẨU VÀ XÂY DỰNG VIỆT ÂU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275/2026/0655/VFI-HĐTĐ.21.A</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color w:val="000000" w:themeColor="text1"/>
          <w:spacing w:val="-4"/>
        </w:rPr>
        <w:t xml:space="preserve">Công ty Cổ phần Xuất nhập khẩu và Xây dựng Việt Âu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275/2026/0655/VFI-BC.21.A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296"/>
        <w:gridCol w:w="289"/>
        <w:gridCol w:w="6940"/>
      </w:tblGrid>
      <w:tr>
        <w:trPr>
          <w:trHeight w:val="20"/>
        </w:trPr>
        <w:tc>
          <w:tcPr>
            <w:shd w:val="clear" w:color="auto" w:fill="auto"/>
            <w:tcBorders/>
            <w:tcW w:w="2296"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89"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CÔNG TY CỔ PHẦN XUẤT NHẬP KHẨU VÀ XÂY DỰNG ÂU VIỆT</w:t>
            </w:r>
            <w:r/>
          </w:p>
        </w:tc>
      </w:tr>
      <w:tr>
        <w:trPr>
          <w:trHeight w:val="20"/>
        </w:trPr>
        <w:tc>
          <w:tcPr>
            <w:shd w:val="clear" w:color="auto" w:fill="auto"/>
            <w:tcBorders/>
            <w:tcW w:w="2296"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89" w:type="dxa"/>
            <w:vAlign w:val="center"/>
            <w:textDirection w:val="lrTb"/>
            <w:noWrap w:val="false"/>
          </w:tcPr>
          <w:p>
            <w:pPr>
              <w:pBdr/>
              <w:spacing w:after="40" w:before="40" w:line="276" w:lineRule="auto"/>
              <w:ind/>
              <w:rPr>
                <w:color w:val="000000" w:themeColor="text1"/>
                <w:spacing w:val="-2"/>
                <w14:ligatures w14:val="none"/>
              </w:rPr>
            </w:pPr>
            <w:r>
              <w:rPr>
                <w:color w:val="000000" w:themeColor="text1"/>
                <w:spacing w:val="-2"/>
              </w:rPr>
              <w:t xml:space="preserve">:</w:t>
            </w:r>
            <w:r>
              <w:rPr>
                <w:color w:val="000000" w:themeColor="text1"/>
                <w:spacing w:val="-2"/>
                <w14:ligatures w14:val="none"/>
              </w:rPr>
            </w:r>
            <w:r>
              <w:rPr>
                <w:color w:val="000000" w:themeColor="text1"/>
                <w:spacing w:val="-2"/>
                <w14:ligatures w14:val="none"/>
              </w:rPr>
            </w:r>
          </w:p>
        </w:tc>
        <w:tc>
          <w:tcPr>
            <w:tcBorders/>
            <w:tcW w:w="6940" w:type="dxa"/>
            <w:vAlign w:val="center"/>
            <w:textDirection w:val="lrTb"/>
            <w:noWrap w:val="false"/>
          </w:tcPr>
          <w:p>
            <w:pPr>
              <w:pBdr/>
              <w:spacing w:after="40" w:before="40" w:line="276" w:lineRule="auto"/>
              <w:ind/>
              <w:jc w:val="both"/>
              <w:rPr>
                <w:color w:val="000000" w:themeColor="text1"/>
                <w:spacing w:val="-2"/>
                <w14:ligatures w14:val="none"/>
              </w:rPr>
            </w:pPr>
            <w:r>
              <w:rPr>
                <w:color w:val="000000" w:themeColor="text1"/>
                <w:spacing w:val="-2"/>
              </w:rPr>
            </w:r>
            <w:r>
              <w:rPr>
                <w:color w:val="000000" w:themeColor="text1"/>
                <w:spacing w:val="-2"/>
              </w:rPr>
              <w:t xml:space="preserve">A7-6/2 Trung tâm đô thị Chí Linh, Phường Tam Thắng, Thành phố Hồ Chí Minh</w:t>
            </w:r>
            <w:r>
              <w:rPr>
                <w:color w:val="000000" w:themeColor="text1"/>
                <w:spacing w:val="-2"/>
                <w14:ligatures w14:val="none"/>
              </w:rPr>
            </w:r>
            <w:r>
              <w:rPr>
                <w:color w:val="000000" w:themeColor="text1"/>
                <w:spacing w:val="-2"/>
                <w14:ligatures w14:val="none"/>
              </w:rPr>
            </w:r>
          </w:p>
        </w:tc>
      </w:tr>
      <w:tr>
        <w:trPr>
          <w:trHeight w:val="20"/>
        </w:trPr>
        <w:tc>
          <w:tcPr>
            <w:shd w:val="clear" w:color="auto" w:fill="auto"/>
            <w:tcBorders/>
            <w:tcW w:w="2296"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89"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0106024032</w:t>
            </w:r>
            <w:r>
              <w:rPr>
                <w:color w:val="ff0000"/>
                <w:lang w:val="pt-BR"/>
              </w:rPr>
            </w:r>
            <w:r>
              <w:rPr>
                <w:color w:val="ff0000"/>
                <w:lang w:val="pt-BR"/>
              </w:rPr>
            </w:r>
          </w:p>
        </w:tc>
      </w:tr>
      <w:tr>
        <w:trPr>
          <w:trHeight w:val="20"/>
        </w:trPr>
        <w:tc>
          <w:tcPr>
            <w:shd w:val="clear" w:color="auto" w:fill="auto"/>
            <w:tcBorders/>
            <w:tcW w:w="2296"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jc w:val="center"/>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Nguyễn Quang Trung</w:t>
            </w:r>
            <w:r>
              <w:rPr>
                <w:b/>
                <w:bCs/>
                <w:color w:val="ff0000"/>
              </w:rPr>
            </w:r>
            <w:r>
              <w:rPr>
                <w:b/>
                <w:bCs/>
                <w:color w:val="ff0000"/>
              </w:rPr>
            </w:r>
          </w:p>
        </w:tc>
      </w:tr>
      <w:tr>
        <w:trPr>
          <w:trHeight w:val="20"/>
        </w:trPr>
        <w:tc>
          <w:tcPr>
            <w:shd w:val="clear" w:color="ffffff" w:fill="ffffff"/>
            <w:tcBorders/>
            <w:tcW w:w="2296"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shd w:val="clear" w:color="ffffff" w:fill="ffffff"/>
            <w:tcBorders/>
            <w:tcW w:w="289" w:type="dxa"/>
            <w:vAlign w:val="center"/>
            <w:vMerge w:val="restart"/>
            <w:textDirection w:val="lrTb"/>
            <w:noWrap w:val="false"/>
          </w:tcPr>
          <w:p>
            <w:pPr>
              <w:pBdr/>
              <w:spacing w:after="40" w:before="40" w:line="276" w:lineRule="auto"/>
              <w:ind/>
              <w:jc w:val="center"/>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rPr>
            </w:r>
            <w:r>
              <w:rPr>
                <w:b/>
                <w:bCs/>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Cs/>
          <w:i w:val="0"/>
          <w:iCs w:val="0"/>
        </w:rPr>
        <w:t xml:space="preserve">Giá trị quyền sử dụng đất tại thửa đất số: 546, tờ bản đồ số 22 có địa chỉ: Xóm Bắc Tiền Tiến (xóm Tiền Tiến cũ), xã Diễn Kim, huyện Diễn Châu, tỉnh Nghệ An </w:t>
      </w:r>
      <w:r>
        <w:rPr>
          <w:bCs/>
          <w:i/>
          <w:iCs/>
        </w:rPr>
        <w:t xml:space="preserve">(Nay là xã Hải Châu, tỉnh Nghệ An)</w:t>
      </w:r>
      <w:r>
        <w:rPr>
          <w:bCs/>
          <w:i w:val="0"/>
          <w:iCs w:val="0"/>
        </w:rPr>
        <w:t xml:space="preserve"> theo Giấy chứng nhận quyền sử dụng đất quyền sở hữu nhà ở và tài </w:t>
      </w:r>
      <w:r>
        <w:rPr>
          <w:bCs/>
          <w:i w:val="0"/>
          <w:iCs w:val="0"/>
        </w:rPr>
        <w:t xml:space="preserve">sản khác gắn liền với đất số: DL 881690, số vào sổ cấp GCN: CS 03755 do Sở Tài nguyên và Môi trường tỉnh Nghệ An cấp ngày 06/5/2023; Chủ sử dụng đất là Ông Nguyễn Quang Trung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835"/>
        <w:gridCol w:w="1843"/>
        <w:gridCol w:w="2126"/>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5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40" w:lineRule="auto"/>
              <w:ind w:right="143" w:firstLine="0" w:left="142"/>
              <w:jc w:val="both"/>
              <w:rPr/>
            </w:pPr>
            <w:r>
              <w:rPr>
                <w:rFonts w:ascii="Times New Roman" w:hAnsi="Times New Roman" w:eastAsia="Times New Roman" w:cs="Times New Roman"/>
                <w:b/>
                <w:color w:val="000000"/>
                <w:sz w:val="24"/>
              </w:rPr>
              <w:t xml:space="preserve">Giá trị quyền sử dụng đất tại thửa đất số: 546, tờ bản đồ số 22 có địa chỉ: Xóm Bắc Tiền Tiến (xóm Tiền Tiến cũ), xã Diễn Kim, huyện Diễn Châu, tỉnh Nghệ An </w:t>
            </w:r>
            <w:r>
              <w:rPr>
                <w:rFonts w:ascii="Times New Roman" w:hAnsi="Times New Roman" w:eastAsia="Times New Roman" w:cs="Times New Roman"/>
                <w:b/>
                <w:i/>
                <w:iCs/>
                <w:color w:val="000000"/>
                <w:sz w:val="24"/>
              </w:rPr>
              <w:t xml:space="preserve">(Nay là xã Hải Châu, tỉnh Nghệ An)</w:t>
            </w:r>
            <w:r>
              <w:rPr>
                <w:rFonts w:ascii="Times New Roman" w:hAnsi="Times New Roman" w:eastAsia="Times New Roman" w:cs="Times New Roman"/>
                <w:b/>
                <w:color w:val="000000"/>
                <w:sz w:val="24"/>
              </w:rPr>
              <w:t xml:space="preserve"> theo Giấy chứng nhận quyền sử dụng đất quyền sở hữu nhà ở và tài</w:t>
            </w:r>
            <w:r>
              <w:rPr>
                <w:rFonts w:ascii="Times New Roman" w:hAnsi="Times New Roman" w:eastAsia="Times New Roman" w:cs="Times New Roman"/>
                <w:b/>
                <w:color w:val="000000"/>
                <w:sz w:val="24"/>
              </w:rPr>
              <w:t xml:space="preserve"> sản khác gắn liền với đất số: DL 881690, số vào sổ cấp GCN: CS 03755 do Sở Tài nguyên và Môi trường tỉnh Nghệ An cấp ngày 06/5/2023; Chủ sử dụng đất là Ông Nguyễn Quang Trung.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297,6</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7.600.000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2.261.760.000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2.261.760.000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2.262.000.000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hai trăm sáu mươi hai triệu đồng chẵn./.)</w:t>
            </w:r>
            <w:r/>
          </w:p>
        </w:tc>
      </w:tr>
    </w:tbl>
    <w:p>
      <w:pPr>
        <w:pBdr/>
        <w:spacing w:after="120" w:before="120" w:line="264"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64"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64" w:lineRule="auto"/>
        <w:ind/>
        <w:rPr/>
      </w:pPr>
      <w:r>
        <w:rPr>
          <w:b/>
          <w:bCs/>
          <w:lang w:val="vi-VN"/>
        </w:rPr>
        <w:t xml:space="preserve">11. Những điều khoản loại trừ và hạn chế của kết quả thẩm định giá:</w:t>
      </w:r>
      <w:r/>
    </w:p>
    <w:p>
      <w:pPr>
        <w:pBdr/>
        <w:spacing w:after="120" w:before="120" w:line="264"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0"/>
        <w:rPr>
          <w:rFonts w:eastAsia="Calibri"/>
          <w:b/>
          <w:bCs/>
          <w:spacing w:val="-4"/>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lang w:val="pt-BR"/>
        </w:rPr>
      </w:r>
      <w:r>
        <w:rPr>
          <w:rFonts w:eastAsia="Calibri"/>
          <w:b/>
          <w:bCs/>
          <w:spacing w:val="-4"/>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44"/>
        <w:gridCol w:w="1485"/>
        <w:gridCol w:w="2422"/>
        <w:gridCol w:w="5412"/>
        <w:gridCol w:w="310"/>
      </w:tblGrid>
      <w:tr>
        <w:trPr>
          <w:trHeight w:val="1417"/>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14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3"/>
            <w:shd w:val="clear" w:color="auto" w:fill="auto"/>
            <w:tcBorders/>
            <w:tcMar>
              <w:left w:w="108" w:type="dxa"/>
              <w:top w:w="0" w:type="dxa"/>
              <w:right w:w="108" w:type="dxa"/>
              <w:bottom w:w="0" w:type="dxa"/>
            </w:tcMar>
            <w:tcW w:w="931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275/2026/0655/VFI-BC.21.A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29 tháng 4 năm 2026</w:t>
            </w:r>
            <w:r>
              <w:rPr>
                <w:color w:val="000000" w:themeColor="text1"/>
                <w:sz w:val="24"/>
                <w:szCs w:val="24"/>
              </w:rPr>
            </w:r>
            <w:r>
              <w:rPr>
                <w:color w:val="000000" w:themeColor="text1"/>
                <w:sz w:val="24"/>
                <w:szCs w:val="24"/>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275/2026/0655/VFI-CT.21.A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TY CỔ PHẦN XUẤT NHẬP KHẨU VÀ XÂY DỰNG ÂU VIỆT</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rPr>
                <w:color w:val="000000" w:themeColor="text1"/>
                <w:spacing w:val="-2"/>
                <w14:ligatures w14:val="none"/>
              </w:rPr>
            </w:pPr>
            <w:r>
              <w:rPr>
                <w:color w:val="000000" w:themeColor="text1"/>
                <w:spacing w:val="-2"/>
              </w:rPr>
              <w:t xml:space="preserve">:</w:t>
            </w:r>
            <w:r>
              <w:rPr>
                <w:color w:val="000000" w:themeColor="text1"/>
                <w:spacing w:val="-2"/>
                <w14:ligatures w14:val="none"/>
              </w:rPr>
            </w:r>
            <w:r>
              <w:rPr>
                <w:color w:val="000000" w:themeColor="text1"/>
                <w:spacing w:val="-2"/>
                <w14:ligatures w14:val="none"/>
              </w:rPr>
            </w:r>
          </w:p>
        </w:tc>
        <w:tc>
          <w:tcPr>
            <w:tcBorders/>
            <w:tcW w:w="6945" w:type="dxa"/>
            <w:vAlign w:val="center"/>
            <w:textDirection w:val="lrTb"/>
            <w:noWrap w:val="false"/>
          </w:tcPr>
          <w:p>
            <w:pPr>
              <w:pBdr/>
              <w:spacing w:after="40" w:before="40" w:line="276" w:lineRule="auto"/>
              <w:ind/>
              <w:jc w:val="both"/>
              <w:rPr>
                <w:color w:val="000000" w:themeColor="text1"/>
                <w:spacing w:val="-2"/>
                <w14:ligatures w14:val="none"/>
              </w:rPr>
            </w:pPr>
            <w:r>
              <w:rPr>
                <w:color w:val="000000" w:themeColor="text1"/>
                <w:spacing w:val="-2"/>
              </w:rPr>
            </w:r>
            <w:r>
              <w:rPr>
                <w:color w:val="000000" w:themeColor="text1"/>
                <w:spacing w:val="-2"/>
              </w:rPr>
              <w:t xml:space="preserve">A7-6/2 Trung tâm đô thị Chí Linh, Phường Tam Thắng, Thành phố Hồ Chí Minh</w:t>
            </w:r>
            <w:r>
              <w:rPr>
                <w:color w:val="000000" w:themeColor="text1"/>
                <w:spacing w:val="-2"/>
                <w14:ligatures w14:val="none"/>
              </w:rPr>
            </w:r>
            <w:r>
              <w:rPr>
                <w:color w:val="000000" w:themeColor="text1"/>
                <w:spacing w:val="-2"/>
                <w14:ligatures w14:val="none"/>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76" w:lineRule="auto"/>
              <w:ind/>
              <w:jc w:val="both"/>
              <w:rPr>
                <w:color w:val="ff0000"/>
                <w:lang w:val="pt-BR"/>
              </w:rPr>
            </w:pPr>
            <w:r>
              <w:rPr>
                <w:color w:val="000000" w:themeColor="text1"/>
                <w:lang w:val="vi-VN"/>
              </w:rPr>
              <w:t xml:space="preserve">0106024032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4" w:type="dxa"/>
            <w:vAlign w:val="center"/>
            <w:textDirection w:val="lrTb"/>
            <w:noWrap w:val="false"/>
          </w:tcPr>
          <w:p>
            <w:pPr>
              <w:pBdr/>
              <w:spacing w:after="40" w:before="40" w:line="276" w:lineRule="auto"/>
              <w:ind/>
              <w:jc w:val="center"/>
              <w:rPr>
                <w:bCs/>
              </w:rPr>
            </w:pPr>
            <w:r>
              <w:rPr>
                <w:bCs/>
              </w:rPr>
              <w:t xml:space="preserve">:</w:t>
            </w:r>
            <w:r>
              <w:rPr>
                <w:bCs/>
              </w:rPr>
            </w:r>
            <w:r>
              <w:rPr>
                <w:bCs/>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Nguyễn Quang Trung</w:t>
            </w:r>
            <w:r>
              <w:rPr>
                <w:b/>
                <w:bCs/>
                <w:color w:val="ff0000"/>
              </w:rPr>
            </w:r>
            <w:r>
              <w:rPr>
                <w:b/>
                <w:bCs/>
                <w:color w:val="ff0000"/>
              </w:rPr>
            </w:r>
          </w:p>
        </w:tc>
      </w:tr>
      <w:tr>
        <w:trPr>
          <w:trHeight w:val="20"/>
        </w:trPr>
        <w:tc>
          <w:tcPr>
            <w:tcBorders/>
            <w:tcW w:w="2518"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tcBorders/>
            <w:tcW w:w="284" w:type="dxa"/>
            <w:vAlign w:val="center"/>
            <w:textDirection w:val="lrTb"/>
            <w:noWrap w:val="false"/>
          </w:tcPr>
          <w:p>
            <w:pPr>
              <w:pBdr/>
              <w:spacing w:after="40" w:before="40" w:line="276" w:lineRule="auto"/>
              <w:ind/>
              <w:jc w:val="center"/>
              <w:rPr>
                <w:bCs/>
              </w:rPr>
            </w:pPr>
            <w:r>
              <w:rPr>
                <w:bCs/>
              </w:rPr>
              <w:t xml:space="preserve">:</w:t>
            </w:r>
            <w:r>
              <w:rPr>
                <w:bCs/>
              </w:rPr>
            </w:r>
            <w:r>
              <w:rPr>
                <w:bCs/>
              </w:rPr>
            </w:r>
          </w:p>
        </w:tc>
        <w:tc>
          <w:tcPr>
            <w:tcBorders/>
            <w:tcW w:w="6945" w:type="dxa"/>
            <w:vAlign w:val="center"/>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bCs/>
                <w:i w:val="0"/>
                <w:iCs w:val="0"/>
              </w:rPr>
              <w:t xml:space="preserve">Giá trị quyền sử dụng đất tại thửa đất số: 546, tờ bản đồ số 22 có địa chỉ: Xóm Bắc Tiền Tiến (xóm Tiền Tiến cũ), xã Diễn Kim, huyện Diễn Châu, tỉnh Nghệ An </w:t>
            </w:r>
            <w:r>
              <w:rPr>
                <w:bCs/>
                <w:i/>
                <w:iCs/>
              </w:rPr>
              <w:t xml:space="preserve">(Nay là xã Hải Châu, tỉnh Nghệ An)</w:t>
            </w:r>
            <w:r>
              <w:rPr>
                <w:bCs/>
                <w:i w:val="0"/>
                <w:iCs w:val="0"/>
              </w:rPr>
              <w:t xml:space="preserve"> theo Giấy chứng nhận quyền sử dụng đất quyền sở hữu nhà ở và tài </w:t>
            </w:r>
            <w:r>
              <w:rPr>
                <w:bCs/>
                <w:i w:val="0"/>
                <w:iCs w:val="0"/>
              </w:rPr>
              <w:t xml:space="preserve">sản khác gắn liền với đất số: DL 881690, số vào sổ cấp GCN: CS 03755 do Sở Tài nguyên và Môi trường tỉnh Nghệ An cấp ngày 06/5/2023; Chủ sử dụng đất là Ông Nguyễn Quang Trung.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Hải Châu, tỉnh Nghệ An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19.020722, 105.616333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i w:val="0"/>
          <w:iCs w:val="0"/>
        </w:rPr>
        <w:t xml:space="preserve">Giấy chứng nhận quyền sử dụng đất quyền sở hữu nhà ở và tài </w:t>
      </w:r>
      <w:r>
        <w:rPr>
          <w:bCs/>
          <w:i w:val="0"/>
          <w:iCs w:val="0"/>
        </w:rPr>
        <w:t xml:space="preserve">sản khác gắn liền với đất số: DL 881690, số vào sổ cấp GCN: CS 03755 do Sở Tài nguyên và Môi trường tỉnh Nghệ An cấp ngày 06/5/2023; Chủ sử dụng đất là Ông Nguyễn Quang Trung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275/2026/0655/VFI-HĐTĐ.21.A</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color w:val="000000" w:themeColor="text1"/>
          <w:spacing w:val="-4"/>
        </w:rPr>
        <w:t xml:space="preserve">Công ty Cổ phần Xuất nhập khẩu và Xây dựng Việt Âu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pacing w:val="-4"/>
          <w:sz w:val="24"/>
        </w:rPr>
        <w:t xml:space="preserve">Tổng quan bất động sản tỉnh Nghệ An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Làm rõ tiềm năng và cơ hội chuyển mình của thị trường bất động sản Nghệ An, trình bày tham luận tại Hội thảo, bà Phạm Thị Miền, Phó Viện trưởng VARS IRE cho biết, 3 năm trở lại đây, nguồn cung BĐS tại Nghệ An có xu hướng cải thiện. Từ mức 1.100 sản phẩm n</w:t>
      </w:r>
      <w:r>
        <w:rPr>
          <w:rFonts w:ascii="Times New Roman" w:hAnsi="Times New Roman" w:eastAsia="Times New Roman" w:cs="Times New Roman"/>
          <w:color w:val="000000"/>
          <w:spacing w:val="-4"/>
          <w:sz w:val="24"/>
        </w:rPr>
        <w:t xml:space="preserve">ăm 2023, nguồn cung mới đã tăng lên 2.400 sản phẩm trong năm 2024. Sơ bộ 11 tháng năm 2025, thị trường BĐS Nghệ An ghi nhận khoảng 1.900 sản phẩm mở bán mới, cùng một số dự án quy mô ra mắt, chuẩn bị mở bán.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Dù đã được cải thiện, tuy nhiên, nguồn cung BĐS tại Nghệ An vẫn còn rất hạn chế. Toàn tỉnh hiện chỉ có khoảng 97 dự án nhà ở cao tầng với tổng quy mô hơn 20.000 căn, cùng khoảng 20 dự án khu đô thị quy mô nhỏ. Trong khi đó, theo Kế hoạch phát triển nhà ở </w:t>
      </w:r>
      <w:r>
        <w:rPr>
          <w:rFonts w:ascii="Times New Roman" w:hAnsi="Times New Roman" w:eastAsia="Times New Roman" w:cs="Times New Roman"/>
          <w:color w:val="000000"/>
          <w:spacing w:val="-4"/>
          <w:sz w:val="24"/>
        </w:rPr>
        <w:t xml:space="preserve">của tỉnh, giai đoạn 2025-2030, Nghệ An cần phát triển thêm tới 240 nghìn đơn vị nhà ở. Trong số đó, có khoảng 135 nghìn đơn vị nhà ở từ các dự án đang triển khai và cần thu hút đầu tư mới khoảng 105.000 đơn vị nhà ở.</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Đáng chú ý, khác với các thị trường khác - thiếu sản phẩm nhà ở giá phù hợp, Nghệ An lại thiếu hụt các sản phẩm BĐS cao cấp, đặc biệt tại khu vực thủ phủ Nghệ An.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Nguồn cung khan hiếm nhưng nhu cầu về BĐS Nghệ An, bao gồm cả nhu cầu ở thực và nhu cầu đầu tư rất lớn và đang có xu hướng gia tăng mạnh mẽ. Sự gia tăng nhu cầu này được dẫn dắt bởi nhiều động lực quan trọng: quy mô dân số lớn, tốc độ đô thị hóa được đẩy </w:t>
      </w:r>
      <w:r>
        <w:rPr>
          <w:rFonts w:ascii="Times New Roman" w:hAnsi="Times New Roman" w:eastAsia="Times New Roman" w:cs="Times New Roman"/>
          <w:color w:val="000000"/>
          <w:spacing w:val="-4"/>
          <w:sz w:val="24"/>
        </w:rPr>
        <w:t xml:space="preserve">nhanh, nền kinh tế tăng trưởng ấn tượng, tầng lớp trung – thượng lưu mở rộng, dòng vốn FDI liên tục đổ vào các khu công nghiệp, lực lượng chuyên gia đến làm việc ngày càng nhiều, cùng nguồn kiều hối ổn định 650–700 triệu USD mỗi năm. Đặc biệt, dòng tiền đầ</w:t>
      </w:r>
      <w:r>
        <w:rPr>
          <w:rFonts w:ascii="Times New Roman" w:hAnsi="Times New Roman" w:eastAsia="Times New Roman" w:cs="Times New Roman"/>
          <w:color w:val="000000"/>
          <w:spacing w:val="-4"/>
          <w:sz w:val="24"/>
        </w:rPr>
        <w:t xml:space="preserve">u tư từ cộng đồng người Nghệ An xa quê đang quay trở lại mạnh mẽ khi nhận thấy chỉ báo mô hình phát triển quen thuộc của các thị trường từng bứt phá mạnh: hạ tầng đi trước, cùng quy hoạch.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Ngoài ra, nhu cầu đầu tư còn được thúc đẩy mạnh mẽ bởi sự “đổ bộ” của các ông lớn BĐS. Sự tham gia của các tập đoàn quy mô lớn, giàu kinh nghiệm và có năng lực tài chính vững mạnh không chỉ nâng tầm thị trường mà còn tạo cú hích niềm tin cho thị trường, t</w:t>
      </w:r>
      <w:r>
        <w:rPr>
          <w:rFonts w:ascii="Times New Roman" w:hAnsi="Times New Roman" w:eastAsia="Times New Roman" w:cs="Times New Roman"/>
          <w:color w:val="000000"/>
          <w:spacing w:val="-4"/>
          <w:sz w:val="24"/>
        </w:rPr>
        <w:t xml:space="preserve">ừ đó kích thích dòng vốn đầu tư đổ vào Nghệ An.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Nguồn cung thị trường có cải thiện nhưng vẫn thấp hơn nhiều so với nhu cầu, giúp các dự án mở bán duy trì tỷ lệ hấp thụ cao. Năm 2024, tỷ lệ hấp thụ đạt 82%, chủ yếu đến từ một dự án xanh, chất lượng cao hiếm hoi tại trung tâm. Trong 11 tháng 2025 (sơ bộ)</w:t>
      </w:r>
      <w:r>
        <w:rPr>
          <w:rFonts w:ascii="Times New Roman" w:hAnsi="Times New Roman" w:eastAsia="Times New Roman" w:cs="Times New Roman"/>
          <w:color w:val="000000"/>
          <w:spacing w:val="-4"/>
          <w:sz w:val="24"/>
        </w:rPr>
        <w:t xml:space="preserve">, tỷ lệ hấp thụ đạt 74%. Đáng chú ý, lượng giao dịch này được đóng góp chủ yếu bởi nhu cầu đầu tư dài hạn và khách hàng có nhu cầu ở thực.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Giao dịch trên thị trường thứ cấp cũng ghi nhận tăng trưởng rõ rệt, với mức tăng khoảng 20% so với 2024, tập trung ở khu vực trung tâm thành phố, xung quanh các khu công nghiệp và các dự án hạ tầng, đầu tư.</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Giá BĐS tiếp tục tăng ổn định. Các dự án mở bán tăng giá theo từng đợt ra hàng nhưng vẫn hấp thụ tốt nhờ mặt bằng giá vẫn chỉ bằng khoảng 2/3 các dự án cùng phân khúc có vị trí tương đương tại địa phương khác. Trên thị trường thứ cấp, giá duy trì đà tăng </w:t>
      </w:r>
      <w:r>
        <w:rPr>
          <w:rFonts w:ascii="Times New Roman" w:hAnsi="Times New Roman" w:eastAsia="Times New Roman" w:cs="Times New Roman"/>
          <w:color w:val="000000"/>
          <w:spacing w:val="-4"/>
          <w:sz w:val="24"/>
        </w:rPr>
        <w:t xml:space="preserve">trưởng ổn định theo năm và có xu hướng tăng nhanh hơn trong một năm trở lại đây, đặc biệt tại các khu đô thị bài bản, phân khúc cao cấp, vị trí trung tâm và khu vực dọc các trục hạ tầng trọng điểm.</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“Thủ phủ Nghệ An có nhiều nét tương đồng với Đà Nẵng và Khánh Hòa 10 năm trước: giá BĐS còn thấp, dư địa tăng trưởng lớn. Thị trường hiện tại đang đứng trước cơ hội bước vào giai đoạn “vàng son”, mở ra cơ hội gặt hái lợi nhuận cho các nhà đầu tư tiên phon</w:t>
      </w:r>
      <w:r>
        <w:rPr>
          <w:rFonts w:ascii="Times New Roman" w:hAnsi="Times New Roman" w:eastAsia="Times New Roman" w:cs="Times New Roman"/>
          <w:color w:val="000000"/>
          <w:spacing w:val="-4"/>
          <w:sz w:val="24"/>
        </w:rPr>
        <w:t xml:space="preserve">g, đặc biệt tại khu vực trung tâm và gần các dự án hạ tầng trọng điểm”, bà Miền nhận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b/>
          <w:i/>
          <w:color w:val="000000"/>
          <w:spacing w:val="-4"/>
          <w:sz w:val="24"/>
        </w:rPr>
        <w:tab/>
        <w:t xml:space="preserve">Xu hướng phát triển và giá trị sống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Trong khuôn khổ Hội thảo, VARS tổ chức tọa đàm “Đô thị xanh giữa trung tâm thành phố: Xu hướng phát triển và giá trị sống bền vững”. Tại Tọa đàm, các chuyên gia đều thống nhất rằng xu hướng “xanh hóa” đang trở thành lựa chọn tất yếu và là chuẩn sống mới c</w:t>
      </w:r>
      <w:r>
        <w:rPr>
          <w:rFonts w:ascii="Times New Roman" w:hAnsi="Times New Roman" w:eastAsia="Times New Roman" w:cs="Times New Roman"/>
          <w:color w:val="000000"/>
          <w:spacing w:val="-4"/>
          <w:sz w:val="24"/>
        </w:rPr>
        <w:t xml:space="preserve">ủa người dân đô thị.</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‘Sống xanh’ không chỉ dừng lại ở việc sở hữu không gian nhiều cây xanh, mà còn là sống trong một công trình xanh - nơi cảnh quan, kiến trúc, vật liệu xây dựng và hệ thống vận hành đều được tối ưu để giảm thiểu tác động tiêu cực đến môi trường, đồng thời n</w:t>
      </w:r>
      <w:r>
        <w:rPr>
          <w:rFonts w:ascii="Times New Roman" w:hAnsi="Times New Roman" w:eastAsia="Times New Roman" w:cs="Times New Roman"/>
          <w:color w:val="000000"/>
          <w:spacing w:val="-4"/>
          <w:sz w:val="24"/>
        </w:rPr>
        <w:t xml:space="preserve">âng cao chất lượng sống một cách toàn diện cho cư dân”, TS. Trần Xuân Lượng, Phó Viện trưởng VARS IRE, Giảng viên Khoa BĐS nhấn mạnh.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Từ góc độ quy hoạch và kinh tế đô thị, TS. Nguyễn Văn Đính, Phó Chủ tịch Hiệp hội Bất động sản Việt Nam, Chủ tịch VARS chia sẻ, mô hình sống xanh tại vị trí trung tâm được đánh giá đặc biệt tiềm năng. Bởi lẽ, vị trí trung tâm luôn bảo đảm khả năng tăng gi</w:t>
      </w:r>
      <w:r>
        <w:rPr>
          <w:rFonts w:ascii="Times New Roman" w:hAnsi="Times New Roman" w:eastAsia="Times New Roman" w:cs="Times New Roman"/>
          <w:color w:val="000000"/>
          <w:spacing w:val="-4"/>
          <w:sz w:val="24"/>
        </w:rPr>
        <w:t xml:space="preserve">á dài hạn, trong khi các dự án xanh lại có mức hấp thụ tốt, tỷ lệ khai thác cao và đem đến tỷ suất sinh lời vượt trội so với các dự án thông thường. Thực tế thị trường cho thấy các sản phẩm nhà ở đạt chứng chỉ xanh thường có mức tăng giá ổn định và khả năn</w:t>
      </w:r>
      <w:r>
        <w:rPr>
          <w:rFonts w:ascii="Times New Roman" w:hAnsi="Times New Roman" w:eastAsia="Times New Roman" w:cs="Times New Roman"/>
          <w:color w:val="000000"/>
          <w:spacing w:val="-4"/>
          <w:sz w:val="24"/>
        </w:rPr>
        <w:t xml:space="preserve">g giữ giá tốt ngay cả trong bối cảnh thị trường biến động. Những dự án công trình xanh chú trọng sức khỏe cư dân, tiện ích nhân văn và môi trường xung quanh đang trở thành tâm điểm quan tâm, với lượng giao dịch và thanh khoản vượt trội.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Trong bối cảnh quỹ đất nội đô ngày càng hạn chế, đặc biệt tại các đô thị lớn, các công trình xanh chủ yếu phát triển ở khu vực vệ tinh. Đơn cử như tại Hà Nội, tình trạng ô nhiễm khiến những người muốn sống xanh phải dịch chuyển sang vùng ven. Vì vậy, công</w:t>
      </w:r>
      <w:r>
        <w:rPr>
          <w:rFonts w:ascii="Times New Roman" w:hAnsi="Times New Roman" w:eastAsia="Times New Roman" w:cs="Times New Roman"/>
          <w:color w:val="000000"/>
          <w:spacing w:val="-4"/>
          <w:sz w:val="24"/>
        </w:rPr>
        <w:t xml:space="preserve"> trình xanh tại trung tâm trở thành “hàng độc”, mang giá trị khác biệt và tính khan hiếm cao.</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Đồng quan điểm, TS. Nguyễn Minh Phong - Phó Chủ tịch Hiệp hội Thông tin tư vấn kinh tế thương mại Việt Nam chia sẻ thêm, khách hàng sở hữu BĐS xanh tại trung tâm vừa có một nơi ở thuận tiện, vừa tận hưởng một không gian nghỉ dưỡng mà không cần đầu tư thêm</w:t>
      </w:r>
      <w:r>
        <w:rPr>
          <w:rFonts w:ascii="Times New Roman" w:hAnsi="Times New Roman" w:eastAsia="Times New Roman" w:cs="Times New Roman"/>
          <w:color w:val="000000"/>
          <w:spacing w:val="-4"/>
          <w:sz w:val="24"/>
        </w:rPr>
        <w:t xml:space="preserve"> ‘second home’. Song song đó, những năm gần đây, thứ tự ưu tiên khi mua nhà của người dân đã có sự thay đổi rõ rệt. Nhóm khách hàng trẻ và phân khúc trung, thượng lưu ngày càng chú trọng đến chất lượng không gian sống, ưu tiên những dự án đề cao yếu tố sức</w:t>
      </w:r>
      <w:r>
        <w:rPr>
          <w:rFonts w:ascii="Times New Roman" w:hAnsi="Times New Roman" w:eastAsia="Times New Roman" w:cs="Times New Roman"/>
          <w:color w:val="000000"/>
          <w:spacing w:val="-4"/>
          <w:sz w:val="24"/>
        </w:rPr>
        <w:t xml:space="preserve"> khỏe, hạnh phúc và bền vững. Điều này tiếp tục thúc đẩy nhu cầu đối với các dự án xanh, thân thiện môi trường, đồng thời khẳng định xu hướng phát triển tất yếu của thị trường BĐS trong giai đoạn tới.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Theo chia sẻ từ khách mời, một trong những đơn vị phát triển BĐS uy tín hàng đầu Việt Nam, tiên phong triển khai các dự án quy mô tại Nghệ An và góp phần thay đổi diện mạo đô thị xứ Nghệ, nhu cầu về những khu đô thị xanh, hiện đại ngay tại trung tâm đang </w:t>
      </w:r>
      <w:r>
        <w:rPr>
          <w:rFonts w:ascii="Times New Roman" w:hAnsi="Times New Roman" w:eastAsia="Times New Roman" w:cs="Times New Roman"/>
          <w:color w:val="000000"/>
          <w:spacing w:val="-4"/>
          <w:sz w:val="24"/>
        </w:rPr>
        <w:t xml:space="preserve">gia tăng mạnh mẽ. Doanh nghiệp hiện đang triển khai nhiều dự án đô thị xanh tại Nghệ An, hướng tới kiến tạo môi trường sống chất lượng cao, đáp ứng đúng kỳ vọng của nhóm khách hàng trẻ và phân khúc trung - thượng lưu.</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“Khu đô thị xanh đáp ứng tiêu chí công trình xanh (sử dụng vật liệu thân thiện môi trường, tiết kiệm năng lượng; ứng dụng điện mặt trời cho hệ thống chiếu sáng; tối ưu chất lượng sống nhờ thông gió tự nhiên, công nghệ xử lý nước thải đạt chuẩn A và hệ thố</w:t>
      </w:r>
      <w:r>
        <w:rPr>
          <w:rFonts w:ascii="Times New Roman" w:hAnsi="Times New Roman" w:eastAsia="Times New Roman" w:cs="Times New Roman"/>
          <w:color w:val="000000"/>
          <w:spacing w:val="-4"/>
          <w:sz w:val="24"/>
        </w:rPr>
        <w:t xml:space="preserve">ng thu gom rác thông minh). Cảnh quan xanh (cây xanh, thảm thực vật đa tầng, mặt nước). Vận hành xanh (nước sau xử lý có thể tưới cây, hệ thống thu gom rác thải thông minh vận hành bằng năng lượng mặt trời)", đại diện doanh nghiệp chia sẻ.</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pacing w:val="-4"/>
          <w:sz w:val="24"/>
        </w:rPr>
        <w:tab/>
        <w:t xml:space="preserve">Tổng kết tại Hội thảo, TS. Nguyễn Văn Đính cho biết, những dự án tiên phong phát triển mô hình đô thị xanh với cảnh quan xanh, công trình xanh, vận hành xanh ngay tại trung tâm - xu hướng tất yếu khi chất lượng sống, sự hài hòa với thiên nhiên và môi trườ</w:t>
      </w:r>
      <w:r>
        <w:rPr>
          <w:rFonts w:ascii="Times New Roman" w:hAnsi="Times New Roman" w:eastAsia="Times New Roman" w:cs="Times New Roman"/>
          <w:color w:val="000000"/>
          <w:spacing w:val="-4"/>
          <w:sz w:val="24"/>
        </w:rPr>
        <w:t xml:space="preserve">ng trong lành trở thành ưu tiên hàng đầu của cư dân hiện đại, như Eurowindow Sport Garden, Eurowindow Central Avenue không chỉ góp phần định hình, nâng cấp diện mạo đô thị và hạ tầng toàn vùng, mà còn hứa hẹn sẽ trở thành điểm đến hấp dẫn dòng vốn, thu hút</w:t>
      </w:r>
      <w:r>
        <w:rPr>
          <w:rFonts w:ascii="Times New Roman" w:hAnsi="Times New Roman" w:eastAsia="Times New Roman" w:cs="Times New Roman"/>
          <w:color w:val="000000"/>
          <w:spacing w:val="-4"/>
          <w:sz w:val="24"/>
        </w:rPr>
        <w:t xml:space="preserve"> mạnh mẽ cả nhóm khách hàng trung lưu, thượng lưu địa phương, lẫn nhà đầu tư trên cả nước, đặc biệt là nhóm khách hàng trẻ. Ông cũng nhấn mạnh "những sản phẩm tại khu đô thị này có giá trị gia tăng mạnh mẽ hơn cả so với những khu đô thị thông thường cũng p</w:t>
      </w:r>
      <w:r>
        <w:rPr>
          <w:rFonts w:ascii="Times New Roman" w:hAnsi="Times New Roman" w:eastAsia="Times New Roman" w:cs="Times New Roman"/>
          <w:color w:val="000000"/>
          <w:spacing w:val="-4"/>
          <w:sz w:val="24"/>
        </w:rPr>
        <w:t xml:space="preserve">hân khúc”.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https://diendandoanhnghiep.vn/bat-dong-san-nghe-an-buoc-vao-giai-doan-vang-son-10167044.html)</w:t>
      </w:r>
      <w:r>
        <w:rPr>
          <w:rFonts w:ascii="Times New Roman" w:hAnsi="Times New Roman" w:eastAsia="Times New Roman" w:cs="Times New Roman"/>
          <w:sz w:val="24"/>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546, tờ bản đồ số 22 có địa chỉ: Xóm Bắc Tiền Tiến (xóm Tiền Tiến cũ), xã Diễn Kim, huyện Diễn Châu, tỉnh Nghệ An (</w:t>
            </w:r>
            <w:r>
              <w:rPr>
                <w:rFonts w:ascii="Times New Roman" w:hAnsi="Times New Roman" w:eastAsia="Times New Roman" w:cs="Times New Roman"/>
                <w:b/>
                <w:i/>
                <w:iCs/>
                <w:color w:val="000000"/>
                <w:sz w:val="24"/>
              </w:rPr>
              <w:t xml:space="preserve">Nay là xã Hải Châu, tỉnh Nghệ An</w:t>
            </w:r>
            <w:r>
              <w:rPr>
                <w:rFonts w:ascii="Times New Roman" w:hAnsi="Times New Roman" w:eastAsia="Times New Roman" w:cs="Times New Roman"/>
                <w:b/>
                <w:color w:val="000000"/>
                <w:sz w:val="24"/>
              </w:rPr>
              <w:t xml:space="preserve">) theo Giấy chứng nhận quyền sử dụng đất quyền sở hữu nhà ở và tài</w:t>
            </w:r>
            <w:r>
              <w:rPr>
                <w:rFonts w:ascii="Times New Roman" w:hAnsi="Times New Roman" w:eastAsia="Times New Roman" w:cs="Times New Roman"/>
                <w:b/>
                <w:color w:val="000000"/>
                <w:sz w:val="24"/>
              </w:rPr>
              <w:t xml:space="preserve"> sản khác gắn liền với đất số: DL 881690, số vào sổ cấp GCN: CS 03755 do Sở Tài nguyên và Môi trường tỉnh Nghệ An cấp ngày 06/5/2023; Chủ sử dụng đất là Ông Nguyễn Quang Trung.</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Xóm Bắc Tiền Tiến (xóm Tiền Tiến cũ), xã Diễn Kim, huyện Diễn Châu, tỉnh Nghệ An </w:t>
            </w:r>
            <w:r>
              <w:rPr>
                <w:rFonts w:ascii="Times New Roman" w:hAnsi="Times New Roman" w:eastAsia="Times New Roman" w:cs="Times New Roman"/>
                <w:i/>
                <w:color w:val="000000"/>
                <w:sz w:val="24"/>
              </w:rPr>
              <w:t xml:space="preserve">(Nay là xã Hải Châu, tỉnh Nghệ An)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297,6</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Được tặng cho đất được Công nhận QSD đất như giao đất có thu tiền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Được tặng cho từ Giấy chứng nhận QSD đất số DI 447650 cấp ngày 30/3/2023, theo Hợp đồng tặng cho QSD đất lập ngày 17/4/2023.</w:t>
            </w:r>
            <w:r>
              <w:rPr>
                <w:i/>
                <w:iCs/>
              </w:rPr>
            </w:r>
            <w:r>
              <w:rPr>
                <w:bCs/>
                <w:i/>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Tại thời điểm thẩm định giá, căn cứ theo thông tin quy hoạch tại Guland, thửa đất nằm trong quy hoạch đất ở nông thôn.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3883061" cy="216723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8954" name=""/>
                              <pic:cNvPicPr>
                                <a:picLocks noChangeAspect="1"/>
                              </pic:cNvPicPr>
                              <pic:nvPr/>
                            </pic:nvPicPr>
                            <pic:blipFill rotWithShape="1">
                              <a:blip r:embed="rId17"/>
                              <a:stretch/>
                            </pic:blipFill>
                            <pic:spPr bwMode="auto">
                              <a:xfrm flipH="0" flipV="0">
                                <a:off x="0" y="0"/>
                                <a:ext cx="3883061" cy="2167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5.75pt;height:170.65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xóm Bắc Tiền Tiến, xã Hải Châu, tỉnh Nghệ An; cách đường liên xã khoảng 400m.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Đông Nam: Tiếp giáp đường bê tông khoảng 7m;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19.020722</w:t>
            </w:r>
            <w:r>
              <w:rPr>
                <w:color w:val="000000"/>
              </w:rPr>
              <w:t xml:space="preserve">, </w:t>
            </w:r>
            <w:r>
              <w:rPr>
                <w:color w:val="000000"/>
              </w:rPr>
              <w:t xml:space="preserve">105.616333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09270" cy="305931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50967" name=""/>
                              <pic:cNvPicPr>
                                <a:picLocks noChangeAspect="1"/>
                              </pic:cNvPicPr>
                              <pic:nvPr/>
                            </pic:nvPicPr>
                            <pic:blipFill rotWithShape="1">
                              <a:blip r:embed="rId18"/>
                              <a:stretch/>
                            </pic:blipFill>
                            <pic:spPr bwMode="auto">
                              <a:xfrm flipH="0" flipV="0">
                                <a:off x="0" y="0"/>
                                <a:ext cx="5409270" cy="30593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5.93pt;height:240.89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297,6</w:t>
            </w: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w:t>
            </w: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43,08 - 44,67</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Thóp hậu</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cấp 4, mái lợp tôn, diện tích xây dựng khoảng 50m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Công trình chưa được chứng nhận trên GCN.</w:t>
            </w:r>
            <w:r/>
          </w:p>
        </w:tc>
      </w:tr>
    </w:tbl>
    <w:p>
      <w:pPr>
        <w:pBdr/>
        <w:spacing w:line="235" w:lineRule="auto"/>
        <w:ind w:left="0"/>
        <w:jc w:val="both"/>
        <w:rPr>
          <w:u w:val="single"/>
        </w:rPr>
      </w:pPr>
      <w:r>
        <w:rPr>
          <w:u w:val="single"/>
        </w:rPr>
      </w:r>
      <w:r>
        <w:rPr>
          <w:u w:val="single"/>
        </w:rPr>
      </w:r>
      <w:r>
        <w:rPr>
          <w:u w:val="single"/>
        </w:rPr>
      </w:r>
    </w:p>
    <w:p>
      <w:pPr>
        <w:pBdr/>
        <w:spacing w:line="288"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732"/>
        <w:gridCol w:w="1701"/>
        <w:gridCol w:w="2339"/>
        <w:gridCol w:w="2339"/>
        <w:gridCol w:w="1203"/>
        <w:gridCol w:w="1203"/>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339"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339"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203"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203"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339" w:type="dxa"/>
            <w:vAlign w:val="center"/>
            <w:textDirection w:val="lrTb"/>
            <w:noWrap w:val="false"/>
          </w:tcPr>
          <w:p>
            <w:pPr>
              <w:pBdr/>
              <w:spacing/>
              <w:ind/>
              <w:jc w:val="center"/>
              <w:rPr/>
            </w:pPr>
            <w:r>
              <w:t xml:space="preserve">Xóm Bắc Tiền Tiến, xã Diễn Kim, huyện Diễn Châu, tình Nghệ An </w:t>
            </w:r>
            <w:r/>
          </w:p>
        </w:tc>
        <w:tc>
          <w:tcPr>
            <w:tcBorders/>
            <w:tcW w:w="2339" w:type="dxa"/>
            <w:vAlign w:val="center"/>
            <w:textDirection w:val="lrTb"/>
            <w:noWrap w:val="false"/>
          </w:tcPr>
          <w:p>
            <w:pPr>
              <w:pBdr/>
              <w:spacing/>
              <w:ind/>
              <w:jc w:val="center"/>
              <w:rPr/>
            </w:pPr>
            <w:r>
              <w:t xml:space="preserve">Xóm Bắc Tiền Tiến, xã Hải Châu, tỉnh Nghệ An</w:t>
            </w:r>
            <w:r>
              <w:t xml:space="preserve"> ✔</w:t>
            </w:r>
            <w:r/>
          </w:p>
        </w:tc>
        <w:tc>
          <w:tcPr>
            <w:tcBorders/>
            <w:tcW w:w="1203" w:type="dxa"/>
            <w:vAlign w:val="center"/>
            <w:textDirection w:val="lrTb"/>
            <w:noWrap w:val="false"/>
          </w:tcPr>
          <w:p>
            <w:pPr>
              <w:pBdr/>
              <w:spacing/>
              <w:ind/>
              <w:jc w:val="center"/>
              <w:rPr/>
            </w:pPr>
            <w:r>
              <w:t xml:space="preserve">Có</w:t>
            </w:r>
            <w:r/>
          </w:p>
        </w:tc>
        <w:tc>
          <w:tcPr>
            <w:tcBorders/>
            <w:tcW w:w="1203" w:type="dxa"/>
            <w:vAlign w:val="center"/>
            <w:textDirection w:val="lrTb"/>
            <w:noWrap w:val="false"/>
          </w:tcPr>
          <w:p>
            <w:pPr>
              <w:pBdr/>
              <w:spacing/>
              <w:ind/>
              <w:jc w:val="center"/>
              <w:rPr/>
            </w:pPr>
            <w:r>
              <w:t xml:space="preserve">Sát nhập đơn vị hành chính</w:t>
            </w:r>
            <w:r/>
          </w:p>
        </w:tc>
      </w:tr>
      <w:tr>
        <w:trPr>
          <w:jc w:val="center"/>
        </w:trPr>
        <w:tc>
          <w:tcPr>
            <w:tcBorders/>
            <w:tcW w:w="732"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Pháp lý</w:t>
            </w:r>
            <w:r/>
          </w:p>
        </w:tc>
        <w:tc>
          <w:tcPr>
            <w:tcBorders/>
            <w:tcW w:w="2339"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339"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Loại đất</w:t>
            </w:r>
            <w:r/>
          </w:p>
        </w:tc>
        <w:tc>
          <w:tcPr>
            <w:tcBorders/>
            <w:tcW w:w="2339" w:type="dxa"/>
            <w:vAlign w:val="center"/>
            <w:textDirection w:val="lrTb"/>
            <w:noWrap w:val="false"/>
          </w:tcPr>
          <w:p>
            <w:pPr>
              <w:pBdr/>
              <w:spacing/>
              <w:ind/>
              <w:jc w:val="center"/>
              <w:rPr/>
            </w:pPr>
            <w:r>
              <w:t xml:space="preserve">Đất ở tại nông thôn</w:t>
            </w:r>
            <w:r/>
          </w:p>
        </w:tc>
        <w:tc>
          <w:tcPr>
            <w:tcBorders/>
            <w:tcW w:w="2339" w:type="dxa"/>
            <w:vAlign w:val="center"/>
            <w:textDirection w:val="lrTb"/>
            <w:noWrap w:val="false"/>
          </w:tcPr>
          <w:p>
            <w:pPr>
              <w:pBdr/>
              <w:spacing/>
              <w:ind/>
              <w:jc w:val="center"/>
              <w:rPr/>
            </w:pPr>
            <w:r>
              <w:t xml:space="preserve">Đất ở tại nông thô</w:t>
            </w:r>
            <w:r>
              <w:t xml:space="preserve">n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Thời hạn sử dụng</w:t>
            </w:r>
            <w:r/>
          </w:p>
        </w:tc>
        <w:tc>
          <w:tcPr>
            <w:tcBorders/>
            <w:tcW w:w="2339" w:type="dxa"/>
            <w:vAlign w:val="center"/>
            <w:textDirection w:val="lrTb"/>
            <w:noWrap w:val="false"/>
          </w:tcPr>
          <w:p>
            <w:pPr>
              <w:pBdr/>
              <w:spacing/>
              <w:ind/>
              <w:jc w:val="center"/>
              <w:rPr/>
            </w:pPr>
            <w:r>
              <w:t xml:space="preserve">Lâu dài</w:t>
            </w:r>
            <w:r/>
          </w:p>
        </w:tc>
        <w:tc>
          <w:tcPr>
            <w:tcBorders/>
            <w:tcW w:w="2339" w:type="dxa"/>
            <w:vAlign w:val="center"/>
            <w:textDirection w:val="lrTb"/>
            <w:noWrap w:val="false"/>
          </w:tcPr>
          <w:p>
            <w:pPr>
              <w:pBdr/>
              <w:spacing/>
              <w:ind/>
              <w:jc w:val="center"/>
              <w:rPr/>
            </w:pPr>
            <w:r>
              <w:t xml:space="preserve">Lâu dài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Diện tích</w:t>
            </w:r>
            <w:r/>
          </w:p>
        </w:tc>
        <w:tc>
          <w:tcPr>
            <w:tcBorders/>
            <w:tcW w:w="2339" w:type="dxa"/>
            <w:vAlign w:val="center"/>
            <w:textDirection w:val="lrTb"/>
            <w:noWrap w:val="false"/>
          </w:tcPr>
          <w:p>
            <w:pPr>
              <w:pBdr/>
              <w:spacing/>
              <w:ind/>
              <w:jc w:val="center"/>
              <w:rPr/>
            </w:pPr>
            <w:r>
              <w:t xml:space="preserve">297,6</w:t>
            </w:r>
            <w:r/>
          </w:p>
        </w:tc>
        <w:tc>
          <w:tcPr>
            <w:tcBorders/>
            <w:tcW w:w="2339" w:type="dxa"/>
            <w:vAlign w:val="center"/>
            <w:textDirection w:val="lrTb"/>
            <w:noWrap w:val="false"/>
          </w:tcPr>
          <w:p>
            <w:pPr>
              <w:pBdr/>
              <w:spacing/>
              <w:ind/>
              <w:jc w:val="center"/>
              <w:rPr/>
            </w:pPr>
            <w:r>
              <w:t xml:space="preserve">297,6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701" w:type="dxa"/>
            <w:vAlign w:val="center"/>
            <w:textDirection w:val="lrTb"/>
            <w:noWrap w:val="false"/>
          </w:tcPr>
          <w:p>
            <w:pPr>
              <w:pBdr/>
              <w:spacing/>
              <w:ind/>
              <w:jc w:val="center"/>
              <w:rPr/>
            </w:pPr>
            <w:r>
              <w:t xml:space="preserve">Mặt tiền</w:t>
            </w:r>
            <w:r/>
          </w:p>
        </w:tc>
        <w:tc>
          <w:tcPr>
            <w:tcBorders/>
            <w:tcW w:w="2339" w:type="dxa"/>
            <w:vAlign w:val="center"/>
            <w:textDirection w:val="lrTb"/>
            <w:noWrap w:val="false"/>
          </w:tcPr>
          <w:p>
            <w:pPr>
              <w:pBdr/>
              <w:spacing/>
              <w:ind/>
              <w:jc w:val="center"/>
              <w:rPr/>
            </w:pPr>
            <w:r>
              <w:t xml:space="preserve">7,5</w:t>
            </w:r>
            <w:r/>
          </w:p>
        </w:tc>
        <w:tc>
          <w:tcPr>
            <w:tcBorders/>
            <w:tcW w:w="2339" w:type="dxa"/>
            <w:vAlign w:val="center"/>
            <w:textDirection w:val="lrTb"/>
            <w:noWrap w:val="false"/>
          </w:tcPr>
          <w:p>
            <w:pPr>
              <w:pBdr/>
              <w:spacing/>
              <w:ind/>
              <w:jc w:val="center"/>
              <w:rPr/>
            </w:pPr>
            <w:r>
              <w:t xml:space="preserve">7,5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Height w:val="249"/>
        </w:trPr>
        <w:tc>
          <w:tcPr>
            <w:tcBorders/>
            <w:tcW w:w="732"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Chiều sâu</w:t>
            </w:r>
            <w:r/>
          </w:p>
        </w:tc>
        <w:tc>
          <w:tcPr>
            <w:tcBorders/>
            <w:tcW w:w="2339" w:type="dxa"/>
            <w:vAlign w:val="center"/>
            <w:textDirection w:val="lrTb"/>
            <w:noWrap w:val="false"/>
          </w:tcPr>
          <w:p>
            <w:pPr>
              <w:pBdr/>
              <w:spacing/>
              <w:ind/>
              <w:jc w:val="center"/>
              <w:rPr/>
            </w:pPr>
            <w:r>
              <w:t xml:space="preserve">43,08 - 44,67</w:t>
            </w:r>
            <w:r/>
          </w:p>
        </w:tc>
        <w:tc>
          <w:tcPr>
            <w:tcBorders/>
            <w:tcW w:w="2339" w:type="dxa"/>
            <w:vAlign w:val="center"/>
            <w:textDirection w:val="lrTb"/>
            <w:noWrap w:val="false"/>
          </w:tcPr>
          <w:p>
            <w:pPr>
              <w:pBdr/>
              <w:spacing/>
              <w:ind/>
              <w:jc w:val="center"/>
              <w:rPr/>
            </w:pPr>
            <w:r>
              <w:t xml:space="preserve">43,08 - 44,67</w:t>
            </w:r>
            <w:r>
              <w:t xml:space="preserve">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Mặt tiếp giáp</w:t>
            </w:r>
            <w:r/>
          </w:p>
        </w:tc>
        <w:tc>
          <w:tcPr>
            <w:tcBorders/>
            <w:tcW w:w="2339" w:type="dxa"/>
            <w:vAlign w:val="center"/>
            <w:textDirection w:val="lrTb"/>
            <w:noWrap w:val="false"/>
          </w:tcPr>
          <w:p>
            <w:pPr>
              <w:pBdr/>
              <w:spacing/>
              <w:ind/>
              <w:jc w:val="center"/>
              <w:rPr/>
            </w:pPr>
            <w:r>
              <w:t xml:space="preserve">01 mặt tiền</w:t>
            </w:r>
            <w:r/>
          </w:p>
        </w:tc>
        <w:tc>
          <w:tcPr>
            <w:tcBorders/>
            <w:tcW w:w="2339" w:type="dxa"/>
            <w:vAlign w:val="center"/>
            <w:textDirection w:val="lrTb"/>
            <w:noWrap w:val="false"/>
          </w:tcPr>
          <w:p>
            <w:pPr>
              <w:pBdr/>
              <w:spacing/>
              <w:ind/>
              <w:jc w:val="center"/>
              <w:rPr/>
            </w:pPr>
            <w:r>
              <w:t xml:space="preserve">01 mặt tiền </w:t>
            </w:r>
            <w:r>
              <w:t xml:space="preserve">✔</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701" w:type="dxa"/>
            <w:vAlign w:val="center"/>
            <w:textDirection w:val="lrTb"/>
            <w:noWrap w:val="false"/>
          </w:tcPr>
          <w:p>
            <w:pPr>
              <w:pBdr/>
              <w:spacing/>
              <w:ind/>
              <w:jc w:val="center"/>
              <w:rPr/>
            </w:pPr>
            <w:r>
              <w:t xml:space="preserve">Hình dạng thửa đất</w:t>
            </w:r>
            <w:r/>
          </w:p>
        </w:tc>
        <w:tc>
          <w:tcPr>
            <w:tcBorders/>
            <w:tcW w:w="2339" w:type="dxa"/>
            <w:vAlign w:val="center"/>
            <w:textDirection w:val="lrTb"/>
            <w:noWrap w:val="false"/>
          </w:tcPr>
          <w:p>
            <w:pPr>
              <w:pBdr/>
              <w:spacing/>
              <w:ind/>
              <w:jc w:val="center"/>
              <w:rPr/>
            </w:pPr>
            <w:r>
              <w:t xml:space="preserve">Thóp hậu</w:t>
            </w:r>
            <w:r/>
          </w:p>
        </w:tc>
        <w:tc>
          <w:tcPr>
            <w:tcBorders/>
            <w:tcW w:w="2339" w:type="dxa"/>
            <w:vAlign w:val="center"/>
            <w:textDirection w:val="lrTb"/>
            <w:noWrap w:val="false"/>
          </w:tcPr>
          <w:p>
            <w:pPr>
              <w:pBdr/>
              <w:spacing/>
              <w:ind/>
              <w:jc w:val="center"/>
              <w:rPr/>
            </w:pPr>
            <w:r>
              <w:t xml:space="preserve">Thóp hậu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701" w:type="dxa"/>
            <w:vAlign w:val="center"/>
            <w:textDirection w:val="lrTb"/>
            <w:noWrap w:val="false"/>
          </w:tcPr>
          <w:p>
            <w:pPr>
              <w:pBdr/>
              <w:spacing/>
              <w:ind/>
              <w:jc w:val="center"/>
              <w:rPr/>
            </w:pPr>
            <w:r>
              <w:t xml:space="preserve">Hướng</w:t>
            </w:r>
            <w:r/>
          </w:p>
        </w:tc>
        <w:tc>
          <w:tcPr>
            <w:tcBorders/>
            <w:tcW w:w="2339" w:type="dxa"/>
            <w:vAlign w:val="center"/>
            <w:textDirection w:val="lrTb"/>
            <w:noWrap w:val="false"/>
          </w:tcPr>
          <w:p>
            <w:pPr>
              <w:pBdr/>
              <w:spacing/>
              <w:ind/>
              <w:jc w:val="center"/>
              <w:rPr/>
            </w:pPr>
            <w:r>
              <w:t xml:space="preserve">Đông Nam</w:t>
            </w:r>
            <w:r/>
          </w:p>
        </w:tc>
        <w:tc>
          <w:tcPr>
            <w:tcBorders/>
            <w:tcW w:w="2339" w:type="dxa"/>
            <w:vAlign w:val="center"/>
            <w:textDirection w:val="lrTb"/>
            <w:noWrap w:val="false"/>
          </w:tcPr>
          <w:p>
            <w:pPr>
              <w:pBdr/>
              <w:spacing/>
              <w:ind/>
              <w:jc w:val="center"/>
              <w:rPr/>
            </w:pPr>
            <w:r>
              <w:t xml:space="preserve">Đông Nam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cấp 4, mái lợp tôn, diện tích xây dựng khoảng 50m</w:t>
      </w:r>
      <w:r>
        <w:rPr>
          <w:rFonts w:ascii="Times New Roman" w:hAnsi="Times New Roman" w:eastAsia="Times New Roman" w:cs="Times New Roman"/>
          <w:color w:val="000000"/>
          <w:sz w:val="24"/>
          <w:vertAlign w:val="superscript"/>
        </w:rPr>
        <w:t xml:space="preserve">2</w:t>
      </w:r>
      <w:r>
        <w:rPr>
          <w:spacing w:val="-2"/>
          <w:highlight w:val="none"/>
          <w:lang w:val="pt-BR" w:bidi="pt-BR"/>
        </w:rPr>
        <w:t xml:space="preserve">. C</w:t>
      </w:r>
      <w:r>
        <w:rPr>
          <w:spacing w:val="-2"/>
          <w:highlight w:val="none"/>
          <w:lang w:val="pt-BR" w:bidi="pt-BR"/>
        </w:rPr>
        <w:t xml:space="preserve">ông trình chưa được chứng nhận trên GCN.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w:t>
      </w:r>
      <w:r>
        <w:rPr>
          <w:spacing w:val="-2"/>
          <w:highlight w:val="none"/>
          <w:lang w:val="pt-BR" w:bidi="pt-BR"/>
        </w:rPr>
        <w:t xml:space="preserve">rị, nhưng vẫn coi đó là phần không thể tách rời của tài sản thẩm định. Kính đề nghị đơn vị sử dụng kết quả lưu ý</w:t>
      </w:r>
      <w:r>
        <w:rPr>
          <w:spacing w:val="-2"/>
          <w:highlight w:val="none"/>
          <w:lang w:val="pt-BR" w:bidi="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84"/>
        <w:gridCol w:w="1701"/>
        <w:gridCol w:w="1701"/>
        <w:gridCol w:w="1701"/>
        <w:gridCol w:w="1701"/>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93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Xóm Bắc Tiền Tiến (xóm Tiền Tiến cũ), xã Diễn Kim, huyện Diễn Châu, tỉnh Nghệ An (Nay là xã Hải Châu, tỉnh Nghệ An)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Xóm Tiền Tiến, xã Hải Châu, tỉnh Nghệ An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Xóm Xuân Châu, xã Hải Châu, tỉnh Nghệ An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Xóm Thái Thịnh, xã Hải Châu, tỉnh Nghệ An</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hyperlink r:id="rId19" w:tooltip="https://www.facebook.com/groups/4161120763914457/permalink/27684916351108234/" w:history="1">
              <w:r>
                <w:rPr>
                  <w:rStyle w:val="1017"/>
                  <w:rFonts w:ascii="Times New Roman" w:hAnsi="Times New Roman" w:eastAsia="Times New Roman" w:cs="Times New Roman"/>
                  <w:color w:val="000000"/>
                  <w:sz w:val="22"/>
                  <w:u w:val="none"/>
                </w:rPr>
                <w:t xml:space="preserve">https://www.facebook.com/groups/4161120763914457/permalink/27684916351108234/</w:t>
              </w:r>
            </w:hyperlink>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hyperlink r:id="rId20" w:tooltip="https://www.facebook.com/groups/4161120763914457/permalink/27745298028403399/" w:history="1">
              <w:r>
                <w:rPr>
                  <w:rStyle w:val="1017"/>
                  <w:rFonts w:ascii="Times New Roman" w:hAnsi="Times New Roman" w:eastAsia="Times New Roman" w:cs="Times New Roman"/>
                  <w:color w:val="000000"/>
                  <w:sz w:val="22"/>
                  <w:u w:val="none"/>
                </w:rPr>
                <w:t xml:space="preserve">https://www.facebook.com/groups/4161120763914457/permalink/27745298028403399/</w:t>
              </w:r>
            </w:hyperlink>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0349.866.399</w:t>
              <w:br/>
              <w:t xml:space="preserve">(Sale Ngô Hải)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0349.866.399</w:t>
              <w:br/>
              <w:t xml:space="preserve">(Sale Ngô Hải)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0982.481480</w:t>
              <w:br/>
              <w:t xml:space="preserve">(Sale Tạ Vinh)</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Đã giao dịch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ONT: 80m</w:t>
            </w:r>
            <w:r>
              <w:rPr>
                <w:rFonts w:ascii="Times New Roman" w:hAnsi="Times New Roman" w:eastAsia="Times New Roman" w:cs="Times New Roman"/>
                <w:color w:val="000000"/>
                <w:sz w:val="22"/>
                <w:vertAlign w:val="superscript"/>
              </w:rPr>
              <w:t xml:space="preserve">2</w:t>
            </w:r>
            <w:r>
              <w:rPr>
                <w:rFonts w:ascii="Times New Roman" w:hAnsi="Times New Roman" w:eastAsia="Times New Roman" w:cs="Times New Roman"/>
                <w:color w:val="000000"/>
                <w:sz w:val="22"/>
              </w:rPr>
              <w:br/>
              <w:t xml:space="preserve">Đất HNK: 59,4m</w:t>
            </w:r>
            <w:r>
              <w:rPr>
                <w:rFonts w:ascii="Times New Roman" w:hAnsi="Times New Roman" w:eastAsia="Times New Roman" w:cs="Times New Roman"/>
                <w:color w:val="000000"/>
                <w:sz w:val="22"/>
                <w:vertAlign w:val="superscript"/>
              </w:rPr>
              <w:t xml:space="preserve">2</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000000"/>
                <w:sz w:val="22"/>
              </w:rPr>
              <w:t xml:space="preserve">Đất ONT: </w:t>
            </w:r>
            <w:r>
              <w:rPr>
                <w:rFonts w:ascii="Times New Roman" w:hAnsi="Times New Roman" w:eastAsia="Times New Roman" w:cs="Times New Roman"/>
                <w:color w:val="ff0000"/>
                <w:sz w:val="22"/>
              </w:rPr>
              <w:t xml:space="preserve">Lâu dài; Đất HNK: có thời hạn</w:t>
            </w:r>
            <w:r>
              <w:rPr>
                <w:color w:val="ff0000"/>
              </w:rPr>
            </w:r>
            <w:r>
              <w:rPr>
                <w:color w:val="ff0000"/>
              </w:rP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xóm Bắc Tiền Tiến, xã Hải Châu, tỉnh Nghệ An; cách đường liên xã khoảng 400m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xóm Tiền Tiến, xã Hải Châu, tỉnh Nghệ An; cách đường liên xã khoảng 450m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xóm Xuân Châu, xã Hải Châu, tỉnh Nghệ An; cách đường liên xã khoảng 200m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xóm Thái Thịnh, xã Hải Châu, tỉnh Nghệ An; cách đường liên xã khoảng 30m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4,5m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4m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297,6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142,5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139,4</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43,08 - 44,67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Thóp hậu</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1.620.000.000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1.377.000.000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1.190.000.000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1.105.000.000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1.377.000.000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1.190.000.000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1.105.000.000</w:t>
            </w:r>
            <w:r>
              <w:rPr>
                <w:b/>
                <w:bCs/>
              </w:rPr>
            </w:r>
            <w:r>
              <w:rPr>
                <w:b/>
                <w:bCs/>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11.475.000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8.350.877</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7.926.829</w:t>
            </w:r>
            <w:r>
              <w:rPr>
                <w:b/>
                <w:bCs/>
              </w:rPr>
            </w:r>
            <w:r>
              <w:rPr>
                <w:b/>
                <w:bCs/>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686"/>
        <w:gridCol w:w="850"/>
        <w:gridCol w:w="1595"/>
        <w:gridCol w:w="1595"/>
        <w:gridCol w:w="1595"/>
        <w:gridCol w:w="1595"/>
      </w:tblGrid>
      <w:tr>
        <w:trPr>
          <w:trHeight w:val="63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1.377.000.000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1.190.000.000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1.105.000.000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11.475.000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8.350.877</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7.926.829</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8.350.877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7.926.829 </w:t>
            </w:r>
            <w:r/>
          </w:p>
        </w:tc>
      </w:tr>
      <w:tr>
        <w:trPr>
          <w:trHeight w:val="110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nông thôn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nông thôn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Đất ở tại nông thôn</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Đất ONT: 80m</w:t>
            </w:r>
            <w:r>
              <w:rPr>
                <w:rFonts w:ascii="Times New Roman" w:hAnsi="Times New Roman" w:eastAsia="Times New Roman" w:cs="Times New Roman"/>
                <w:b/>
                <w:bCs/>
                <w:color w:val="000000"/>
                <w:sz w:val="22"/>
                <w:vertAlign w:val="superscript"/>
              </w:rPr>
              <w:t xml:space="preserve">2</w:t>
            </w:r>
            <w:r>
              <w:rPr>
                <w:rFonts w:ascii="Times New Roman" w:hAnsi="Times New Roman" w:eastAsia="Times New Roman" w:cs="Times New Roman"/>
                <w:b/>
                <w:bCs/>
                <w:color w:val="000000"/>
                <w:sz w:val="22"/>
              </w:rPr>
              <w:br/>
              <w:t xml:space="preserve">Đất HNK: 59,4m</w:t>
            </w:r>
            <w:r>
              <w:rPr>
                <w:rFonts w:ascii="Times New Roman" w:hAnsi="Times New Roman" w:eastAsia="Times New Roman" w:cs="Times New Roman"/>
                <w:b/>
                <w:bCs/>
                <w:color w:val="000000"/>
                <w:sz w:val="22"/>
                <w:vertAlign w:val="superscript"/>
              </w:rPr>
              <w:t xml:space="preserve">2</w:t>
            </w:r>
            <w:r>
              <w:rPr>
                <w:b/>
                <w:bCs/>
              </w:rPr>
            </w:r>
            <w:r>
              <w:rPr>
                <w:b/>
                <w:bCs/>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792.683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8.350.877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8.719.512 </w:t>
            </w:r>
            <w:r/>
          </w:p>
        </w:tc>
      </w:tr>
      <w:tr>
        <w:trPr>
          <w:trHeight w:val="36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xóm Bắc Tiền Tiến, xã Hải Châu, tỉnh Nghệ An; cách đường liên xã khoảng 400m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xóm Tiền Tiến, xã Hải Châu, tỉnh Nghệ An; cách đường liên xã khoảng 450m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xóm Xuân Châu, xã Hải Châu, tỉnh Nghệ An; cách đường liên xã khoảng 200m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xóm Thái Thịnh, xã Hải Châu, tỉnh Nghệ An; cách đường liên xã khoảng 30m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-167.018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-396.341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8.183.860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8.323.171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4,5m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4m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2.087.719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1.981.707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10.271.579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10.304.878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(m²)</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297,6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142,5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139,4</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-1.721.250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-1.252.632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-1.189.024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9.753.750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9.018.947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9.115.854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573.750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167.018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158.537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10.327.500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9.185.965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9.274.390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Chiều sâu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43,08 - 44,67</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-1.377.000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-1.002.105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-951.220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8.950.500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8.183.860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8.323.171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8.950.500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8.183.860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8.323.171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Thóp hậu</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-1.147.500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-835.088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-792.683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7.803.000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7.348.772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7.530.488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7.803.000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7.348.772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7.530.488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7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7.560.753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-0,40%</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4.819.500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5.511.579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6.262.195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- 25%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- 25%</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3.672.000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1.002.105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396.341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-2,8</w:t>
      </w:r>
      <w:r>
        <w:t xml:space="preserve">% đến</w:t>
      </w:r>
      <w:r>
        <w:t xml:space="preserve"> </w:t>
      </w:r>
      <w:r>
        <w:t xml:space="preserve">3,2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7.803.000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50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3.901.500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7.348.771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25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1.837.193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7.530.489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25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1.882.622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7.621.315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7.600.000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7.600.000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835"/>
        <w:gridCol w:w="1843"/>
        <w:gridCol w:w="2126"/>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5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40" w:lineRule="auto"/>
              <w:ind w:right="143" w:firstLine="0" w:left="142"/>
              <w:jc w:val="both"/>
              <w:rPr/>
            </w:pPr>
            <w:r>
              <w:rPr>
                <w:rFonts w:ascii="Times New Roman" w:hAnsi="Times New Roman" w:eastAsia="Times New Roman" w:cs="Times New Roman"/>
                <w:b/>
                <w:color w:val="000000"/>
                <w:sz w:val="24"/>
              </w:rPr>
              <w:t xml:space="preserve">Giá trị quyền sử dụng đất tại thửa đất số: 546, tờ bản đồ số 22 có địa chỉ: Xóm Bắc Tiền Tiến (xóm Tiền Tiến cũ), xã Diễn Kim, huyện Diễn Châu, tỉnh Nghệ An </w:t>
            </w:r>
            <w:r>
              <w:rPr>
                <w:rFonts w:ascii="Times New Roman" w:hAnsi="Times New Roman" w:eastAsia="Times New Roman" w:cs="Times New Roman"/>
                <w:b/>
                <w:i/>
                <w:iCs/>
                <w:color w:val="000000"/>
                <w:sz w:val="24"/>
              </w:rPr>
              <w:t xml:space="preserve">(Nay là xã Hải Châu, tỉnh Nghệ An)</w:t>
            </w:r>
            <w:r>
              <w:rPr>
                <w:rFonts w:ascii="Times New Roman" w:hAnsi="Times New Roman" w:eastAsia="Times New Roman" w:cs="Times New Roman"/>
                <w:b/>
                <w:color w:val="000000"/>
                <w:sz w:val="24"/>
              </w:rPr>
              <w:t xml:space="preserve"> theo Giấy chứng nhận quyền sử dụng đất quyền sở hữu nhà ở và tài</w:t>
            </w:r>
            <w:r>
              <w:rPr>
                <w:rFonts w:ascii="Times New Roman" w:hAnsi="Times New Roman" w:eastAsia="Times New Roman" w:cs="Times New Roman"/>
                <w:b/>
                <w:color w:val="000000"/>
                <w:sz w:val="24"/>
              </w:rPr>
              <w:t xml:space="preserve"> sản khác gắn liền với đất số: DL 881690, số vào sổ cấp GCN: CS 03755 do Sở Tài nguyên và Môi trường tỉnh Nghệ An cấp ngày 06/5/2023; Chủ sử dụng đất là Ông Nguyễn Quang Trung.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297,6</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7.600.000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2.261.760.000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2.261.760.000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2.262.000.000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hai trăm sáu mươi hai triệu đồng chẵn./.)</w:t>
            </w:r>
            <w:r/>
          </w:p>
        </w:tc>
      </w:tr>
    </w:tbl>
    <w:p>
      <w:pPr>
        <w:pStyle w:val="1027"/>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33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331"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331"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331"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331"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331"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331"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331"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33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331"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331"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331"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331"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331"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331"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331"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331"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33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tabs>
          <w:tab w:val="left" w:leader="none" w:pos="993"/>
        </w:tabs>
        <w:spacing w:after="120" w:before="120" w:line="331"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cấp 4, mái lợp tôn, diện tích xây dựng khoảng 50m</w:t>
      </w:r>
      <w:r>
        <w:rPr>
          <w:rFonts w:ascii="Times New Roman" w:hAnsi="Times New Roman" w:eastAsia="Times New Roman" w:cs="Times New Roman"/>
          <w:color w:val="000000"/>
          <w:sz w:val="24"/>
          <w:vertAlign w:val="superscript"/>
        </w:rPr>
        <w:t xml:space="preserve">2</w:t>
      </w:r>
      <w:r>
        <w:rPr>
          <w:spacing w:val="-2"/>
          <w:highlight w:val="none"/>
          <w:lang w:val="pt-BR" w:bidi="pt-BR"/>
        </w:rPr>
        <w:t xml:space="preserve">. C</w:t>
      </w:r>
      <w:r>
        <w:rPr>
          <w:spacing w:val="-2"/>
          <w:highlight w:val="none"/>
          <w:lang w:val="pt-BR" w:bidi="pt-BR"/>
        </w:rPr>
        <w:t xml:space="preserve">ông trình chưa được chứng nhận trên GCN.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w:t>
      </w:r>
      <w:r>
        <w:rPr>
          <w:spacing w:val="-2"/>
          <w:highlight w:val="none"/>
          <w:lang w:val="pt-BR" w:bidi="pt-BR"/>
        </w:rPr>
        <w:t xml:space="preserve">rị, nhưng vẫn coi đó là phần không thể tách rời của tài sản thẩm định. Kính đề nghị đơn vị sử dụng kết quả lưu ý</w:t>
      </w:r>
      <w:r>
        <w:rPr>
          <w:spacing w:val="-2"/>
          <w:highlight w:val="none"/>
          <w:lang w:val="pt-BR" w:bidi="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33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331"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331"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3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331"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331"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275/2026/0655/VFI-CT.21.A</w:t>
      </w:r>
      <w:r>
        <w:rPr>
          <w:color w:val="ff0000"/>
          <w:lang w:val="vi-VN"/>
        </w:rPr>
        <w:t xml:space="preserve"> </w:t>
      </w:r>
      <w:r>
        <w:rPr>
          <w:color w:val="000000" w:themeColor="text1"/>
        </w:rPr>
        <w:t xml:space="preserve">ngày 29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275/2026/0655/VFI-BC.21.A</w:t>
      </w:r>
      <w:r>
        <w:rPr>
          <w:i/>
          <w:lang w:val="pt-BR"/>
        </w:rPr>
        <w:t xml:space="preserve"> ngày </w:t>
      </w:r>
      <w:r>
        <w:rPr>
          <w:i/>
          <w:lang w:val="pt-BR"/>
        </w:rPr>
        <w:t xml:space="preserve">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7380" cy="204004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43170" name=""/>
                              <pic:cNvPicPr>
                                <a:picLocks noChangeAspect="1"/>
                              </pic:cNvPicPr>
                              <pic:nvPr/>
                            </pic:nvPicPr>
                            <pic:blipFill rotWithShape="1">
                              <a:blip r:embed="rId21"/>
                              <a:stretch/>
                            </pic:blipFill>
                            <pic:spPr bwMode="auto">
                              <a:xfrm flipH="0" flipV="0">
                                <a:off x="0" y="0"/>
                                <a:ext cx="917380" cy="20400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2.23pt;height:160.6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88561"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74092"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52585"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42015" name=""/>
                              <pic:cNvPicPr>
                                <a:picLocks noChangeAspect="1"/>
                              </pic:cNvPicPr>
                              <pic:nvPr/>
                            </pic:nvPicPr>
                            <pic:blipFill rotWithShape="1">
                              <a:blip r:embed="rId25"/>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2106"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275/2026/0655/VFI-BC.21.A ngày</w:t>
      </w:r>
      <w:r>
        <w:rPr>
          <w:i/>
          <w:lang w:val="pt-BR"/>
        </w:rPr>
        <w:t xml:space="preserve"> </w:t>
      </w:r>
      <w:r>
        <w:rPr>
          <w:i/>
          <w:lang w:val="pt-BR"/>
        </w:rPr>
        <w:t xml:space="preserve">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mc:AlternateContent>
          <mc:Choice Requires="wpg">
            <w:drawing>
              <wp:inline xmlns:wp="http://schemas.openxmlformats.org/drawingml/2006/wordprocessingDrawing" distT="0" distB="0" distL="0" distR="0">
                <wp:extent cx="5639140" cy="693754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96949" name=""/>
                        <pic:cNvPicPr>
                          <a:picLocks noChangeAspect="1"/>
                        </pic:cNvPicPr>
                        <pic:nvPr/>
                      </pic:nvPicPr>
                      <pic:blipFill rotWithShape="1">
                        <a:blip r:embed="rId27"/>
                        <a:stretch/>
                      </pic:blipFill>
                      <pic:spPr bwMode="auto">
                        <a:xfrm flipH="0" flipV="0">
                          <a:off x="0" y="0"/>
                          <a:ext cx="5639139" cy="69375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4.03pt;height:546.26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16"/>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557360" cy="10938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20020" name=""/>
                              <pic:cNvPicPr>
                                <a:picLocks noChangeAspect="1"/>
                              </pic:cNvPicPr>
                              <pic:nvPr/>
                            </pic:nvPicPr>
                            <pic:blipFill rotWithShape="1">
                              <a:blip r:embed="rId28"/>
                              <a:stretch/>
                            </pic:blipFill>
                            <pic:spPr bwMode="auto">
                              <a:xfrm rot="0" flipH="0" flipV="0">
                                <a:off x="0" y="0"/>
                                <a:ext cx="1557360" cy="1093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2.63pt;height:86.13pt;mso-wrap-distance-left:0.00pt;mso-wrap-distance-top:0.00pt;mso-wrap-distance-right:0.00pt;mso-wrap-distance-bottom:0.00pt;rotation:0;z-index:1;" stroked="false">
                      <v:imagedata r:id="rId28"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74099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53654" name=""/>
                        <pic:cNvPicPr>
                          <a:picLocks noChangeAspect="1"/>
                        </pic:cNvPicPr>
                        <pic:nvPr/>
                      </pic:nvPicPr>
                      <pic:blipFill rotWithShape="1">
                        <a:blip r:embed="rId29"/>
                        <a:stretch/>
                      </pic:blipFill>
                      <pic:spPr bwMode="auto">
                        <a:xfrm flipH="0" flipV="0">
                          <a:off x="0" y="0"/>
                          <a:ext cx="6048374" cy="7409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83.46pt;mso-wrap-distance-left:0.00pt;mso-wrap-distance-top:0.00pt;mso-wrap-distance-right:0.00pt;mso-wrap-distance-bottom:0.00pt;z-index:1;" stroked="false">
                <v:imagedata r:id="rId29"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557360" cy="109386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20020" name=""/>
                              <pic:cNvPicPr>
                                <a:picLocks noChangeAspect="1"/>
                              </pic:cNvPicPr>
                              <pic:nvPr/>
                            </pic:nvPicPr>
                            <pic:blipFill rotWithShape="1">
                              <a:blip r:embed="rId28"/>
                              <a:stretch/>
                            </pic:blipFill>
                            <pic:spPr bwMode="auto">
                              <a:xfrm rot="0" flipH="0" flipV="0">
                                <a:off x="0" y="0"/>
                                <a:ext cx="1557360" cy="1093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2.63pt;height:86.13pt;mso-wrap-distance-left:0.00pt;mso-wrap-distance-top:0.00pt;mso-wrap-distance-right:0.00pt;mso-wrap-distance-bottom:0.00pt;rotation:0;z-index:1;" stroked="false">
                      <v:imagedata r:id="rId28"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r>
      <w:r>
        <mc:AlternateContent>
          <mc:Choice Requires="wpg">
            <w:drawing>
              <wp:inline xmlns:wp="http://schemas.openxmlformats.org/drawingml/2006/wordprocessingDrawing" distT="0" distB="0" distL="0" distR="0">
                <wp:extent cx="5543239" cy="734323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49162" name=""/>
                        <pic:cNvPicPr>
                          <a:picLocks noChangeAspect="1"/>
                        </pic:cNvPicPr>
                        <pic:nvPr/>
                      </pic:nvPicPr>
                      <pic:blipFill rotWithShape="1">
                        <a:blip r:embed="rId30"/>
                        <a:stretch/>
                      </pic:blipFill>
                      <pic:spPr bwMode="auto">
                        <a:xfrm flipH="0" flipV="0">
                          <a:off x="0" y="0"/>
                          <a:ext cx="5543238" cy="73432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6.48pt;height:578.21pt;mso-wrap-distance-left:0.00pt;mso-wrap-distance-top:0.00pt;mso-wrap-distance-right:0.00pt;mso-wrap-distance-bottom:0.00pt;z-index:1;" stroked="false">
                <v:imagedata r:id="rId30" o:title=""/>
                <o:lock v:ext="edit" rotation="t"/>
              </v:shape>
            </w:pict>
          </mc:Fallback>
        </mc:AlternateContent>
      </w:r>
      <w:r>
        <w:rPr>
          <w:b/>
          <w:bCs/>
          <w:iCs/>
          <w:lang w:val="pt-BR"/>
        </w:rPr>
      </w:r>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557360" cy="109386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42609" name=""/>
                              <pic:cNvPicPr>
                                <a:picLocks noChangeAspect="1"/>
                              </pic:cNvPicPr>
                              <pic:nvPr/>
                            </pic:nvPicPr>
                            <pic:blipFill rotWithShape="1">
                              <a:blip r:embed="rId28"/>
                              <a:stretch/>
                            </pic:blipFill>
                            <pic:spPr bwMode="auto">
                              <a:xfrm flipH="0" flipV="0">
                                <a:off x="0" y="0"/>
                                <a:ext cx="1557360" cy="1093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2.63pt;height:86.13pt;mso-wrap-distance-left:0.00pt;mso-wrap-distance-top:0.00pt;mso-wrap-distance-right:0.00pt;mso-wrap-distance-bottom:0.00pt;z-index:1;" stroked="false">
                      <v:imagedata r:id="rId28"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414158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9186" name=""/>
                        <pic:cNvPicPr>
                          <a:picLocks noChangeAspect="1"/>
                        </pic:cNvPicPr>
                        <pic:nvPr/>
                      </pic:nvPicPr>
                      <pic:blipFill rotWithShape="1">
                        <a:blip r:embed="rId31"/>
                        <a:stretch/>
                      </pic:blipFill>
                      <pic:spPr bwMode="auto">
                        <a:xfrm>
                          <a:off x="0" y="0"/>
                          <a:ext cx="6048374" cy="4141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6.11pt;mso-wrap-distance-left:0.00pt;mso-wrap-distance-top:0.00pt;mso-wrap-distance-right:0.00pt;mso-wrap-distance-bottom:0.00pt;z-index:1;" stroked="false">
                <v:imagedata r:id="rId31"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02671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74329" name=""/>
                        <pic:cNvPicPr>
                          <a:picLocks noChangeAspect="1"/>
                        </pic:cNvPicPr>
                        <pic:nvPr/>
                      </pic:nvPicPr>
                      <pic:blipFill rotWithShape="1">
                        <a:blip r:embed="rId32"/>
                        <a:stretch/>
                      </pic:blipFill>
                      <pic:spPr bwMode="auto">
                        <a:xfrm>
                          <a:off x="0" y="0"/>
                          <a:ext cx="6048374" cy="40267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17.06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5143500" cy="72675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29442" name=""/>
                        <pic:cNvPicPr>
                          <a:picLocks noChangeAspect="1"/>
                        </pic:cNvPicPr>
                        <pic:nvPr/>
                      </pic:nvPicPr>
                      <pic:blipFill rotWithShape="1">
                        <a:blip r:embed="rId33"/>
                        <a:stretch/>
                      </pic:blipFill>
                      <pic:spPr bwMode="auto">
                        <a:xfrm>
                          <a:off x="0" y="0"/>
                          <a:ext cx="5143500" cy="7267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5.00pt;height:572.25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hyperlink" Target="https://www.facebook.com/groups/4161120763914457/permalink/27684916351108234/" TargetMode="External"/><Relationship Id="rId20" Type="http://schemas.openxmlformats.org/officeDocument/2006/relationships/hyperlink" Target="https://www.facebook.com/groups/4161120763914457/permalink/27745298028403399/" TargetMode="External"/><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jp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282</cp:revision>
  <dcterms:created xsi:type="dcterms:W3CDTF">2025-09-15T09:58:00Z</dcterms:created>
  <dcterms:modified xsi:type="dcterms:W3CDTF">2026-04-29T08:40:04Z</dcterms:modified>
</cp:coreProperties>
</file>