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left"/>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4873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4873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275/2026/0655/VFI-CT.21.A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CỔ PHẦN XUẤT NHẬP KHẨU VÀ XÂY DỰNG VIỆT ÂU</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bCs/>
                                <w:i w:val="0"/>
                                <w:iCs w:val="0"/>
                              </w:rPr>
                              <w:t xml:space="preserve">Giá trị quyền sử dụng đất tại thửa đất số: 546, tờ bản đồ số 22 có địa chỉ: Xóm Bắc Tiền Tiến (xóm Tiền Tiến cũ), xã Diễn Kim, huyện Diễn Châu, tỉnh Nghệ An </w:t>
                            </w:r>
                            <w:r>
                              <w:rPr>
                                <w:bCs/>
                                <w:i/>
                                <w:iCs/>
                              </w:rPr>
                              <w:t xml:space="preserve">(Nay là xã Hải Châu, tỉnh Nghệ An)</w:t>
                            </w:r>
                            <w:r>
                              <w:rPr>
                                <w:bCs/>
                                <w:i w:val="0"/>
                                <w:iCs w:val="0"/>
                              </w:rPr>
                              <w:t xml:space="preserve"> theo Giấy chứng nhận quyền sử dụng đất quyền sở hữu nhà ở và tài </w:t>
                            </w:r>
                            <w:r>
                              <w:rPr>
                                <w:bCs/>
                                <w:i w:val="0"/>
                                <w:iCs w:val="0"/>
                              </w:rPr>
                              <w:t xml:space="preserve">sản khác gắn liền với đất số: DL 881690, số vào sổ cấp GCN: CS 03755 do Sở Tài nguyên và Môi trường tỉnh Nghệ An cấp ngày 06/5/2023; Chủ sử dụng đất là Ông Nguyễn Quang Trung</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74.6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275/2026/0655/VFI-CT.21.A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CỔ PHẦN XUẤT NHẬP KHẨU VÀ XÂY DỰNG VIỆT ÂU</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bCs/>
                          <w:i w:val="0"/>
                          <w:iCs w:val="0"/>
                        </w:rPr>
                        <w:t xml:space="preserve">Giá trị quyền sử dụng đất tại thửa đất số: 546, tờ bản đồ số 22 có địa chỉ: Xóm Bắc Tiền Tiến (xóm Tiền Tiến cũ), xã Diễn Kim, huyện Diễn Châu, tỉnh Nghệ An </w:t>
                      </w:r>
                      <w:r>
                        <w:rPr>
                          <w:bCs/>
                          <w:i/>
                          <w:iCs/>
                        </w:rPr>
                        <w:t xml:space="preserve">(Nay là xã Hải Châu, tỉnh Nghệ An)</w:t>
                      </w:r>
                      <w:r>
                        <w:rPr>
                          <w:bCs/>
                          <w:i w:val="0"/>
                          <w:iCs w:val="0"/>
                        </w:rPr>
                        <w:t xml:space="preserve"> theo Giấy chứng nhận quyền sử dụng đất quyền sở hữu nhà ở và tài </w:t>
                      </w:r>
                      <w:r>
                        <w:rPr>
                          <w:bCs/>
                          <w:i w:val="0"/>
                          <w:iCs w:val="0"/>
                        </w:rPr>
                        <w:t xml:space="preserve">sản khác gắn liền với đất số: DL 881690, số vào sổ cấp GCN: CS 03755 do Sở Tài nguyên và Môi trường tỉnh Nghệ An cấp ngày 06/5/2023; Chủ sử dụng đất là Ông Nguyễn Quang Trung</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4-19</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20</w:t>
            </w:r>
            <w:r>
              <w:rPr>
                <w:b/>
                <w:bCs/>
              </w:rPr>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 lục 2: Thông tin thu thập thị trường + Hồ sơ pháp lý + BBKS</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21-25</w:t>
            </w:r>
            <w:r>
              <w:rPr>
                <w:b/>
                <w:bCs/>
              </w:rPr>
            </w:r>
            <w:r>
              <w:rPr>
                <w:b/>
                <w:bCs/>
              </w:rPr>
            </w:r>
          </w:p>
        </w:tc>
      </w:tr>
    </w:tbl>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988" w:type="dxa"/>
        <w:tblBorders/>
        <w:tblLayout w:type="fixed"/>
        <w:tblLook w:val="04A0" w:firstRow="1" w:lastRow="0" w:firstColumn="1" w:lastColumn="0" w:noHBand="0" w:noVBand="1"/>
      </w:tblPr>
      <w:tblGrid>
        <w:gridCol w:w="29"/>
        <w:gridCol w:w="1559"/>
        <w:gridCol w:w="8362"/>
        <w:gridCol w:w="38"/>
      </w:tblGrid>
      <w:tr>
        <w:trPr>
          <w:trHeight w:val="1559"/>
        </w:trPr>
        <w:tc>
          <w:tcPr>
            <w:gridSpan w:val="2"/>
            <w:tcBorders/>
            <w:tcW w:w="158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40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368"/>
        </w:trPr>
        <w:tc>
          <w:tcPr>
            <w:gridSpan w:val="2"/>
            <w:shd w:val="clear" w:color="auto" w:fill="auto"/>
            <w:tcBorders/>
            <w:tcMar>
              <w:left w:w="108" w:type="dxa"/>
              <w:top w:w="0" w:type="dxa"/>
              <w:right w:w="108" w:type="dxa"/>
              <w:bottom w:w="0" w:type="dxa"/>
            </w:tcMar>
            <w:tcW w:w="9921"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 </w:t>
            </w:r>
            <w:r>
              <w:rPr>
                <w:rStyle w:val="1025"/>
                <w:rFonts w:ascii="Times New Roman" w:hAnsi="Times New Roman"/>
                <w:color w:val="000000" w:themeColor="text1"/>
                <w:lang w:val="pt-BR"/>
              </w:rPr>
              <w:t xml:space="preserve">275/2026/0655/VFI-CT.21.A                                       </w:t>
            </w:r>
            <w:r>
              <w:rPr>
                <w:rStyle w:val="1025"/>
                <w:rFonts w:ascii="Times New Roman" w:hAnsi="Times New Roman"/>
                <w:i/>
                <w:color w:val="auto"/>
              </w:rPr>
              <w:t xml:space="preserve">TP. Hà 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29 tháng 4 năm 2026</w:t>
            </w:r>
            <w:r>
              <w:rPr>
                <w:color w:val="000000" w:themeColor="text1"/>
                <w:sz w:val="24"/>
                <w:szCs w:val="24"/>
              </w:rPr>
            </w:r>
            <w:r>
              <w:rPr>
                <w:color w:val="000000" w:themeColor="text1"/>
                <w:sz w:val="24"/>
                <w:szCs w:val="24"/>
              </w:rPr>
            </w:r>
          </w:p>
        </w:tc>
      </w:tr>
    </w:tbl>
    <w:p>
      <w:pPr>
        <w:pStyle w:val="1026"/>
        <w:pBdr/>
        <w:spacing w:after="120" w:before="200" w:line="288" w:lineRule="auto"/>
        <w:ind/>
        <w:jc w:val="center"/>
        <w:rPr>
          <w:rStyle w:val="1025"/>
          <w:rFonts w:ascii="Times New Roman" w:hAnsi="Times New Roman"/>
          <w:b/>
          <w:bCs/>
          <w:color w:val="auto"/>
          <w:sz w:val="30"/>
          <w:szCs w:val="30"/>
          <w:lang w:val="vi-VN"/>
        </w:rPr>
      </w:pPr>
      <w:r>
        <w:rPr>
          <w:rStyle w:val="1025"/>
          <w:rFonts w:ascii="Times New Roman" w:hAnsi="Times New Roman"/>
          <w:b/>
          <w:bCs/>
          <w:color w:val="auto"/>
          <w:sz w:val="30"/>
          <w:szCs w:val="30"/>
          <w:lang w:val="vi-VN"/>
        </w:rPr>
        <w:t xml:space="preserve">CHỨNG THƯ THẨM ĐỊNH GIÁ</w:t>
      </w:r>
      <w:r>
        <w:rPr>
          <w:rStyle w:val="1025"/>
          <w:rFonts w:ascii="Times New Roman" w:hAnsi="Times New Roman"/>
          <w:b/>
          <w:bCs/>
          <w:color w:val="auto"/>
          <w:sz w:val="30"/>
          <w:szCs w:val="30"/>
          <w:lang w:val="vi-VN"/>
        </w:rPr>
      </w:r>
      <w:r>
        <w:rPr>
          <w:rStyle w:val="1025"/>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CỔ PHẦN XUẤT NHẬP KHẨU VÀ XÂY DỰNG VIỆT ÂU</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275/2026/0655/VFI-HĐTĐ.21.A</w:t>
      </w:r>
      <w:r>
        <w:rPr>
          <w:spacing w:val="-4"/>
          <w:lang w:val="vi-VN"/>
        </w:rPr>
        <w:t xml:space="preserve"> ký ngày </w:t>
      </w:r>
      <w:r>
        <w:rPr>
          <w:color w:val="000000" w:themeColor="text1"/>
          <w:spacing w:val="-4"/>
        </w:rPr>
        <w:t xml:space="preserve">17 tháng 4 năm 2026</w:t>
      </w:r>
      <w:r>
        <w:rPr>
          <w:spacing w:val="-4"/>
          <w:lang w:val="vi-VN"/>
        </w:rPr>
        <w:t xml:space="preserve"> </w:t>
      </w:r>
      <w:r>
        <w:rPr>
          <w:spacing w:val="-4"/>
          <w:lang w:val="vi-VN"/>
        </w:rPr>
        <w:t xml:space="preserve">giữa </w:t>
      </w:r>
      <w:r>
        <w:rPr>
          <w:color w:val="000000" w:themeColor="text1"/>
          <w:spacing w:val="-4"/>
        </w:rPr>
        <w:t xml:space="preserve">Công ty Cổ phần Xuất nhập khẩu và Xây dựng Việt Âu</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275/2026/0655/VFI-BC.21.A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29 tháng 4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ayout w:type="fixed"/>
        <w:tblLook w:val="04A0" w:firstRow="1" w:lastRow="0" w:firstColumn="1" w:lastColumn="0" w:noHBand="0" w:noVBand="1"/>
      </w:tblPr>
      <w:tblGrid>
        <w:gridCol w:w="2296"/>
        <w:gridCol w:w="289"/>
        <w:gridCol w:w="6940"/>
      </w:tblGrid>
      <w:tr>
        <w:trPr>
          <w:trHeight w:val="20"/>
        </w:trPr>
        <w:tc>
          <w:tcPr>
            <w:shd w:val="clear" w:color="auto" w:fill="auto"/>
            <w:tcBorders/>
            <w:tcW w:w="2296"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89"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0" w:type="dxa"/>
            <w:vAlign w:val="center"/>
            <w:textDirection w:val="lrTb"/>
            <w:noWrap w:val="false"/>
          </w:tcPr>
          <w:p>
            <w:pPr>
              <w:pBdr/>
              <w:spacing/>
              <w:ind/>
              <w:rPr/>
            </w:pPr>
            <w:r>
              <w:rPr>
                <w:b/>
                <w:bCs/>
              </w:rPr>
              <w:t xml:space="preserve">CÔNG TY CỔ PHẦN XUẤT NHẬP KHẨU VÀ XÂY DỰNG ÂU VIỆT</w:t>
            </w:r>
            <w:r/>
          </w:p>
        </w:tc>
      </w:tr>
      <w:tr>
        <w:trPr>
          <w:trHeight w:val="20"/>
        </w:trPr>
        <w:tc>
          <w:tcPr>
            <w:shd w:val="clear" w:color="auto" w:fill="auto"/>
            <w:tcBorders/>
            <w:tcW w:w="2296"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89" w:type="dxa"/>
            <w:vAlign w:val="center"/>
            <w:textDirection w:val="lrTb"/>
            <w:noWrap w:val="false"/>
          </w:tcPr>
          <w:p>
            <w:pPr>
              <w:pBdr/>
              <w:spacing w:after="40" w:before="40" w:line="276" w:lineRule="auto"/>
              <w:ind/>
              <w:rPr>
                <w:color w:val="000000" w:themeColor="text1"/>
                <w:spacing w:val="-2"/>
                <w14:ligatures w14:val="none"/>
              </w:rPr>
            </w:pPr>
            <w:r>
              <w:rPr>
                <w:color w:val="000000" w:themeColor="text1"/>
                <w:spacing w:val="-2"/>
              </w:rPr>
              <w:t xml:space="preserve">:</w:t>
            </w:r>
            <w:r>
              <w:rPr>
                <w:color w:val="000000" w:themeColor="text1"/>
                <w:spacing w:val="-2"/>
                <w14:ligatures w14:val="none"/>
              </w:rPr>
            </w:r>
            <w:r>
              <w:rPr>
                <w:color w:val="000000" w:themeColor="text1"/>
                <w:spacing w:val="-2"/>
                <w14:ligatures w14:val="none"/>
              </w:rPr>
            </w:r>
          </w:p>
        </w:tc>
        <w:tc>
          <w:tcPr>
            <w:tcBorders/>
            <w:tcW w:w="6940" w:type="dxa"/>
            <w:vAlign w:val="center"/>
            <w:textDirection w:val="lrTb"/>
            <w:noWrap w:val="false"/>
          </w:tcPr>
          <w:p>
            <w:pPr>
              <w:pBdr/>
              <w:spacing w:after="40" w:before="40" w:line="276" w:lineRule="auto"/>
              <w:ind/>
              <w:jc w:val="both"/>
              <w:rPr>
                <w:color w:val="000000" w:themeColor="text1"/>
                <w:spacing w:val="-2"/>
                <w14:ligatures w14:val="none"/>
              </w:rPr>
            </w:pPr>
            <w:r>
              <w:rPr>
                <w:color w:val="000000" w:themeColor="text1"/>
                <w:spacing w:val="-2"/>
              </w:rPr>
            </w:r>
            <w:r>
              <w:rPr>
                <w:color w:val="000000" w:themeColor="text1"/>
                <w:spacing w:val="-2"/>
              </w:rPr>
              <w:t xml:space="preserve">A7-6/2 Trung tâm đô thị Chí Linh, Phường Tam Thắng, Thành phố Hồ Chí Minh</w:t>
            </w:r>
            <w:r>
              <w:rPr>
                <w:color w:val="000000" w:themeColor="text1"/>
                <w:spacing w:val="-2"/>
                <w14:ligatures w14:val="none"/>
              </w:rPr>
            </w:r>
            <w:r>
              <w:rPr>
                <w:color w:val="000000" w:themeColor="text1"/>
                <w:spacing w:val="-2"/>
                <w14:ligatures w14:val="none"/>
              </w:rPr>
            </w:r>
          </w:p>
        </w:tc>
      </w:tr>
      <w:tr>
        <w:trPr>
          <w:trHeight w:val="20"/>
        </w:trPr>
        <w:tc>
          <w:tcPr>
            <w:shd w:val="clear" w:color="auto" w:fill="auto"/>
            <w:tcBorders/>
            <w:tcW w:w="2296"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Mã số thuế</w:t>
            </w:r>
            <w:r>
              <w:rPr>
                <w:bCs/>
                <w:color w:val="000000" w:themeColor="text1"/>
                <w:lang w:val="pt-BR"/>
              </w:rPr>
            </w:r>
            <w:r>
              <w:rPr>
                <w:bCs/>
                <w:color w:val="000000" w:themeColor="text1"/>
                <w:lang w:val="pt-BR"/>
              </w:rPr>
            </w:r>
          </w:p>
        </w:tc>
        <w:tc>
          <w:tcPr>
            <w:shd w:val="clear" w:color="auto" w:fill="auto"/>
            <w:tcBorders/>
            <w:tcW w:w="289"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0"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0106024032</w:t>
            </w:r>
            <w:r>
              <w:rPr>
                <w:color w:val="ff0000"/>
                <w:lang w:val="pt-BR"/>
              </w:rPr>
            </w:r>
            <w:r>
              <w:rPr>
                <w:color w:val="ff0000"/>
                <w:lang w:val="pt-BR"/>
              </w:rPr>
            </w:r>
          </w:p>
        </w:tc>
      </w:tr>
      <w:tr>
        <w:trPr>
          <w:trHeight w:val="20"/>
        </w:trPr>
        <w:tc>
          <w:tcPr>
            <w:shd w:val="clear" w:color="auto" w:fill="auto"/>
            <w:tcBorders/>
            <w:tcW w:w="2296"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shd w:val="clear" w:color="auto" w:fill="auto"/>
            <w:tcBorders/>
            <w:tcW w:w="289" w:type="dxa"/>
            <w:vAlign w:val="center"/>
            <w:textDirection w:val="lrTb"/>
            <w:noWrap w:val="false"/>
          </w:tcPr>
          <w:p>
            <w:pPr>
              <w:pBdr/>
              <w:spacing w:after="40" w:before="40" w:line="276" w:lineRule="auto"/>
              <w:ind/>
              <w:jc w:val="center"/>
              <w:rPr>
                <w:bCs/>
              </w:rPr>
            </w:pPr>
            <w:r>
              <w:rPr>
                <w:bCs/>
              </w:rPr>
              <w:t xml:space="preserve">:</w:t>
            </w:r>
            <w:r>
              <w:rPr>
                <w:bCs/>
              </w:rPr>
            </w:r>
            <w:r>
              <w:rPr>
                <w:bCs/>
              </w:rPr>
            </w:r>
          </w:p>
        </w:tc>
        <w:tc>
          <w:tcPr>
            <w:tcBorders/>
            <w:tcW w:w="6940" w:type="dxa"/>
            <w:vAlign w:val="center"/>
            <w:textDirection w:val="lrTb"/>
            <w:noWrap w:val="false"/>
          </w:tcPr>
          <w:p>
            <w:pPr>
              <w:pBdr/>
              <w:spacing w:after="40" w:before="40" w:line="276" w:lineRule="auto"/>
              <w:ind/>
              <w:jc w:val="both"/>
              <w:rPr>
                <w:b/>
                <w:bCs/>
                <w:color w:val="ff0000"/>
              </w:rPr>
            </w:pPr>
            <w:r>
              <w:rPr>
                <w:b/>
                <w:bCs/>
                <w:color w:val="000000" w:themeColor="text1"/>
                <w:lang w:val="vi-VN"/>
              </w:rPr>
              <w:t xml:space="preserve">Ông Nguyễn Quang Trung</w:t>
            </w:r>
            <w:r>
              <w:rPr>
                <w:b/>
                <w:bCs/>
                <w:color w:val="ff0000"/>
              </w:rPr>
            </w:r>
            <w:r>
              <w:rPr>
                <w:b/>
                <w:bCs/>
                <w:color w:val="ff0000"/>
              </w:rPr>
            </w:r>
          </w:p>
        </w:tc>
      </w:tr>
      <w:tr>
        <w:trPr>
          <w:trHeight w:val="20"/>
        </w:trPr>
        <w:tc>
          <w:tcPr>
            <w:shd w:val="clear" w:color="ffffff" w:fill="ffffff"/>
            <w:tcBorders/>
            <w:tcW w:w="2296" w:type="dxa"/>
            <w:vAlign w:val="center"/>
            <w:vMerge w:val="restart"/>
            <w:textDirection w:val="lrTb"/>
            <w:noWrap w:val="false"/>
          </w:tcPr>
          <w:p>
            <w:pPr>
              <w:pBdr/>
              <w:spacing w:after="40" w:before="40" w:line="276" w:lineRule="auto"/>
              <w:ind/>
              <w:rPr>
                <w:bCs/>
              </w:rPr>
            </w:pPr>
            <w:r>
              <w:rPr>
                <w:bCs/>
              </w:rPr>
              <w:t xml:space="preserve">Chức vụ</w:t>
            </w:r>
            <w:r>
              <w:rPr>
                <w:bCs/>
              </w:rPr>
            </w:r>
            <w:r>
              <w:rPr>
                <w:bCs/>
              </w:rPr>
            </w:r>
          </w:p>
        </w:tc>
        <w:tc>
          <w:tcPr>
            <w:shd w:val="clear" w:color="ffffff" w:fill="ffffff"/>
            <w:tcBorders/>
            <w:tcW w:w="289" w:type="dxa"/>
            <w:vAlign w:val="center"/>
            <w:vMerge w:val="restart"/>
            <w:textDirection w:val="lrTb"/>
            <w:noWrap w:val="false"/>
          </w:tcPr>
          <w:p>
            <w:pPr>
              <w:pBdr/>
              <w:spacing w:after="40" w:before="40" w:line="276" w:lineRule="auto"/>
              <w:ind/>
              <w:jc w:val="center"/>
              <w:rPr>
                <w:bCs/>
              </w:rPr>
            </w:pPr>
            <w:r>
              <w:rPr>
                <w:bCs/>
              </w:rPr>
              <w:t xml:space="preserve">:</w:t>
            </w:r>
            <w:r>
              <w:rPr>
                <w:bCs/>
              </w:rPr>
            </w:r>
            <w:r>
              <w:rPr>
                <w:bCs/>
              </w:rPr>
            </w:r>
          </w:p>
        </w:tc>
        <w:tc>
          <w:tcPr>
            <w:tcBorders/>
            <w:tcW w:w="6940" w:type="dxa"/>
            <w:vAlign w:val="center"/>
            <w:vMerge w:val="restart"/>
            <w:textDirection w:val="lrTb"/>
            <w:noWrap w:val="false"/>
          </w:tcPr>
          <w:p>
            <w:pPr>
              <w:pBdr/>
              <w:spacing w:after="40" w:before="40" w:line="276" w:lineRule="auto"/>
              <w:ind/>
              <w:jc w:val="both"/>
              <w:rPr>
                <w:b/>
                <w:bCs/>
                <w:color w:val="000000" w:themeColor="text1"/>
              </w:rPr>
            </w:pPr>
            <w:r>
              <w:rPr>
                <w:b/>
                <w:bCs/>
                <w:color w:val="000000" w:themeColor="text1"/>
                <w:lang w:val="vi-VN"/>
              </w:rPr>
              <w:t xml:space="preserve">Giám đốc</w:t>
            </w:r>
            <w:r>
              <w:rPr>
                <w:b/>
                <w:bCs/>
                <w:color w:val="000000" w:themeColor="text1"/>
              </w:rPr>
            </w:r>
            <w:r>
              <w:rPr>
                <w:b/>
                <w:bCs/>
                <w:color w:val="000000" w:themeColor="text1"/>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r>
            <w:r>
              <w:rPr>
                <w:b/>
                <w:bCs/>
                <w:lang w:val="vi-VN"/>
              </w:rPr>
            </w:r>
          </w:p>
        </w:tc>
      </w:tr>
      <w:tr>
        <w:trPr>
          <w:trHeight w:val="20"/>
        </w:trPr>
        <w:tc>
          <w:tcPr>
            <w:tcBorders/>
            <w:tcW w:w="2269" w:type="dxa"/>
            <w:vAlign w:val="center"/>
            <w:vMerge w:val="restart"/>
            <w:textDirection w:val="lrTb"/>
            <w:noWrap w:val="false"/>
          </w:tcPr>
          <w:p>
            <w:pPr>
              <w:pBdr/>
              <w:spacing w:after="40" w:before="40" w:line="276" w:lineRule="auto"/>
              <w:ind/>
              <w:rPr>
                <w:bCs/>
              </w:rPr>
            </w:pPr>
            <w:r>
              <w:rPr>
                <w:bCs/>
              </w:rPr>
              <w:t xml:space="preserve">Chức vụ</w:t>
            </w:r>
            <w:r>
              <w:rPr>
                <w:bCs/>
              </w:rPr>
            </w:r>
            <w:r>
              <w:rPr>
                <w:bCs/>
              </w:rPr>
            </w:r>
          </w:p>
        </w:tc>
        <w:tc>
          <w:tcPr>
            <w:tcBorders/>
            <w:tcW w:w="289" w:type="dxa"/>
            <w:vAlign w:val="center"/>
            <w:vMerge w:val="restart"/>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vMerge w:val="restart"/>
            <w:textDirection w:val="lrTb"/>
            <w:noWrap w:val="false"/>
          </w:tcPr>
          <w:p>
            <w:pPr>
              <w:pBdr/>
              <w:spacing w:after="40" w:before="40" w:line="276" w:lineRule="auto"/>
              <w:ind/>
              <w:rPr>
                <w:b/>
                <w:bCs/>
                <w:lang w:val="vi-VN"/>
              </w:rPr>
            </w:pPr>
            <w:r>
              <w:rPr>
                <w:b/>
                <w:bCs/>
                <w:lang w:val="vi-VN"/>
              </w:rPr>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bCs/>
          <w:i w:val="0"/>
          <w:iCs w:val="0"/>
        </w:rPr>
        <w:t xml:space="preserve">Giá trị quyền sử dụng đất tại thửa đất số: 546, tờ bản đồ số 22 có địa chỉ: Xóm Bắc Tiền Tiến (xóm Tiền Tiến cũ), xã Diễn Kim, huyện Diễn Châu, tỉnh Nghệ An </w:t>
      </w:r>
      <w:r>
        <w:rPr>
          <w:bCs/>
          <w:i/>
          <w:iCs/>
        </w:rPr>
        <w:t xml:space="preserve">(Nay là xã Hải Châu, tỉnh Nghệ An)</w:t>
      </w:r>
      <w:r>
        <w:rPr>
          <w:bCs/>
          <w:i w:val="0"/>
          <w:iCs w:val="0"/>
        </w:rPr>
        <w:t xml:space="preserve"> theo Giấy chứng nhận quyền sử dụng đất quyền sở hữu nhà ở và tài </w:t>
      </w:r>
      <w:r>
        <w:rPr>
          <w:bCs/>
          <w:i w:val="0"/>
          <w:iCs w:val="0"/>
        </w:rPr>
        <w:t xml:space="preserve">sản khác gắn liền với đất số: DL 881690, số vào sổ cấp GCN: CS 03755 do Sở Tài nguyên và Môi trường tỉnh Nghệ An cấp ngày 06/5/2023; Chủ sử dụng đất là Ông Nguyễn Quang Trung</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4/2026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4/2026</w:t>
      </w:r>
      <w:r>
        <w:rPr>
          <w:lang w:val="vi-VN"/>
        </w:rPr>
        <w:t xml:space="preserve"> ước tính</w:t>
      </w:r>
      <w:r>
        <w:t xml:space="preserve"> </w:t>
      </w:r>
      <w:r>
        <w:rPr>
          <w:lang w:val="vi-VN"/>
        </w:rPr>
        <w:t xml:space="preserve">như sau:</w:t>
      </w: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2835"/>
        <w:gridCol w:w="1843"/>
        <w:gridCol w:w="2126"/>
        <w:gridCol w:w="1984"/>
      </w:tblGrid>
      <w:tr>
        <w:trPr>
          <w:trHeight w:val="72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83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Diện tích </w:t>
              <w:br/>
              <w:t xml:space="preserve">(m²)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Đơn giá </w:t>
              <w:br/>
              <w:t xml:space="preserve">(đồng/m²)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1957"/>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803" w:type="dxa"/>
            <w:vAlign w:val="center"/>
            <w:textDirection w:val="lrTb"/>
            <w:noWrap w:val="false"/>
          </w:tcPr>
          <w:p>
            <w:pPr>
              <w:pBdr/>
              <w:spacing w:after="0" w:before="0" w:line="240" w:lineRule="auto"/>
              <w:ind w:right="143" w:firstLine="0" w:left="142"/>
              <w:jc w:val="both"/>
              <w:rPr/>
            </w:pPr>
            <w:r>
              <w:rPr>
                <w:rFonts w:ascii="Times New Roman" w:hAnsi="Times New Roman" w:eastAsia="Times New Roman" w:cs="Times New Roman"/>
                <w:b/>
                <w:color w:val="000000"/>
                <w:sz w:val="24"/>
              </w:rPr>
              <w:t xml:space="preserve">Giá trị quyền sử dụng đất tại thửa đất số: 546, tờ bản đồ số 22 có địa chỉ: Xóm Bắc Tiền Tiến (xóm Tiền Tiến cũ), xã Diễn Kim, huyện Diễn Châu, tỉnh Nghệ An </w:t>
            </w:r>
            <w:r>
              <w:rPr>
                <w:rFonts w:ascii="Times New Roman" w:hAnsi="Times New Roman" w:eastAsia="Times New Roman" w:cs="Times New Roman"/>
                <w:b/>
                <w:i/>
                <w:iCs/>
                <w:color w:val="000000"/>
                <w:sz w:val="24"/>
              </w:rPr>
              <w:t xml:space="preserve">(Nay là xã Hải Châu, tỉnh Nghệ An)</w:t>
            </w:r>
            <w:r>
              <w:rPr>
                <w:rFonts w:ascii="Times New Roman" w:hAnsi="Times New Roman" w:eastAsia="Times New Roman" w:cs="Times New Roman"/>
                <w:b/>
                <w:color w:val="000000"/>
                <w:sz w:val="24"/>
              </w:rPr>
              <w:t xml:space="preserve"> theo Giấy chứng nhận quyền sử dụng đất quyền sở hữu nhà ở và tài</w:t>
            </w:r>
            <w:r>
              <w:rPr>
                <w:rFonts w:ascii="Times New Roman" w:hAnsi="Times New Roman" w:eastAsia="Times New Roman" w:cs="Times New Roman"/>
                <w:b/>
                <w:color w:val="000000"/>
                <w:sz w:val="24"/>
              </w:rPr>
              <w:t xml:space="preserve"> sản khác gắn liền với đất số: DL 881690, số vào sổ cấp GCN: CS 03755 do Sở Tài nguyên và Môi trường tỉnh Nghệ An cấp ngày 06/5/2023; Chủ sử dụng đất là Ông Nguyễn Quang Trung.</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right"/>
              <w:rPr/>
            </w:pPr>
            <w:r>
              <w:rPr>
                <w:rFonts w:ascii="Times New Roman" w:hAnsi="Times New Roman" w:eastAsia="Times New Roman" w:cs="Times New Roman"/>
                <w:b/>
                <w:color w:val="000000"/>
                <w:sz w:val="24"/>
              </w:rPr>
              <w:t xml:space="preserve"> </w:t>
            </w: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835"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4"/>
              </w:rPr>
              <w:t xml:space="preserve">Đất ở tại nông thôn</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right="0" w:firstLine="0" w:left="142"/>
              <w:jc w:val="center"/>
              <w:rPr/>
            </w:pPr>
            <w:r>
              <w:rPr>
                <w:rFonts w:ascii="Times New Roman" w:hAnsi="Times New Roman" w:eastAsia="Times New Roman" w:cs="Times New Roman"/>
                <w:color w:val="000000"/>
                <w:sz w:val="24"/>
              </w:rPr>
              <w:t xml:space="preserve">297,6</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right="0" w:firstLine="0" w:left="142"/>
              <w:jc w:val="center"/>
              <w:rPr/>
            </w:pPr>
            <w:r>
              <w:rPr>
                <w:rFonts w:ascii="Times New Roman" w:hAnsi="Times New Roman" w:eastAsia="Times New Roman" w:cs="Times New Roman"/>
                <w:color w:val="000000"/>
                <w:sz w:val="24"/>
              </w:rPr>
              <w:t xml:space="preserve">7.600.000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2.261.760.000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4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2.261.760.000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4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2.262.000.000</w:t>
            </w:r>
            <w:r/>
          </w:p>
        </w:tc>
      </w:tr>
      <w:tr>
        <w:trPr>
          <w:trHeight w:val="309"/>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24" w:type="dxa"/>
            <w:vAlign w:val="center"/>
            <w:textDirection w:val="lrTb"/>
            <w:noWrap w:val="false"/>
          </w:tcPr>
          <w:p>
            <w:pPr>
              <w:pBdr/>
              <w:spacing w:after="0" w:before="0" w:line="240" w:lineRule="auto"/>
              <w:ind/>
              <w:jc w:val="center"/>
              <w:rPr/>
            </w:pPr>
            <w:r>
              <w:rPr>
                <w:rFonts w:ascii="Times New Roman" w:hAnsi="Times New Roman" w:eastAsia="Times New Roman" w:cs="Times New Roman"/>
                <w:b/>
                <w:i/>
                <w:color w:val="000000"/>
                <w:sz w:val="24"/>
              </w:rPr>
              <w:t xml:space="preserve">(Bằng chữ: Hai tỷ, hai trăm sáu mươi hai triệu đồng chẵn./.)</w:t>
            </w:r>
            <w:r/>
          </w:p>
        </w:tc>
      </w:tr>
    </w:tbl>
    <w:p>
      <w:pPr>
        <w:pBdr/>
        <w:spacing w:after="120" w:before="120" w:line="264"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264"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264" w:lineRule="auto"/>
        <w:ind/>
        <w:rPr/>
      </w:pPr>
      <w:r>
        <w:rPr>
          <w:b/>
          <w:bCs/>
          <w:lang w:val="vi-VN"/>
        </w:rPr>
        <w:t xml:space="preserve">11. Những điều khoản loại trừ và hạn chế của kết quả thẩm định giá:</w:t>
      </w:r>
      <w:r/>
    </w:p>
    <w:p>
      <w:pPr>
        <w:pBdr/>
        <w:spacing w:after="120" w:before="120" w:line="264" w:lineRule="auto"/>
        <w:ind w:firstLine="360"/>
        <w:rPr>
          <w:lang w:val="pt-BR"/>
        </w:rPr>
      </w:pPr>
      <w:r>
        <w:rPr>
          <w:lang w:val="pt-BR"/>
        </w:rPr>
        <w:t xml:space="preserve">- </w:t>
      </w:r>
      <w:r>
        <w:rPr>
          <w:lang w:val="pt-BR"/>
        </w:rPr>
        <w:t xml:space="preserve">Chi tiết như Báo cáo kèm theo.</w:t>
      </w:r>
      <w:r>
        <w:rPr>
          <w:lang w:val="pt-BR"/>
        </w:rPr>
      </w:r>
      <w:r>
        <w:rPr>
          <w:lang w:val="pt-BR"/>
        </w:rPr>
      </w:r>
    </w:p>
    <w:p>
      <w:pPr>
        <w:pBdr/>
        <w:spacing w:after="120" w:before="120" w:line="312" w:lineRule="auto"/>
        <w:ind w:firstLine="0"/>
        <w:rPr>
          <w:rFonts w:eastAsia="Calibri"/>
          <w:b/>
          <w:bCs/>
          <w:spacing w:val="-4"/>
          <w:lang w:val="pt-BR"/>
        </w:rPr>
      </w:pPr>
      <w:r>
        <w:rPr>
          <w:lang w:val="pt-BR"/>
        </w:rPr>
      </w:r>
      <w:r>
        <w:rPr>
          <w:rFonts w:eastAsia="Calibri"/>
          <w:b/>
          <w:spacing w:val="-4"/>
          <w:lang w:val="pt-BR"/>
        </w:rPr>
        <w:t xml:space="preserve">12</w:t>
      </w:r>
      <w:r>
        <w:rPr>
          <w:rFonts w:eastAsia="Calibri"/>
          <w:b/>
          <w:spacing w:val="-4"/>
          <w:lang w:val="vi-VN"/>
        </w:rPr>
        <w:t xml:space="preserve">. Các tài liệu kèm theo:</w:t>
      </w:r>
      <w:r>
        <w:rPr>
          <w:rFonts w:eastAsia="Calibri"/>
          <w:b/>
          <w:bCs/>
          <w:spacing w:val="-4"/>
          <w:lang w:val="pt-BR"/>
        </w:rPr>
      </w:r>
      <w:r>
        <w:rPr>
          <w:rFonts w:eastAsia="Calibri"/>
          <w:b/>
          <w:bCs/>
          <w:spacing w:val="-4"/>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000" w:type="pct"/>
        <w:tblBorders/>
        <w:tblLayout w:type="fixed"/>
        <w:tblLook w:val="01E0" w:firstRow="1" w:lastRow="1" w:firstColumn="1" w:lastColumn="1" w:noHBand="0" w:noVBand="0"/>
      </w:tblPr>
      <w:tblGrid>
        <w:gridCol w:w="4422"/>
        <w:gridCol w:w="5102"/>
      </w:tblGrid>
      <w:tr>
        <w:trPr>
          <w:trHeight w:val="20"/>
        </w:trPr>
        <w:tc>
          <w:tcPr>
            <w:tcBorders/>
            <w:tcW w:w="4422"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02"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422"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102"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422"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102"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ayout w:type="fixed"/>
        <w:tblLook w:val="04A0" w:firstRow="1" w:lastRow="0" w:firstColumn="1" w:lastColumn="0" w:noHBand="0" w:noVBand="1"/>
      </w:tblPr>
      <w:tblGrid>
        <w:gridCol w:w="244"/>
        <w:gridCol w:w="1485"/>
        <w:gridCol w:w="2422"/>
        <w:gridCol w:w="5412"/>
        <w:gridCol w:w="310"/>
      </w:tblGrid>
      <w:tr>
        <w:trPr>
          <w:trHeight w:val="1417"/>
        </w:trPr>
        <w:tc>
          <w:tcPr>
            <w:gridSpan w:val="2"/>
            <w:tcBorders/>
            <w:tcW w:w="1729"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14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3"/>
            <w:shd w:val="clear" w:color="auto" w:fill="auto"/>
            <w:tcBorders/>
            <w:tcMar>
              <w:left w:w="108" w:type="dxa"/>
              <w:top w:w="0" w:type="dxa"/>
              <w:right w:w="108" w:type="dxa"/>
              <w:bottom w:w="0" w:type="dxa"/>
            </w:tcMar>
            <w:tcW w:w="9319"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 </w:t>
            </w:r>
            <w:r>
              <w:rPr>
                <w:rStyle w:val="1025"/>
                <w:rFonts w:ascii="Times New Roman" w:hAnsi="Times New Roman"/>
                <w:color w:val="000000" w:themeColor="text1"/>
                <w:lang w:val="pt-BR"/>
              </w:rPr>
              <w:t xml:space="preserve">275/2026/0655/VFI-BC.21.A                               </w:t>
            </w:r>
            <w:r>
              <w:rPr>
                <w:rStyle w:val="1025"/>
                <w:rFonts w:ascii="Times New Roman" w:hAnsi="Times New Roman"/>
                <w:i/>
                <w:color w:val="auto"/>
              </w:rPr>
              <w:t xml:space="preserve">TP. Hà 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29 tháng 4 năm 2026</w:t>
            </w:r>
            <w:r>
              <w:rPr>
                <w:color w:val="000000" w:themeColor="text1"/>
                <w:sz w:val="24"/>
                <w:szCs w:val="24"/>
              </w:rPr>
            </w:r>
            <w:r>
              <w:rPr>
                <w:color w:val="000000" w:themeColor="text1"/>
                <w:sz w:val="24"/>
                <w:szCs w:val="24"/>
              </w:rPr>
            </w:r>
          </w:p>
        </w:tc>
      </w:tr>
    </w:tbl>
    <w:p>
      <w:pPr>
        <w:pStyle w:val="102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275/2026/0655/VFI-CT.21.A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29 tháng 4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r>
            <w:r>
              <w:rPr>
                <w:b/>
                <w:bCs/>
                <w:lang w:val="vi-VN"/>
              </w:rPr>
            </w:r>
          </w:p>
        </w:tc>
      </w:tr>
      <w:tr>
        <w:trPr>
          <w:trHeight w:val="20"/>
        </w:trPr>
        <w:tc>
          <w:tcPr>
            <w:tcBorders/>
            <w:tcW w:w="2552" w:type="dxa"/>
            <w:vAlign w:val="center"/>
            <w:vMerge w:val="restart"/>
            <w:textDirection w:val="lrTb"/>
            <w:noWrap w:val="false"/>
          </w:tcPr>
          <w:p>
            <w:pPr>
              <w:pBdr/>
              <w:spacing w:after="40" w:before="40" w:line="276" w:lineRule="auto"/>
              <w:ind/>
              <w:rPr>
                <w:bCs/>
              </w:rPr>
            </w:pPr>
            <w:r>
              <w:rPr>
                <w:bCs/>
              </w:rPr>
              <w:t xml:space="preserve">Chức vụ</w:t>
            </w:r>
            <w:r>
              <w:rPr>
                <w:bCs/>
              </w:rPr>
            </w:r>
            <w:r>
              <w:rPr>
                <w:bCs/>
              </w:rPr>
            </w:r>
          </w:p>
        </w:tc>
        <w:tc>
          <w:tcPr>
            <w:tcBorders/>
            <w:tcW w:w="289" w:type="dxa"/>
            <w:vAlign w:val="center"/>
            <w:vMerge w:val="restart"/>
            <w:textDirection w:val="lrTb"/>
            <w:noWrap w:val="false"/>
          </w:tcPr>
          <w:p>
            <w:pPr>
              <w:pBdr/>
              <w:spacing w:after="40" w:before="40" w:line="276" w:lineRule="auto"/>
              <w:ind/>
              <w:rPr>
                <w:bCs/>
              </w:rPr>
            </w:pPr>
            <w:r>
              <w:rPr>
                <w:bCs/>
              </w:rPr>
              <w:t xml:space="preserve">:</w:t>
            </w:r>
            <w:r>
              <w:rPr>
                <w:bCs/>
              </w:rPr>
            </w:r>
            <w:r>
              <w:rPr>
                <w:bCs/>
              </w:rPr>
            </w:r>
          </w:p>
        </w:tc>
        <w:tc>
          <w:tcPr>
            <w:tcBorders/>
            <w:tcW w:w="6940" w:type="dxa"/>
            <w:vAlign w:val="center"/>
            <w:vMerge w:val="restart"/>
            <w:textDirection w:val="lrTb"/>
            <w:noWrap w:val="false"/>
          </w:tcPr>
          <w:p>
            <w:pPr>
              <w:pBdr/>
              <w:spacing w:after="40" w:before="40" w:line="276" w:lineRule="auto"/>
              <w:ind/>
              <w:rPr>
                <w:b/>
                <w:bCs/>
                <w:lang w:val="vi-VN"/>
              </w:rPr>
            </w:pPr>
            <w:r>
              <w:rPr>
                <w:b/>
                <w:bCs/>
                <w:lang w:val="vi-VN"/>
              </w:rPr>
            </w:r>
            <w:r>
              <w:rPr>
                <w:b/>
                <w:bCs/>
              </w:rPr>
              <w:t xml:space="preserve">Chủ tịch HĐQT kiêm Tổng Giám đốc</w:t>
            </w:r>
            <w:r>
              <w:rPr>
                <w:b/>
                <w:bCs/>
                <w:lang w:val="vi-VN"/>
              </w:rPr>
            </w:r>
            <w:r>
              <w:rPr>
                <w:b/>
                <w:bCs/>
                <w:lang w:val="vi-VN"/>
              </w:rPr>
            </w:r>
          </w:p>
        </w:tc>
      </w:tr>
    </w:tbl>
    <w:p>
      <w:pPr>
        <w:pStyle w:val="102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ind/>
              <w:rPr/>
            </w:pPr>
            <w:r>
              <w:rPr>
                <w:b/>
                <w:bCs/>
              </w:rPr>
              <w:t xml:space="preserve">CÔNG TY CỔ PHẦN XUẤT NHẬP KHẨU VÀ XÂY DỰNG ÂU VIỆT</w:t>
            </w: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rPr>
                <w:color w:val="000000" w:themeColor="text1"/>
                <w:spacing w:val="-2"/>
                <w14:ligatures w14:val="none"/>
              </w:rPr>
            </w:pPr>
            <w:r>
              <w:rPr>
                <w:color w:val="000000" w:themeColor="text1"/>
                <w:spacing w:val="-2"/>
              </w:rPr>
              <w:t xml:space="preserve">:</w:t>
            </w:r>
            <w:r>
              <w:rPr>
                <w:color w:val="000000" w:themeColor="text1"/>
                <w:spacing w:val="-2"/>
                <w14:ligatures w14:val="none"/>
              </w:rPr>
            </w:r>
            <w:r>
              <w:rPr>
                <w:color w:val="000000" w:themeColor="text1"/>
                <w:spacing w:val="-2"/>
                <w14:ligatures w14:val="none"/>
              </w:rPr>
            </w:r>
          </w:p>
        </w:tc>
        <w:tc>
          <w:tcPr>
            <w:tcBorders/>
            <w:tcW w:w="6945" w:type="dxa"/>
            <w:vAlign w:val="center"/>
            <w:textDirection w:val="lrTb"/>
            <w:noWrap w:val="false"/>
          </w:tcPr>
          <w:p>
            <w:pPr>
              <w:pBdr/>
              <w:spacing w:after="40" w:before="40" w:line="276" w:lineRule="auto"/>
              <w:ind/>
              <w:jc w:val="both"/>
              <w:rPr>
                <w:color w:val="000000" w:themeColor="text1"/>
                <w:spacing w:val="-2"/>
                <w14:ligatures w14:val="none"/>
              </w:rPr>
            </w:pPr>
            <w:r>
              <w:rPr>
                <w:color w:val="000000" w:themeColor="text1"/>
                <w:spacing w:val="-2"/>
              </w:rPr>
            </w:r>
            <w:r>
              <w:rPr>
                <w:color w:val="000000" w:themeColor="text1"/>
                <w:spacing w:val="-2"/>
              </w:rPr>
              <w:t xml:space="preserve">A7-6/2 Trung tâm đô thị Chí Linh, Phường Tam Thắng, Thành phố Hồ Chí Minh</w:t>
            </w:r>
            <w:r>
              <w:rPr>
                <w:color w:val="000000" w:themeColor="text1"/>
                <w:spacing w:val="-2"/>
                <w14:ligatures w14:val="none"/>
              </w:rPr>
            </w:r>
            <w:r>
              <w:rPr>
                <w:color w:val="000000" w:themeColor="text1"/>
                <w:spacing w:val="-2"/>
                <w14:ligatures w14:val="none"/>
              </w:rPr>
            </w:r>
          </w:p>
        </w:tc>
      </w:tr>
      <w:tr>
        <w:trPr>
          <w:trHeight w:val="20"/>
        </w:trPr>
        <w:tc>
          <w:tcPr>
            <w:tcBorders/>
            <w:tcW w:w="2518" w:type="dxa"/>
            <w:vAlign w:val="center"/>
            <w:vMerge w:val="restart"/>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Mã số thuế</w:t>
            </w:r>
            <w:r>
              <w:rPr>
                <w:bCs/>
                <w:color w:val="000000" w:themeColor="text1"/>
                <w:lang w:val="pt-BR"/>
              </w:rPr>
            </w:r>
            <w:r>
              <w:rPr>
                <w:bCs/>
                <w:color w:val="000000" w:themeColor="text1"/>
                <w:lang w:val="pt-BR"/>
              </w:rPr>
            </w:r>
          </w:p>
        </w:tc>
        <w:tc>
          <w:tcPr>
            <w:tcBorders/>
            <w:tcW w:w="284" w:type="dxa"/>
            <w:vAlign w:val="center"/>
            <w:vMerge w:val="restart"/>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vMerge w:val="restart"/>
            <w:textDirection w:val="lrTb"/>
            <w:noWrap w:val="false"/>
          </w:tcPr>
          <w:p>
            <w:pPr>
              <w:pBdr/>
              <w:spacing w:after="40" w:before="40" w:line="276" w:lineRule="auto"/>
              <w:ind/>
              <w:jc w:val="both"/>
              <w:rPr>
                <w:color w:val="ff0000"/>
                <w:lang w:val="pt-BR"/>
              </w:rPr>
            </w:pPr>
            <w:r>
              <w:rPr>
                <w:color w:val="000000" w:themeColor="text1"/>
                <w:lang w:val="vi-VN"/>
              </w:rPr>
              <w:t xml:space="preserve">0106024032</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4" w:type="dxa"/>
            <w:vAlign w:val="center"/>
            <w:textDirection w:val="lrTb"/>
            <w:noWrap w:val="false"/>
          </w:tcPr>
          <w:p>
            <w:pPr>
              <w:pBdr/>
              <w:spacing w:after="40" w:before="40" w:line="276" w:lineRule="auto"/>
              <w:ind/>
              <w:jc w:val="center"/>
              <w:rPr>
                <w:bCs/>
              </w:rPr>
            </w:pPr>
            <w:r>
              <w:rPr>
                <w:bCs/>
              </w:rPr>
              <w:t xml:space="preserve">:</w:t>
            </w:r>
            <w:r>
              <w:rPr>
                <w:bCs/>
              </w:rPr>
            </w:r>
            <w:r>
              <w:rPr>
                <w:bCs/>
              </w:rPr>
            </w:r>
          </w:p>
        </w:tc>
        <w:tc>
          <w:tcPr>
            <w:tcBorders/>
            <w:tcW w:w="6945" w:type="dxa"/>
            <w:vAlign w:val="center"/>
            <w:textDirection w:val="lrTb"/>
            <w:noWrap w:val="false"/>
          </w:tcPr>
          <w:p>
            <w:pPr>
              <w:pBdr/>
              <w:spacing w:after="40" w:before="40" w:line="276" w:lineRule="auto"/>
              <w:ind/>
              <w:jc w:val="both"/>
              <w:rPr>
                <w:b/>
                <w:bCs/>
                <w:color w:val="ff0000"/>
              </w:rPr>
            </w:pPr>
            <w:r>
              <w:rPr>
                <w:b/>
                <w:bCs/>
                <w:color w:val="000000" w:themeColor="text1"/>
                <w:lang w:val="vi-VN"/>
              </w:rPr>
              <w:t xml:space="preserve">Ông Nguyễn Quang Trung</w:t>
            </w:r>
            <w:r>
              <w:rPr>
                <w:b/>
                <w:bCs/>
                <w:color w:val="ff0000"/>
              </w:rPr>
            </w:r>
            <w:r>
              <w:rPr>
                <w:b/>
                <w:bCs/>
                <w:color w:val="ff0000"/>
              </w:rPr>
            </w:r>
          </w:p>
        </w:tc>
      </w:tr>
      <w:tr>
        <w:trPr>
          <w:trHeight w:val="20"/>
        </w:trPr>
        <w:tc>
          <w:tcPr>
            <w:tcBorders/>
            <w:tcW w:w="2518" w:type="dxa"/>
            <w:vAlign w:val="center"/>
            <w:textDirection w:val="lrTb"/>
            <w:noWrap w:val="false"/>
          </w:tcPr>
          <w:p>
            <w:pPr>
              <w:pBdr/>
              <w:spacing w:after="40" w:before="40" w:line="276" w:lineRule="auto"/>
              <w:ind/>
              <w:rPr>
                <w:bCs/>
              </w:rPr>
            </w:pPr>
            <w:r>
              <w:rPr>
                <w:bCs/>
              </w:rPr>
              <w:t xml:space="preserve">Chức vụ</w:t>
            </w:r>
            <w:r>
              <w:rPr>
                <w:bCs/>
              </w:rPr>
            </w:r>
            <w:r>
              <w:rPr>
                <w:bCs/>
              </w:rPr>
            </w:r>
          </w:p>
        </w:tc>
        <w:tc>
          <w:tcPr>
            <w:tcBorders/>
            <w:tcW w:w="284" w:type="dxa"/>
            <w:vAlign w:val="center"/>
            <w:textDirection w:val="lrTb"/>
            <w:noWrap w:val="false"/>
          </w:tcPr>
          <w:p>
            <w:pPr>
              <w:pBdr/>
              <w:spacing w:after="40" w:before="40" w:line="276" w:lineRule="auto"/>
              <w:ind/>
              <w:jc w:val="center"/>
              <w:rPr>
                <w:bCs/>
              </w:rPr>
            </w:pPr>
            <w:r>
              <w:rPr>
                <w:bCs/>
              </w:rPr>
              <w:t xml:space="preserve">:</w:t>
            </w:r>
            <w:r>
              <w:rPr>
                <w:bCs/>
              </w:rPr>
            </w:r>
            <w:r>
              <w:rPr>
                <w:bCs/>
              </w:rPr>
            </w:r>
          </w:p>
        </w:tc>
        <w:tc>
          <w:tcPr>
            <w:tcBorders/>
            <w:tcW w:w="6945" w:type="dxa"/>
            <w:vAlign w:val="center"/>
            <w:textDirection w:val="lrTb"/>
            <w:noWrap w:val="false"/>
          </w:tcPr>
          <w:p>
            <w:pPr>
              <w:pBdr/>
              <w:spacing w:after="40" w:before="40" w:line="276" w:lineRule="auto"/>
              <w:ind/>
              <w:jc w:val="both"/>
              <w:rPr>
                <w:b/>
                <w:bCs/>
                <w:color w:val="000000" w:themeColor="text1"/>
              </w:rPr>
            </w:pPr>
            <w:r>
              <w:rPr>
                <w:b/>
                <w:bCs/>
                <w:color w:val="000000" w:themeColor="text1"/>
                <w:lang w:val="vi-VN"/>
              </w:rPr>
              <w:t xml:space="preserve">Giám đốc</w:t>
            </w:r>
            <w:r>
              <w:rPr>
                <w:b/>
                <w:bCs/>
                <w:color w:val="000000" w:themeColor="text1"/>
              </w:rPr>
            </w:r>
            <w:r>
              <w:rPr>
                <w:b/>
                <w:bCs/>
                <w:color w:val="000000" w:themeColor="text1"/>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jc w:val="both"/>
              <w:rPr/>
            </w:pPr>
            <w:r>
              <w:rPr>
                <w:bCs/>
                <w:i w:val="0"/>
                <w:iCs w:val="0"/>
              </w:rPr>
              <w:t xml:space="preserve">Giá trị quyền sử dụng đất tại thửa đất số: 546, tờ bản đồ số 22 có địa chỉ: Xóm Bắc Tiền Tiến (xóm Tiền Tiến cũ), xã Diễn Kim, huyện Diễn Châu, tỉnh Nghệ An </w:t>
            </w:r>
            <w:r>
              <w:rPr>
                <w:bCs/>
                <w:i/>
                <w:iCs/>
              </w:rPr>
              <w:t xml:space="preserve">(Nay là xã Hải Châu, tỉnh Nghệ An)</w:t>
            </w:r>
            <w:r>
              <w:rPr>
                <w:bCs/>
                <w:i w:val="0"/>
                <w:iCs w:val="0"/>
              </w:rPr>
              <w:t xml:space="preserve"> theo Giấy chứng nhận quyền sử dụng đất quyền sở hữu nhà ở và tài </w:t>
            </w:r>
            <w:r>
              <w:rPr>
                <w:bCs/>
                <w:i w:val="0"/>
                <w:iCs w:val="0"/>
              </w:rPr>
              <w:t xml:space="preserve">sản khác gắn liền với đất số: DL 881690, số vào sổ cấp GCN: CS 03755 do Sở Tài nguyên và Môi trường tỉnh Nghệ An cấp ngày 06/5/2023; Chủ sử dụng đất là Ông Nguyễn Quang Trung.</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4/2026</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Xã Hải Châu, tỉnh Nghệ An</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7"/>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19.020722, 105.616333</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4/2026</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7"/>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7"/>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7"/>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7"/>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7"/>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bCs/>
          <w:i w:val="0"/>
          <w:iCs w:val="0"/>
        </w:rPr>
        <w:t xml:space="preserve">Giấy chứng nhận quyền sử dụng đất quyền sở hữu nhà ở và tài </w:t>
      </w:r>
      <w:r>
        <w:rPr>
          <w:bCs/>
          <w:i w:val="0"/>
          <w:iCs w:val="0"/>
        </w:rPr>
        <w:t xml:space="preserve">sản khác gắn liền với đất số: DL 881690, số vào sổ cấp GCN: CS 03755 do Sở Tài nguyên và Môi trường tỉnh Nghệ An cấp ngày 06/5/2023; Chủ sử dụng đất là Ông Nguyễn Quang Trung</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7"/>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275/2026/0655/VFI-HĐTĐ.21.A</w:t>
      </w:r>
      <w:r>
        <w:rPr>
          <w:spacing w:val="-4"/>
          <w:lang w:val="vi-VN"/>
        </w:rPr>
        <w:t xml:space="preserve"> ký ngày </w:t>
      </w:r>
      <w:r>
        <w:rPr>
          <w:color w:val="000000" w:themeColor="text1"/>
          <w:spacing w:val="-4"/>
        </w:rPr>
        <w:t xml:space="preserve">17 tháng 4 năm 2026</w:t>
      </w:r>
      <w:r>
        <w:rPr>
          <w:spacing w:val="-4"/>
          <w:lang w:val="vi-VN"/>
        </w:rPr>
        <w:t xml:space="preserve"> </w:t>
      </w:r>
      <w:r>
        <w:rPr>
          <w:spacing w:val="-4"/>
          <w:lang w:val="vi-VN"/>
        </w:rPr>
        <w:t xml:space="preserve">giữa </w:t>
      </w:r>
      <w:r>
        <w:rPr>
          <w:color w:val="000000" w:themeColor="text1"/>
          <w:spacing w:val="-4"/>
        </w:rPr>
        <w:t xml:space="preserve">Công ty Cổ phần Xuất nhập khẩu và Xây dựng Việt Âu</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b/>
          <w:lang w:val="pt-BR"/>
        </w:rPr>
        <w:t xml:space="preserve">;</w:t>
      </w:r>
      <w:r>
        <w:rPr>
          <w:b/>
          <w:lang w:val="pt-BR"/>
        </w:rPr>
      </w:r>
      <w:r>
        <w:rPr>
          <w:b/>
          <w:lang w:val="pt-BR"/>
        </w:rPr>
      </w:r>
    </w:p>
    <w:p>
      <w:pPr>
        <w:pStyle w:val="1027"/>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lang w:val="pt-BR"/>
        </w:rPr>
        <w:tab/>
      </w:r>
      <w:r>
        <w:rPr>
          <w:rFonts w:ascii="Times New Roman" w:hAnsi="Times New Roman" w:eastAsia="Times New Roman" w:cs="Times New Roman"/>
          <w:b/>
          <w:i/>
          <w:color w:val="000000"/>
          <w:spacing w:val="-4"/>
          <w:sz w:val="24"/>
        </w:rPr>
        <w:t xml:space="preserve">Tổng quan bất động sản tỉnh Nghệ An</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color w:val="000000"/>
          <w:spacing w:val="-4"/>
          <w:sz w:val="24"/>
        </w:rPr>
        <w:tab/>
        <w:t xml:space="preserve">Làm rõ tiềm năng và cơ hội chuyển mình của thị trường bất động sản Nghệ An, trình bày tham luận tại Hội thảo, bà Phạm Thị Miền, Phó Viện trưởng VARS IRE cho biết, 3 năm trở lại đây, nguồn cung BĐS tại Nghệ An có xu hướng cải thiện. Từ mức 1.100 sản phẩm n</w:t>
      </w:r>
      <w:r>
        <w:rPr>
          <w:rFonts w:ascii="Times New Roman" w:hAnsi="Times New Roman" w:eastAsia="Times New Roman" w:cs="Times New Roman"/>
          <w:color w:val="000000"/>
          <w:spacing w:val="-4"/>
          <w:sz w:val="24"/>
        </w:rPr>
        <w:t xml:space="preserve">ăm 2023, nguồn cung mới đã tăng lên 2.400 sản phẩm trong năm 2024. Sơ bộ 11 tháng năm 2025, thị trường BĐS Nghệ An ghi nhận khoảng 1.900 sản phẩm mở bán mới, cùng một số dự án quy mô ra mắt, chuẩn bị mở bán.</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color w:val="000000"/>
          <w:spacing w:val="-4"/>
          <w:sz w:val="24"/>
        </w:rPr>
        <w:tab/>
        <w:t xml:space="preserve">Dù đã được cải thiện, tuy nhiên, nguồn cung BĐS tại Nghệ An vẫn còn rất hạn chế. Toàn tỉnh hiện chỉ có khoảng 97 dự án nhà ở cao tầng với tổng quy mô hơn 20.000 căn, cùng khoảng 20 dự án khu đô thị quy mô nhỏ. Trong khi đó, theo Kế hoạch phát triển nhà ở </w:t>
      </w:r>
      <w:r>
        <w:rPr>
          <w:rFonts w:ascii="Times New Roman" w:hAnsi="Times New Roman" w:eastAsia="Times New Roman" w:cs="Times New Roman"/>
          <w:color w:val="000000"/>
          <w:spacing w:val="-4"/>
          <w:sz w:val="24"/>
        </w:rPr>
        <w:t xml:space="preserve">của tỉnh, giai đoạn 2025-2030, Nghệ An cần phát triển thêm tới 240 nghìn đơn vị nhà ở. Trong số đó, có khoảng 135 nghìn đơn vị nhà ở từ các dự án đang triển khai và cần thu hút đầu tư mới khoảng 105.000 đơn vị nhà ở.</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color w:val="000000"/>
          <w:spacing w:val="-4"/>
          <w:sz w:val="24"/>
        </w:rPr>
        <w:tab/>
        <w:t xml:space="preserve">Đáng chú ý, khác với các thị trường khác - thiếu sản phẩm nhà ở giá phù hợp, Nghệ An lại thiếu hụt các sản phẩm BĐS cao cấp, đặc biệt tại khu vực thủ phủ Nghệ An.</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color w:val="000000"/>
          <w:spacing w:val="-4"/>
          <w:sz w:val="24"/>
        </w:rPr>
        <w:tab/>
        <w:t xml:space="preserve">Nguồn cung khan hiếm nhưng nhu cầu về BĐS Nghệ An, bao gồm cả nhu cầu ở thực và nhu cầu đầu tư rất lớn và đang có xu hướng gia tăng mạnh mẽ. Sự gia tăng nhu cầu này được dẫn dắt bởi nhiều động lực quan trọng: quy mô dân số lớn, tốc độ đô thị hóa được đẩy </w:t>
      </w:r>
      <w:r>
        <w:rPr>
          <w:rFonts w:ascii="Times New Roman" w:hAnsi="Times New Roman" w:eastAsia="Times New Roman" w:cs="Times New Roman"/>
          <w:color w:val="000000"/>
          <w:spacing w:val="-4"/>
          <w:sz w:val="24"/>
        </w:rPr>
        <w:t xml:space="preserve">nhanh, nền kinh tế tăng trưởng ấn tượng, tầng lớp trung – thượng lưu mở rộng, dòng vốn FDI liên tục đổ vào các khu công nghiệp, lực lượng chuyên gia đến làm việc ngày càng nhiều, cùng nguồn kiều hối ổn định 650–700 triệu USD mỗi năm. Đặc biệt, dòng tiền đầ</w:t>
      </w:r>
      <w:r>
        <w:rPr>
          <w:rFonts w:ascii="Times New Roman" w:hAnsi="Times New Roman" w:eastAsia="Times New Roman" w:cs="Times New Roman"/>
          <w:color w:val="000000"/>
          <w:spacing w:val="-4"/>
          <w:sz w:val="24"/>
        </w:rPr>
        <w:t xml:space="preserve">u tư từ cộng đồng người Nghệ An xa quê đang quay trở lại mạnh mẽ khi nhận thấy chỉ báo mô hình phát triển quen thuộc của các thị trường từng bứt phá mạnh: hạ tầng đi trước, cùng quy hoạch.</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color w:val="000000"/>
          <w:spacing w:val="-4"/>
          <w:sz w:val="24"/>
        </w:rPr>
        <w:tab/>
        <w:t xml:space="preserve">Ngoài ra, nhu cầu đầu tư còn được thúc đẩy mạnh mẽ bởi sự “đổ bộ” của các ông lớn BĐS. Sự tham gia của các tập đoàn quy mô lớn, giàu kinh nghiệm và có năng lực tài chính vững mạnh không chỉ nâng tầm thị trường mà còn tạo cú hích niềm tin cho thị trường, t</w:t>
      </w:r>
      <w:r>
        <w:rPr>
          <w:rFonts w:ascii="Times New Roman" w:hAnsi="Times New Roman" w:eastAsia="Times New Roman" w:cs="Times New Roman"/>
          <w:color w:val="000000"/>
          <w:spacing w:val="-4"/>
          <w:sz w:val="24"/>
        </w:rPr>
        <w:t xml:space="preserve">ừ đó kích thích dòng vốn đầu tư đổ vào Nghệ An.</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color w:val="000000"/>
          <w:spacing w:val="-4"/>
          <w:sz w:val="24"/>
        </w:rPr>
        <w:tab/>
        <w:t xml:space="preserve">Nguồn cung thị trường có cải thiện nhưng vẫn thấp hơn nhiều so với nhu cầu, giúp các dự án mở bán duy trì tỷ lệ hấp thụ cao. Năm 2024, tỷ lệ hấp thụ đạt 82%, chủ yếu đến từ một dự án xanh, chất lượng cao hiếm hoi tại trung tâm. Trong 11 tháng 2025 (sơ bộ)</w:t>
      </w:r>
      <w:r>
        <w:rPr>
          <w:rFonts w:ascii="Times New Roman" w:hAnsi="Times New Roman" w:eastAsia="Times New Roman" w:cs="Times New Roman"/>
          <w:color w:val="000000"/>
          <w:spacing w:val="-4"/>
          <w:sz w:val="24"/>
        </w:rPr>
        <w:t xml:space="preserve">, tỷ lệ hấp thụ đạt 74%. Đáng chú ý, lượng giao dịch này được đóng góp chủ yếu bởi nhu cầu đầu tư dài hạn và khách hàng có nhu cầu ở thực.</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color w:val="000000"/>
          <w:spacing w:val="-4"/>
          <w:sz w:val="24"/>
        </w:rPr>
        <w:tab/>
        <w:t xml:space="preserve">Giao dịch trên thị trường thứ cấp cũng ghi nhận tăng trưởng rõ rệt, với mức tăng khoảng 20% so với 2024, tập trung ở khu vực trung tâm thành phố, xung quanh các khu công nghiệp và các dự án hạ tầng, đầu tư.</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color w:val="000000"/>
          <w:spacing w:val="-4"/>
          <w:sz w:val="24"/>
        </w:rPr>
        <w:tab/>
        <w:t xml:space="preserve">Giá BĐS tiếp tục tăng ổn định. Các dự án mở bán tăng giá theo từng đợt ra hàng nhưng vẫn hấp thụ tốt nhờ mặt bằng giá vẫn chỉ bằng khoảng 2/3 các dự án cùng phân khúc có vị trí tương đương tại địa phương khác. Trên thị trường thứ cấp, giá duy trì đà tăng </w:t>
      </w:r>
      <w:r>
        <w:rPr>
          <w:rFonts w:ascii="Times New Roman" w:hAnsi="Times New Roman" w:eastAsia="Times New Roman" w:cs="Times New Roman"/>
          <w:color w:val="000000"/>
          <w:spacing w:val="-4"/>
          <w:sz w:val="24"/>
        </w:rPr>
        <w:t xml:space="preserve">trưởng ổn định theo năm và có xu hướng tăng nhanh hơn trong một năm trở lại đây, đặc biệt tại các khu đô thị bài bản, phân khúc cao cấp, vị trí trung tâm và khu vực dọc các trục hạ tầng trọng điểm.</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color w:val="000000"/>
          <w:spacing w:val="-4"/>
          <w:sz w:val="24"/>
        </w:rPr>
        <w:tab/>
        <w:t xml:space="preserve">“Thủ phủ Nghệ An có nhiều nét tương đồng với Đà Nẵng và Khánh Hòa 10 năm trước: giá BĐS còn thấp, dư địa tăng trưởng lớn. Thị trường hiện tại đang đứng trước cơ hội bước vào giai đoạn “vàng son”, mở ra cơ hội gặt hái lợi nhuận cho các nhà đầu tư tiên phon</w:t>
      </w:r>
      <w:r>
        <w:rPr>
          <w:rFonts w:ascii="Times New Roman" w:hAnsi="Times New Roman" w:eastAsia="Times New Roman" w:cs="Times New Roman"/>
          <w:color w:val="000000"/>
          <w:spacing w:val="-4"/>
          <w:sz w:val="24"/>
        </w:rPr>
        <w:t xml:space="preserve">g, đặc biệt tại khu vực trung tâm và gần các dự án hạ tầng trọng điểm”, bà Miền nhận định.</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b/>
          <w:i/>
          <w:color w:val="000000"/>
          <w:spacing w:val="-4"/>
          <w:sz w:val="24"/>
        </w:rPr>
        <w:tab/>
        <w:t xml:space="preserve">Xu hướng phát triển và giá trị sống bền vững</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color w:val="000000"/>
          <w:spacing w:val="-4"/>
          <w:sz w:val="24"/>
        </w:rPr>
        <w:tab/>
        <w:t xml:space="preserve">Trong khuôn khổ Hội thảo, VARS tổ chức tọa đàm “Đô thị xanh giữa trung tâm thành phố: Xu hướng phát triển và giá trị sống bền vững”. Tại Tọa đàm, các chuyên gia đều thống nhất rằng xu hướng “xanh hóa” đang trở thành lựa chọn tất yếu và là chuẩn sống mới c</w:t>
      </w:r>
      <w:r>
        <w:rPr>
          <w:rFonts w:ascii="Times New Roman" w:hAnsi="Times New Roman" w:eastAsia="Times New Roman" w:cs="Times New Roman"/>
          <w:color w:val="000000"/>
          <w:spacing w:val="-4"/>
          <w:sz w:val="24"/>
        </w:rPr>
        <w:t xml:space="preserve">ủa người dân đô thị.</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color w:val="000000"/>
          <w:spacing w:val="-4"/>
          <w:sz w:val="24"/>
        </w:rPr>
        <w:tab/>
        <w:t xml:space="preserve">‘Sống xanh’ không chỉ dừng lại ở việc sở hữu không gian nhiều cây xanh, mà còn là sống trong một công trình xanh - nơi cảnh quan, kiến trúc, vật liệu xây dựng và hệ thống vận hành đều được tối ưu để giảm thiểu tác động tiêu cực đến môi trường, đồng thời n</w:t>
      </w:r>
      <w:r>
        <w:rPr>
          <w:rFonts w:ascii="Times New Roman" w:hAnsi="Times New Roman" w:eastAsia="Times New Roman" w:cs="Times New Roman"/>
          <w:color w:val="000000"/>
          <w:spacing w:val="-4"/>
          <w:sz w:val="24"/>
        </w:rPr>
        <w:t xml:space="preserve">âng cao chất lượng sống một cách toàn diện cho cư dân”, TS. Trần Xuân Lượng, Phó Viện trưởng VARS IRE, Giảng viên Khoa BĐS nhấn mạnh.</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color w:val="000000"/>
          <w:spacing w:val="-4"/>
          <w:sz w:val="24"/>
        </w:rPr>
        <w:tab/>
        <w:t xml:space="preserve">Từ góc độ quy hoạch và kinh tế đô thị, TS. Nguyễn Văn Đính, Phó Chủ tịch Hiệp hội Bất động sản Việt Nam, Chủ tịch VARS chia sẻ, mô hình sống xanh tại vị trí trung tâm được đánh giá đặc biệt tiềm năng. Bởi lẽ, vị trí trung tâm luôn bảo đảm khả năng tăng gi</w:t>
      </w:r>
      <w:r>
        <w:rPr>
          <w:rFonts w:ascii="Times New Roman" w:hAnsi="Times New Roman" w:eastAsia="Times New Roman" w:cs="Times New Roman"/>
          <w:color w:val="000000"/>
          <w:spacing w:val="-4"/>
          <w:sz w:val="24"/>
        </w:rPr>
        <w:t xml:space="preserve">á dài hạn, trong khi các dự án xanh lại có mức hấp thụ tốt, tỷ lệ khai thác cao và đem đến tỷ suất sinh lời vượt trội so với các dự án thông thường. Thực tế thị trường cho thấy các sản phẩm nhà ở đạt chứng chỉ xanh thường có mức tăng giá ổn định và khả năn</w:t>
      </w:r>
      <w:r>
        <w:rPr>
          <w:rFonts w:ascii="Times New Roman" w:hAnsi="Times New Roman" w:eastAsia="Times New Roman" w:cs="Times New Roman"/>
          <w:color w:val="000000"/>
          <w:spacing w:val="-4"/>
          <w:sz w:val="24"/>
        </w:rPr>
        <w:t xml:space="preserve">g giữ giá tốt ngay cả trong bối cảnh thị trường biến động. Những dự án công trình xanh chú trọng sức khỏe cư dân, tiện ích nhân văn và môi trường xung quanh đang trở thành tâm điểm quan tâm, với lượng giao dịch và thanh khoản vượt trội.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color w:val="000000"/>
          <w:spacing w:val="-4"/>
          <w:sz w:val="24"/>
        </w:rPr>
        <w:tab/>
        <w:t xml:space="preserve">Trong bối cảnh quỹ đất nội đô ngày càng hạn chế, đặc biệt tại các đô thị lớn, các công trình xanh chủ yếu phát triển ở khu vực vệ tinh. Đơn cử như tại Hà Nội, tình trạng ô nhiễm khiến những người muốn sống xanh phải dịch chuyển sang vùng ven. Vì vậy, công</w:t>
      </w:r>
      <w:r>
        <w:rPr>
          <w:rFonts w:ascii="Times New Roman" w:hAnsi="Times New Roman" w:eastAsia="Times New Roman" w:cs="Times New Roman"/>
          <w:color w:val="000000"/>
          <w:spacing w:val="-4"/>
          <w:sz w:val="24"/>
        </w:rPr>
        <w:t xml:space="preserve"> trình xanh tại trung tâm trở thành “hàng độc”, mang giá trị khác biệt và tính khan hiếm cao.</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color w:val="000000"/>
          <w:spacing w:val="-4"/>
          <w:sz w:val="24"/>
        </w:rPr>
        <w:tab/>
        <w:t xml:space="preserve">Đồng quan điểm, TS. Nguyễn Minh Phong - Phó Chủ tịch Hiệp hội Thông tin tư vấn kinh tế thương mại Việt Nam chia sẻ thêm, khách hàng sở hữu BĐS xanh tại trung tâm vừa có một nơi ở thuận tiện, vừa tận hưởng một không gian nghỉ dưỡng mà không cần đầu tư thêm</w:t>
      </w:r>
      <w:r>
        <w:rPr>
          <w:rFonts w:ascii="Times New Roman" w:hAnsi="Times New Roman" w:eastAsia="Times New Roman" w:cs="Times New Roman"/>
          <w:color w:val="000000"/>
          <w:spacing w:val="-4"/>
          <w:sz w:val="24"/>
        </w:rPr>
        <w:t xml:space="preserve"> ‘second home’. Song song đó, những năm gần đây, thứ tự ưu tiên khi mua nhà của người dân đã có sự thay đổi rõ rệt. Nhóm khách hàng trẻ và phân khúc trung, thượng lưu ngày càng chú trọng đến chất lượng không gian sống, ưu tiên những dự án đề cao yếu tố sức</w:t>
      </w:r>
      <w:r>
        <w:rPr>
          <w:rFonts w:ascii="Times New Roman" w:hAnsi="Times New Roman" w:eastAsia="Times New Roman" w:cs="Times New Roman"/>
          <w:color w:val="000000"/>
          <w:spacing w:val="-4"/>
          <w:sz w:val="24"/>
        </w:rPr>
        <w:t xml:space="preserve"> khỏe, hạnh phúc và bền vững. Điều này tiếp tục thúc đẩy nhu cầu đối với các dự án xanh, thân thiện môi trường, đồng thời khẳng định xu hướng phát triển tất yếu của thị trường BĐS trong giai đoạn tới.</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color w:val="000000"/>
          <w:spacing w:val="-4"/>
          <w:sz w:val="24"/>
        </w:rPr>
        <w:tab/>
        <w:t xml:space="preserve">Theo chia sẻ từ khách mời, một trong những đơn vị phát triển BĐS uy tín hàng đầu Việt Nam, tiên phong triển khai các dự án quy mô tại Nghệ An và góp phần thay đổi diện mạo đô thị xứ Nghệ, nhu cầu về những khu đô thị xanh, hiện đại ngay tại trung tâm đang </w:t>
      </w:r>
      <w:r>
        <w:rPr>
          <w:rFonts w:ascii="Times New Roman" w:hAnsi="Times New Roman" w:eastAsia="Times New Roman" w:cs="Times New Roman"/>
          <w:color w:val="000000"/>
          <w:spacing w:val="-4"/>
          <w:sz w:val="24"/>
        </w:rPr>
        <w:t xml:space="preserve">gia tăng mạnh mẽ. Doanh nghiệp hiện đang triển khai nhiều dự án đô thị xanh tại Nghệ An, hướng tới kiến tạo môi trường sống chất lượng cao, đáp ứng đúng kỳ vọng của nhóm khách hàng trẻ và phân khúc trung - thượng lưu.</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color w:val="000000"/>
          <w:spacing w:val="-4"/>
          <w:sz w:val="24"/>
        </w:rPr>
        <w:tab/>
        <w:t xml:space="preserve">“Khu đô thị xanh đáp ứng tiêu chí công trình xanh (sử dụng vật liệu thân thiện môi trường, tiết kiệm năng lượng; ứng dụng điện mặt trời cho hệ thống chiếu sáng; tối ưu chất lượng sống nhờ thông gió tự nhiên, công nghệ xử lý nước thải đạt chuẩn A và hệ thố</w:t>
      </w:r>
      <w:r>
        <w:rPr>
          <w:rFonts w:ascii="Times New Roman" w:hAnsi="Times New Roman" w:eastAsia="Times New Roman" w:cs="Times New Roman"/>
          <w:color w:val="000000"/>
          <w:spacing w:val="-4"/>
          <w:sz w:val="24"/>
        </w:rPr>
        <w:t xml:space="preserve">ng thu gom rác thông minh). Cảnh quan xanh (cây xanh, thảm thực vật đa tầng, mặt nước). Vận hành xanh (nước sau xử lý có thể tưới cây, hệ thống thu gom rác thải thông minh vận hành bằng năng lượng mặt trời)", đại diện doanh nghiệp chia sẻ.</w:t>
      </w:r>
      <w:r/>
    </w:p>
    <w:p>
      <w:pPr>
        <w:pBdr>
          <w:top w:val="none" w:color="000000" w:sz="4" w:space="0"/>
          <w:left w:val="none" w:color="000000" w:sz="4" w:space="0"/>
          <w:bottom w:val="none" w:color="000000" w:sz="4" w:space="0"/>
          <w:right w:val="none" w:color="000000" w:sz="4" w:space="0"/>
        </w:pBdr>
        <w:tabs>
          <w:tab w:val="left" w:leader="none" w:pos="425"/>
        </w:tabs>
        <w:spacing w:after="120" w:before="120" w:line="276" w:lineRule="auto"/>
        <w:ind w:right="0" w:firstLine="0" w:left="0"/>
        <w:jc w:val="both"/>
        <w:rPr/>
      </w:pPr>
      <w:r>
        <w:rPr>
          <w:rFonts w:ascii="Times New Roman" w:hAnsi="Times New Roman" w:eastAsia="Times New Roman" w:cs="Times New Roman"/>
          <w:color w:val="000000"/>
          <w:spacing w:val="-4"/>
          <w:sz w:val="24"/>
        </w:rPr>
        <w:tab/>
        <w:t xml:space="preserve">Tổng kết tại Hội thảo, TS. Nguyễn Văn Đính cho biết, những dự án tiên phong phát triển mô hình đô thị xanh với cảnh quan xanh, công trình xanh, vận hành xanh ngay tại trung tâm - xu hướng tất yếu khi chất lượng sống, sự hài hòa với thiên nhiên và môi trườ</w:t>
      </w:r>
      <w:r>
        <w:rPr>
          <w:rFonts w:ascii="Times New Roman" w:hAnsi="Times New Roman" w:eastAsia="Times New Roman" w:cs="Times New Roman"/>
          <w:color w:val="000000"/>
          <w:spacing w:val="-4"/>
          <w:sz w:val="24"/>
        </w:rPr>
        <w:t xml:space="preserve">ng trong lành trở thành ưu tiên hàng đầu của cư dân hiện đại, như Eurowindow Sport Garden, Eurowindow Central Avenue không chỉ góp phần định hình, nâng cấp diện mạo đô thị và hạ tầng toàn vùng, mà còn hứa hẹn sẽ trở thành điểm đến hấp dẫn dòng vốn, thu hút</w:t>
      </w:r>
      <w:r>
        <w:rPr>
          <w:rFonts w:ascii="Times New Roman" w:hAnsi="Times New Roman" w:eastAsia="Times New Roman" w:cs="Times New Roman"/>
          <w:color w:val="000000"/>
          <w:spacing w:val="-4"/>
          <w:sz w:val="24"/>
        </w:rPr>
        <w:t xml:space="preserve"> mạnh mẽ cả nhóm khách hàng trung lưu, thượng lưu địa phương, lẫn nhà đầu tư trên cả nước, đặc biệt là nhóm khách hàng trẻ. Ông cũng nhấn mạnh "những sản phẩm tại khu đô thị này có giá trị gia tăng mạnh mẽ hơn cả so với những khu đô thị thông thường cũng p</w:t>
      </w:r>
      <w:r>
        <w:rPr>
          <w:rFonts w:ascii="Times New Roman" w:hAnsi="Times New Roman" w:eastAsia="Times New Roman" w:cs="Times New Roman"/>
          <w:color w:val="000000"/>
          <w:spacing w:val="-4"/>
          <w:sz w:val="24"/>
        </w:rPr>
        <w:t xml:space="preserve">hân khúc”.</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pPr>
      <w:r>
        <w:rPr>
          <w:rFonts w:ascii="Times New Roman" w:hAnsi="Times New Roman" w:eastAsia="Times New Roman" w:cs="Times New Roman"/>
          <w:i/>
          <w:color w:val="000000"/>
          <w:sz w:val="24"/>
        </w:rPr>
        <w:t xml:space="preserve">(Nguồn tham khảo: https://diendandoanhnghiep.vn/bat-dong-san-nghe-an-buoc-vao-giai-doan-vang-son-10167044.html)</w:t>
      </w:r>
      <w:r>
        <w:rPr>
          <w:rFonts w:ascii="Times New Roman" w:hAnsi="Times New Roman" w:eastAsia="Times New Roman" w:cs="Times New Roman"/>
          <w:sz w:val="24"/>
        </w:rPr>
      </w:r>
      <w:r/>
    </w:p>
    <w:p>
      <w:pPr>
        <w:pStyle w:val="102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tại thửa đất số: 546, tờ bản đồ số 22 có địa chỉ: Xóm Bắc Tiền Tiến (xóm Tiền Tiến cũ), xã Diễn Kim, huyện Diễn Châu, tỉnh Nghệ An (</w:t>
            </w:r>
            <w:r>
              <w:rPr>
                <w:rFonts w:ascii="Times New Roman" w:hAnsi="Times New Roman" w:eastAsia="Times New Roman" w:cs="Times New Roman"/>
                <w:b/>
                <w:i/>
                <w:iCs/>
                <w:color w:val="000000"/>
                <w:sz w:val="24"/>
              </w:rPr>
              <w:t xml:space="preserve">Nay là xã Hải Châu, tỉnh Nghệ An</w:t>
            </w:r>
            <w:r>
              <w:rPr>
                <w:rFonts w:ascii="Times New Roman" w:hAnsi="Times New Roman" w:eastAsia="Times New Roman" w:cs="Times New Roman"/>
                <w:b/>
                <w:color w:val="000000"/>
                <w:sz w:val="24"/>
              </w:rPr>
              <w:t xml:space="preserve">) theo Giấy chứng nhận quyền sử dụng đất quyền sở hữu nhà ở và tài</w:t>
            </w:r>
            <w:r>
              <w:rPr>
                <w:rFonts w:ascii="Times New Roman" w:hAnsi="Times New Roman" w:eastAsia="Times New Roman" w:cs="Times New Roman"/>
                <w:b/>
                <w:color w:val="000000"/>
                <w:sz w:val="24"/>
              </w:rPr>
              <w:t xml:space="preserve"> sản khác gắn liền với đất số: DL 881690, số vào sổ cấp GCN: CS 03755 do Sở Tài nguyên và Môi trường tỉnh Nghệ An cấp ngày 06/5/2023; Chủ sử dụng đất là Ông Nguyễn Quang Trung.</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546</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 bản đồ số:</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22</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Xóm Bắc Tiền Tiến (xóm Tiền Tiến cũ), xã Diễn Kim, huyện Diễn Châu, tỉnh Nghệ An </w:t>
            </w:r>
            <w:r>
              <w:rPr>
                <w:rFonts w:ascii="Times New Roman" w:hAnsi="Times New Roman" w:eastAsia="Times New Roman" w:cs="Times New Roman"/>
                <w:i/>
                <w:color w:val="000000"/>
                <w:sz w:val="24"/>
              </w:rPr>
              <w:t xml:space="preserve">(Nay là xã Hải Châu, tỉnh Nghệ An)</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297,6</w:t>
            </w:r>
            <w:r/>
          </w:p>
        </w:tc>
        <w:tc>
          <w:tcPr>
            <w:tcBorders/>
            <w:tcW w:w="2126" w:type="dxa"/>
            <w:vAlign w:val="center"/>
            <w:textDirection w:val="lrTb"/>
            <w:noWrap w:val="false"/>
          </w:tcPr>
          <w:p>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Sử dụng riêng</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ở tại nông thôn</w:t>
            </w:r>
            <w:r/>
          </w:p>
        </w:tc>
        <w:tc>
          <w:tcPr>
            <w:tcBorders/>
            <w:tcW w:w="2126" w:type="dxa"/>
            <w:vAlign w:val="center"/>
            <w:textDirection w:val="lrTb"/>
            <w:noWrap w:val="false"/>
          </w:tcPr>
          <w:p>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Lâu dài</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Nguồn gốc sử dụng đất:</w:t>
            </w: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Được tặng cho đất được Công nhận QSD đất như giao đất có thu tiền sử dụng đất</w:t>
            </w:r>
            <w:r/>
          </w:p>
        </w:tc>
      </w:tr>
      <w:tr>
        <w:trPr>
          <w:trHeight w:val="20"/>
        </w:trPr>
        <w:tc>
          <w:tcPr>
            <w:tcBorders/>
            <w:tcW w:w="734" w:type="dxa"/>
            <w:vAlign w:val="center"/>
            <w:vMerge w:val="restart"/>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Ghi chú:</w:t>
            </w:r>
            <w:r/>
          </w:p>
        </w:tc>
        <w:tc>
          <w:tcPr>
            <w:gridSpan w:val="3"/>
            <w:tcBorders/>
            <w:tcW w:w="6259" w:type="dxa"/>
            <w:vAlign w:val="center"/>
            <w:vMerge w:val="restart"/>
            <w:textDirection w:val="lrTb"/>
            <w:noWrap w:val="false"/>
          </w:tcPr>
          <w:p>
            <w:pPr>
              <w:pBdr/>
              <w:spacing w:after="0" w:before="0" w:line="240" w:lineRule="auto"/>
              <w:ind/>
              <w:jc w:val="both"/>
              <w:rPr>
                <w:bCs/>
                <w:i/>
              </w:rPr>
            </w:pPr>
            <w:r>
              <w:rPr>
                <w:rFonts w:ascii="Times New Roman" w:hAnsi="Times New Roman" w:eastAsia="Times New Roman" w:cs="Times New Roman"/>
                <w:i/>
                <w:iCs/>
                <w:color w:val="000000"/>
                <w:sz w:val="24"/>
              </w:rPr>
              <w:t xml:space="preserve">Được tặng cho từ Giấy chứng nhận QSD đất số DI 447650 cấp ngày 30/3/2023, theo Hợp đồng tặng cho QSD đất lập ngày 17/4/2023.</w:t>
            </w:r>
            <w:r>
              <w:rPr>
                <w:i/>
                <w:iCs/>
              </w:rPr>
            </w:r>
            <w:r>
              <w:rPr>
                <w:bCs/>
                <w:i/>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Thông tin quy hoạch:</w:t>
            </w:r>
            <w:r/>
          </w:p>
        </w:tc>
        <w:tc>
          <w:tcPr>
            <w:gridSpan w:val="3"/>
            <w:tcBorders/>
            <w:tcW w:w="6259"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Tại thời điểm thẩm định giá, căn cứ theo thông tin quy hoạch tại Guland, thửa đất nằm trong quy hoạch đất ở nông thôn.</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spacing w:after="0" w:before="0" w:line="240" w:lineRule="auto"/>
              <w:ind/>
              <w:jc w:val="both"/>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3883061" cy="2167232"/>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8954" name=""/>
                              <pic:cNvPicPr>
                                <a:picLocks noChangeAspect="1"/>
                              </pic:cNvPicPr>
                              <pic:nvPr/>
                            </pic:nvPicPr>
                            <pic:blipFill rotWithShape="1">
                              <a:blip r:embed="rId17"/>
                              <a:stretch/>
                            </pic:blipFill>
                            <pic:spPr bwMode="auto">
                              <a:xfrm flipH="0" flipV="0">
                                <a:off x="0" y="0"/>
                                <a:ext cx="3883061" cy="21672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05.75pt;height:170.65pt;mso-wrap-distance-left:0.00pt;mso-wrap-distance-top:0.00pt;mso-wrap-distance-right:0.00pt;mso-wrap-distance-bottom:0.00pt;z-index:1;" stroked="false">
                      <v:imagedata r:id="rId17" o:title=""/>
                      <o:lock v:ext="edit" rotation="t"/>
                    </v:shape>
                  </w:pict>
                </mc:Fallback>
              </mc:AlternateConten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Đường bê tông</w:t>
            </w:r>
            <w:r/>
          </w:p>
        </w:tc>
        <w:tc>
          <w:tcPr>
            <w:tcBorders/>
            <w:tcW w:w="2126" w:type="dxa"/>
            <w:vAlign w:val="center"/>
            <w:textDirection w:val="lrTb"/>
            <w:noWrap w:val="false"/>
          </w:tcPr>
          <w:p>
            <w:pPr>
              <w:pBdr/>
              <w:spacing/>
              <w:ind/>
              <w:rPr>
                <w:color w:val="000000"/>
              </w:rPr>
            </w:pPr>
            <w:r>
              <w:rPr>
                <w:color w:val="000000"/>
              </w:rPr>
              <w:t xml:space="preserve">Số mặt tiền:</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01 mặt tiền</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7m</w:t>
            </w:r>
            <w:r/>
          </w:p>
        </w:tc>
        <w:tc>
          <w:tcPr>
            <w:tcBorders/>
            <w:tcW w:w="2126" w:type="dxa"/>
            <w:vAlign w:val="center"/>
            <w:textDirection w:val="lrTb"/>
            <w:noWrap w:val="false"/>
          </w:tcPr>
          <w:p>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7m</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nằm tại xóm Bắc Tiền Tiến, xã Hải Châu, tỉnh Nghệ An; cách đường liên xã khoảng 400m.</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 hướng tiếp giáp:</w:t>
            </w:r>
            <w:r>
              <w:rPr>
                <w:color w:val="000000"/>
              </w:rPr>
            </w:r>
            <w:r>
              <w:rPr>
                <w:color w:val="000000"/>
              </w:rPr>
            </w:r>
          </w:p>
        </w:tc>
        <w:tc>
          <w:tcPr>
            <w:gridSpan w:val="3"/>
            <w:tcBorders/>
            <w:tcW w:w="6259"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 Hướng Đông Nam: Tiếp giáp đường bê tông khoảng 7m;</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spacing w:after="0" w:before="0" w:line="240" w:lineRule="auto"/>
              <w:ind/>
              <w:jc w:val="both"/>
              <w:rPr/>
            </w:pPr>
            <w:r>
              <w:rPr>
                <w:rFonts w:ascii="Times New Roman" w:hAnsi="Times New Roman" w:eastAsia="Times New Roman" w:cs="Times New Roman"/>
                <w:color w:val="000000"/>
                <w:sz w:val="24"/>
              </w:rPr>
              <w:t xml:space="preserve">+ Các hướng khác: Tiếp giáp các thửa đất khác.</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w:t>
            </w:r>
            <w:r>
              <w:rPr>
                <w:color w:val="000000"/>
              </w:rPr>
              <w:t xml:space="preserve">19.020722</w:t>
            </w:r>
            <w:r>
              <w:rPr>
                <w:color w:val="000000"/>
              </w:rPr>
              <w:t xml:space="preserve">, </w:t>
            </w:r>
            <w:r>
              <w:rPr>
                <w:color w:val="000000"/>
              </w:rPr>
              <w:t xml:space="preserve">105.616333</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r>
            <w:r>
              <mc:AlternateContent>
                <mc:Choice Requires="wpg">
                  <w:drawing>
                    <wp:inline xmlns:wp="http://schemas.openxmlformats.org/drawingml/2006/wordprocessingDrawing" distT="0" distB="0" distL="0" distR="0">
                      <wp:extent cx="5409270" cy="3059313"/>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50967" name=""/>
                              <pic:cNvPicPr>
                                <a:picLocks noChangeAspect="1"/>
                              </pic:cNvPicPr>
                              <pic:nvPr/>
                            </pic:nvPicPr>
                            <pic:blipFill rotWithShape="1">
                              <a:blip r:embed="rId18"/>
                              <a:stretch/>
                            </pic:blipFill>
                            <pic:spPr bwMode="auto">
                              <a:xfrm flipH="0" flipV="0">
                                <a:off x="0" y="0"/>
                                <a:ext cx="5409270" cy="30593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25.93pt;height:240.89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297,6</w:t>
            </w:r>
            <w:r/>
          </w:p>
        </w:tc>
        <w:tc>
          <w:tcPr>
            <w:tcBorders/>
            <w:tcW w:w="2126" w:type="dxa"/>
            <w:vAlign w:val="center"/>
            <w:textDirection w:val="lrTb"/>
            <w:noWrap w:val="false"/>
          </w:tcPr>
          <w:p>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7,5</w:t>
            </w:r>
            <w:r/>
          </w:p>
        </w:tc>
        <w:tc>
          <w:tcPr>
            <w:tcBorders/>
            <w:tcW w:w="2126" w:type="dxa"/>
            <w:vAlign w:val="center"/>
            <w:textDirection w:val="lrTb"/>
            <w:noWrap w:val="false"/>
          </w:tcPr>
          <w:p>
            <w:pPr>
              <w:pBdr/>
              <w:spacing/>
              <w:ind/>
              <w:rPr/>
            </w:pPr>
            <w:r>
              <w:t xml:space="preserve">Chiều sâu (m): </w:t>
            </w: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43,08 - 44,67</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Thóp hậu</w:t>
            </w:r>
            <w:r/>
          </w:p>
        </w:tc>
        <w:tc>
          <w:tcPr>
            <w:tcBorders/>
            <w:tcW w:w="2126" w:type="dxa"/>
            <w:vAlign w:val="center"/>
            <w:textDirection w:val="lrTb"/>
            <w:noWrap w:val="false"/>
          </w:tcPr>
          <w:p>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Đông Nam</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w:t>
            </w:r>
            <w:r>
              <w:rPr>
                <w:color w:val="000000"/>
              </w:rPr>
            </w:r>
            <w:r>
              <w:rPr>
                <w:color w:val="000000"/>
              </w:rPr>
            </w:r>
          </w:p>
          <w:p>
            <w:pPr>
              <w:pBdr/>
              <w:spacing/>
              <w:ind/>
              <w:rPr>
                <w:color w:val="000000"/>
              </w:rPr>
            </w:pPr>
            <w:r>
              <w:rPr>
                <w:color w:val="000000"/>
              </w:rPr>
              <w:t xml:space="preserve">Hạ tầng thoát nước: Rãnh có nắp, </w:t>
            </w:r>
            <w:r>
              <w:rPr>
                <w:color w:val="000000"/>
              </w:rPr>
            </w:r>
            <w:r>
              <w:rPr>
                <w:color w:val="000000"/>
              </w:rPr>
            </w:r>
          </w:p>
          <w:p>
            <w:pPr>
              <w:pBdr/>
              <w:spacing/>
              <w:ind/>
              <w:rPr>
                <w:color w:val="000000"/>
              </w:rPr>
            </w:pPr>
            <w:r>
              <w:rPr>
                <w:color w:val="000000"/>
              </w:rPr>
              <w:t xml:space="preserve">Hạ tầng cấp điện: Điện lưới, </w:t>
            </w:r>
            <w:r>
              <w:rPr>
                <w:color w:val="000000"/>
              </w:rPr>
            </w:r>
            <w:r>
              <w:rPr>
                <w:color w:val="000000"/>
              </w:rPr>
            </w:r>
          </w:p>
          <w:p>
            <w:pPr>
              <w:pBdr/>
              <w:spacing/>
              <w:ind/>
              <w:rPr>
                <w:color w:val="000000"/>
              </w:rPr>
            </w:pPr>
            <w:r>
              <w:rPr>
                <w:color w:val="000000"/>
              </w:rPr>
              <w:t xml:space="preserve">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Đông đúc</w:t>
            </w:r>
            <w:r/>
          </w:p>
        </w:tc>
        <w:tc>
          <w:tcPr>
            <w:tcBorders/>
            <w:tcW w:w="2126" w:type="dxa"/>
            <w:vAlign w:val="center"/>
            <w:textDirection w:val="lrTb"/>
            <w:noWrap w:val="false"/>
          </w:tcPr>
          <w:p>
            <w:pPr>
              <w:pBdr/>
              <w:spacing/>
              <w:ind/>
              <w:rPr>
                <w:color w:val="000000"/>
              </w:rPr>
            </w:pPr>
            <w:r>
              <w:rPr>
                <w:color w:val="000000"/>
              </w:rPr>
              <w:t xml:space="preserve">Đời sống dân cư:</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Phù hợp để ở</w:t>
            </w:r>
            <w:r/>
          </w:p>
        </w:tc>
        <w:tc>
          <w:tcPr>
            <w:tcBorders/>
            <w:tcW w:w="2126" w:type="dxa"/>
            <w:vAlign w:val="center"/>
            <w:textDirection w:val="lrTb"/>
            <w:noWrap w:val="false"/>
          </w:tcPr>
          <w:p>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Tốt </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 sản gắn liền với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 Tại thời điểm khảo sát dưới sự hướng dẫn của Khách hàng, CTXD gắn liền với đất là Nhà cấp 4, mái lợp tôn, diện tích xây dựng khoảng 50m</w:t>
            </w:r>
            <w:r>
              <w:rPr>
                <w:rFonts w:ascii="Times New Roman" w:hAnsi="Times New Roman" w:eastAsia="Times New Roman" w:cs="Times New Roman"/>
                <w:color w:val="000000"/>
                <w:sz w:val="24"/>
                <w:vertAlign w:val="superscript"/>
              </w:rPr>
              <w:t xml:space="preserve">2</w:t>
            </w: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spacing w:after="0" w:before="0" w:line="240" w:lineRule="auto"/>
              <w:ind/>
              <w:jc w:val="both"/>
              <w:rPr/>
            </w:pPr>
            <w:r>
              <w:rPr>
                <w:rFonts w:ascii="Times New Roman" w:hAnsi="Times New Roman" w:eastAsia="Times New Roman" w:cs="Times New Roman"/>
                <w:color w:val="000000"/>
                <w:sz w:val="24"/>
              </w:rPr>
              <w:t xml:space="preserve">+ Công trình chưa được chứng nhận trên GCN.</w:t>
            </w:r>
            <w:r/>
          </w:p>
        </w:tc>
      </w:tr>
    </w:tbl>
    <w:p>
      <w:pPr>
        <w:pBdr/>
        <w:spacing w:line="235" w:lineRule="auto"/>
        <w:ind w:left="0"/>
        <w:jc w:val="both"/>
        <w:rPr>
          <w:u w:val="single"/>
        </w:rPr>
      </w:pPr>
      <w:r>
        <w:rPr>
          <w:u w:val="single"/>
        </w:rPr>
      </w:r>
      <w:r>
        <w:rPr>
          <w:u w:val="single"/>
        </w:rPr>
      </w:r>
      <w:r>
        <w:rPr>
          <w:u w:val="single"/>
        </w:rPr>
      </w:r>
    </w:p>
    <w:p>
      <w:pPr>
        <w:pBdr/>
        <w:spacing w:line="288" w:lineRule="auto"/>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tbl>
      <w:tblPr>
        <w:tblStyle w:val="1031"/>
        <w:jc w:val="center"/>
        <w:tblW w:w="0" w:type="auto"/>
        <w:tblBorders/>
        <w:tblLayout w:type="fixed"/>
        <w:tblLook w:val="04A0" w:firstRow="1" w:lastRow="0" w:firstColumn="1" w:lastColumn="0" w:noHBand="0" w:noVBand="1"/>
      </w:tblPr>
      <w:tblGrid>
        <w:gridCol w:w="732"/>
        <w:gridCol w:w="1701"/>
        <w:gridCol w:w="2339"/>
        <w:gridCol w:w="2339"/>
        <w:gridCol w:w="1203"/>
        <w:gridCol w:w="1203"/>
      </w:tblGrid>
      <w:tr>
        <w:trPr>
          <w:jc w:val="center"/>
        </w:trPr>
        <w:tc>
          <w:tcPr>
            <w:tcBorders/>
            <w:tcW w:w="732" w:type="dxa"/>
            <w:vAlign w:val="center"/>
            <w:textDirection w:val="lrTb"/>
            <w:noWrap w:val="false"/>
          </w:tcPr>
          <w:p>
            <w:pPr>
              <w:pBdr/>
              <w:spacing/>
              <w:ind/>
              <w:jc w:val="center"/>
              <w:rPr>
                <w:b/>
                <w:bCs/>
              </w:rPr>
            </w:pPr>
            <w:r>
              <w:rPr>
                <w:b/>
                <w:bCs/>
              </w:rPr>
              <w:t xml:space="preserve">STT</w:t>
            </w:r>
            <w:r>
              <w:rPr>
                <w:b/>
                <w:bCs/>
              </w:rPr>
            </w:r>
            <w:r>
              <w:rPr>
                <w:b/>
                <w:bCs/>
              </w:rPr>
            </w:r>
          </w:p>
        </w:tc>
        <w:tc>
          <w:tcPr>
            <w:tcBorders/>
            <w:tcW w:w="1701" w:type="dxa"/>
            <w:vAlign w:val="center"/>
            <w:textDirection w:val="lrTb"/>
            <w:noWrap w:val="false"/>
          </w:tcPr>
          <w:p>
            <w:pPr>
              <w:pBdr/>
              <w:spacing/>
              <w:ind/>
              <w:jc w:val="center"/>
              <w:rPr>
                <w:b/>
                <w:bCs/>
              </w:rPr>
            </w:pPr>
            <w:r>
              <w:rPr>
                <w:b/>
                <w:bCs/>
              </w:rPr>
              <w:t xml:space="preserve">Các yếu tố</w:t>
            </w:r>
            <w:r>
              <w:rPr>
                <w:b/>
                <w:bCs/>
              </w:rPr>
            </w:r>
            <w:r>
              <w:rPr>
                <w:b/>
                <w:bCs/>
              </w:rPr>
            </w:r>
          </w:p>
        </w:tc>
        <w:tc>
          <w:tcPr>
            <w:tcBorders/>
            <w:tcW w:w="2339" w:type="dxa"/>
            <w:vAlign w:val="center"/>
            <w:textDirection w:val="lrTb"/>
            <w:noWrap w:val="false"/>
          </w:tcPr>
          <w:p>
            <w:pPr>
              <w:pBdr/>
              <w:spacing/>
              <w:ind/>
              <w:jc w:val="center"/>
              <w:rPr>
                <w:b/>
                <w:bCs/>
              </w:rPr>
            </w:pPr>
            <w:r>
              <w:rPr>
                <w:b/>
                <w:bCs/>
              </w:rPr>
              <w:t xml:space="preserve">Thông tin TSTĐ</w:t>
            </w:r>
            <w:r>
              <w:rPr>
                <w:b/>
                <w:bCs/>
              </w:rPr>
            </w:r>
            <w:r>
              <w:rPr>
                <w:b/>
                <w:bCs/>
              </w:rPr>
            </w:r>
          </w:p>
        </w:tc>
        <w:tc>
          <w:tcPr>
            <w:tcBorders/>
            <w:tcW w:w="2339" w:type="dxa"/>
            <w:vAlign w:val="center"/>
            <w:textDirection w:val="lrTb"/>
            <w:noWrap w:val="false"/>
          </w:tcPr>
          <w:p>
            <w:pPr>
              <w:pBdr/>
              <w:spacing/>
              <w:ind/>
              <w:jc w:val="center"/>
              <w:rPr>
                <w:b/>
                <w:bCs/>
              </w:rPr>
            </w:pPr>
            <w:r>
              <w:rPr>
                <w:b/>
                <w:bCs/>
              </w:rPr>
              <w:t xml:space="preserve">Thông tin khảo sát</w:t>
            </w:r>
            <w:r>
              <w:rPr>
                <w:b/>
                <w:bCs/>
              </w:rPr>
            </w:r>
            <w:r>
              <w:rPr>
                <w:b/>
                <w:bCs/>
              </w:rPr>
            </w:r>
          </w:p>
        </w:tc>
        <w:tc>
          <w:tcPr>
            <w:tcBorders/>
            <w:tcW w:w="1203" w:type="dxa"/>
            <w:vAlign w:val="center"/>
            <w:textDirection w:val="lrTb"/>
            <w:noWrap w:val="false"/>
          </w:tcPr>
          <w:p>
            <w:pPr>
              <w:pBdr/>
              <w:spacing/>
              <w:ind/>
              <w:jc w:val="center"/>
              <w:rPr>
                <w:b/>
                <w:bCs/>
              </w:rPr>
            </w:pPr>
            <w:r>
              <w:rPr>
                <w:b/>
                <w:bCs/>
              </w:rPr>
              <w:t xml:space="preserve">Chênh lệch</w:t>
            </w:r>
            <w:r>
              <w:rPr>
                <w:b/>
                <w:bCs/>
              </w:rPr>
            </w:r>
            <w:r>
              <w:rPr>
                <w:b/>
                <w:bCs/>
              </w:rPr>
            </w:r>
          </w:p>
        </w:tc>
        <w:tc>
          <w:tcPr>
            <w:tcBorders/>
            <w:tcW w:w="1203" w:type="dxa"/>
            <w:vAlign w:val="center"/>
            <w:textDirection w:val="lrTb"/>
            <w:noWrap w:val="false"/>
          </w:tcPr>
          <w:p>
            <w:pPr>
              <w:pBdr/>
              <w:spacing/>
              <w:ind/>
              <w:jc w:val="center"/>
              <w:rPr>
                <w:b/>
                <w:bCs/>
              </w:rPr>
            </w:pPr>
            <w:r>
              <w:rPr>
                <w:b/>
                <w:bCs/>
              </w:rPr>
              <w:t xml:space="preserve">Nguyên nhân</w:t>
            </w:r>
            <w:r>
              <w:rPr>
                <w:b/>
                <w:bCs/>
              </w:rPr>
            </w:r>
            <w:r>
              <w:rPr>
                <w:b/>
                <w:bCs/>
              </w:rPr>
            </w:r>
          </w:p>
        </w:tc>
      </w:tr>
      <w:tr>
        <w:trPr>
          <w:jc w:val="center"/>
        </w:trPr>
        <w:tc>
          <w:tcPr>
            <w:tcBorders/>
            <w:tcW w:w="732" w:type="dxa"/>
            <w:vAlign w:val="center"/>
            <w:textDirection w:val="lrTb"/>
            <w:noWrap w:val="false"/>
          </w:tcPr>
          <w:p>
            <w:pPr>
              <w:pBdr/>
              <w:spacing/>
              <w:ind/>
              <w:jc w:val="center"/>
              <w:rPr/>
            </w:pPr>
            <w:r>
              <w:t xml:space="preserve">1</w:t>
            </w:r>
            <w:r/>
          </w:p>
        </w:tc>
        <w:tc>
          <w:tcPr>
            <w:tcBorders/>
            <w:tcW w:w="1701" w:type="dxa"/>
            <w:vAlign w:val="center"/>
            <w:textDirection w:val="lrTb"/>
            <w:noWrap w:val="false"/>
          </w:tcPr>
          <w:p>
            <w:pPr>
              <w:pBdr/>
              <w:spacing/>
              <w:ind/>
              <w:jc w:val="center"/>
              <w:rPr/>
            </w:pPr>
            <w:r>
              <w:t xml:space="preserve">Địa chỉ trên sổ</w:t>
            </w:r>
            <w:r/>
          </w:p>
        </w:tc>
        <w:tc>
          <w:tcPr>
            <w:tcBorders/>
            <w:tcW w:w="2339" w:type="dxa"/>
            <w:vAlign w:val="center"/>
            <w:textDirection w:val="lrTb"/>
            <w:noWrap w:val="false"/>
          </w:tcPr>
          <w:p>
            <w:pPr>
              <w:pBdr/>
              <w:spacing/>
              <w:ind/>
              <w:jc w:val="center"/>
              <w:rPr/>
            </w:pPr>
            <w:r>
              <w:t xml:space="preserve">Xóm Bắc Tiền Tiến, xã Diễn Kim, huyện Diễn Châu, tình Nghệ An </w:t>
            </w:r>
            <w:r/>
          </w:p>
        </w:tc>
        <w:tc>
          <w:tcPr>
            <w:tcBorders/>
            <w:tcW w:w="2339" w:type="dxa"/>
            <w:vAlign w:val="center"/>
            <w:textDirection w:val="lrTb"/>
            <w:noWrap w:val="false"/>
          </w:tcPr>
          <w:p>
            <w:pPr>
              <w:pBdr/>
              <w:spacing/>
              <w:ind/>
              <w:jc w:val="center"/>
              <w:rPr/>
            </w:pPr>
            <w:r>
              <w:t xml:space="preserve">Xóm Bắc Tiền Tiến, xã Hải Châu, tỉnh Nghệ An</w:t>
            </w:r>
            <w:r>
              <w:t xml:space="preserve"> ✔</w:t>
            </w:r>
            <w:r/>
          </w:p>
        </w:tc>
        <w:tc>
          <w:tcPr>
            <w:tcBorders/>
            <w:tcW w:w="1203" w:type="dxa"/>
            <w:vAlign w:val="center"/>
            <w:textDirection w:val="lrTb"/>
            <w:noWrap w:val="false"/>
          </w:tcPr>
          <w:p>
            <w:pPr>
              <w:pBdr/>
              <w:spacing/>
              <w:ind/>
              <w:jc w:val="center"/>
              <w:rPr/>
            </w:pPr>
            <w:r>
              <w:t xml:space="preserve">Có</w:t>
            </w:r>
            <w:r/>
          </w:p>
        </w:tc>
        <w:tc>
          <w:tcPr>
            <w:tcBorders/>
            <w:tcW w:w="1203" w:type="dxa"/>
            <w:vAlign w:val="center"/>
            <w:textDirection w:val="lrTb"/>
            <w:noWrap w:val="false"/>
          </w:tcPr>
          <w:p>
            <w:pPr>
              <w:pBdr/>
              <w:spacing/>
              <w:ind/>
              <w:jc w:val="center"/>
              <w:rPr/>
            </w:pPr>
            <w:r>
              <w:t xml:space="preserve">Sát nhập đơn vị hành chính</w:t>
            </w:r>
            <w:r/>
          </w:p>
        </w:tc>
      </w:tr>
      <w:tr>
        <w:trPr>
          <w:jc w:val="center"/>
        </w:trPr>
        <w:tc>
          <w:tcPr>
            <w:tcBorders/>
            <w:tcW w:w="732" w:type="dxa"/>
            <w:vAlign w:val="center"/>
            <w:textDirection w:val="lrTb"/>
            <w:noWrap w:val="false"/>
          </w:tcPr>
          <w:p>
            <w:pPr>
              <w:pBdr/>
              <w:spacing/>
              <w:ind/>
              <w:jc w:val="center"/>
              <w:rPr/>
            </w:pPr>
            <w:r>
              <w:t xml:space="preserve">2</w:t>
            </w:r>
            <w:r/>
          </w:p>
        </w:tc>
        <w:tc>
          <w:tcPr>
            <w:tcBorders/>
            <w:tcW w:w="1701" w:type="dxa"/>
            <w:vAlign w:val="center"/>
            <w:textDirection w:val="lrTb"/>
            <w:noWrap w:val="false"/>
          </w:tcPr>
          <w:p>
            <w:pPr>
              <w:pBdr/>
              <w:spacing/>
              <w:ind/>
              <w:jc w:val="center"/>
              <w:rPr/>
            </w:pPr>
            <w:r>
              <w:t xml:space="preserve">Pháp lý</w:t>
            </w:r>
            <w:r/>
          </w:p>
        </w:tc>
        <w:tc>
          <w:tcPr>
            <w:tcBorders/>
            <w:tcW w:w="2339" w:type="dxa"/>
            <w:vAlign w:val="center"/>
            <w:textDirection w:val="lrTb"/>
            <w:noWrap w:val="false"/>
          </w:tcPr>
          <w:p>
            <w:pPr>
              <w:pBdr/>
              <w:spacing/>
              <w:ind/>
              <w:jc w:val="center"/>
              <w:rPr/>
            </w:pPr>
            <w:r>
              <w:t xml:space="preserve">Giấy chứng nhận quyền sử dụng đất, quyền sở hữu nhà ở và tài sản gắn liền với đất</w:t>
            </w:r>
            <w:r/>
          </w:p>
        </w:tc>
        <w:tc>
          <w:tcPr>
            <w:tcBorders/>
            <w:tcW w:w="2339" w:type="dxa"/>
            <w:vAlign w:val="center"/>
            <w:textDirection w:val="lrTb"/>
            <w:noWrap w:val="false"/>
          </w:tcPr>
          <w:p>
            <w:pPr>
              <w:pBdr/>
              <w:spacing/>
              <w:ind/>
              <w:jc w:val="center"/>
              <w:rPr/>
            </w:pPr>
            <w:r>
              <w:t xml:space="preserve">Giấy chứng nhận quyền sử dụng đất, quyền sở hữu nhà ở và tài sản gắn liền với đất ✔</w:t>
            </w:r>
            <w:r/>
          </w:p>
        </w:tc>
        <w:tc>
          <w:tcPr>
            <w:tcBorders/>
            <w:tcW w:w="1203" w:type="dxa"/>
            <w:vAlign w:val="center"/>
            <w:textDirection w:val="lrTb"/>
            <w:noWrap w:val="false"/>
          </w:tcPr>
          <w:p>
            <w:pPr>
              <w:pBdr/>
              <w:spacing/>
              <w:ind/>
              <w:jc w:val="center"/>
              <w:rPr/>
            </w:pPr>
            <w:r>
              <w:t xml:space="preserve">Không</w:t>
            </w:r>
            <w:r/>
          </w:p>
        </w:tc>
        <w:tc>
          <w:tcPr>
            <w:tcBorders/>
            <w:tcW w:w="1203"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3</w:t>
            </w:r>
            <w:r/>
          </w:p>
        </w:tc>
        <w:tc>
          <w:tcPr>
            <w:tcBorders/>
            <w:tcW w:w="1701" w:type="dxa"/>
            <w:vAlign w:val="center"/>
            <w:textDirection w:val="lrTb"/>
            <w:noWrap w:val="false"/>
          </w:tcPr>
          <w:p>
            <w:pPr>
              <w:pBdr/>
              <w:spacing/>
              <w:ind/>
              <w:jc w:val="center"/>
              <w:rPr/>
            </w:pPr>
            <w:r>
              <w:t xml:space="preserve">Loại đất</w:t>
            </w:r>
            <w:r/>
          </w:p>
        </w:tc>
        <w:tc>
          <w:tcPr>
            <w:tcBorders/>
            <w:tcW w:w="2339" w:type="dxa"/>
            <w:vAlign w:val="center"/>
            <w:textDirection w:val="lrTb"/>
            <w:noWrap w:val="false"/>
          </w:tcPr>
          <w:p>
            <w:pPr>
              <w:pBdr/>
              <w:spacing/>
              <w:ind/>
              <w:jc w:val="center"/>
              <w:rPr/>
            </w:pPr>
            <w:r>
              <w:t xml:space="preserve">Đất ở tại nông thôn</w:t>
            </w:r>
            <w:r/>
          </w:p>
        </w:tc>
        <w:tc>
          <w:tcPr>
            <w:tcBorders/>
            <w:tcW w:w="2339" w:type="dxa"/>
            <w:vAlign w:val="center"/>
            <w:textDirection w:val="lrTb"/>
            <w:noWrap w:val="false"/>
          </w:tcPr>
          <w:p>
            <w:pPr>
              <w:pBdr/>
              <w:spacing/>
              <w:ind/>
              <w:jc w:val="center"/>
              <w:rPr/>
            </w:pPr>
            <w:r>
              <w:t xml:space="preserve">Đất ở tại nông thô</w:t>
            </w:r>
            <w:r>
              <w:t xml:space="preserve">n ✔</w:t>
            </w:r>
            <w:r/>
          </w:p>
        </w:tc>
        <w:tc>
          <w:tcPr>
            <w:tcBorders/>
            <w:tcW w:w="1203" w:type="dxa"/>
            <w:vAlign w:val="center"/>
            <w:textDirection w:val="lrTb"/>
            <w:noWrap w:val="false"/>
          </w:tcPr>
          <w:p>
            <w:pPr>
              <w:pBdr/>
              <w:spacing/>
              <w:ind/>
              <w:jc w:val="center"/>
              <w:rPr/>
            </w:pPr>
            <w:r>
              <w:t xml:space="preserve">Không</w:t>
            </w:r>
            <w:r/>
          </w:p>
        </w:tc>
        <w:tc>
          <w:tcPr>
            <w:tcBorders/>
            <w:tcW w:w="1203"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4</w:t>
            </w:r>
            <w:r/>
          </w:p>
        </w:tc>
        <w:tc>
          <w:tcPr>
            <w:tcBorders/>
            <w:tcW w:w="1701" w:type="dxa"/>
            <w:vAlign w:val="center"/>
            <w:textDirection w:val="lrTb"/>
            <w:noWrap w:val="false"/>
          </w:tcPr>
          <w:p>
            <w:pPr>
              <w:pBdr/>
              <w:spacing/>
              <w:ind/>
              <w:jc w:val="center"/>
              <w:rPr/>
            </w:pPr>
            <w:r>
              <w:t xml:space="preserve">Thời hạn sử dụng</w:t>
            </w:r>
            <w:r/>
          </w:p>
        </w:tc>
        <w:tc>
          <w:tcPr>
            <w:tcBorders/>
            <w:tcW w:w="2339" w:type="dxa"/>
            <w:vAlign w:val="center"/>
            <w:textDirection w:val="lrTb"/>
            <w:noWrap w:val="false"/>
          </w:tcPr>
          <w:p>
            <w:pPr>
              <w:pBdr/>
              <w:spacing/>
              <w:ind/>
              <w:jc w:val="center"/>
              <w:rPr/>
            </w:pPr>
            <w:r>
              <w:t xml:space="preserve">Lâu dài</w:t>
            </w:r>
            <w:r/>
          </w:p>
        </w:tc>
        <w:tc>
          <w:tcPr>
            <w:tcBorders/>
            <w:tcW w:w="2339" w:type="dxa"/>
            <w:vAlign w:val="center"/>
            <w:textDirection w:val="lrTb"/>
            <w:noWrap w:val="false"/>
          </w:tcPr>
          <w:p>
            <w:pPr>
              <w:pBdr/>
              <w:spacing/>
              <w:ind/>
              <w:jc w:val="center"/>
              <w:rPr/>
            </w:pPr>
            <w:r>
              <w:t xml:space="preserve">Lâu dài ✔</w:t>
            </w:r>
            <w:r/>
          </w:p>
        </w:tc>
        <w:tc>
          <w:tcPr>
            <w:tcBorders/>
            <w:tcW w:w="1203" w:type="dxa"/>
            <w:vAlign w:val="center"/>
            <w:textDirection w:val="lrTb"/>
            <w:noWrap w:val="false"/>
          </w:tcPr>
          <w:p>
            <w:pPr>
              <w:pBdr/>
              <w:spacing/>
              <w:ind/>
              <w:jc w:val="center"/>
              <w:rPr/>
            </w:pPr>
            <w:r>
              <w:t xml:space="preserve">Không</w:t>
            </w:r>
            <w:r/>
          </w:p>
        </w:tc>
        <w:tc>
          <w:tcPr>
            <w:tcBorders/>
            <w:tcW w:w="1203"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5</w:t>
            </w:r>
            <w:r/>
          </w:p>
        </w:tc>
        <w:tc>
          <w:tcPr>
            <w:tcBorders/>
            <w:tcW w:w="1701" w:type="dxa"/>
            <w:vAlign w:val="center"/>
            <w:textDirection w:val="lrTb"/>
            <w:noWrap w:val="false"/>
          </w:tcPr>
          <w:p>
            <w:pPr>
              <w:pBdr/>
              <w:spacing/>
              <w:ind/>
              <w:jc w:val="center"/>
              <w:rPr/>
            </w:pPr>
            <w:r>
              <w:t xml:space="preserve">Diện tích</w:t>
            </w:r>
            <w:r/>
          </w:p>
        </w:tc>
        <w:tc>
          <w:tcPr>
            <w:tcBorders/>
            <w:tcW w:w="2339" w:type="dxa"/>
            <w:vAlign w:val="center"/>
            <w:textDirection w:val="lrTb"/>
            <w:noWrap w:val="false"/>
          </w:tcPr>
          <w:p>
            <w:pPr>
              <w:pBdr/>
              <w:spacing/>
              <w:ind/>
              <w:jc w:val="center"/>
              <w:rPr/>
            </w:pPr>
            <w:r>
              <w:t xml:space="preserve">297,6</w:t>
            </w:r>
            <w:r/>
          </w:p>
        </w:tc>
        <w:tc>
          <w:tcPr>
            <w:tcBorders/>
            <w:tcW w:w="2339" w:type="dxa"/>
            <w:vAlign w:val="center"/>
            <w:textDirection w:val="lrTb"/>
            <w:noWrap w:val="false"/>
          </w:tcPr>
          <w:p>
            <w:pPr>
              <w:pBdr/>
              <w:spacing/>
              <w:ind/>
              <w:jc w:val="center"/>
              <w:rPr/>
            </w:pPr>
            <w:r>
              <w:t xml:space="preserve">297,6 ✔</w:t>
            </w:r>
            <w:r/>
          </w:p>
        </w:tc>
        <w:tc>
          <w:tcPr>
            <w:tcBorders/>
            <w:tcW w:w="1203" w:type="dxa"/>
            <w:vAlign w:val="center"/>
            <w:textDirection w:val="lrTb"/>
            <w:noWrap w:val="false"/>
          </w:tcPr>
          <w:p>
            <w:pPr>
              <w:pBdr/>
              <w:spacing/>
              <w:ind/>
              <w:jc w:val="center"/>
              <w:rPr/>
            </w:pPr>
            <w:r>
              <w:t xml:space="preserve">Không</w:t>
            </w:r>
            <w:r/>
          </w:p>
        </w:tc>
        <w:tc>
          <w:tcPr>
            <w:tcBorders/>
            <w:tcW w:w="1203"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6</w:t>
            </w:r>
            <w:r/>
          </w:p>
        </w:tc>
        <w:tc>
          <w:tcPr>
            <w:tcBorders/>
            <w:tcW w:w="1701" w:type="dxa"/>
            <w:vAlign w:val="center"/>
            <w:textDirection w:val="lrTb"/>
            <w:noWrap w:val="false"/>
          </w:tcPr>
          <w:p>
            <w:pPr>
              <w:pBdr/>
              <w:spacing/>
              <w:ind/>
              <w:jc w:val="center"/>
              <w:rPr/>
            </w:pPr>
            <w:r>
              <w:t xml:space="preserve">Mặt tiền</w:t>
            </w:r>
            <w:r/>
          </w:p>
        </w:tc>
        <w:tc>
          <w:tcPr>
            <w:tcBorders/>
            <w:tcW w:w="2339" w:type="dxa"/>
            <w:vAlign w:val="center"/>
            <w:textDirection w:val="lrTb"/>
            <w:noWrap w:val="false"/>
          </w:tcPr>
          <w:p>
            <w:pPr>
              <w:pBdr/>
              <w:spacing/>
              <w:ind/>
              <w:jc w:val="center"/>
              <w:rPr/>
            </w:pPr>
            <w:r>
              <w:t xml:space="preserve">7,5</w:t>
            </w:r>
            <w:r/>
          </w:p>
        </w:tc>
        <w:tc>
          <w:tcPr>
            <w:tcBorders/>
            <w:tcW w:w="2339" w:type="dxa"/>
            <w:vAlign w:val="center"/>
            <w:textDirection w:val="lrTb"/>
            <w:noWrap w:val="false"/>
          </w:tcPr>
          <w:p>
            <w:pPr>
              <w:pBdr/>
              <w:spacing/>
              <w:ind/>
              <w:jc w:val="center"/>
              <w:rPr/>
            </w:pPr>
            <w:r>
              <w:t xml:space="preserve">7,5 ✔</w:t>
            </w:r>
            <w:r/>
          </w:p>
        </w:tc>
        <w:tc>
          <w:tcPr>
            <w:tcBorders/>
            <w:tcW w:w="1203" w:type="dxa"/>
            <w:vAlign w:val="center"/>
            <w:textDirection w:val="lrTb"/>
            <w:noWrap w:val="false"/>
          </w:tcPr>
          <w:p>
            <w:pPr>
              <w:pBdr/>
              <w:spacing/>
              <w:ind/>
              <w:jc w:val="center"/>
              <w:rPr/>
            </w:pPr>
            <w:r>
              <w:t xml:space="preserve">Không</w:t>
            </w:r>
            <w:r/>
          </w:p>
        </w:tc>
        <w:tc>
          <w:tcPr>
            <w:tcBorders/>
            <w:tcW w:w="1203" w:type="dxa"/>
            <w:vAlign w:val="center"/>
            <w:textDirection w:val="lrTb"/>
            <w:noWrap w:val="false"/>
          </w:tcPr>
          <w:p>
            <w:pPr>
              <w:pBdr/>
              <w:spacing/>
              <w:ind/>
              <w:jc w:val="center"/>
              <w:rPr/>
            </w:pPr>
            <w:r/>
            <w:r/>
          </w:p>
        </w:tc>
      </w:tr>
      <w:tr>
        <w:trPr>
          <w:jc w:val="center"/>
          <w:trHeight w:val="249"/>
        </w:trPr>
        <w:tc>
          <w:tcPr>
            <w:tcBorders/>
            <w:tcW w:w="732" w:type="dxa"/>
            <w:vAlign w:val="center"/>
            <w:textDirection w:val="lrTb"/>
            <w:noWrap w:val="false"/>
          </w:tcPr>
          <w:p>
            <w:pPr>
              <w:pBdr/>
              <w:spacing/>
              <w:ind/>
              <w:jc w:val="center"/>
              <w:rPr/>
            </w:pPr>
            <w:r>
              <w:t xml:space="preserve">7</w:t>
            </w:r>
            <w:r/>
          </w:p>
        </w:tc>
        <w:tc>
          <w:tcPr>
            <w:tcBorders/>
            <w:tcW w:w="1701" w:type="dxa"/>
            <w:vAlign w:val="center"/>
            <w:textDirection w:val="lrTb"/>
            <w:noWrap w:val="false"/>
          </w:tcPr>
          <w:p>
            <w:pPr>
              <w:pBdr/>
              <w:spacing/>
              <w:ind/>
              <w:jc w:val="center"/>
              <w:rPr/>
            </w:pPr>
            <w:r>
              <w:t xml:space="preserve">Chiều sâu</w:t>
            </w:r>
            <w:r/>
          </w:p>
        </w:tc>
        <w:tc>
          <w:tcPr>
            <w:tcBorders/>
            <w:tcW w:w="2339" w:type="dxa"/>
            <w:vAlign w:val="center"/>
            <w:textDirection w:val="lrTb"/>
            <w:noWrap w:val="false"/>
          </w:tcPr>
          <w:p>
            <w:pPr>
              <w:pBdr/>
              <w:spacing/>
              <w:ind/>
              <w:jc w:val="center"/>
              <w:rPr/>
            </w:pPr>
            <w:r>
              <w:t xml:space="preserve">43,08 - 44,67</w:t>
            </w:r>
            <w:r/>
          </w:p>
        </w:tc>
        <w:tc>
          <w:tcPr>
            <w:tcBorders/>
            <w:tcW w:w="2339" w:type="dxa"/>
            <w:vAlign w:val="center"/>
            <w:textDirection w:val="lrTb"/>
            <w:noWrap w:val="false"/>
          </w:tcPr>
          <w:p>
            <w:pPr>
              <w:pBdr/>
              <w:spacing/>
              <w:ind/>
              <w:jc w:val="center"/>
              <w:rPr/>
            </w:pPr>
            <w:r>
              <w:t xml:space="preserve">43,08 - 44,67</w:t>
            </w:r>
            <w:r>
              <w:t xml:space="preserve"> ✔</w:t>
            </w:r>
            <w:r/>
          </w:p>
        </w:tc>
        <w:tc>
          <w:tcPr>
            <w:tcBorders/>
            <w:tcW w:w="1203" w:type="dxa"/>
            <w:vAlign w:val="center"/>
            <w:textDirection w:val="lrTb"/>
            <w:noWrap w:val="false"/>
          </w:tcPr>
          <w:p>
            <w:pPr>
              <w:pBdr/>
              <w:spacing/>
              <w:ind/>
              <w:jc w:val="center"/>
              <w:rPr/>
            </w:pPr>
            <w:r>
              <w:t xml:space="preserve">Không</w:t>
            </w:r>
            <w:r/>
          </w:p>
        </w:tc>
        <w:tc>
          <w:tcPr>
            <w:tcBorders/>
            <w:tcW w:w="1203"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8</w:t>
            </w:r>
            <w:r/>
          </w:p>
        </w:tc>
        <w:tc>
          <w:tcPr>
            <w:tcBorders/>
            <w:tcW w:w="1701" w:type="dxa"/>
            <w:vAlign w:val="center"/>
            <w:textDirection w:val="lrTb"/>
            <w:noWrap w:val="false"/>
          </w:tcPr>
          <w:p>
            <w:pPr>
              <w:pBdr/>
              <w:spacing/>
              <w:ind/>
              <w:jc w:val="center"/>
              <w:rPr/>
            </w:pPr>
            <w:r>
              <w:t xml:space="preserve">Mặt tiếp giáp</w:t>
            </w:r>
            <w:r/>
          </w:p>
        </w:tc>
        <w:tc>
          <w:tcPr>
            <w:tcBorders/>
            <w:tcW w:w="2339" w:type="dxa"/>
            <w:vAlign w:val="center"/>
            <w:textDirection w:val="lrTb"/>
            <w:noWrap w:val="false"/>
          </w:tcPr>
          <w:p>
            <w:pPr>
              <w:pBdr/>
              <w:spacing/>
              <w:ind/>
              <w:jc w:val="center"/>
              <w:rPr/>
            </w:pPr>
            <w:r>
              <w:t xml:space="preserve">01 mặt tiền</w:t>
            </w:r>
            <w:r/>
          </w:p>
        </w:tc>
        <w:tc>
          <w:tcPr>
            <w:tcBorders/>
            <w:tcW w:w="2339" w:type="dxa"/>
            <w:vAlign w:val="center"/>
            <w:textDirection w:val="lrTb"/>
            <w:noWrap w:val="false"/>
          </w:tcPr>
          <w:p>
            <w:pPr>
              <w:pBdr/>
              <w:spacing/>
              <w:ind/>
              <w:jc w:val="center"/>
              <w:rPr/>
            </w:pPr>
            <w:r>
              <w:t xml:space="preserve">01 mặt tiền </w:t>
            </w:r>
            <w:r>
              <w:t xml:space="preserve">✔</w:t>
            </w:r>
            <w:r/>
          </w:p>
        </w:tc>
        <w:tc>
          <w:tcPr>
            <w:tcBorders/>
            <w:tcW w:w="1203" w:type="dxa"/>
            <w:vAlign w:val="center"/>
            <w:textDirection w:val="lrTb"/>
            <w:noWrap w:val="false"/>
          </w:tcPr>
          <w:p>
            <w:pPr>
              <w:pBdr/>
              <w:spacing/>
              <w:ind/>
              <w:jc w:val="center"/>
              <w:rPr/>
            </w:pPr>
            <w:r>
              <w:t xml:space="preserve">Không</w:t>
            </w:r>
            <w:r/>
          </w:p>
        </w:tc>
        <w:tc>
          <w:tcPr>
            <w:tcBorders/>
            <w:tcW w:w="1203"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9</w:t>
            </w:r>
            <w:r/>
          </w:p>
        </w:tc>
        <w:tc>
          <w:tcPr>
            <w:tcBorders/>
            <w:tcW w:w="1701" w:type="dxa"/>
            <w:vAlign w:val="center"/>
            <w:textDirection w:val="lrTb"/>
            <w:noWrap w:val="false"/>
          </w:tcPr>
          <w:p>
            <w:pPr>
              <w:pBdr/>
              <w:spacing/>
              <w:ind/>
              <w:jc w:val="center"/>
              <w:rPr/>
            </w:pPr>
            <w:r>
              <w:t xml:space="preserve">Hình dạng thửa đất</w:t>
            </w:r>
            <w:r/>
          </w:p>
        </w:tc>
        <w:tc>
          <w:tcPr>
            <w:tcBorders/>
            <w:tcW w:w="2339" w:type="dxa"/>
            <w:vAlign w:val="center"/>
            <w:textDirection w:val="lrTb"/>
            <w:noWrap w:val="false"/>
          </w:tcPr>
          <w:p>
            <w:pPr>
              <w:pBdr/>
              <w:spacing/>
              <w:ind/>
              <w:jc w:val="center"/>
              <w:rPr/>
            </w:pPr>
            <w:r>
              <w:t xml:space="preserve">Thóp hậu</w:t>
            </w:r>
            <w:r/>
          </w:p>
        </w:tc>
        <w:tc>
          <w:tcPr>
            <w:tcBorders/>
            <w:tcW w:w="2339" w:type="dxa"/>
            <w:vAlign w:val="center"/>
            <w:textDirection w:val="lrTb"/>
            <w:noWrap w:val="false"/>
          </w:tcPr>
          <w:p>
            <w:pPr>
              <w:pBdr/>
              <w:spacing/>
              <w:ind/>
              <w:jc w:val="center"/>
              <w:rPr/>
            </w:pPr>
            <w:r>
              <w:t xml:space="preserve">Thóp hậu ✔</w:t>
            </w:r>
            <w:r/>
          </w:p>
        </w:tc>
        <w:tc>
          <w:tcPr>
            <w:tcBorders/>
            <w:tcW w:w="1203" w:type="dxa"/>
            <w:vAlign w:val="center"/>
            <w:textDirection w:val="lrTb"/>
            <w:noWrap w:val="false"/>
          </w:tcPr>
          <w:p>
            <w:pPr>
              <w:pBdr/>
              <w:spacing/>
              <w:ind/>
              <w:jc w:val="center"/>
              <w:rPr/>
            </w:pPr>
            <w:r>
              <w:t xml:space="preserve">Không</w:t>
            </w:r>
            <w:r/>
          </w:p>
        </w:tc>
        <w:tc>
          <w:tcPr>
            <w:tcBorders/>
            <w:tcW w:w="1203" w:type="dxa"/>
            <w:vAlign w:val="center"/>
            <w:textDirection w:val="lrTb"/>
            <w:noWrap w:val="false"/>
          </w:tcPr>
          <w:p>
            <w:pPr>
              <w:pBdr/>
              <w:spacing/>
              <w:ind/>
              <w:jc w:val="center"/>
              <w:rPr/>
            </w:pPr>
            <w:r/>
            <w:r/>
          </w:p>
        </w:tc>
      </w:tr>
      <w:tr>
        <w:trPr>
          <w:jc w:val="center"/>
        </w:trPr>
        <w:tc>
          <w:tcPr>
            <w:tcBorders/>
            <w:tcW w:w="732" w:type="dxa"/>
            <w:vAlign w:val="center"/>
            <w:textDirection w:val="lrTb"/>
            <w:noWrap w:val="false"/>
          </w:tcPr>
          <w:p>
            <w:pPr>
              <w:pBdr/>
              <w:spacing/>
              <w:ind/>
              <w:jc w:val="center"/>
              <w:rPr/>
            </w:pPr>
            <w:r>
              <w:t xml:space="preserve">10</w:t>
            </w:r>
            <w:r/>
          </w:p>
        </w:tc>
        <w:tc>
          <w:tcPr>
            <w:tcBorders/>
            <w:tcW w:w="1701" w:type="dxa"/>
            <w:vAlign w:val="center"/>
            <w:textDirection w:val="lrTb"/>
            <w:noWrap w:val="false"/>
          </w:tcPr>
          <w:p>
            <w:pPr>
              <w:pBdr/>
              <w:spacing/>
              <w:ind/>
              <w:jc w:val="center"/>
              <w:rPr/>
            </w:pPr>
            <w:r>
              <w:t xml:space="preserve">Hướng</w:t>
            </w:r>
            <w:r/>
          </w:p>
        </w:tc>
        <w:tc>
          <w:tcPr>
            <w:tcBorders/>
            <w:tcW w:w="2339" w:type="dxa"/>
            <w:vAlign w:val="center"/>
            <w:textDirection w:val="lrTb"/>
            <w:noWrap w:val="false"/>
          </w:tcPr>
          <w:p>
            <w:pPr>
              <w:pBdr/>
              <w:spacing/>
              <w:ind/>
              <w:jc w:val="center"/>
              <w:rPr/>
            </w:pPr>
            <w:r>
              <w:t xml:space="preserve">Đông Nam</w:t>
            </w:r>
            <w:r/>
          </w:p>
        </w:tc>
        <w:tc>
          <w:tcPr>
            <w:tcBorders/>
            <w:tcW w:w="2339" w:type="dxa"/>
            <w:vAlign w:val="center"/>
            <w:textDirection w:val="lrTb"/>
            <w:noWrap w:val="false"/>
          </w:tcPr>
          <w:p>
            <w:pPr>
              <w:pBdr/>
              <w:spacing/>
              <w:ind/>
              <w:jc w:val="center"/>
              <w:rPr/>
            </w:pPr>
            <w:r>
              <w:t xml:space="preserve">Đông Nam ✔</w:t>
            </w:r>
            <w:r/>
          </w:p>
        </w:tc>
        <w:tc>
          <w:tcPr>
            <w:tcBorders/>
            <w:tcW w:w="1203" w:type="dxa"/>
            <w:vAlign w:val="center"/>
            <w:textDirection w:val="lrTb"/>
            <w:noWrap w:val="false"/>
          </w:tcPr>
          <w:p>
            <w:pPr>
              <w:pBdr/>
              <w:spacing/>
              <w:ind/>
              <w:jc w:val="center"/>
              <w:rPr/>
            </w:pPr>
            <w:r>
              <w:t xml:space="preserve">Không</w:t>
            </w:r>
            <w:r/>
          </w:p>
        </w:tc>
        <w:tc>
          <w:tcPr>
            <w:tcBorders/>
            <w:tcW w:w="1203" w:type="dxa"/>
            <w:vAlign w:val="center"/>
            <w:textDirection w:val="lrTb"/>
            <w:noWrap w:val="false"/>
          </w:tcPr>
          <w:p>
            <w:pPr>
              <w:pBdr/>
              <w:spacing/>
              <w:ind/>
              <w:jc w:val="center"/>
              <w:rPr/>
            </w:pPr>
            <w:r/>
            <w:r/>
          </w:p>
        </w:tc>
      </w:tr>
    </w:tbl>
    <w:p>
      <w:pPr>
        <w:pStyle w:val="102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7"/>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7"/>
        <w:numPr>
          <w:ilvl w:val="0"/>
          <w:numId w:val="3"/>
        </w:numPr>
        <w:pBdr/>
        <w:tabs>
          <w:tab w:val="left" w:leader="none" w:pos="993"/>
        </w:tabs>
        <w:spacing w:after="120" w:before="120" w:line="264" w:lineRule="auto"/>
        <w:ind/>
        <w:jc w:val="both"/>
        <w:rPr>
          <w:spacing w:val="-2"/>
          <w:lang w:val="pt-BR"/>
        </w:rPr>
      </w:pPr>
      <w:r>
        <w:rPr>
          <w:spacing w:val="-2"/>
          <w:highlight w:val="none"/>
          <w:lang w:val="pt-BR" w:bidi="pt-BR"/>
        </w:rPr>
      </w:r>
      <w:r>
        <w:rPr>
          <w:rFonts w:ascii="Times New Roman" w:hAnsi="Times New Roman" w:eastAsia="Times New Roman" w:cs="Times New Roman"/>
          <w:color w:val="000000"/>
          <w:sz w:val="24"/>
        </w:rPr>
        <w:t xml:space="preserve">Tại thời điểm khảo sát dưới sự hướng dẫn của Khách hàng, CTXD gắn liền với đất là Nhà cấp 4, mái lợp tôn, diện tích xây dựng khoảng 50m</w:t>
      </w:r>
      <w:r>
        <w:rPr>
          <w:rFonts w:ascii="Times New Roman" w:hAnsi="Times New Roman" w:eastAsia="Times New Roman" w:cs="Times New Roman"/>
          <w:color w:val="000000"/>
          <w:sz w:val="24"/>
          <w:vertAlign w:val="superscript"/>
        </w:rPr>
        <w:t xml:space="preserve">2</w:t>
      </w:r>
      <w:r>
        <w:rPr>
          <w:spacing w:val="-2"/>
          <w:highlight w:val="none"/>
          <w:lang w:val="pt-BR" w:bidi="pt-BR"/>
        </w:rPr>
        <w:t xml:space="preserve">. C</w:t>
      </w:r>
      <w:r>
        <w:rPr>
          <w:spacing w:val="-2"/>
          <w:highlight w:val="none"/>
          <w:lang w:val="pt-BR" w:bidi="pt-BR"/>
        </w:rPr>
        <w:t xml:space="preserve">ông trình chưa được chứng nhận trên GCN. Đồng thời, Tổ thẩm định không nhận được bất kỳ hồ sơ pháp lý nào liên quan đến CTXD nêu trên. Do vậy, theo đề nghị của Ngân hàng/Khách hàng, Tổ thẩm định không xác định giá trị của công trình xây dựng vào tổng giá t</w:t>
      </w:r>
      <w:r>
        <w:rPr>
          <w:spacing w:val="-2"/>
          <w:highlight w:val="none"/>
          <w:lang w:val="pt-BR" w:bidi="pt-BR"/>
        </w:rPr>
        <w:t xml:space="preserve">rị, nhưng vẫn coi đó là phần không thể tách rời của tài sản thẩm định. Kính đề nghị đơn vị sử dụng kết quả lưu ý</w:t>
      </w:r>
      <w:r>
        <w:rPr>
          <w:spacing w:val="-2"/>
          <w:highlight w:val="none"/>
          <w:lang w:val="pt-BR" w:bidi="pt-BR"/>
        </w:rPr>
        <w:t xml:space="preserve">.</w:t>
      </w:r>
      <w:r>
        <w:rPr>
          <w:spacing w:val="-2"/>
          <w:lang w:val="pt-BR"/>
        </w:rPr>
      </w:r>
      <w:r>
        <w:rPr>
          <w:spacing w:val="-2"/>
          <w:lang w:val="pt-BR"/>
        </w:rPr>
      </w:r>
    </w:p>
    <w:p>
      <w:pPr>
        <w:pStyle w:val="1027"/>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7"/>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7"/>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7"/>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7"/>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7"/>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7"/>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7"/>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1984"/>
        <w:gridCol w:w="1701"/>
        <w:gridCol w:w="1701"/>
        <w:gridCol w:w="1701"/>
        <w:gridCol w:w="1701"/>
      </w:tblGrid>
      <w:tr>
        <w:trPr>
          <w:trHeight w:val="300"/>
          <w:tblHeader/>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tcBorders>
              <w:top w:val="single" w:color="000000" w:sz="6" w:space="0"/>
              <w:bottom w:val="single" w:color="000000" w:sz="6" w:space="0"/>
              <w:right w:val="single" w:color="000000" w:sz="6" w:space="0"/>
            </w:tcBorders>
            <w:tcMar>
              <w:left w:w="0" w:type="dxa"/>
              <w:top w:w="0" w:type="dxa"/>
              <w:right w:w="0" w:type="dxa"/>
              <w:bottom w:w="0" w:type="dxa"/>
            </w:tcMar>
            <w:tcW w:w="1984"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ĐẶC ĐIỂM BĐS</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0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0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0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0" w:type="dxa"/>
              <w:top w:w="0" w:type="dxa"/>
              <w:right w:w="0" w:type="dxa"/>
              <w:bottom w:w="0" w:type="dxa"/>
            </w:tcMar>
            <w:tcW w:w="1984" w:type="dxa"/>
            <w:vAlign w:val="top"/>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Thông tin về tài sản</w:t>
            </w:r>
            <w:r/>
          </w:p>
        </w:tc>
        <w:tc>
          <w:tcPr>
            <w:tcBorders>
              <w:bottom w:val="single" w:color="000000" w:sz="6" w:space="0"/>
              <w:right w:val="single" w:color="000000" w:sz="6" w:space="0"/>
            </w:tcBorders>
            <w:tcMar>
              <w:left w:w="0" w:type="dxa"/>
              <w:top w:w="0" w:type="dxa"/>
              <w:right w:w="0" w:type="dxa"/>
              <w:bottom w:w="0" w:type="dxa"/>
            </w:tcMar>
            <w:tcW w:w="170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193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Địa chỉ</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Xóm Bắc Tiền Tiến (xóm Tiền Tiến cũ), xã Diễn Kim, huyện Diễn Châu, tỉnh Nghệ An (Nay là xã Hải Châu, tỉnh Nghệ An)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Xóm Tiền Tiến, xã Hải Châu, tỉnh Nghệ An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Xóm Xuân Châu, xã Hải Châu, tỉnh Nghệ An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Xóm Thái Thịnh, xã Hải Châu, tỉnh Nghệ An</w:t>
            </w:r>
            <w:r/>
          </w:p>
        </w:tc>
      </w:tr>
      <w:tr>
        <w:trPr>
          <w:trHeight w:val="1380"/>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hyperlink r:id="rId19" w:tooltip="https://www.facebook.com/groups/4161120763914457/permalink/27684916351108234/" w:history="1">
              <w:r>
                <w:rPr>
                  <w:rStyle w:val="1017"/>
                  <w:rFonts w:ascii="Times New Roman" w:hAnsi="Times New Roman" w:eastAsia="Times New Roman" w:cs="Times New Roman"/>
                  <w:color w:val="000000"/>
                  <w:sz w:val="22"/>
                  <w:u w:val="none"/>
                </w:rPr>
                <w:t xml:space="preserve">https://www.facebook.com/groups/4161120763914457/permalink/27684916351108234/</w:t>
              </w:r>
            </w:hyperlink>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Liên hệ trực tiếp</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hyperlink r:id="rId20" w:tooltip="https://www.facebook.com/groups/4161120763914457/permalink/27745298028403399/" w:history="1">
              <w:r>
                <w:rPr>
                  <w:rStyle w:val="1017"/>
                  <w:rFonts w:ascii="Times New Roman" w:hAnsi="Times New Roman" w:eastAsia="Times New Roman" w:cs="Times New Roman"/>
                  <w:color w:val="000000"/>
                  <w:sz w:val="22"/>
                  <w:u w:val="none"/>
                </w:rPr>
                <w:t xml:space="preserve">https://www.facebook.com/groups/4161120763914457/permalink/27745298028403399/</w:t>
              </w:r>
            </w:hyperlink>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Thông tin liên lạc</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0349.866.399</w:t>
              <w:br/>
              <w:t xml:space="preserve">(Sale Ngô Hải)</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0349.866.399</w:t>
              <w:br/>
              <w:t xml:space="preserve">(Sale Ngô Hải)</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0982.481480</w:t>
              <w:br/>
              <w:t xml:space="preserve">(Sale Tạ Vinh)</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Đã giao dịch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4/2026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4/2026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4/2026 </w:t>
            </w:r>
            <w:r/>
          </w:p>
        </w:tc>
      </w:tr>
      <w:tr>
        <w:trPr>
          <w:trHeight w:val="828"/>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1104"/>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Mục đích sử dụng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ONT: 80m</w:t>
            </w:r>
            <w:r>
              <w:rPr>
                <w:rFonts w:ascii="Times New Roman" w:hAnsi="Times New Roman" w:eastAsia="Times New Roman" w:cs="Times New Roman"/>
                <w:color w:val="000000"/>
                <w:sz w:val="22"/>
                <w:vertAlign w:val="superscript"/>
              </w:rPr>
              <w:t xml:space="preserve">2</w:t>
            </w:r>
            <w:r>
              <w:rPr>
                <w:rFonts w:ascii="Times New Roman" w:hAnsi="Times New Roman" w:eastAsia="Times New Roman" w:cs="Times New Roman"/>
                <w:color w:val="000000"/>
                <w:sz w:val="22"/>
              </w:rPr>
              <w:br/>
              <w:t xml:space="preserve">Đất HNK: 59,4m</w:t>
            </w:r>
            <w:r>
              <w:rPr>
                <w:rFonts w:ascii="Times New Roman" w:hAnsi="Times New Roman" w:eastAsia="Times New Roman" w:cs="Times New Roman"/>
                <w:color w:val="000000"/>
                <w:sz w:val="22"/>
                <w:vertAlign w:val="superscript"/>
              </w:rPr>
              <w:t xml:space="preserve">2</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Thời hạn sử dụng đất</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Lâu dài</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Lâu dài</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Lâu dài</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color w:val="ff0000"/>
              </w:rPr>
            </w:pPr>
            <w:r>
              <w:rPr>
                <w:rFonts w:ascii="Times New Roman" w:hAnsi="Times New Roman" w:eastAsia="Times New Roman" w:cs="Times New Roman"/>
                <w:color w:val="000000"/>
                <w:sz w:val="22"/>
              </w:rPr>
              <w:t xml:space="preserve">Đất ONT: </w:t>
            </w:r>
            <w:r>
              <w:rPr>
                <w:rFonts w:ascii="Times New Roman" w:hAnsi="Times New Roman" w:eastAsia="Times New Roman" w:cs="Times New Roman"/>
                <w:color w:val="ff0000"/>
                <w:sz w:val="22"/>
              </w:rPr>
              <w:t xml:space="preserve">Lâu dài; Đất HNK: có thời hạn</w:t>
            </w:r>
            <w:r>
              <w:rPr>
                <w:color w:val="ff0000"/>
              </w:rPr>
            </w:r>
            <w:r>
              <w:rPr>
                <w:color w:val="ff0000"/>
              </w:rPr>
            </w:r>
          </w:p>
        </w:tc>
      </w:tr>
      <w:tr>
        <w:trPr>
          <w:trHeight w:val="1380"/>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xóm Bắc Tiền Tiến, xã Hải Châu, tỉnh Nghệ An; cách đường liên xã khoảng 400m</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xóm Tiền Tiến, xã Hải Châu, tỉnh Nghệ An; cách đường liên xã khoảng 450m</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xóm Xuân Châu, xã Hải Châu, tỉnh Nghệ An; cách đường liên xã khoảng 200m</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tại xóm Thái Thịnh, xã Hải Châu, tỉnh Nghệ An; cách đường liên xã khoảng 30m</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Giao thông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7m</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7m</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4,5m</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4m</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Diện tích đất (m²)</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297,6</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120,0</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142,5</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139,4</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Mặt tiền (m)</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7,5</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6,0</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7,0</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7,0</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Chiều sâu (m)</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43,08 - 44,67</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20,0</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20,0</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20,0</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Số lượng mặt tiếp giáp</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mặt tiền</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Hình dáng thửa đất</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Thóp hậu</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đối vuông vức</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Lợi thế kinh doanh</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Phù hợp để ở</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Yếu tố phong thủy</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Không lỗi phong thủy</w:t>
            </w:r>
            <w:r/>
          </w:p>
        </w:tc>
      </w:tr>
      <w:tr>
        <w:trPr>
          <w:trHeight w:val="828"/>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Tài sản trên đất</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21</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1.620.000.000</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1.400.000.000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1.300.000.000</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22</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thương lượng/bán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1.377.000.000</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1.190.000.000</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1.105.000.000</w:t>
            </w:r>
            <w:r/>
          </w:p>
        </w:tc>
      </w:tr>
      <w:tr>
        <w:trPr>
          <w:trHeight w:val="315"/>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Chi tiết tính toán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Giá trị đất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1.377.000.000</w:t>
            </w:r>
            <w:r>
              <w:rPr>
                <w:b/>
                <w:bCs/>
              </w:rPr>
            </w:r>
            <w:r>
              <w:rPr>
                <w:b/>
                <w:bCs/>
              </w:rP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1.190.000.000</w:t>
            </w:r>
            <w:r>
              <w:rPr>
                <w:b/>
                <w:bCs/>
              </w:rPr>
            </w:r>
            <w:r>
              <w:rPr>
                <w:b/>
                <w:bCs/>
              </w:rP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1.105.000.000</w:t>
            </w:r>
            <w:r>
              <w:rPr>
                <w:b/>
                <w:bCs/>
              </w:rPr>
            </w:r>
            <w:r>
              <w:rPr>
                <w:b/>
                <w:bCs/>
              </w:rP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Đơn giá QSDĐ (đồng/m²)</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center"/>
              <w:rPr>
                <w:b/>
                <w:bCs/>
              </w:rPr>
            </w:pPr>
            <w:r>
              <w:rPr>
                <w:rFonts w:ascii="Times New Roman" w:hAnsi="Times New Roman" w:eastAsia="Times New Roman" w:cs="Times New Roman"/>
                <w:b/>
                <w:bCs/>
                <w:color w:val="000000"/>
                <w:sz w:val="22"/>
              </w:rPr>
              <w:t xml:space="preserve">11.475.000</w:t>
            </w:r>
            <w:r>
              <w:rPr>
                <w:b/>
                <w:bCs/>
              </w:rPr>
            </w:r>
            <w:r>
              <w:rPr>
                <w:b/>
                <w:bCs/>
              </w:rP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center"/>
              <w:rPr>
                <w:b/>
                <w:bCs/>
              </w:rPr>
            </w:pPr>
            <w:r>
              <w:rPr>
                <w:rFonts w:ascii="Times New Roman" w:hAnsi="Times New Roman" w:eastAsia="Times New Roman" w:cs="Times New Roman"/>
                <w:b/>
                <w:bCs/>
                <w:color w:val="000000"/>
                <w:sz w:val="22"/>
              </w:rPr>
              <w:t xml:space="preserve">8.350.877</w:t>
            </w:r>
            <w:r>
              <w:rPr>
                <w:b/>
                <w:bCs/>
              </w:rPr>
            </w:r>
            <w:r>
              <w:rPr>
                <w:b/>
                <w:bCs/>
              </w:rP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center"/>
              <w:rPr>
                <w:b/>
                <w:bCs/>
              </w:rPr>
            </w:pPr>
            <w:r>
              <w:rPr>
                <w:rFonts w:ascii="Times New Roman" w:hAnsi="Times New Roman" w:eastAsia="Times New Roman" w:cs="Times New Roman"/>
                <w:b/>
                <w:bCs/>
                <w:color w:val="000000"/>
                <w:sz w:val="22"/>
              </w:rPr>
              <w:t xml:space="preserve">7.926.829</w:t>
            </w:r>
            <w:r>
              <w:rPr>
                <w:b/>
                <w:bCs/>
              </w:rPr>
            </w:r>
            <w:r>
              <w:rPr>
                <w:b/>
                <w:bCs/>
              </w:rP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C</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NHẬN XÉT</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Mục đích sử dụng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Giao thông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Diện tích đất (m²)</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Mặt tiền (m)</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Chiều sâu (m)</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Số lượng mặt tiếp giáp</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Hình dáng thửa đất</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7"/>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10"/>
        <w:gridCol w:w="1686"/>
        <w:gridCol w:w="850"/>
        <w:gridCol w:w="1595"/>
        <w:gridCol w:w="1595"/>
        <w:gridCol w:w="1595"/>
        <w:gridCol w:w="1595"/>
      </w:tblGrid>
      <w:tr>
        <w:trPr>
          <w:trHeight w:val="630"/>
          <w:tblHeader/>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1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828"/>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1.377.000.000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1.190.000.000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1.105.000.000</w:t>
            </w:r>
            <w:r/>
          </w:p>
        </w:tc>
      </w:tr>
      <w:tr>
        <w:trPr>
          <w:trHeight w:val="55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11.475.000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8.350.877</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7.926.829</w:t>
            </w:r>
            <w:r/>
          </w:p>
        </w:tc>
      </w:tr>
      <w:tr>
        <w:trPr>
          <w:trHeight w:val="525"/>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552"/>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11.475.000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8.350.877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7.926.829 </w:t>
            </w:r>
            <w:r/>
          </w:p>
        </w:tc>
      </w:tr>
      <w:tr>
        <w:trPr>
          <w:trHeight w:val="1104"/>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Đất ở tại nông thôn</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Đất ở tại nông thôn</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Đất ở tại nông thôn</w:t>
            </w:r>
            <w:r>
              <w:rPr>
                <w:b/>
                <w:bCs/>
              </w:rPr>
            </w:r>
            <w:r>
              <w:rPr>
                <w:b/>
                <w:bCs/>
              </w:rP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Đất ONT: 80m</w:t>
            </w:r>
            <w:r>
              <w:rPr>
                <w:rFonts w:ascii="Times New Roman" w:hAnsi="Times New Roman" w:eastAsia="Times New Roman" w:cs="Times New Roman"/>
                <w:b/>
                <w:bCs/>
                <w:color w:val="000000"/>
                <w:sz w:val="22"/>
                <w:vertAlign w:val="superscript"/>
              </w:rPr>
              <w:t xml:space="preserve">2</w:t>
            </w:r>
            <w:r>
              <w:rPr>
                <w:rFonts w:ascii="Times New Roman" w:hAnsi="Times New Roman" w:eastAsia="Times New Roman" w:cs="Times New Roman"/>
                <w:b/>
                <w:bCs/>
                <w:color w:val="000000"/>
                <w:sz w:val="22"/>
              </w:rPr>
              <w:br/>
              <w:t xml:space="preserve">Đất HNK: 59,4m</w:t>
            </w:r>
            <w:r>
              <w:rPr>
                <w:rFonts w:ascii="Times New Roman" w:hAnsi="Times New Roman" w:eastAsia="Times New Roman" w:cs="Times New Roman"/>
                <w:b/>
                <w:bCs/>
                <w:color w:val="000000"/>
                <w:sz w:val="22"/>
                <w:vertAlign w:val="superscript"/>
              </w:rPr>
              <w:t xml:space="preserve">2</w:t>
            </w:r>
            <w:r>
              <w:rPr>
                <w:b/>
                <w:bCs/>
              </w:rPr>
            </w:r>
            <w:r>
              <w:rPr>
                <w:b/>
                <w:bCs/>
              </w:rP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792.683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11.475.000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8.350.877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8.719.512 </w:t>
            </w:r>
            <w:r/>
          </w:p>
        </w:tc>
      </w:tr>
      <w:tr>
        <w:trPr>
          <w:trHeight w:val="362"/>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nằm tại xóm Bắc Tiền Tiến, xã Hải Châu, tỉnh Nghệ An; cách đường liên xã khoảng 400m</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nằm tại xóm Tiền Tiến, xã Hải Châu, tỉnh Nghệ An; cách đường liên xã khoảng 450m</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nằm tại xóm Xuân Châu, xã Hải Châu, tỉnh Nghệ An; cách đường liên xã khoảng 200m</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nằm tại xóm Thái Thịnh, xã Hải Châu, tỉnh Nghệ An; cách đường liên xã khoảng 30m</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-167.018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-396.341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11.475.000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8.183.860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8.323.171 </w:t>
            </w:r>
            <w:r/>
          </w:p>
        </w:tc>
      </w:tr>
      <w:tr>
        <w:trPr>
          <w:trHeight w:val="276"/>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7m</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7m</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4,5m</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4m</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25,00%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25,00%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2.087.719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1.981.707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11.475.000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10.271.579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10.304.878 </w:t>
            </w:r>
            <w:r/>
          </w:p>
        </w:tc>
      </w:tr>
      <w:tr>
        <w:trPr>
          <w:trHeight w:val="276"/>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Diện tích đất </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t xml:space="preserve">(m²)</w:t>
            </w:r>
            <w:r>
              <w:rPr>
                <w:rFonts w:ascii="Times New Roman" w:hAnsi="Times New Roman" w:eastAsia="Times New Roman" w:cs="Times New Roman"/>
                <w:b/>
                <w:color w:val="000000"/>
                <w:sz w:val="22"/>
              </w:rPr>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297,6</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120,0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142,5</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139,4</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-15,00%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-15,00%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-15,00%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-1.721.250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-1.252.632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-1.189.024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9.753.750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9.018.947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9.115.854 </w:t>
            </w:r>
            <w:r/>
          </w:p>
        </w:tc>
      </w:tr>
      <w:tr>
        <w:trPr>
          <w:trHeight w:val="276"/>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tcPr>
          <w:p>
            <w:pPr>
              <w:pBdr/>
              <w:spacing w:after="0" w:before="0" w:line="240" w:lineRule="auto"/>
              <w:ind w:right="0" w:firstLine="0" w:left="142"/>
              <w:rPr/>
            </w:pPr>
            <w:r>
              <w:rPr>
                <w:rFonts w:ascii="Times New Roman" w:hAnsi="Times New Roman" w:eastAsia="Times New Roman" w:cs="Times New Roman"/>
                <w:b/>
                <w:color w:val="000000"/>
                <w:sz w:val="22"/>
              </w:rPr>
              <w:t xml:space="preserve">Mặt tiền </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7,5</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573.750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167.018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158.537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10.327.500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9.185.965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9.274.390 </w:t>
            </w:r>
            <w:r/>
          </w:p>
        </w:tc>
      </w:tr>
      <w:tr>
        <w:trPr>
          <w:trHeight w:val="276"/>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tcPr>
          <w:p>
            <w:pPr>
              <w:pBdr/>
              <w:spacing w:after="0" w:before="0" w:line="240" w:lineRule="auto"/>
              <w:ind w:right="0" w:firstLine="0" w:left="142"/>
              <w:rPr/>
            </w:pPr>
            <w:r>
              <w:rPr>
                <w:rFonts w:ascii="Times New Roman" w:hAnsi="Times New Roman" w:eastAsia="Times New Roman" w:cs="Times New Roman"/>
                <w:b/>
                <w:color w:val="000000"/>
                <w:sz w:val="22"/>
              </w:rPr>
              <w:t xml:space="preserve">Chiều sâu </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2"/>
              </w:rPr>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43,08 - 44,67</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-12,00%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-12,00%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-12,00%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-1.377.000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-1.002.105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-951.220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8.950.500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8.183.860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8.323.171 </w:t>
            </w:r>
            <w:r/>
          </w:p>
        </w:tc>
      </w:tr>
      <w:tr>
        <w:trPr>
          <w:trHeight w:val="552"/>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mặt tiền</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8.950.500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8.183.860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8.323.171 </w:t>
            </w:r>
            <w:r/>
          </w:p>
        </w:tc>
      </w:tr>
      <w:tr>
        <w:trPr>
          <w:trHeight w:val="552"/>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0"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Thóp hậu</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Tương đối vuông vức</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-1.147.500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-835.088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-792.683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7.803.000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7.348.772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7.530.488 </w:t>
            </w:r>
            <w:r/>
          </w:p>
        </w:tc>
      </w:tr>
      <w:tr>
        <w:trPr>
          <w:trHeight w:val="276"/>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tcPr>
          <w:p>
            <w:pPr>
              <w:pBdr/>
              <w:spacing w:after="0" w:before="0" w:line="240" w:lineRule="auto"/>
              <w:ind w:right="0" w:firstLine="0" w:left="142"/>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7.803.000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7.348.772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7.530.488 </w:t>
            </w:r>
            <w:r/>
          </w:p>
        </w:tc>
      </w:tr>
      <w:tr>
        <w:trPr>
          <w:trHeight w:val="276"/>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6" w:space="0"/>
              <w:right w:val="single" w:color="000000" w:sz="6" w:space="0"/>
            </w:tcBorders>
            <w:tcMar>
              <w:left w:w="0" w:type="dxa"/>
              <w:top w:w="0" w:type="dxa"/>
              <w:right w:w="0" w:type="dxa"/>
              <w:bottom w:w="0" w:type="dxa"/>
            </w:tcMar>
            <w:tcW w:w="4784"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7.560.753 </w:t>
            </w:r>
            <w:r/>
          </w:p>
        </w:tc>
      </w:tr>
      <w:tr>
        <w:trPr>
          <w:trHeight w:val="30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3,20%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-2,80%</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-0,40%</w:t>
            </w:r>
            <w:r/>
          </w:p>
        </w:tc>
      </w:tr>
      <w:tr>
        <w:trPr>
          <w:trHeight w:val="828"/>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55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4.819.500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5.511.579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6.262.195 </w:t>
            </w:r>
            <w:r/>
          </w:p>
        </w:tc>
      </w:tr>
      <w:tr>
        <w:trPr>
          <w:trHeight w:val="55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r>
      <w:tr>
        <w:trPr>
          <w:trHeight w:val="276"/>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 - 15%</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 - 25%</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 - 25%</w:t>
            </w:r>
            <w:r/>
          </w:p>
        </w:tc>
      </w:tr>
      <w:tr>
        <w:trPr>
          <w:trHeight w:val="55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6" w:space="0"/>
              <w:right w:val="single" w:color="000000" w:sz="6" w:space="0"/>
            </w:tcBorders>
            <w:tcMar>
              <w:left w:w="0" w:type="dxa"/>
              <w:top w:w="0" w:type="dxa"/>
              <w:right w:w="0" w:type="dxa"/>
              <w:bottom w:w="0" w:type="dxa"/>
            </w:tcMar>
            <w:tcW w:w="1686"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3.672.000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1.002.105 </w:t>
            </w:r>
            <w:r/>
          </w:p>
        </w:tc>
        <w:tc>
          <w:tcPr>
            <w:shd w:val="clear" w:color="ffffff" w:fill="ffffff"/>
            <w:tcBorders>
              <w:bottom w:val="single" w:color="000000" w:sz="6" w:space="0"/>
              <w:right w:val="single" w:color="000000" w:sz="6" w:space="0"/>
            </w:tcBorders>
            <w:tcMar>
              <w:left w:w="0" w:type="dxa"/>
              <w:top w:w="0" w:type="dxa"/>
              <w:right w:w="0" w:type="dxa"/>
              <w:bottom w:w="0" w:type="dxa"/>
            </w:tcMar>
            <w:tcW w:w="1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396.341 </w:t>
            </w: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-2,8</w:t>
      </w:r>
      <w:r>
        <w:t xml:space="preserve">% đến</w:t>
      </w:r>
      <w:r>
        <w:t xml:space="preserve"> </w:t>
      </w:r>
      <w:r>
        <w:t xml:space="preserve">3,2</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7.803.000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50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3.901.500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7.348.771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25</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1.837.193</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7.530.489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25</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1.882.622</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7.621.315</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7.600.000</w:t>
            </w:r>
            <w:r>
              <w:rPr>
                <w:b/>
                <w:bCs/>
                <w:color w:val="000000"/>
              </w:rPr>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7.600.000</w:t>
      </w:r>
      <w:r>
        <w:rPr>
          <w:b/>
          <w:bCs/>
          <w:color w:val="000000" w:themeColor="text1"/>
        </w:rPr>
        <w:t xml:space="preserve"> </w:t>
      </w:r>
      <w:r>
        <w:rPr>
          <w:b/>
          <w:bCs/>
        </w:rPr>
        <w:t xml:space="preserve">đồng/m².</w:t>
      </w:r>
      <w:r>
        <w:rPr>
          <w:b/>
          <w:bCs/>
        </w:rPr>
      </w:r>
      <w:r>
        <w:rPr>
          <w:b/>
          <w:bCs/>
        </w:rPr>
      </w:r>
    </w:p>
    <w:p>
      <w:pPr>
        <w:pStyle w:val="1027"/>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7"/>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4/2026</w:t>
      </w:r>
      <w:r>
        <w:t xml:space="preserve"> </w:t>
      </w:r>
      <w:r>
        <w:t xml:space="preserve">ước tính </w:t>
      </w:r>
      <w:r>
        <w:t xml:space="preserve">như sau</w:t>
      </w:r>
      <w:r>
        <w:t xml:space="preserve">:</w:t>
      </w:r>
      <w:r>
        <w:rPr>
          <w:highlight w:val="none"/>
        </w:rP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2835"/>
        <w:gridCol w:w="1843"/>
        <w:gridCol w:w="2126"/>
        <w:gridCol w:w="1984"/>
      </w:tblGrid>
      <w:tr>
        <w:trPr>
          <w:trHeight w:val="72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83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Diện tích </w:t>
              <w:br/>
              <w:t xml:space="preserve">(m²)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Đơn giá </w:t>
              <w:br/>
              <w:t xml:space="preserve">(đồng/m²)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1957"/>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803" w:type="dxa"/>
            <w:vAlign w:val="center"/>
            <w:textDirection w:val="lrTb"/>
            <w:noWrap w:val="false"/>
          </w:tcPr>
          <w:p>
            <w:pPr>
              <w:pBdr/>
              <w:spacing w:after="0" w:before="0" w:line="240" w:lineRule="auto"/>
              <w:ind w:right="143" w:firstLine="0" w:left="142"/>
              <w:jc w:val="both"/>
              <w:rPr/>
            </w:pPr>
            <w:r>
              <w:rPr>
                <w:rFonts w:ascii="Times New Roman" w:hAnsi="Times New Roman" w:eastAsia="Times New Roman" w:cs="Times New Roman"/>
                <w:b/>
                <w:color w:val="000000"/>
                <w:sz w:val="24"/>
              </w:rPr>
              <w:t xml:space="preserve">Giá trị quyền sử dụng đất tại thửa đất số: 546, tờ bản đồ số 22 có địa chỉ: Xóm Bắc Tiền Tiến (xóm Tiền Tiến cũ), xã Diễn Kim, huyện Diễn Châu, tỉnh Nghệ An </w:t>
            </w:r>
            <w:r>
              <w:rPr>
                <w:rFonts w:ascii="Times New Roman" w:hAnsi="Times New Roman" w:eastAsia="Times New Roman" w:cs="Times New Roman"/>
                <w:b/>
                <w:i/>
                <w:iCs/>
                <w:color w:val="000000"/>
                <w:sz w:val="24"/>
              </w:rPr>
              <w:t xml:space="preserve">(Nay là xã Hải Châu, tỉnh Nghệ An)</w:t>
            </w:r>
            <w:r>
              <w:rPr>
                <w:rFonts w:ascii="Times New Roman" w:hAnsi="Times New Roman" w:eastAsia="Times New Roman" w:cs="Times New Roman"/>
                <w:b/>
                <w:color w:val="000000"/>
                <w:sz w:val="24"/>
              </w:rPr>
              <w:t xml:space="preserve"> theo Giấy chứng nhận quyền sử dụng đất quyền sở hữu nhà ở và tài</w:t>
            </w:r>
            <w:r>
              <w:rPr>
                <w:rFonts w:ascii="Times New Roman" w:hAnsi="Times New Roman" w:eastAsia="Times New Roman" w:cs="Times New Roman"/>
                <w:b/>
                <w:color w:val="000000"/>
                <w:sz w:val="24"/>
              </w:rPr>
              <w:t xml:space="preserve"> sản khác gắn liền với đất số: DL 881690, số vào sổ cấp GCN: CS 03755 do Sở Tài nguyên và Môi trường tỉnh Nghệ An cấp ngày 06/5/2023; Chủ sử dụng đất là Ông Nguyễn Quang Trung.</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right"/>
              <w:rPr/>
            </w:pPr>
            <w:r>
              <w:rPr>
                <w:rFonts w:ascii="Times New Roman" w:hAnsi="Times New Roman" w:eastAsia="Times New Roman" w:cs="Times New Roman"/>
                <w:b/>
                <w:color w:val="000000"/>
                <w:sz w:val="24"/>
              </w:rPr>
              <w:t xml:space="preserve"> </w:t>
            </w: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835"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4"/>
              </w:rPr>
              <w:t xml:space="preserve">Đất ở tại nông thôn</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right="0" w:firstLine="0" w:left="142"/>
              <w:jc w:val="center"/>
              <w:rPr/>
            </w:pPr>
            <w:r>
              <w:rPr>
                <w:rFonts w:ascii="Times New Roman" w:hAnsi="Times New Roman" w:eastAsia="Times New Roman" w:cs="Times New Roman"/>
                <w:color w:val="000000"/>
                <w:sz w:val="24"/>
              </w:rPr>
              <w:t xml:space="preserve">297,6</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right="0" w:firstLine="0" w:left="142"/>
              <w:jc w:val="center"/>
              <w:rPr/>
            </w:pPr>
            <w:r>
              <w:rPr>
                <w:rFonts w:ascii="Times New Roman" w:hAnsi="Times New Roman" w:eastAsia="Times New Roman" w:cs="Times New Roman"/>
                <w:color w:val="000000"/>
                <w:sz w:val="24"/>
              </w:rPr>
              <w:t xml:space="preserve">7.600.000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2.261.760.000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4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2.261.760.000</w:t>
            </w: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4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2.262.000.000</w:t>
            </w:r>
            <w:r/>
          </w:p>
        </w:tc>
      </w:tr>
      <w:tr>
        <w:trPr>
          <w:trHeight w:val="309"/>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24" w:type="dxa"/>
            <w:vAlign w:val="center"/>
            <w:textDirection w:val="lrTb"/>
            <w:noWrap w:val="false"/>
          </w:tcPr>
          <w:p>
            <w:pPr>
              <w:pBdr/>
              <w:spacing w:after="0" w:before="0" w:line="240" w:lineRule="auto"/>
              <w:ind/>
              <w:jc w:val="center"/>
              <w:rPr/>
            </w:pPr>
            <w:r>
              <w:rPr>
                <w:rFonts w:ascii="Times New Roman" w:hAnsi="Times New Roman" w:eastAsia="Times New Roman" w:cs="Times New Roman"/>
                <w:b/>
                <w:i/>
                <w:color w:val="000000"/>
                <w:sz w:val="24"/>
              </w:rPr>
              <w:t xml:space="preserve">(Bằng chữ: Hai tỷ, hai trăm sáu mươi hai triệu đồng chẵn./.)</w:t>
            </w:r>
            <w:r/>
          </w:p>
        </w:tc>
      </w:tr>
    </w:tbl>
    <w:p>
      <w:pPr>
        <w:pStyle w:val="1027"/>
        <w:pBdr/>
        <w:tabs>
          <w:tab w:val="left" w:leader="none" w:pos="993"/>
        </w:tabs>
        <w:spacing w:after="120" w:before="120" w:line="34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7"/>
        <w:numPr>
          <w:ilvl w:val="0"/>
          <w:numId w:val="4"/>
        </w:numPr>
        <w:pBdr/>
        <w:tabs>
          <w:tab w:val="left" w:leader="none" w:pos="993"/>
        </w:tabs>
        <w:spacing w:after="120" w:before="120" w:line="34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7"/>
        <w:pBdr/>
        <w:tabs>
          <w:tab w:val="left" w:leader="none" w:pos="993"/>
        </w:tabs>
        <w:spacing w:after="120" w:before="120" w:line="331"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7"/>
        <w:numPr>
          <w:ilvl w:val="0"/>
          <w:numId w:val="5"/>
        </w:numPr>
        <w:pBdr/>
        <w:tabs>
          <w:tab w:val="left" w:leader="none" w:pos="993"/>
        </w:tabs>
        <w:spacing w:after="120" w:before="120" w:line="331"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7"/>
        <w:numPr>
          <w:ilvl w:val="0"/>
          <w:numId w:val="5"/>
        </w:numPr>
        <w:pBdr/>
        <w:tabs>
          <w:tab w:val="left" w:leader="none" w:pos="993"/>
        </w:tabs>
        <w:spacing w:after="120" w:before="120" w:line="331"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7"/>
        <w:numPr>
          <w:ilvl w:val="0"/>
          <w:numId w:val="5"/>
        </w:numPr>
        <w:pBdr/>
        <w:tabs>
          <w:tab w:val="left" w:leader="none" w:pos="993"/>
        </w:tabs>
        <w:spacing w:after="120" w:before="120" w:line="331"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7"/>
        <w:numPr>
          <w:ilvl w:val="0"/>
          <w:numId w:val="5"/>
        </w:numPr>
        <w:pBdr/>
        <w:tabs>
          <w:tab w:val="left" w:leader="none" w:pos="993"/>
        </w:tabs>
        <w:spacing w:after="120" w:before="120" w:line="331"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7"/>
        <w:numPr>
          <w:ilvl w:val="0"/>
          <w:numId w:val="10"/>
        </w:numPr>
        <w:pBdr/>
        <w:spacing w:after="120" w:before="120" w:line="331"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7"/>
        <w:numPr>
          <w:ilvl w:val="0"/>
          <w:numId w:val="10"/>
        </w:numPr>
        <w:pBdr/>
        <w:spacing w:after="120" w:before="120" w:line="331"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7"/>
        <w:numPr>
          <w:ilvl w:val="0"/>
          <w:numId w:val="10"/>
        </w:numPr>
        <w:pBdr/>
        <w:spacing w:after="120" w:before="120" w:line="331"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7"/>
        <w:pBdr/>
        <w:tabs>
          <w:tab w:val="left" w:leader="none" w:pos="993"/>
        </w:tabs>
        <w:spacing w:after="120" w:before="120" w:line="331"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7"/>
        <w:numPr>
          <w:ilvl w:val="0"/>
          <w:numId w:val="5"/>
        </w:numPr>
        <w:pBdr/>
        <w:tabs>
          <w:tab w:val="left" w:leader="none" w:pos="993"/>
        </w:tabs>
        <w:spacing w:after="120" w:before="120" w:line="331"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7"/>
        <w:numPr>
          <w:ilvl w:val="0"/>
          <w:numId w:val="5"/>
        </w:numPr>
        <w:pBdr/>
        <w:tabs>
          <w:tab w:val="left" w:leader="none" w:pos="993"/>
        </w:tabs>
        <w:spacing w:after="120" w:before="120" w:line="331"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7"/>
        <w:numPr>
          <w:ilvl w:val="0"/>
          <w:numId w:val="5"/>
        </w:numPr>
        <w:pBdr/>
        <w:tabs>
          <w:tab w:val="left" w:leader="none" w:pos="993"/>
        </w:tabs>
        <w:spacing w:after="120" w:before="120" w:line="331"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7"/>
        <w:numPr>
          <w:ilvl w:val="0"/>
          <w:numId w:val="5"/>
        </w:numPr>
        <w:pBdr/>
        <w:tabs>
          <w:tab w:val="left" w:leader="none" w:pos="993"/>
        </w:tabs>
        <w:spacing w:after="120" w:before="120" w:line="331"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7"/>
        <w:numPr>
          <w:ilvl w:val="0"/>
          <w:numId w:val="5"/>
        </w:numPr>
        <w:pBdr/>
        <w:tabs>
          <w:tab w:val="left" w:leader="none" w:pos="993"/>
        </w:tabs>
        <w:spacing w:after="120" w:before="120" w:line="331"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7"/>
        <w:numPr>
          <w:ilvl w:val="0"/>
          <w:numId w:val="5"/>
        </w:numPr>
        <w:pBdr/>
        <w:tabs>
          <w:tab w:val="left" w:leader="none" w:pos="993"/>
        </w:tabs>
        <w:spacing w:after="120" w:before="120" w:line="331"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7"/>
        <w:numPr>
          <w:ilvl w:val="0"/>
          <w:numId w:val="5"/>
        </w:numPr>
        <w:pBdr/>
        <w:spacing w:after="120" w:before="120" w:line="331"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7"/>
        <w:numPr>
          <w:ilvl w:val="0"/>
          <w:numId w:val="5"/>
        </w:numPr>
        <w:pBdr/>
        <w:tabs>
          <w:tab w:val="left" w:leader="none" w:pos="993"/>
        </w:tabs>
        <w:spacing w:after="120" w:before="120" w:line="331"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7"/>
        <w:numPr>
          <w:ilvl w:val="0"/>
          <w:numId w:val="5"/>
        </w:numPr>
        <w:pBdr/>
        <w:spacing w:after="120" w:before="120" w:line="331"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7"/>
        <w:numPr>
          <w:ilvl w:val="0"/>
          <w:numId w:val="39"/>
        </w:numPr>
        <w:pBdr/>
        <w:tabs>
          <w:tab w:val="left" w:leader="none" w:pos="993"/>
        </w:tabs>
        <w:spacing w:after="120" w:before="120" w:line="331" w:lineRule="auto"/>
        <w:ind/>
        <w:jc w:val="both"/>
        <w:rPr>
          <w:spacing w:val="-2"/>
          <w:lang w:val="pt-BR"/>
        </w:rPr>
      </w:pPr>
      <w:r>
        <w:rPr>
          <w:spacing w:val="-2"/>
          <w:highlight w:val="none"/>
          <w:lang w:val="pt-BR" w:bidi="pt-BR"/>
        </w:rPr>
      </w:r>
      <w:r>
        <w:rPr>
          <w:rFonts w:ascii="Times New Roman" w:hAnsi="Times New Roman" w:eastAsia="Times New Roman" w:cs="Times New Roman"/>
          <w:color w:val="000000"/>
          <w:sz w:val="24"/>
        </w:rPr>
        <w:t xml:space="preserve">Tại thời điểm khảo sát dưới sự hướng dẫn của Khách hàng, CTXD gắn liền với đất là Nhà cấp 4, mái lợp tôn, diện tích xây dựng khoảng 50m</w:t>
      </w:r>
      <w:r>
        <w:rPr>
          <w:rFonts w:ascii="Times New Roman" w:hAnsi="Times New Roman" w:eastAsia="Times New Roman" w:cs="Times New Roman"/>
          <w:color w:val="000000"/>
          <w:sz w:val="24"/>
          <w:vertAlign w:val="superscript"/>
        </w:rPr>
        <w:t xml:space="preserve">2</w:t>
      </w:r>
      <w:r>
        <w:rPr>
          <w:spacing w:val="-2"/>
          <w:highlight w:val="none"/>
          <w:lang w:val="pt-BR" w:bidi="pt-BR"/>
        </w:rPr>
        <w:t xml:space="preserve">. C</w:t>
      </w:r>
      <w:r>
        <w:rPr>
          <w:spacing w:val="-2"/>
          <w:highlight w:val="none"/>
          <w:lang w:val="pt-BR" w:bidi="pt-BR"/>
        </w:rPr>
        <w:t xml:space="preserve">ông trình chưa được chứng nhận trên GCN. Đồng thời, Tổ thẩm định không nhận được bất kỳ hồ sơ pháp lý nào liên quan đến CTXD nêu trên. Do vậy, theo đề nghị của Ngân hàng/Khách hàng, Tổ thẩm định không xác định giá trị của công trình xây dựng vào tổng giá t</w:t>
      </w:r>
      <w:r>
        <w:rPr>
          <w:spacing w:val="-2"/>
          <w:highlight w:val="none"/>
          <w:lang w:val="pt-BR" w:bidi="pt-BR"/>
        </w:rPr>
        <w:t xml:space="preserve">rị, nhưng vẫn coi đó là phần không thể tách rời của tài sản thẩm định. Kính đề nghị đơn vị sử dụng kết quả lưu ý</w:t>
      </w:r>
      <w:r>
        <w:rPr>
          <w:spacing w:val="-2"/>
          <w:highlight w:val="none"/>
          <w:lang w:val="pt-BR" w:bidi="pt-BR"/>
        </w:rPr>
        <w:t xml:space="preserve">.</w:t>
      </w:r>
      <w:r>
        <w:rPr>
          <w:spacing w:val="-2"/>
          <w:lang w:val="pt-BR"/>
        </w:rPr>
      </w:r>
      <w:r>
        <w:rPr>
          <w:spacing w:val="-2"/>
          <w:lang w:val="pt-BR"/>
        </w:rPr>
      </w:r>
    </w:p>
    <w:p>
      <w:pPr>
        <w:pStyle w:val="1027"/>
        <w:numPr>
          <w:ilvl w:val="0"/>
          <w:numId w:val="3"/>
        </w:numPr>
        <w:pBdr/>
        <w:tabs>
          <w:tab w:val="left" w:leader="none" w:pos="993"/>
        </w:tabs>
        <w:spacing w:after="120" w:before="120" w:line="331"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7"/>
        <w:numPr>
          <w:ilvl w:val="0"/>
          <w:numId w:val="5"/>
        </w:numPr>
        <w:pBdr/>
        <w:tabs>
          <w:tab w:val="left" w:leader="none" w:pos="993"/>
        </w:tabs>
        <w:spacing w:after="120" w:before="120" w:line="331"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7"/>
        <w:numPr>
          <w:ilvl w:val="0"/>
          <w:numId w:val="5"/>
        </w:numPr>
        <w:pBdr/>
        <w:tabs>
          <w:tab w:val="left" w:leader="none" w:pos="993"/>
        </w:tabs>
        <w:spacing w:after="120" w:before="120" w:line="331"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331"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7"/>
        <w:pBdr/>
        <w:tabs>
          <w:tab w:val="left" w:leader="none" w:pos="993"/>
        </w:tabs>
        <w:spacing w:after="120" w:before="120" w:line="331"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7"/>
        <w:pBdr/>
        <w:tabs>
          <w:tab w:val="left" w:leader="none" w:pos="993"/>
        </w:tabs>
        <w:spacing w:after="120" w:before="120" w:line="331"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Bdr/>
        <w:shd w:val="nil" w:color="auto"/>
        <w:spacing/>
        <w:ind/>
        <w:rPr>
          <w:lang w:val="vi-VN"/>
        </w:rPr>
      </w:pPr>
      <w:r>
        <w:rPr>
          <w:highlight w:val="none"/>
          <w:lang w:val="vi-VN"/>
        </w:rPr>
        <w:br w:type="page" w:clear="all"/>
      </w: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275/2026/0655/VFI-CT.21.A</w:t>
      </w:r>
      <w:r>
        <w:rPr>
          <w:color w:val="ff0000"/>
          <w:lang w:val="vi-VN"/>
        </w:rPr>
        <w:t xml:space="preserve"> </w:t>
      </w:r>
      <w:r>
        <w:rPr>
          <w:color w:val="000000" w:themeColor="text1"/>
        </w:rPr>
        <w:t xml:space="preserve">ngày 29 tháng 4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5000" w:type="pct"/>
        <w:tblBorders/>
        <w:tblLayout w:type="fixed"/>
        <w:tblLook w:val="01E0" w:firstRow="1" w:lastRow="1" w:firstColumn="1" w:lastColumn="1" w:noHBand="0" w:noVBand="0"/>
      </w:tblPr>
      <w:tblGrid>
        <w:gridCol w:w="4422"/>
        <w:gridCol w:w="5102"/>
      </w:tblGrid>
      <w:tr>
        <w:trPr>
          <w:trHeight w:val="20"/>
        </w:trPr>
        <w:tc>
          <w:tcPr>
            <w:tcBorders/>
            <w:tcW w:w="4422"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02"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422"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102"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422"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102"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Trương Thị Diệp</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275/2026/0655/VFI-BC.21.A</w:t>
      </w:r>
      <w:r>
        <w:rPr>
          <w:i/>
          <w:lang w:val="pt-BR"/>
        </w:rPr>
        <w:t xml:space="preserve"> ngày </w:t>
      </w:r>
      <w:r>
        <w:rPr>
          <w:i/>
          <w:lang w:val="pt-BR"/>
        </w:rPr>
        <w:t xml:space="preserve">29 tháng 4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Người hướng dẫn khảo sát</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917380" cy="2040048"/>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43170" name=""/>
                              <pic:cNvPicPr>
                                <a:picLocks noChangeAspect="1"/>
                              </pic:cNvPicPr>
                              <pic:nvPr/>
                            </pic:nvPicPr>
                            <pic:blipFill rotWithShape="1">
                              <a:blip r:embed="rId21"/>
                              <a:stretch/>
                            </pic:blipFill>
                            <pic:spPr bwMode="auto">
                              <a:xfrm flipH="0" flipV="0">
                                <a:off x="0" y="0"/>
                                <a:ext cx="917380" cy="20400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72.23pt;height:160.63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88561" name=""/>
                              <pic:cNvPicPr>
                                <a:picLocks noChangeAspect="1"/>
                              </pic:cNvPicPr>
                              <pic:nvPr/>
                            </pic:nvPicPr>
                            <pic:blipFill rotWithShape="1">
                              <a:blip r:embed="rId22"/>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6.77pt;height:170.08pt;mso-wrap-distance-left:0.00pt;mso-wrap-distance-top:0.00pt;mso-wrap-distance-right:0.00pt;mso-wrap-distance-bottom:0.00pt;rotation:0;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74092" name=""/>
                              <pic:cNvPicPr>
                                <a:picLocks noChangeAspect="1"/>
                              </pic:cNvPicPr>
                              <pic:nvPr/>
                            </pic:nvPicPr>
                            <pic:blipFill rotWithShape="1">
                              <a:blip r:embed="rId23"/>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6.77pt;height:170.08pt;mso-wrap-distance-left:0.00pt;mso-wrap-distance-top:0.00pt;mso-wrap-distance-right:0.00pt;mso-wrap-distance-bottom:0.00pt;rotation:0;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52585" name=""/>
                              <pic:cNvPicPr>
                                <a:picLocks noChangeAspect="1"/>
                              </pic:cNvPicPr>
                              <pic:nvPr/>
                            </pic:nvPicPr>
                            <pic:blipFill rotWithShape="1">
                              <a:blip r:embed="rId24"/>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6.77pt;height:170.08pt;mso-wrap-distance-left:0.00pt;mso-wrap-distance-top:0.00pt;mso-wrap-distance-right:0.00pt;mso-wrap-distance-bottom:0.00pt;rotation:0;z-index:1;" stroked="false">
                      <v:imagedata r:id="rId24"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42015" name=""/>
                              <pic:cNvPicPr>
                                <a:picLocks noChangeAspect="1"/>
                              </pic:cNvPicPr>
                              <pic:nvPr/>
                            </pic:nvPicPr>
                            <pic:blipFill rotWithShape="1">
                              <a:blip r:embed="rId25"/>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6.77pt;height:170.08pt;mso-wrap-distance-left:0.00pt;mso-wrap-distance-top:0.00pt;mso-wrap-distance-right:0.00pt;mso-wrap-distance-bottom:0.00pt;rotation:0;z-index:1;" stroked="false">
                      <v:imagedata r:id="rId25"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80000" cy="21600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2106" name=""/>
                              <pic:cNvPicPr>
                                <a:picLocks noChangeAspect="1"/>
                              </pic:cNvPicPr>
                              <pic:nvPr/>
                            </pic:nvPicPr>
                            <pic:blipFill rotWithShape="1">
                              <a:blip r:embed="rId26"/>
                              <a:stretch/>
                            </pic:blipFill>
                            <pic:spPr bwMode="auto">
                              <a:xfrm rot="0" flipH="0" flipV="0">
                                <a:off x="0" y="0"/>
                                <a:ext cx="288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6.77pt;height:170.08pt;mso-wrap-distance-left:0.00pt;mso-wrap-distance-top:0.00pt;mso-wrap-distance-right:0.00pt;mso-wrap-distance-bottom:0.00pt;rotation:0;z-index:1;" stroked="false">
                      <v:imagedata r:id="rId26"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275/2026/0655/VFI-BC.21.A ngày</w:t>
      </w:r>
      <w:r>
        <w:rPr>
          <w:i/>
          <w:lang w:val="pt-BR"/>
        </w:rPr>
        <w:t xml:space="preserve"> </w:t>
      </w:r>
      <w:r>
        <w:rPr>
          <w:i/>
          <w:lang w:val="pt-BR"/>
        </w:rPr>
        <w:t xml:space="preserve">29 tháng 4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mc:AlternateContent>
          <mc:Choice Requires="wpg">
            <w:drawing>
              <wp:inline xmlns:wp="http://schemas.openxmlformats.org/drawingml/2006/wordprocessingDrawing" distT="0" distB="0" distL="0" distR="0">
                <wp:extent cx="5639140" cy="6937542"/>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96949" name=""/>
                        <pic:cNvPicPr>
                          <a:picLocks noChangeAspect="1"/>
                        </pic:cNvPicPr>
                        <pic:nvPr/>
                      </pic:nvPicPr>
                      <pic:blipFill rotWithShape="1">
                        <a:blip r:embed="rId27"/>
                        <a:stretch/>
                      </pic:blipFill>
                      <pic:spPr bwMode="auto">
                        <a:xfrm flipH="0" flipV="0">
                          <a:off x="0" y="0"/>
                          <a:ext cx="5639139" cy="69375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44.03pt;height:546.26pt;mso-wrap-distance-left:0.00pt;mso-wrap-distance-top:0.00pt;mso-wrap-distance-right:0.00pt;mso-wrap-distance-bottom:0.00pt;z-index:1;" stroked="false">
                <v:imagedata r:id="rId27" o:title=""/>
                <o:lock v:ext="edit" rotation="t"/>
              </v:shape>
            </w:pict>
          </mc:Fallback>
        </mc:AlternateContent>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16"/>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mc:AlternateContent>
                <mc:Choice Requires="wpg">
                  <w:drawing>
                    <wp:inline xmlns:wp="http://schemas.openxmlformats.org/drawingml/2006/wordprocessingDrawing" distT="0" distB="0" distL="0" distR="0">
                      <wp:extent cx="1557360" cy="109386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20020" name=""/>
                              <pic:cNvPicPr>
                                <a:picLocks noChangeAspect="1"/>
                              </pic:cNvPicPr>
                              <pic:nvPr/>
                            </pic:nvPicPr>
                            <pic:blipFill rotWithShape="1">
                              <a:blip r:embed="rId28"/>
                              <a:stretch/>
                            </pic:blipFill>
                            <pic:spPr bwMode="auto">
                              <a:xfrm rot="0" flipH="0" flipV="0">
                                <a:off x="0" y="0"/>
                                <a:ext cx="1557360" cy="10938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22.63pt;height:86.13pt;mso-wrap-distance-left:0.00pt;mso-wrap-distance-top:0.00pt;mso-wrap-distance-right:0.00pt;mso-wrap-distance-bottom:0.00pt;rotation:0;z-index:1;" stroked="false">
                      <v:imagedata r:id="rId28" o:title=""/>
                      <o:lock v:ext="edit" rotation="t"/>
                    </v:shape>
                  </w:pict>
                </mc:Fallback>
              </mc:AlternateContent>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Trương Thị Diệp</w:t>
            </w:r>
            <w:r>
              <w:rPr>
                <w:b/>
                <w:bCs/>
              </w:rPr>
            </w:r>
            <w:r>
              <w:rPr>
                <w:b/>
                <w:bCs/>
              </w:rPr>
            </w:r>
          </w:p>
        </w:tc>
      </w:tr>
    </w:tbl>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6048375" cy="740991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53654" name=""/>
                        <pic:cNvPicPr>
                          <a:picLocks noChangeAspect="1"/>
                        </pic:cNvPicPr>
                        <pic:nvPr/>
                      </pic:nvPicPr>
                      <pic:blipFill rotWithShape="1">
                        <a:blip r:embed="rId29"/>
                        <a:stretch/>
                      </pic:blipFill>
                      <pic:spPr bwMode="auto">
                        <a:xfrm flipH="0" flipV="0">
                          <a:off x="0" y="0"/>
                          <a:ext cx="6048374" cy="74099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583.46pt;mso-wrap-distance-left:0.00pt;mso-wrap-distance-top:0.00pt;mso-wrap-distance-right:0.00pt;mso-wrap-distance-bottom:0.00pt;z-index:1;" stroked="false">
                <v:imagedata r:id="rId29"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mc:AlternateContent>
                <mc:Choice Requires="wpg">
                  <w:drawing>
                    <wp:inline xmlns:wp="http://schemas.openxmlformats.org/drawingml/2006/wordprocessingDrawing" distT="0" distB="0" distL="0" distR="0">
                      <wp:extent cx="1557360" cy="109386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20020" name=""/>
                              <pic:cNvPicPr>
                                <a:picLocks noChangeAspect="1"/>
                              </pic:cNvPicPr>
                              <pic:nvPr/>
                            </pic:nvPicPr>
                            <pic:blipFill rotWithShape="1">
                              <a:blip r:embed="rId28"/>
                              <a:stretch/>
                            </pic:blipFill>
                            <pic:spPr bwMode="auto">
                              <a:xfrm rot="0" flipH="0" flipV="0">
                                <a:off x="0" y="0"/>
                                <a:ext cx="1557360" cy="10938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22.63pt;height:86.13pt;mso-wrap-distance-left:0.00pt;mso-wrap-distance-top:0.00pt;mso-wrap-distance-right:0.00pt;mso-wrap-distance-bottom:0.00pt;rotation:0;z-index:1;" stroked="false">
                      <v:imagedata r:id="rId28" o:title=""/>
                      <o:lock v:ext="edit" rotation="t"/>
                    </v:shape>
                  </w:pict>
                </mc:Fallback>
              </mc:AlternateConten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Trương Thị Diệp</w:t>
            </w:r>
            <w:r>
              <w:rPr>
                <w:b/>
                <w:bCs/>
              </w:rPr>
            </w:r>
            <w:r>
              <w:rPr>
                <w:b/>
                <w:bCs/>
              </w:rPr>
            </w:r>
          </w:p>
        </w:tc>
      </w:tr>
    </w:tbl>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r>
      <w:r>
        <mc:AlternateContent>
          <mc:Choice Requires="wpg">
            <w:drawing>
              <wp:inline xmlns:wp="http://schemas.openxmlformats.org/drawingml/2006/wordprocessingDrawing" distT="0" distB="0" distL="0" distR="0">
                <wp:extent cx="5543239" cy="734323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49162" name=""/>
                        <pic:cNvPicPr>
                          <a:picLocks noChangeAspect="1"/>
                        </pic:cNvPicPr>
                        <pic:nvPr/>
                      </pic:nvPicPr>
                      <pic:blipFill rotWithShape="1">
                        <a:blip r:embed="rId30"/>
                        <a:stretch/>
                      </pic:blipFill>
                      <pic:spPr bwMode="auto">
                        <a:xfrm flipH="0" flipV="0">
                          <a:off x="0" y="0"/>
                          <a:ext cx="5543238" cy="734323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36.48pt;height:578.21pt;mso-wrap-distance-left:0.00pt;mso-wrap-distance-top:0.00pt;mso-wrap-distance-right:0.00pt;mso-wrap-distance-bottom:0.00pt;z-index:1;" stroked="false">
                <v:imagedata r:id="rId30" o:title=""/>
                <o:lock v:ext="edit" rotation="t"/>
              </v:shape>
            </w:pict>
          </mc:Fallback>
        </mc:AlternateContent>
      </w:r>
      <w:r>
        <w:rPr>
          <w:b/>
          <w:bCs/>
          <w:iCs/>
          <w:lang w:val="pt-BR"/>
        </w:rPr>
      </w:r>
      <w:r/>
      <w:r>
        <w:rPr>
          <w:b/>
          <w:bCs/>
          <w:iCs/>
          <w:lang w:val="pt-BR"/>
        </w:rPr>
      </w:r>
      <w:r>
        <w:rPr>
          <w:b/>
          <w:bCs/>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mc:AlternateContent>
                <mc:Choice Requires="wpg">
                  <w:drawing>
                    <wp:inline xmlns:wp="http://schemas.openxmlformats.org/drawingml/2006/wordprocessingDrawing" distT="0" distB="0" distL="0" distR="0">
                      <wp:extent cx="1557360" cy="109386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42609" name=""/>
                              <pic:cNvPicPr>
                                <a:picLocks noChangeAspect="1"/>
                              </pic:cNvPicPr>
                              <pic:nvPr/>
                            </pic:nvPicPr>
                            <pic:blipFill rotWithShape="1">
                              <a:blip r:embed="rId28"/>
                              <a:stretch/>
                            </pic:blipFill>
                            <pic:spPr bwMode="auto">
                              <a:xfrm flipH="0" flipV="0">
                                <a:off x="0" y="0"/>
                                <a:ext cx="1557360" cy="10938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22.63pt;height:86.13pt;mso-wrap-distance-left:0.00pt;mso-wrap-distance-top:0.00pt;mso-wrap-distance-right:0.00pt;mso-wrap-distance-bottom:0.00pt;z-index:1;" stroked="false">
                      <v:imagedata r:id="rId28" o:title=""/>
                      <o:lock v:ext="edit" rotation="t"/>
                    </v:shape>
                  </w:pict>
                </mc:Fallback>
              </mc:AlternateConten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Trương Thị Diệp</w:t>
            </w:r>
            <w:r>
              <w:rPr>
                <w:b/>
                <w:bCs/>
              </w:rPr>
            </w:r>
            <w:r>
              <w:rPr>
                <w:b/>
                <w:bCs/>
              </w:rPr>
            </w:r>
          </w:p>
        </w:tc>
      </w:tr>
    </w:tbl>
    <w:p>
      <w:pPr>
        <w:pBdr/>
        <w:shd w:val="nil" w:color="auto"/>
        <w:spacing/>
        <w:ind/>
        <w:rPr>
          <w:lang w:val="pt-BR"/>
        </w:rPr>
      </w:pPr>
      <w:r>
        <w:rPr>
          <w:iCs/>
          <w:lang w:val="pt-BR"/>
        </w:rPr>
        <w:br w:type="page" w:clear="all"/>
      </w:r>
      <w:r>
        <w:rPr>
          <w:lang w:val="pt-BR"/>
        </w:rPr>
      </w:r>
      <w:r>
        <w:rPr>
          <w:lang w:val="pt-BR"/>
        </w:rPr>
      </w:r>
    </w:p>
    <w:p>
      <w:pPr>
        <w:pBdr/>
        <w:spacing w:after="200" w:line="276" w:lineRule="auto"/>
        <w:ind/>
        <w:rPr>
          <w:iCs/>
          <w:highlight w:val="none"/>
          <w:lang w:val="pt-BR"/>
        </w:rPr>
      </w:pPr>
      <w:r>
        <w:rPr>
          <w:iCs/>
          <w:lang w:val="pt-BR"/>
        </w:rPr>
      </w:r>
      <w:r>
        <mc:AlternateContent>
          <mc:Choice Requires="wpg">
            <w:drawing>
              <wp:inline xmlns:wp="http://schemas.openxmlformats.org/drawingml/2006/wordprocessingDrawing" distT="0" distB="0" distL="0" distR="0">
                <wp:extent cx="6048375" cy="414158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9186" name=""/>
                        <pic:cNvPicPr>
                          <a:picLocks noChangeAspect="1"/>
                        </pic:cNvPicPr>
                        <pic:nvPr/>
                      </pic:nvPicPr>
                      <pic:blipFill rotWithShape="1">
                        <a:blip r:embed="rId31"/>
                        <a:stretch/>
                      </pic:blipFill>
                      <pic:spPr bwMode="auto">
                        <a:xfrm>
                          <a:off x="0" y="0"/>
                          <a:ext cx="6048374" cy="41415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326.11pt;mso-wrap-distance-left:0.00pt;mso-wrap-distance-top:0.00pt;mso-wrap-distance-right:0.00pt;mso-wrap-distance-bottom:0.00pt;z-index:1;" stroked="false">
                <v:imagedata r:id="rId31" o:title=""/>
                <o:lock v:ext="edit" rotation="t"/>
              </v:shape>
            </w:pict>
          </mc:Fallback>
        </mc:AlternateContent>
      </w:r>
      <w:r>
        <w:rPr>
          <w:iCs/>
          <w:highlight w:val="none"/>
          <w:lang w:val="pt-BR"/>
        </w:rPr>
      </w:r>
      <w:r>
        <w:rPr>
          <w:iCs/>
          <w:highlight w:val="none"/>
          <w:lang w:val="pt-BR"/>
        </w:rPr>
      </w:r>
    </w:p>
    <w:p>
      <w:pPr>
        <w:pBdr/>
        <w:spacing w:after="200" w:line="276" w:lineRule="auto"/>
        <w:ind/>
        <w:rPr>
          <w:highlight w:val="none"/>
          <w:lang w:val="pt-BR" w:bidi="pt-BR"/>
        </w:rPr>
      </w:pPr>
      <w:r>
        <w:rPr>
          <w:iCs/>
          <w:highlight w:val="none"/>
          <w:lang w:val="pt-BR" w:bidi="pt-BR"/>
        </w:rPr>
      </w:r>
      <w:r>
        <mc:AlternateContent>
          <mc:Choice Requires="wpg">
            <w:drawing>
              <wp:inline xmlns:wp="http://schemas.openxmlformats.org/drawingml/2006/wordprocessingDrawing" distT="0" distB="0" distL="0" distR="0">
                <wp:extent cx="6048375" cy="4026711"/>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74329" name=""/>
                        <pic:cNvPicPr>
                          <a:picLocks noChangeAspect="1"/>
                        </pic:cNvPicPr>
                        <pic:nvPr/>
                      </pic:nvPicPr>
                      <pic:blipFill rotWithShape="1">
                        <a:blip r:embed="rId32"/>
                        <a:stretch/>
                      </pic:blipFill>
                      <pic:spPr bwMode="auto">
                        <a:xfrm>
                          <a:off x="0" y="0"/>
                          <a:ext cx="6048374" cy="402671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76.25pt;height:317.06pt;mso-wrap-distance-left:0.00pt;mso-wrap-distance-top:0.00pt;mso-wrap-distance-right:0.00pt;mso-wrap-distance-bottom:0.00pt;z-index:1;" stroked="false">
                <v:imagedata r:id="rId32" o:title=""/>
                <o:lock v:ext="edit" rotation="t"/>
              </v:shape>
            </w:pict>
          </mc:Fallback>
        </mc:AlternateContent>
      </w:r>
      <w:r>
        <w:rPr>
          <w:highlight w:val="none"/>
          <w:lang w:val="pt-BR" w:bidi="pt-BR"/>
        </w:rPr>
      </w:r>
      <w:r>
        <w:rPr>
          <w:highlight w:val="none"/>
          <w:lang w:val="pt-BR" w:bidi="pt-BR"/>
        </w:rPr>
      </w:r>
    </w:p>
    <w:p>
      <w:pPr>
        <w:pBdr/>
        <w:shd w:val="nil" w:color="auto"/>
        <w:spacing/>
        <w:ind/>
        <w:rPr>
          <w:lang w:val="pt-BR"/>
        </w:rPr>
      </w:pPr>
      <w:r>
        <w:rPr>
          <w:lang w:val="pt-BR"/>
        </w:rPr>
        <w:br w:type="page" w:clear="all"/>
      </w:r>
      <w:r>
        <w:rPr>
          <w:lang w:val="pt-BR"/>
        </w:rPr>
      </w:r>
      <w:r>
        <w:rPr>
          <w:lang w:val="pt-BR"/>
        </w:rPr>
      </w:r>
    </w:p>
    <w:p>
      <w:pPr>
        <w:pBdr/>
        <w:spacing w:after="200" w:line="276" w:lineRule="auto"/>
        <w:ind/>
        <w:rPr>
          <w:lang w:val="pt-BR"/>
        </w:rPr>
      </w:pPr>
      <w:r>
        <w:rPr>
          <w:iCs/>
          <w:highlight w:val="none"/>
          <w:lang w:val="pt-BR" w:bidi="pt-BR"/>
        </w:rPr>
      </w:r>
      <w:r>
        <mc:AlternateContent>
          <mc:Choice Requires="wpg">
            <w:drawing>
              <wp:inline xmlns:wp="http://schemas.openxmlformats.org/drawingml/2006/wordprocessingDrawing" distT="0" distB="0" distL="0" distR="0">
                <wp:extent cx="5143500" cy="726757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29442" name=""/>
                        <pic:cNvPicPr>
                          <a:picLocks noChangeAspect="1"/>
                        </pic:cNvPicPr>
                        <pic:nvPr/>
                      </pic:nvPicPr>
                      <pic:blipFill rotWithShape="1">
                        <a:blip r:embed="rId33"/>
                        <a:stretch/>
                      </pic:blipFill>
                      <pic:spPr bwMode="auto">
                        <a:xfrm>
                          <a:off x="0" y="0"/>
                          <a:ext cx="5143500" cy="72675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05.00pt;height:572.25pt;mso-wrap-distance-left:0.00pt;mso-wrap-distance-top:0.00pt;mso-wrap-distance-right:0.00pt;mso-wrap-distance-bottom:0.00pt;z-index:1;" stroked="false">
                <v:imagedata r:id="rId33" o:title=""/>
                <o:lock v:ext="edit" rotation="t"/>
              </v:shape>
            </w:pict>
          </mc:Fallback>
        </mc:AlternateContent>
      </w:r>
      <w:r>
        <w:rPr>
          <w:lang w:val="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9">
    <w:name w:val="Table Grid Light"/>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1"/>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2"/>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3"/>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4"/>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5"/>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w:basedOn w:val="10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w:basedOn w:val="10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1"/>
    <w:basedOn w:val="10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2"/>
    <w:basedOn w:val="10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3"/>
    <w:basedOn w:val="10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4"/>
    <w:basedOn w:val="10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5"/>
    <w:basedOn w:val="10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6"/>
    <w:basedOn w:val="10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1"/>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2"/>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3"/>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Accent 4"/>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5"/>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6"/>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1">
    <w:name w:val="Grid Table 6 Colorful - Accent 1"/>
    <w:basedOn w:val="10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2">
    <w:name w:val="Grid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3">
    <w:name w:val="Grid Table 6 Colorful - Accent 3"/>
    <w:basedOn w:val="10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4">
    <w:name w:val="Grid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5">
    <w:name w:val="Grid Table 6 Colorful - Accent 5"/>
    <w:basedOn w:val="10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6 Colorful - Accent 6"/>
    <w:basedOn w:val="10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7 Colorful"/>
    <w:basedOn w:val="10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1"/>
    <w:basedOn w:val="10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5"/>
    <w:basedOn w:val="10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6"/>
    <w:basedOn w:val="10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1"/>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2"/>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3"/>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4"/>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5"/>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6"/>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w:basedOn w:val="10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1"/>
    <w:basedOn w:val="10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2"/>
    <w:basedOn w:val="10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3"/>
    <w:basedOn w:val="10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4"/>
    <w:basedOn w:val="10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5"/>
    <w:basedOn w:val="10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6"/>
    <w:basedOn w:val="10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1"/>
    <w:basedOn w:val="10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3"/>
    <w:basedOn w:val="10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5"/>
    <w:basedOn w:val="10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6"/>
    <w:basedOn w:val="10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1"/>
    <w:basedOn w:val="10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2"/>
    <w:basedOn w:val="10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3"/>
    <w:basedOn w:val="10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4"/>
    <w:basedOn w:val="10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5"/>
    <w:basedOn w:val="10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6"/>
    <w:basedOn w:val="10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5 Dark"/>
    <w:basedOn w:val="10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1"/>
    <w:basedOn w:val="10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2"/>
    <w:basedOn w:val="10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3"/>
    <w:basedOn w:val="10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4"/>
    <w:basedOn w:val="10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5"/>
    <w:basedOn w:val="10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6"/>
    <w:basedOn w:val="10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1"/>
    <w:basedOn w:val="10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3"/>
    <w:basedOn w:val="10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5"/>
    <w:basedOn w:val="10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6"/>
    <w:basedOn w:val="10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7 Colorful"/>
    <w:basedOn w:val="10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7">
    <w:name w:val="List Table 7 Colorful - Accent 1"/>
    <w:basedOn w:val="10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8">
    <w:name w:val="List Table 7 Colorful - Accent 2"/>
    <w:basedOn w:val="10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9">
    <w:name w:val="List Table 7 Colorful - Accent 3"/>
    <w:basedOn w:val="10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0">
    <w:name w:val="List Table 7 Colorful - Accent 4"/>
    <w:basedOn w:val="10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1">
    <w:name w:val="List Table 7 Colorful - Accent 5"/>
    <w:basedOn w:val="10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2">
    <w:name w:val="List Table 7 Colorful - Accent 6"/>
    <w:basedOn w:val="10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3">
    <w:name w:val="Lined - Accent"/>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1"/>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2"/>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3"/>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4"/>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5"/>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6"/>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w:basedOn w:val="10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1"/>
    <w:basedOn w:val="10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2"/>
    <w:basedOn w:val="10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3"/>
    <w:basedOn w:val="10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4"/>
    <w:basedOn w:val="10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5"/>
    <w:basedOn w:val="10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6"/>
    <w:basedOn w:val="10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w:basedOn w:val="10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4">
    <w:name w:val="Heading 5"/>
    <w:basedOn w:val="1005"/>
    <w:next w:val="1005"/>
    <w:link w:val="96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5">
    <w:name w:val="Heading 6"/>
    <w:basedOn w:val="1005"/>
    <w:next w:val="1005"/>
    <w:link w:val="97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6">
    <w:name w:val="Heading 7"/>
    <w:basedOn w:val="1005"/>
    <w:next w:val="1005"/>
    <w:link w:val="97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7">
    <w:name w:val="Heading 8"/>
    <w:basedOn w:val="1005"/>
    <w:next w:val="1005"/>
    <w:link w:val="97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8">
    <w:name w:val="Heading 9"/>
    <w:basedOn w:val="1005"/>
    <w:next w:val="1005"/>
    <w:link w:val="97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9">
    <w:name w:val="Heading 5 Char"/>
    <w:basedOn w:val="1010"/>
    <w:link w:val="964"/>
    <w:uiPriority w:val="9"/>
    <w:pPr>
      <w:pBdr/>
      <w:spacing/>
      <w:ind/>
    </w:pPr>
    <w:rPr>
      <w:rFonts w:ascii="Arial" w:hAnsi="Arial" w:eastAsia="Arial" w:cs="Arial"/>
      <w:color w:val="0f4761" w:themeColor="accent1" w:themeShade="BF"/>
    </w:rPr>
  </w:style>
  <w:style w:type="character" w:styleId="970">
    <w:name w:val="Heading 6 Char"/>
    <w:basedOn w:val="1010"/>
    <w:link w:val="965"/>
    <w:uiPriority w:val="9"/>
    <w:pPr>
      <w:pBdr/>
      <w:spacing/>
      <w:ind/>
    </w:pPr>
    <w:rPr>
      <w:rFonts w:ascii="Arial" w:hAnsi="Arial" w:eastAsia="Arial" w:cs="Arial"/>
      <w:i/>
      <w:iCs/>
      <w:color w:val="595959" w:themeColor="text1" w:themeTint="A6"/>
    </w:rPr>
  </w:style>
  <w:style w:type="character" w:styleId="971">
    <w:name w:val="Heading 7 Char"/>
    <w:basedOn w:val="1010"/>
    <w:link w:val="966"/>
    <w:uiPriority w:val="9"/>
    <w:pPr>
      <w:pBdr/>
      <w:spacing/>
      <w:ind/>
    </w:pPr>
    <w:rPr>
      <w:rFonts w:ascii="Arial" w:hAnsi="Arial" w:eastAsia="Arial" w:cs="Arial"/>
      <w:color w:val="595959" w:themeColor="text1" w:themeTint="A6"/>
    </w:rPr>
  </w:style>
  <w:style w:type="character" w:styleId="972">
    <w:name w:val="Heading 8 Char"/>
    <w:basedOn w:val="1010"/>
    <w:link w:val="967"/>
    <w:uiPriority w:val="9"/>
    <w:pPr>
      <w:pBdr/>
      <w:spacing/>
      <w:ind/>
    </w:pPr>
    <w:rPr>
      <w:rFonts w:ascii="Arial" w:hAnsi="Arial" w:eastAsia="Arial" w:cs="Arial"/>
      <w:i/>
      <w:iCs/>
      <w:color w:val="272727" w:themeColor="text1" w:themeTint="D8"/>
    </w:rPr>
  </w:style>
  <w:style w:type="character" w:styleId="973">
    <w:name w:val="Heading 9 Char"/>
    <w:basedOn w:val="1010"/>
    <w:link w:val="968"/>
    <w:uiPriority w:val="9"/>
    <w:pPr>
      <w:pBdr/>
      <w:spacing/>
      <w:ind/>
    </w:pPr>
    <w:rPr>
      <w:rFonts w:ascii="Arial" w:hAnsi="Arial" w:eastAsia="Arial" w:cs="Arial"/>
      <w:i/>
      <w:iCs/>
      <w:color w:val="272727" w:themeColor="text1" w:themeTint="D8"/>
    </w:rPr>
  </w:style>
  <w:style w:type="paragraph" w:styleId="974">
    <w:name w:val="Subtitle"/>
    <w:basedOn w:val="1005"/>
    <w:next w:val="1005"/>
    <w:link w:val="975"/>
    <w:uiPriority w:val="11"/>
    <w:qFormat/>
    <w:pPr>
      <w:numPr>
        <w:ilvl w:val="1"/>
      </w:numPr>
      <w:pBdr/>
      <w:spacing/>
      <w:ind/>
    </w:pPr>
    <w:rPr>
      <w:color w:val="595959" w:themeColor="text1" w:themeTint="A6"/>
      <w:spacing w:val="15"/>
      <w:sz w:val="28"/>
      <w:szCs w:val="28"/>
    </w:rPr>
  </w:style>
  <w:style w:type="character" w:styleId="975">
    <w:name w:val="Subtitle Char"/>
    <w:basedOn w:val="1010"/>
    <w:link w:val="974"/>
    <w:uiPriority w:val="11"/>
    <w:pPr>
      <w:pBdr/>
      <w:spacing/>
      <w:ind/>
    </w:pPr>
    <w:rPr>
      <w:color w:val="595959" w:themeColor="text1" w:themeTint="A6"/>
      <w:spacing w:val="15"/>
      <w:sz w:val="28"/>
      <w:szCs w:val="28"/>
    </w:rPr>
  </w:style>
  <w:style w:type="paragraph" w:styleId="976">
    <w:name w:val="Quote"/>
    <w:basedOn w:val="1005"/>
    <w:next w:val="1005"/>
    <w:link w:val="977"/>
    <w:uiPriority w:val="29"/>
    <w:qFormat/>
    <w:pPr>
      <w:pBdr/>
      <w:spacing w:before="160"/>
      <w:ind/>
      <w:jc w:val="center"/>
    </w:pPr>
    <w:rPr>
      <w:i/>
      <w:iCs/>
      <w:color w:val="404040" w:themeColor="text1" w:themeTint="BF"/>
    </w:rPr>
  </w:style>
  <w:style w:type="character" w:styleId="977">
    <w:name w:val="Quote Char"/>
    <w:basedOn w:val="1010"/>
    <w:link w:val="976"/>
    <w:uiPriority w:val="29"/>
    <w:pPr>
      <w:pBdr/>
      <w:spacing/>
      <w:ind/>
    </w:pPr>
    <w:rPr>
      <w:i/>
      <w:iCs/>
      <w:color w:val="404040" w:themeColor="text1" w:themeTint="BF"/>
    </w:rPr>
  </w:style>
  <w:style w:type="character" w:styleId="978">
    <w:name w:val="Intense Emphasis"/>
    <w:basedOn w:val="1010"/>
    <w:uiPriority w:val="21"/>
    <w:qFormat/>
    <w:pPr>
      <w:pBdr/>
      <w:spacing/>
      <w:ind/>
    </w:pPr>
    <w:rPr>
      <w:i/>
      <w:iCs/>
      <w:color w:val="0f4761" w:themeColor="accent1" w:themeShade="BF"/>
    </w:rPr>
  </w:style>
  <w:style w:type="paragraph" w:styleId="979">
    <w:name w:val="Intense Quote"/>
    <w:basedOn w:val="1005"/>
    <w:next w:val="1005"/>
    <w:link w:val="98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0">
    <w:name w:val="Intense Quote Char"/>
    <w:basedOn w:val="1010"/>
    <w:link w:val="979"/>
    <w:uiPriority w:val="30"/>
    <w:pPr>
      <w:pBdr/>
      <w:spacing/>
      <w:ind/>
    </w:pPr>
    <w:rPr>
      <w:i/>
      <w:iCs/>
      <w:color w:val="0f4761" w:themeColor="accent1" w:themeShade="BF"/>
    </w:rPr>
  </w:style>
  <w:style w:type="character" w:styleId="981">
    <w:name w:val="Intense Reference"/>
    <w:basedOn w:val="1010"/>
    <w:uiPriority w:val="32"/>
    <w:qFormat/>
    <w:pPr>
      <w:pBdr/>
      <w:spacing/>
      <w:ind/>
    </w:pPr>
    <w:rPr>
      <w:b/>
      <w:bCs/>
      <w:smallCaps/>
      <w:color w:val="0f4761" w:themeColor="accent1" w:themeShade="BF"/>
      <w:spacing w:val="5"/>
    </w:rPr>
  </w:style>
  <w:style w:type="paragraph" w:styleId="982">
    <w:name w:val="No Spacing"/>
    <w:basedOn w:val="1005"/>
    <w:uiPriority w:val="1"/>
    <w:qFormat/>
    <w:pPr>
      <w:pBdr/>
      <w:spacing w:after="0" w:line="240" w:lineRule="auto"/>
      <w:ind/>
    </w:pPr>
  </w:style>
  <w:style w:type="character" w:styleId="983">
    <w:name w:val="Subtle Emphasis"/>
    <w:basedOn w:val="1010"/>
    <w:uiPriority w:val="19"/>
    <w:qFormat/>
    <w:pPr>
      <w:pBdr/>
      <w:spacing/>
      <w:ind/>
    </w:pPr>
    <w:rPr>
      <w:i/>
      <w:iCs/>
      <w:color w:val="404040" w:themeColor="text1" w:themeTint="BF"/>
    </w:rPr>
  </w:style>
  <w:style w:type="character" w:styleId="984">
    <w:name w:val="Subtle Reference"/>
    <w:basedOn w:val="1010"/>
    <w:uiPriority w:val="31"/>
    <w:qFormat/>
    <w:pPr>
      <w:pBdr/>
      <w:spacing/>
      <w:ind/>
    </w:pPr>
    <w:rPr>
      <w:smallCaps/>
      <w:color w:val="5a5a5a" w:themeColor="text1" w:themeTint="A5"/>
    </w:rPr>
  </w:style>
  <w:style w:type="character" w:styleId="985">
    <w:name w:val="Book Title"/>
    <w:basedOn w:val="1010"/>
    <w:uiPriority w:val="33"/>
    <w:qFormat/>
    <w:pPr>
      <w:pBdr/>
      <w:spacing/>
      <w:ind/>
    </w:pPr>
    <w:rPr>
      <w:b/>
      <w:bCs/>
      <w:i/>
      <w:iCs/>
      <w:spacing w:val="5"/>
    </w:rPr>
  </w:style>
  <w:style w:type="paragraph" w:styleId="986">
    <w:name w:val="Caption"/>
    <w:basedOn w:val="1005"/>
    <w:next w:val="1005"/>
    <w:uiPriority w:val="35"/>
    <w:unhideWhenUsed/>
    <w:qFormat/>
    <w:pPr>
      <w:pBdr/>
      <w:spacing w:after="200" w:line="240" w:lineRule="auto"/>
      <w:ind/>
    </w:pPr>
    <w:rPr>
      <w:i/>
      <w:iCs/>
      <w:color w:val="0e2841" w:themeColor="text2"/>
      <w:sz w:val="18"/>
      <w:szCs w:val="18"/>
    </w:rPr>
  </w:style>
  <w:style w:type="paragraph" w:styleId="987">
    <w:name w:val="footnote text"/>
    <w:basedOn w:val="1005"/>
    <w:link w:val="988"/>
    <w:uiPriority w:val="99"/>
    <w:semiHidden/>
    <w:unhideWhenUsed/>
    <w:pPr>
      <w:pBdr/>
      <w:spacing w:after="0" w:line="240" w:lineRule="auto"/>
      <w:ind/>
    </w:pPr>
    <w:rPr>
      <w:sz w:val="20"/>
      <w:szCs w:val="20"/>
    </w:rPr>
  </w:style>
  <w:style w:type="character" w:styleId="988">
    <w:name w:val="Footnote Text Char"/>
    <w:basedOn w:val="1010"/>
    <w:link w:val="987"/>
    <w:uiPriority w:val="99"/>
    <w:semiHidden/>
    <w:pPr>
      <w:pBdr/>
      <w:spacing/>
      <w:ind/>
    </w:pPr>
    <w:rPr>
      <w:sz w:val="20"/>
      <w:szCs w:val="20"/>
    </w:rPr>
  </w:style>
  <w:style w:type="character" w:styleId="989">
    <w:name w:val="footnote reference"/>
    <w:basedOn w:val="1010"/>
    <w:uiPriority w:val="99"/>
    <w:semiHidden/>
    <w:unhideWhenUsed/>
    <w:pPr>
      <w:pBdr/>
      <w:spacing/>
      <w:ind/>
    </w:pPr>
    <w:rPr>
      <w:vertAlign w:val="superscript"/>
    </w:rPr>
  </w:style>
  <w:style w:type="paragraph" w:styleId="990">
    <w:name w:val="endnote text"/>
    <w:basedOn w:val="1005"/>
    <w:link w:val="991"/>
    <w:uiPriority w:val="99"/>
    <w:semiHidden/>
    <w:unhideWhenUsed/>
    <w:pPr>
      <w:pBdr/>
      <w:spacing w:after="0" w:line="240" w:lineRule="auto"/>
      <w:ind/>
    </w:pPr>
    <w:rPr>
      <w:sz w:val="20"/>
      <w:szCs w:val="20"/>
    </w:rPr>
  </w:style>
  <w:style w:type="character" w:styleId="991">
    <w:name w:val="Endnote Text Char"/>
    <w:basedOn w:val="1010"/>
    <w:link w:val="990"/>
    <w:uiPriority w:val="99"/>
    <w:semiHidden/>
    <w:pPr>
      <w:pBdr/>
      <w:spacing/>
      <w:ind/>
    </w:pPr>
    <w:rPr>
      <w:sz w:val="20"/>
      <w:szCs w:val="20"/>
    </w:rPr>
  </w:style>
  <w:style w:type="character" w:styleId="992">
    <w:name w:val="endnote reference"/>
    <w:basedOn w:val="1010"/>
    <w:uiPriority w:val="99"/>
    <w:semiHidden/>
    <w:unhideWhenUsed/>
    <w:pPr>
      <w:pBdr/>
      <w:spacing/>
      <w:ind/>
    </w:pPr>
    <w:rPr>
      <w:vertAlign w:val="superscript"/>
    </w:rPr>
  </w:style>
  <w:style w:type="paragraph" w:styleId="993">
    <w:name w:val="toc 1"/>
    <w:basedOn w:val="1005"/>
    <w:next w:val="1005"/>
    <w:uiPriority w:val="39"/>
    <w:unhideWhenUsed/>
    <w:pPr>
      <w:pBdr/>
      <w:spacing w:after="100"/>
      <w:ind/>
    </w:pPr>
  </w:style>
  <w:style w:type="paragraph" w:styleId="994">
    <w:name w:val="toc 2"/>
    <w:basedOn w:val="1005"/>
    <w:next w:val="1005"/>
    <w:uiPriority w:val="39"/>
    <w:unhideWhenUsed/>
    <w:pPr>
      <w:pBdr/>
      <w:spacing w:after="100"/>
      <w:ind w:left="220"/>
    </w:pPr>
  </w:style>
  <w:style w:type="paragraph" w:styleId="995">
    <w:name w:val="toc 3"/>
    <w:basedOn w:val="1005"/>
    <w:next w:val="1005"/>
    <w:uiPriority w:val="39"/>
    <w:unhideWhenUsed/>
    <w:pPr>
      <w:pBdr/>
      <w:spacing w:after="100"/>
      <w:ind w:left="440"/>
    </w:pPr>
  </w:style>
  <w:style w:type="paragraph" w:styleId="996">
    <w:name w:val="toc 4"/>
    <w:basedOn w:val="1005"/>
    <w:next w:val="1005"/>
    <w:uiPriority w:val="39"/>
    <w:unhideWhenUsed/>
    <w:pPr>
      <w:pBdr/>
      <w:spacing w:after="100"/>
      <w:ind w:left="660"/>
    </w:pPr>
  </w:style>
  <w:style w:type="paragraph" w:styleId="997">
    <w:name w:val="toc 5"/>
    <w:basedOn w:val="1005"/>
    <w:next w:val="1005"/>
    <w:uiPriority w:val="39"/>
    <w:unhideWhenUsed/>
    <w:pPr>
      <w:pBdr/>
      <w:spacing w:after="100"/>
      <w:ind w:left="880"/>
    </w:pPr>
  </w:style>
  <w:style w:type="paragraph" w:styleId="998">
    <w:name w:val="toc 6"/>
    <w:basedOn w:val="1005"/>
    <w:next w:val="1005"/>
    <w:uiPriority w:val="39"/>
    <w:unhideWhenUsed/>
    <w:pPr>
      <w:pBdr/>
      <w:spacing w:after="100"/>
      <w:ind w:left="1100"/>
    </w:pPr>
  </w:style>
  <w:style w:type="paragraph" w:styleId="999">
    <w:name w:val="toc 7"/>
    <w:basedOn w:val="1005"/>
    <w:next w:val="1005"/>
    <w:uiPriority w:val="39"/>
    <w:unhideWhenUsed/>
    <w:pPr>
      <w:pBdr/>
      <w:spacing w:after="100"/>
      <w:ind w:left="1320"/>
    </w:pPr>
  </w:style>
  <w:style w:type="paragraph" w:styleId="1000">
    <w:name w:val="toc 8"/>
    <w:basedOn w:val="1005"/>
    <w:next w:val="1005"/>
    <w:uiPriority w:val="39"/>
    <w:unhideWhenUsed/>
    <w:pPr>
      <w:pBdr/>
      <w:spacing w:after="100"/>
      <w:ind w:left="1540"/>
    </w:pPr>
  </w:style>
  <w:style w:type="paragraph" w:styleId="1001">
    <w:name w:val="toc 9"/>
    <w:basedOn w:val="1005"/>
    <w:next w:val="1005"/>
    <w:uiPriority w:val="39"/>
    <w:unhideWhenUsed/>
    <w:pPr>
      <w:pBdr/>
      <w:spacing w:after="100"/>
      <w:ind w:left="1760"/>
    </w:pPr>
  </w:style>
  <w:style w:type="character" w:styleId="1002">
    <w:name w:val="Placeholder Text"/>
    <w:basedOn w:val="1010"/>
    <w:uiPriority w:val="99"/>
    <w:semiHidden/>
    <w:pPr>
      <w:pBdr/>
      <w:spacing/>
      <w:ind/>
    </w:pPr>
    <w:rPr>
      <w:color w:val="666666"/>
    </w:rPr>
  </w:style>
  <w:style w:type="paragraph" w:styleId="1003">
    <w:name w:val="TOC Heading"/>
    <w:uiPriority w:val="39"/>
    <w:unhideWhenUsed/>
    <w:pPr>
      <w:pBdr/>
      <w:spacing/>
      <w:ind/>
    </w:pPr>
  </w:style>
  <w:style w:type="paragraph" w:styleId="1004">
    <w:name w:val="table of figures"/>
    <w:basedOn w:val="1005"/>
    <w:next w:val="1005"/>
    <w:uiPriority w:val="99"/>
    <w:unhideWhenUsed/>
    <w:pPr>
      <w:pBdr/>
      <w:spacing w:after="0" w:afterAutospacing="0"/>
      <w:ind/>
    </w:pPr>
  </w:style>
  <w:style w:type="paragraph" w:styleId="1005" w:default="1">
    <w:name w:val="Normal"/>
    <w:qFormat/>
    <w:pPr>
      <w:pBdr/>
      <w:spacing w:after="0" w:line="240" w:lineRule="auto"/>
      <w:ind/>
    </w:pPr>
    <w:rPr>
      <w:rFonts w:ascii="Times New Roman" w:hAnsi="Times New Roman" w:eastAsia="Times New Roman" w:cs="Times New Roman"/>
      <w:sz w:val="24"/>
      <w:szCs w:val="24"/>
    </w:rPr>
  </w:style>
  <w:style w:type="paragraph" w:styleId="1006">
    <w:name w:val="Heading 1"/>
    <w:basedOn w:val="1005"/>
    <w:next w:val="1005"/>
    <w:link w:val="1013"/>
    <w:qFormat/>
    <w:pPr>
      <w:keepNext w:val="true"/>
      <w:pBdr/>
      <w:spacing w:after="120" w:before="120"/>
      <w:ind/>
      <w:jc w:val="center"/>
      <w:outlineLvl w:val="0"/>
    </w:pPr>
    <w:rPr>
      <w:b/>
      <w:bCs/>
      <w:sz w:val="27"/>
      <w:szCs w:val="27"/>
    </w:rPr>
  </w:style>
  <w:style w:type="paragraph" w:styleId="1007">
    <w:name w:val="Heading 2"/>
    <w:basedOn w:val="1005"/>
    <w:next w:val="1005"/>
    <w:link w:val="101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8">
    <w:name w:val="Heading 3"/>
    <w:basedOn w:val="1005"/>
    <w:next w:val="1005"/>
    <w:link w:val="1015"/>
    <w:qFormat/>
    <w:pPr>
      <w:keepNext w:val="true"/>
      <w:pBdr/>
      <w:spacing w:before="60"/>
      <w:ind/>
      <w:outlineLvl w:val="2"/>
    </w:pPr>
    <w:rPr>
      <w:sz w:val="28"/>
      <w:szCs w:val="28"/>
    </w:rPr>
  </w:style>
  <w:style w:type="paragraph" w:styleId="1009">
    <w:name w:val="Heading 4"/>
    <w:basedOn w:val="1005"/>
    <w:next w:val="1005"/>
    <w:link w:val="1016"/>
    <w:qFormat/>
    <w:pPr>
      <w:keepNext w:val="true"/>
      <w:pBdr/>
      <w:spacing/>
      <w:ind/>
      <w:jc w:val="center"/>
      <w:outlineLvl w:val="3"/>
    </w:pPr>
    <w:rPr>
      <w:b/>
      <w:bCs/>
    </w:rPr>
  </w:style>
  <w:style w:type="character" w:styleId="1010" w:default="1">
    <w:name w:val="Default Paragraph Font"/>
    <w:uiPriority w:val="1"/>
    <w:semiHidden/>
    <w:unhideWhenUsed/>
    <w:pPr>
      <w:pBdr/>
      <w:spacing/>
      <w:ind/>
    </w:pPr>
  </w:style>
  <w:style w:type="table" w:styleId="10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2" w:default="1">
    <w:name w:val="No List"/>
    <w:uiPriority w:val="99"/>
    <w:semiHidden/>
    <w:unhideWhenUsed/>
    <w:pPr>
      <w:pBdr/>
      <w:spacing/>
      <w:ind/>
    </w:pPr>
  </w:style>
  <w:style w:type="character" w:styleId="1013" w:customStyle="1">
    <w:name w:val="Heading 1 Char"/>
    <w:basedOn w:val="1010"/>
    <w:link w:val="1006"/>
    <w:pPr>
      <w:pBdr/>
      <w:spacing/>
      <w:ind/>
    </w:pPr>
    <w:rPr>
      <w:rFonts w:ascii="Times New Roman" w:hAnsi="Times New Roman" w:eastAsia="Times New Roman" w:cs="Times New Roman"/>
      <w:b/>
      <w:bCs/>
      <w:sz w:val="27"/>
      <w:szCs w:val="27"/>
    </w:rPr>
  </w:style>
  <w:style w:type="character" w:styleId="1014" w:customStyle="1">
    <w:name w:val="Heading 2 Char"/>
    <w:basedOn w:val="1010"/>
    <w:link w:val="1007"/>
    <w:uiPriority w:val="9"/>
    <w:pPr>
      <w:pBdr/>
      <w:spacing/>
      <w:ind/>
    </w:pPr>
    <w:rPr>
      <w:rFonts w:asciiTheme="majorHAnsi" w:hAnsiTheme="majorHAnsi" w:eastAsiaTheme="majorEastAsia" w:cstheme="majorBidi"/>
      <w:color w:val="365f91" w:themeColor="accent1" w:themeShade="BF"/>
      <w:sz w:val="26"/>
      <w:szCs w:val="26"/>
    </w:rPr>
  </w:style>
  <w:style w:type="character" w:styleId="1015" w:customStyle="1">
    <w:name w:val="Heading 3 Char"/>
    <w:basedOn w:val="1010"/>
    <w:link w:val="1008"/>
    <w:pPr>
      <w:pBdr/>
      <w:spacing/>
      <w:ind/>
    </w:pPr>
    <w:rPr>
      <w:rFonts w:ascii="Times New Roman" w:hAnsi="Times New Roman" w:eastAsia="Times New Roman" w:cs="Times New Roman"/>
      <w:sz w:val="28"/>
      <w:szCs w:val="28"/>
    </w:rPr>
  </w:style>
  <w:style w:type="character" w:styleId="1016" w:customStyle="1">
    <w:name w:val="Heading 4 Char"/>
    <w:basedOn w:val="1010"/>
    <w:link w:val="1009"/>
    <w:pPr>
      <w:pBdr/>
      <w:spacing/>
      <w:ind/>
    </w:pPr>
    <w:rPr>
      <w:rFonts w:ascii="Times New Roman" w:hAnsi="Times New Roman" w:eastAsia="Times New Roman" w:cs="Times New Roman"/>
      <w:b/>
      <w:bCs/>
      <w:sz w:val="24"/>
      <w:szCs w:val="24"/>
    </w:rPr>
  </w:style>
  <w:style w:type="character" w:styleId="1017">
    <w:name w:val="Hyperlink"/>
    <w:uiPriority w:val="99"/>
    <w:pPr>
      <w:pBdr/>
      <w:spacing/>
      <w:ind/>
    </w:pPr>
    <w:rPr>
      <w:color w:val="000000"/>
      <w:u w:val="single"/>
    </w:rPr>
  </w:style>
  <w:style w:type="character" w:styleId="1018">
    <w:name w:val="Strong"/>
    <w:uiPriority w:val="22"/>
    <w:qFormat/>
    <w:pPr>
      <w:pBdr/>
      <w:spacing/>
      <w:ind/>
    </w:pPr>
    <w:rPr>
      <w:b/>
      <w:bCs/>
    </w:rPr>
  </w:style>
  <w:style w:type="paragraph" w:styleId="1019">
    <w:name w:val="Balloon Text"/>
    <w:basedOn w:val="1005"/>
    <w:link w:val="1020"/>
    <w:uiPriority w:val="99"/>
    <w:semiHidden/>
    <w:unhideWhenUsed/>
    <w:pPr>
      <w:pBdr/>
      <w:spacing/>
      <w:ind/>
    </w:pPr>
    <w:rPr>
      <w:rFonts w:ascii="Tahoma" w:hAnsi="Tahoma" w:cs="Tahoma"/>
      <w:sz w:val="16"/>
      <w:szCs w:val="16"/>
    </w:rPr>
  </w:style>
  <w:style w:type="character" w:styleId="1020" w:customStyle="1">
    <w:name w:val="Balloon Text Char"/>
    <w:basedOn w:val="1010"/>
    <w:link w:val="1019"/>
    <w:uiPriority w:val="99"/>
    <w:semiHidden/>
    <w:pPr>
      <w:pBdr/>
      <w:spacing/>
      <w:ind/>
    </w:pPr>
    <w:rPr>
      <w:rFonts w:ascii="Tahoma" w:hAnsi="Tahoma" w:eastAsia="Times New Roman" w:cs="Tahoma"/>
      <w:sz w:val="16"/>
      <w:szCs w:val="16"/>
    </w:rPr>
  </w:style>
  <w:style w:type="paragraph" w:styleId="1021">
    <w:name w:val="Header"/>
    <w:basedOn w:val="1005"/>
    <w:link w:val="1022"/>
    <w:unhideWhenUsed/>
    <w:pPr>
      <w:pBdr/>
      <w:tabs>
        <w:tab w:val="center" w:leader="none" w:pos="4680"/>
        <w:tab w:val="right" w:leader="none" w:pos="9360"/>
      </w:tabs>
      <w:spacing/>
      <w:ind/>
    </w:pPr>
  </w:style>
  <w:style w:type="character" w:styleId="1022" w:customStyle="1">
    <w:name w:val="Header Char"/>
    <w:basedOn w:val="1010"/>
    <w:link w:val="1021"/>
    <w:pPr>
      <w:pBdr/>
      <w:spacing/>
      <w:ind/>
    </w:pPr>
    <w:rPr>
      <w:rFonts w:ascii="Times New Roman" w:hAnsi="Times New Roman" w:eastAsia="Times New Roman" w:cs="Times New Roman"/>
      <w:sz w:val="24"/>
      <w:szCs w:val="24"/>
    </w:rPr>
  </w:style>
  <w:style w:type="paragraph" w:styleId="1023">
    <w:name w:val="Footer"/>
    <w:basedOn w:val="1005"/>
    <w:link w:val="1024"/>
    <w:uiPriority w:val="99"/>
    <w:unhideWhenUsed/>
    <w:pPr>
      <w:pBdr/>
      <w:tabs>
        <w:tab w:val="center" w:leader="none" w:pos="4680"/>
        <w:tab w:val="right" w:leader="none" w:pos="9360"/>
      </w:tabs>
      <w:spacing/>
      <w:ind/>
    </w:pPr>
  </w:style>
  <w:style w:type="character" w:styleId="1024" w:customStyle="1">
    <w:name w:val="Footer Char"/>
    <w:basedOn w:val="1010"/>
    <w:link w:val="1023"/>
    <w:uiPriority w:val="99"/>
    <w:pPr>
      <w:pBdr/>
      <w:spacing/>
      <w:ind/>
    </w:pPr>
    <w:rPr>
      <w:rFonts w:ascii="Times New Roman" w:hAnsi="Times New Roman" w:eastAsia="Times New Roman" w:cs="Times New Roman"/>
      <w:sz w:val="24"/>
      <w:szCs w:val="24"/>
    </w:rPr>
  </w:style>
  <w:style w:type="character" w:styleId="1025" w:customStyle="1">
    <w:name w:val="normal-h1"/>
    <w:pPr>
      <w:pBdr/>
      <w:spacing/>
      <w:ind/>
    </w:pPr>
    <w:rPr>
      <w:rFonts w:hint="default" w:ascii=".VnTime" w:hAnsi=".VnTime"/>
      <w:color w:val="0000ff"/>
      <w:sz w:val="24"/>
      <w:szCs w:val="24"/>
    </w:rPr>
  </w:style>
  <w:style w:type="paragraph" w:styleId="1026" w:customStyle="1">
    <w:name w:val="normal-p"/>
    <w:basedOn w:val="1005"/>
    <w:pPr>
      <w:pBdr/>
      <w:spacing/>
      <w:ind/>
      <w:jc w:val="both"/>
    </w:pPr>
    <w:rPr>
      <w:sz w:val="20"/>
      <w:szCs w:val="20"/>
    </w:rPr>
  </w:style>
  <w:style w:type="paragraph" w:styleId="1027">
    <w:name w:val="List Paragraph"/>
    <w:basedOn w:val="1005"/>
    <w:link w:val="1114"/>
    <w:uiPriority w:val="34"/>
    <w:qFormat/>
    <w:pPr>
      <w:pBdr/>
      <w:spacing/>
      <w:ind w:left="720"/>
    </w:pPr>
  </w:style>
  <w:style w:type="paragraph" w:styleId="1028">
    <w:name w:val="Normal (Web)"/>
    <w:basedOn w:val="1005"/>
    <w:uiPriority w:val="99"/>
    <w:pPr>
      <w:pBdr/>
      <w:spacing w:after="100" w:afterAutospacing="1" w:before="100" w:beforeAutospacing="1"/>
      <w:ind/>
    </w:pPr>
  </w:style>
  <w:style w:type="paragraph" w:styleId="1029">
    <w:name w:val="Body Text"/>
    <w:basedOn w:val="1005"/>
    <w:link w:val="1030"/>
    <w:pPr>
      <w:pBdr/>
      <w:spacing w:after="120"/>
      <w:ind/>
      <w:jc w:val="both"/>
    </w:pPr>
  </w:style>
  <w:style w:type="character" w:styleId="1030" w:customStyle="1">
    <w:name w:val="Body Text Char"/>
    <w:basedOn w:val="1010"/>
    <w:link w:val="1029"/>
    <w:pPr>
      <w:pBdr/>
      <w:spacing/>
      <w:ind/>
    </w:pPr>
    <w:rPr>
      <w:rFonts w:ascii="Times New Roman" w:hAnsi="Times New Roman" w:eastAsia="Times New Roman" w:cs="Times New Roman"/>
      <w:sz w:val="24"/>
      <w:szCs w:val="24"/>
    </w:rPr>
  </w:style>
  <w:style w:type="table" w:styleId="1031">
    <w:name w:val="Table Grid"/>
    <w:basedOn w:val="101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3">
    <w:name w:val="annotation reference"/>
    <w:basedOn w:val="1010"/>
    <w:uiPriority w:val="99"/>
    <w:semiHidden/>
    <w:unhideWhenUsed/>
    <w:pPr>
      <w:pBdr/>
      <w:spacing/>
      <w:ind/>
    </w:pPr>
    <w:rPr>
      <w:sz w:val="16"/>
      <w:szCs w:val="16"/>
    </w:rPr>
  </w:style>
  <w:style w:type="paragraph" w:styleId="1034">
    <w:name w:val="annotation text"/>
    <w:basedOn w:val="1005"/>
    <w:link w:val="1035"/>
    <w:uiPriority w:val="99"/>
    <w:unhideWhenUsed/>
    <w:pPr>
      <w:pBdr/>
      <w:spacing/>
      <w:ind/>
    </w:pPr>
    <w:rPr>
      <w:sz w:val="20"/>
      <w:szCs w:val="20"/>
    </w:rPr>
  </w:style>
  <w:style w:type="character" w:styleId="1035" w:customStyle="1">
    <w:name w:val="Comment Text Char"/>
    <w:basedOn w:val="1010"/>
    <w:link w:val="1034"/>
    <w:uiPriority w:val="99"/>
    <w:pPr>
      <w:pBdr/>
      <w:spacing/>
      <w:ind/>
    </w:pPr>
    <w:rPr>
      <w:rFonts w:ascii="Times New Roman" w:hAnsi="Times New Roman" w:eastAsia="Times New Roman" w:cs="Times New Roman"/>
      <w:sz w:val="20"/>
      <w:szCs w:val="20"/>
    </w:rPr>
  </w:style>
  <w:style w:type="paragraph" w:styleId="1036">
    <w:name w:val="annotation subject"/>
    <w:basedOn w:val="1034"/>
    <w:next w:val="1034"/>
    <w:link w:val="1037"/>
    <w:uiPriority w:val="99"/>
    <w:semiHidden/>
    <w:unhideWhenUsed/>
    <w:pPr>
      <w:pBdr/>
      <w:spacing/>
      <w:ind/>
    </w:pPr>
    <w:rPr>
      <w:b/>
      <w:bCs/>
    </w:rPr>
  </w:style>
  <w:style w:type="character" w:styleId="1037" w:customStyle="1">
    <w:name w:val="Comment Subject Char"/>
    <w:basedOn w:val="1035"/>
    <w:link w:val="1036"/>
    <w:uiPriority w:val="99"/>
    <w:semiHidden/>
    <w:pPr>
      <w:pBdr/>
      <w:spacing/>
      <w:ind/>
    </w:pPr>
    <w:rPr>
      <w:rFonts w:ascii="Times New Roman" w:hAnsi="Times New Roman" w:eastAsia="Times New Roman" w:cs="Times New Roman"/>
      <w:b/>
      <w:bCs/>
      <w:sz w:val="20"/>
      <w:szCs w:val="20"/>
    </w:rPr>
  </w:style>
  <w:style w:type="paragraph" w:styleId="1038" w:customStyle="1">
    <w:name w:val="font5"/>
    <w:basedOn w:val="1005"/>
    <w:pPr>
      <w:pBdr/>
      <w:spacing w:after="100" w:afterAutospacing="1" w:before="100" w:beforeAutospacing="1"/>
      <w:ind/>
    </w:pPr>
    <w:rPr>
      <w:rFonts w:ascii="Tahoma" w:hAnsi="Tahoma" w:cs="Tahoma"/>
      <w:color w:val="000000"/>
      <w:sz w:val="18"/>
      <w:szCs w:val="18"/>
    </w:rPr>
  </w:style>
  <w:style w:type="paragraph" w:styleId="1039" w:customStyle="1">
    <w:name w:val="font6"/>
    <w:basedOn w:val="1005"/>
    <w:pPr>
      <w:pBdr/>
      <w:spacing w:after="100" w:afterAutospacing="1" w:before="100" w:beforeAutospacing="1"/>
      <w:ind/>
    </w:pPr>
    <w:rPr>
      <w:rFonts w:ascii="Tahoma" w:hAnsi="Tahoma" w:cs="Tahoma"/>
      <w:b/>
      <w:bCs/>
      <w:color w:val="000000"/>
      <w:sz w:val="18"/>
      <w:szCs w:val="18"/>
    </w:rPr>
  </w:style>
  <w:style w:type="paragraph" w:styleId="1040" w:customStyle="1">
    <w:name w:val="xl23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1" w:customStyle="1">
    <w:name w:val="xl234"/>
    <w:basedOn w:val="1005"/>
    <w:pPr>
      <w:pBdr/>
      <w:spacing w:after="100" w:afterAutospacing="1" w:before="100" w:beforeAutospacing="1"/>
      <w:ind/>
      <w:jc w:val="center"/>
    </w:pPr>
  </w:style>
  <w:style w:type="paragraph" w:styleId="1042" w:customStyle="1">
    <w:name w:val="xl235"/>
    <w:basedOn w:val="1005"/>
    <w:pPr>
      <w:pBdr/>
      <w:spacing w:after="100" w:afterAutospacing="1" w:before="100" w:beforeAutospacing="1"/>
      <w:ind/>
      <w:jc w:val="center"/>
    </w:pPr>
    <w:rPr>
      <w:b/>
      <w:bCs/>
    </w:rPr>
  </w:style>
  <w:style w:type="paragraph" w:styleId="1043" w:customStyle="1">
    <w:name w:val="xl236"/>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4" w:customStyle="1">
    <w:name w:val="xl23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5" w:customStyle="1">
    <w:name w:val="xl238"/>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6" w:customStyle="1">
    <w:name w:val="xl23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7" w:customStyle="1">
    <w:name w:val="xl240"/>
    <w:basedOn w:val="1005"/>
    <w:pPr>
      <w:pBdr/>
      <w:spacing w:after="100" w:afterAutospacing="1" w:before="100" w:beforeAutospacing="1"/>
      <w:ind/>
    </w:pPr>
  </w:style>
  <w:style w:type="paragraph" w:styleId="1048" w:customStyle="1">
    <w:name w:val="xl241"/>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42"/>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3"/>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1" w:customStyle="1">
    <w:name w:val="xl244"/>
    <w:basedOn w:val="1005"/>
    <w:pPr>
      <w:pBdr/>
      <w:spacing w:after="100" w:afterAutospacing="1" w:before="100" w:beforeAutospacing="1"/>
      <w:ind/>
    </w:pPr>
    <w:rPr>
      <w:b/>
      <w:bCs/>
    </w:rPr>
  </w:style>
  <w:style w:type="paragraph" w:styleId="1052" w:customStyle="1">
    <w:name w:val="xl245"/>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4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4" w:customStyle="1">
    <w:name w:val="xl247"/>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5" w:customStyle="1">
    <w:name w:val="xl24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6" w:customStyle="1">
    <w:name w:val="xl24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7" w:customStyle="1">
    <w:name w:val="xl25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5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3"/>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4"/>
    <w:basedOn w:val="100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55"/>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8"/>
    <w:basedOn w:val="100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0"/>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1"/>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2"/>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0" w:customStyle="1">
    <w:name w:val="xl263"/>
    <w:basedOn w:val="1005"/>
    <w:pPr>
      <w:pBdr/>
      <w:shd w:val="clear" w:color="000000" w:fill="ffffff"/>
      <w:spacing w:after="100" w:afterAutospacing="1" w:before="100" w:beforeAutospacing="1"/>
      <w:ind/>
    </w:pPr>
  </w:style>
  <w:style w:type="paragraph" w:styleId="1071" w:customStyle="1">
    <w:name w:val="xl264"/>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65"/>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6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6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68"/>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9"/>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7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71"/>
    <w:basedOn w:val="100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9" w:customStyle="1">
    <w:name w:val="xl27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73"/>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1" w:customStyle="1">
    <w:name w:val="xl274"/>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5"/>
    <w:basedOn w:val="1005"/>
    <w:pPr>
      <w:pBdr/>
      <w:spacing w:after="100" w:afterAutospacing="1" w:before="100" w:beforeAutospacing="1"/>
      <w:ind/>
    </w:pPr>
  </w:style>
  <w:style w:type="paragraph" w:styleId="1083" w:customStyle="1">
    <w:name w:val="xl27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77"/>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5" w:customStyle="1">
    <w:name w:val="xl27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7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8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8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8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4"/>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5"/>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3" w:customStyle="1">
    <w:name w:val="xl28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87"/>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8"/>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096" w:customStyle="1">
    <w:name w:val="xl289"/>
    <w:basedOn w:val="1005"/>
    <w:pPr>
      <w:pBdr>
        <w:left w:val="single" w:color="000000" w:sz="4" w:space="0"/>
        <w:right w:val="single" w:color="000000" w:sz="4" w:space="0"/>
      </w:pBdr>
      <w:spacing w:after="100" w:afterAutospacing="1" w:before="100" w:beforeAutospacing="1"/>
      <w:ind/>
    </w:pPr>
    <w:rPr>
      <w:b/>
      <w:bCs/>
    </w:rPr>
  </w:style>
  <w:style w:type="paragraph" w:styleId="1097" w:customStyle="1">
    <w:name w:val="xl29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8" w:customStyle="1">
    <w:name w:val="xl291"/>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9" w:customStyle="1">
    <w:name w:val="xl292"/>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93"/>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94"/>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name w:val="Title"/>
    <w:basedOn w:val="1005"/>
    <w:link w:val="1103"/>
    <w:qFormat/>
    <w:pPr>
      <w:pBdr/>
      <w:spacing/>
      <w:ind/>
      <w:jc w:val="center"/>
    </w:pPr>
    <w:rPr>
      <w:b/>
      <w:bCs/>
      <w:sz w:val="32"/>
      <w:szCs w:val="26"/>
    </w:rPr>
  </w:style>
  <w:style w:type="character" w:styleId="1103" w:customStyle="1">
    <w:name w:val="Title Char"/>
    <w:basedOn w:val="1010"/>
    <w:link w:val="1102"/>
    <w:pPr>
      <w:pBdr/>
      <w:spacing/>
      <w:ind/>
    </w:pPr>
    <w:rPr>
      <w:rFonts w:ascii="Times New Roman" w:hAnsi="Times New Roman" w:eastAsia="Times New Roman" w:cs="Times New Roman"/>
      <w:b/>
      <w:bCs/>
      <w:sz w:val="32"/>
      <w:szCs w:val="26"/>
    </w:rPr>
  </w:style>
  <w:style w:type="character" w:styleId="1104" w:customStyle="1">
    <w:name w:val="Unresolved Mention1"/>
    <w:basedOn w:val="1010"/>
    <w:uiPriority w:val="99"/>
    <w:semiHidden/>
    <w:unhideWhenUsed/>
    <w:pPr>
      <w:pBdr/>
      <w:spacing/>
      <w:ind/>
    </w:pPr>
    <w:rPr>
      <w:color w:val="605e5c"/>
      <w:shd w:val="clear" w:color="auto" w:fill="e1dfdd"/>
    </w:rPr>
  </w:style>
  <w:style w:type="character" w:styleId="1105" w:customStyle="1">
    <w:name w:val="Body text (3)_"/>
    <w:link w:val="1106"/>
    <w:pPr>
      <w:pBdr/>
      <w:spacing/>
      <w:ind/>
    </w:pPr>
    <w:rPr>
      <w:rFonts w:ascii="Times New Roman" w:hAnsi="Times New Roman" w:cs="Times New Roman"/>
      <w:i/>
      <w:iCs/>
      <w:spacing w:val="4"/>
      <w:shd w:val="clear" w:color="auto" w:fill="ffffff"/>
    </w:rPr>
  </w:style>
  <w:style w:type="paragraph" w:styleId="1106" w:customStyle="1">
    <w:name w:val="Body text (3)1"/>
    <w:basedOn w:val="1005"/>
    <w:link w:val="110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7" w:customStyle="1">
    <w:name w:val="t-j"/>
    <w:basedOn w:val="1005"/>
    <w:pPr>
      <w:pBdr/>
      <w:spacing w:after="100" w:afterAutospacing="1" w:before="100" w:beforeAutospacing="1"/>
      <w:ind/>
    </w:pPr>
  </w:style>
  <w:style w:type="character" w:styleId="1108" w:customStyle="1">
    <w:name w:val="Unresolved Mention2"/>
    <w:basedOn w:val="1010"/>
    <w:uiPriority w:val="99"/>
    <w:semiHidden/>
    <w:unhideWhenUsed/>
    <w:pPr>
      <w:pBdr/>
      <w:spacing/>
      <w:ind/>
    </w:pPr>
    <w:rPr>
      <w:color w:val="605e5c"/>
      <w:shd w:val="clear" w:color="auto" w:fill="e1dfdd"/>
    </w:rPr>
  </w:style>
  <w:style w:type="character" w:styleId="1109">
    <w:name w:val="FollowedHyperlink"/>
    <w:basedOn w:val="1010"/>
    <w:uiPriority w:val="99"/>
    <w:semiHidden/>
    <w:unhideWhenUsed/>
    <w:pPr>
      <w:pBdr/>
      <w:spacing/>
      <w:ind/>
    </w:pPr>
    <w:rPr>
      <w:color w:val="800080" w:themeColor="followedHyperlink"/>
      <w:u w:val="single"/>
    </w:rPr>
  </w:style>
  <w:style w:type="character" w:styleId="1110" w:customStyle="1">
    <w:name w:val="text"/>
    <w:basedOn w:val="1010"/>
    <w:pPr>
      <w:pBdr/>
      <w:spacing/>
      <w:ind/>
    </w:pPr>
  </w:style>
  <w:style w:type="character" w:styleId="1111" w:customStyle="1">
    <w:name w:val="card-send-time__sendtime"/>
    <w:basedOn w:val="1010"/>
    <w:pPr>
      <w:pBdr/>
      <w:spacing/>
      <w:ind/>
    </w:pPr>
  </w:style>
  <w:style w:type="character" w:styleId="1112" w:customStyle="1">
    <w:name w:val="Đề cập Chưa giải quyết1"/>
    <w:basedOn w:val="1010"/>
    <w:uiPriority w:val="99"/>
    <w:semiHidden/>
    <w:unhideWhenUsed/>
    <w:pPr>
      <w:pBdr/>
      <w:spacing/>
      <w:ind/>
    </w:pPr>
    <w:rPr>
      <w:color w:val="605e5c"/>
      <w:shd w:val="clear" w:color="auto" w:fill="e1dfdd"/>
    </w:rPr>
  </w:style>
  <w:style w:type="paragraph" w:styleId="1113" w:customStyle="1">
    <w:name w:val="nqtitle"/>
    <w:basedOn w:val="1005"/>
    <w:pPr>
      <w:pBdr/>
      <w:spacing w:after="100" w:afterAutospacing="1" w:before="100" w:beforeAutospacing="1"/>
      <w:ind/>
    </w:pPr>
    <w:rPr>
      <w:lang w:val="vi-VN" w:eastAsia="vi-VN"/>
    </w:rPr>
  </w:style>
  <w:style w:type="character" w:styleId="1114" w:customStyle="1">
    <w:name w:val="List Paragraph Char"/>
    <w:link w:val="1027"/>
    <w:uiPriority w:val="34"/>
    <w:qFormat/>
    <w:pPr>
      <w:pBdr/>
      <w:spacing/>
      <w:ind/>
    </w:pPr>
    <w:rPr>
      <w:rFonts w:ascii="Times New Roman" w:hAnsi="Times New Roman" w:eastAsia="Times New Roman" w:cs="Times New Roman"/>
      <w:sz w:val="24"/>
      <w:szCs w:val="24"/>
    </w:rPr>
  </w:style>
  <w:style w:type="character" w:styleId="1115" w:customStyle="1">
    <w:name w:val="Đề cập Chưa giải quyết2"/>
    <w:basedOn w:val="1010"/>
    <w:uiPriority w:val="99"/>
    <w:semiHidden/>
    <w:unhideWhenUsed/>
    <w:pPr>
      <w:pBdr/>
      <w:spacing/>
      <w:ind/>
    </w:pPr>
    <w:rPr>
      <w:color w:val="605e5c"/>
      <w:shd w:val="clear" w:color="auto" w:fill="e1dfdd"/>
    </w:rPr>
  </w:style>
  <w:style w:type="character" w:styleId="1116" w:customStyle="1">
    <w:name w:val="Unresolved Mention3"/>
    <w:basedOn w:val="1010"/>
    <w:uiPriority w:val="99"/>
    <w:semiHidden/>
    <w:unhideWhenUsed/>
    <w:pPr>
      <w:pBdr/>
      <w:spacing/>
      <w:ind/>
    </w:pPr>
    <w:rPr>
      <w:color w:val="605e5c"/>
      <w:shd w:val="clear" w:color="auto" w:fill="e1dfdd"/>
    </w:rPr>
  </w:style>
  <w:style w:type="character" w:styleId="1117" w:customStyle="1">
    <w:name w:val="copy"/>
    <w:basedOn w:val="1010"/>
    <w:pPr>
      <w:pBdr/>
      <w:spacing/>
      <w:ind/>
    </w:pPr>
  </w:style>
  <w:style w:type="paragraph" w:styleId="1118" w:customStyle="1">
    <w:name w:val="align-justify"/>
    <w:basedOn w:val="1005"/>
    <w:pPr>
      <w:pBdr/>
      <w:spacing w:after="100" w:afterAutospacing="1" w:before="100" w:beforeAutospacing="1"/>
      <w:ind/>
    </w:pPr>
  </w:style>
  <w:style w:type="character" w:styleId="1119" w:customStyle="1">
    <w:name w:val="btn"/>
    <w:basedOn w:val="1010"/>
    <w:pPr>
      <w:pBdr/>
      <w:spacing/>
      <w:ind/>
    </w:pPr>
  </w:style>
  <w:style w:type="character" w:styleId="1120" w:customStyle="1">
    <w:name w:val="hide_mobile"/>
    <w:basedOn w:val="1010"/>
    <w:pPr>
      <w:pBdr/>
      <w:spacing/>
      <w:ind/>
    </w:pPr>
  </w:style>
  <w:style w:type="character" w:styleId="1121">
    <w:name w:val="Emphasis"/>
    <w:basedOn w:val="1010"/>
    <w:uiPriority w:val="20"/>
    <w:qFormat/>
    <w:pPr>
      <w:pBdr/>
      <w:spacing/>
      <w:ind/>
    </w:pPr>
    <w:rPr>
      <w:i/>
      <w:iCs/>
    </w:rPr>
  </w:style>
  <w:style w:type="character" w:styleId="1122" w:customStyle="1">
    <w:name w:val="t1"/>
    <w:basedOn w:val="1010"/>
    <w:pPr>
      <w:pBdr/>
      <w:spacing/>
      <w:ind/>
    </w:pPr>
  </w:style>
  <w:style w:type="character" w:styleId="1123" w:customStyle="1">
    <w:name w:val="Unresolved Mention4"/>
    <w:basedOn w:val="1010"/>
    <w:uiPriority w:val="99"/>
    <w:semiHidden/>
    <w:unhideWhenUsed/>
    <w:pPr>
      <w:pBdr/>
      <w:spacing/>
      <w:ind/>
    </w:pPr>
    <w:rPr>
      <w:color w:val="605e5c"/>
      <w:shd w:val="clear" w:color="auto" w:fill="e1dfdd"/>
    </w:rPr>
  </w:style>
  <w:style w:type="character" w:styleId="1124">
    <w:name w:val="Unresolved Mention"/>
    <w:basedOn w:val="101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jpg"/><Relationship Id="rId18" Type="http://schemas.openxmlformats.org/officeDocument/2006/relationships/image" Target="media/image4.png"/><Relationship Id="rId19" Type="http://schemas.openxmlformats.org/officeDocument/2006/relationships/hyperlink" Target="https://www.facebook.com/groups/4161120763914457/permalink/27684916351108234/" TargetMode="External"/><Relationship Id="rId20" Type="http://schemas.openxmlformats.org/officeDocument/2006/relationships/hyperlink" Target="https://www.facebook.com/groups/4161120763914457/permalink/27745298028403399/" TargetMode="External"/><Relationship Id="rId21" Type="http://schemas.openxmlformats.org/officeDocument/2006/relationships/image" Target="media/image5.jpg"/><Relationship Id="rId22" Type="http://schemas.openxmlformats.org/officeDocument/2006/relationships/image" Target="media/image6.jpg"/><Relationship Id="rId23" Type="http://schemas.openxmlformats.org/officeDocument/2006/relationships/image" Target="media/image7.jpg"/><Relationship Id="rId24" Type="http://schemas.openxmlformats.org/officeDocument/2006/relationships/image" Target="media/image8.jpg"/><Relationship Id="rId25" Type="http://schemas.openxmlformats.org/officeDocument/2006/relationships/image" Target="media/image9.jpg"/><Relationship Id="rId26" Type="http://schemas.openxmlformats.org/officeDocument/2006/relationships/image" Target="media/image10.jp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Trương Thị Diệp</cp:lastModifiedBy>
  <cp:revision>282</cp:revision>
  <dcterms:created xsi:type="dcterms:W3CDTF">2025-09-15T09:58:00Z</dcterms:created>
  <dcterms:modified xsi:type="dcterms:W3CDTF">2026-04-29T08:40:04Z</dcterms:modified>
</cp:coreProperties>
</file>