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361078</wp:posOffset>
                </wp:positionV>
                <wp:extent cx="5467350" cy="325883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5883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275/2026/0607/VFI-CT.48.A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DƯƠNG ĐÌNH TIỆP</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139; 140, tờ bản đồ số: 41 có địa chỉ: Thôn Xuân Dục, xã Tân Minh, huyện Sóc Sơn, thành phố Hà Nội (</w:t>
                            </w:r>
                            <w:r>
                              <w:rPr>
                                <w:i/>
                                <w:iCs/>
                                <w:color w:val="000000"/>
                              </w:rPr>
                              <w:t xml:space="preserve">nay là </w:t>
                            </w:r>
                            <w:r>
                              <w:rPr>
                                <w:i/>
                                <w:iCs/>
                                <w:color w:val="000000"/>
                              </w:rPr>
                              <w:t xml:space="preserve">xã</w:t>
                            </w:r>
                            <w:r>
                              <w:rPr>
                                <w:i/>
                                <w:iCs/>
                                <w:color w:val="000000"/>
                              </w:rPr>
                              <w:t xml:space="preserve"> Sóc Sơn, thành phố Hà Nội) </w:t>
                            </w:r>
                            <w:r>
                              <w:rPr>
                                <w:color w:val="000000"/>
                              </w:rPr>
                              <w:t xml:space="preserve">theo Giấy chứng nhận quyền sử dụng đất, quyền sở hữu nhà ở và tài sản khác gắn liền với đất số: CY 429748, số vào sổ cấp GCN: CS-SS 16856 do Sở Tài nguyên và Môi trường thành phố Hà Nội cấp ngày 18/11/2020 cho Ông Dương Đình Tiệp</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28.43pt;mso-position-vertical:absolute;width:430.50pt;height:256.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275/2026/0607/VFI-CT.48.A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DƯƠNG ĐÌNH TIỆP</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139; 140, tờ bản đồ số: 41 có địa chỉ: Thôn Xuân Dục, xã Tân Minh, huyện Sóc Sơn, thành phố Hà Nội (</w:t>
                      </w:r>
                      <w:r>
                        <w:rPr>
                          <w:i/>
                          <w:iCs/>
                          <w:color w:val="000000"/>
                        </w:rPr>
                        <w:t xml:space="preserve">nay là </w:t>
                      </w:r>
                      <w:r>
                        <w:rPr>
                          <w:i/>
                          <w:iCs/>
                          <w:color w:val="000000"/>
                        </w:rPr>
                        <w:t xml:space="preserve">xã</w:t>
                      </w:r>
                      <w:r>
                        <w:rPr>
                          <w:i/>
                          <w:iCs/>
                          <w:color w:val="000000"/>
                        </w:rPr>
                        <w:t xml:space="preserve"> Sóc Sơn, thành phố Hà Nội) </w:t>
                      </w:r>
                      <w:r>
                        <w:rPr>
                          <w:color w:val="000000"/>
                        </w:rPr>
                        <w:t xml:space="preserve">theo Giấy chứng nhận quyền sử dụng đất, quyền sở hữu nhà ở và tài sản khác gắn liền với đất số: CY 429748, số vào sổ cấp GCN: CS-SS 16856 do Sở Tài nguyên và Môi trường thành phố Hà Nội cấp ngày 18/11/2020 cho Ông Dương Đình Tiệp</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23-29</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341" w:type="dxa"/>
        <w:tblBorders/>
        <w:tblLayout w:type="fixed"/>
        <w:tblLook w:val="04A0" w:firstRow="1" w:lastRow="0" w:firstColumn="1" w:lastColumn="0" w:noHBand="0" w:noVBand="1"/>
      </w:tblPr>
      <w:tblGrid>
        <w:gridCol w:w="1729"/>
        <w:gridCol w:w="3427"/>
        <w:gridCol w:w="5156"/>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61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15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275/2026/0607/VFI-CT.48.A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5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20 tháng 4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DƯƠNG ĐÌNH TIỆP</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275/2026/0607/VFI-HĐTĐ.48.A</w:t>
      </w:r>
      <w:r>
        <w:rPr>
          <w:spacing w:val="-4"/>
          <w:lang w:val="vi-VN"/>
        </w:rPr>
        <w:t xml:space="preserve"> ký ngày </w:t>
      </w:r>
      <w:r>
        <w:rPr>
          <w:color w:val="000000" w:themeColor="text1"/>
          <w:spacing w:val="-4"/>
        </w:rPr>
        <w:t xml:space="preserve">16 tháng 4 năm 2026</w:t>
      </w:r>
      <w:r>
        <w:rPr>
          <w:spacing w:val="-4"/>
          <w:lang w:val="vi-VN"/>
        </w:rPr>
        <w:t xml:space="preserve"> </w:t>
      </w:r>
      <w:r>
        <w:rPr>
          <w:spacing w:val="-4"/>
          <w:lang w:val="vi-VN"/>
        </w:rPr>
        <w:t xml:space="preserve">giữa </w:t>
      </w:r>
      <w:r>
        <w:rPr>
          <w:color w:val="000000" w:themeColor="text1"/>
          <w:spacing w:val="-4"/>
        </w:rPr>
        <w:t xml:space="preserve">Ông Dương Đình Tiệp</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275/2026/0607/VFI-BC.48.A</w:t>
      </w:r>
      <w:r>
        <w:rPr>
          <w:spacing w:val="-2"/>
          <w:lang w:val="pt-BR"/>
        </w:rPr>
        <w:t xml:space="preserve"> </w:t>
      </w:r>
      <w:r>
        <w:rPr>
          <w:spacing w:val="-2"/>
          <w:lang w:val="pt-BR"/>
        </w:rPr>
        <w:t xml:space="preserve">ngày</w:t>
      </w:r>
      <w:r>
        <w:rPr>
          <w:spacing w:val="-2"/>
          <w:lang w:val="vi-VN"/>
        </w:rPr>
        <w:t xml:space="preserve"> 20 tháng 4</w:t>
      </w:r>
      <w:r>
        <w:rPr>
          <w:color w:val="000000" w:themeColor="text1"/>
          <w:spacing w:val="-2"/>
        </w:rPr>
        <w:t xml:space="preserve">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DƯƠNG ĐÌNH TIỆP</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themeColor="text1"/>
                <w:highlight w:val="white"/>
                <w:lang w:val="pt-BR"/>
              </w:rPr>
              <w:t xml:space="preserve">:</w:t>
            </w:r>
            <w:r>
              <w:rPr>
                <w:bCs/>
                <w:color w:val="000000" w:themeColor="text1"/>
                <w:highlight w:val="white"/>
              </w:rPr>
            </w:r>
            <w:r>
              <w:rPr>
                <w:bCs/>
                <w:color w:val="000000" w:themeColor="text1"/>
                <w:highlight w:val="white"/>
              </w:rPr>
            </w:r>
          </w:p>
        </w:tc>
        <w:tc>
          <w:tcPr>
            <w:tcBorders/>
            <w:tcW w:w="3643" w:type="pct"/>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none"/>
                <w:lang w:val="pt-BR"/>
              </w:rPr>
              <w:t xml:space="preserve">001086042957</w:t>
            </w:r>
            <w:r>
              <w:rPr>
                <w:color w:val="000000" w:themeColor="text1"/>
                <w:highlight w:val="white"/>
              </w:rPr>
            </w:r>
            <w:r>
              <w:rPr>
                <w:color w:val="000000" w:themeColor="text1"/>
                <w:highlight w:val="white"/>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139; 140, tờ bản đồ số: 41 có địa chỉ: Thôn Xuân Dục, xã Tân Minh, huyện Sóc Sơn, thành phố Hà Nội (</w:t>
      </w:r>
      <w:r>
        <w:rPr>
          <w:i/>
          <w:iCs/>
          <w:color w:val="000000" w:themeColor="text1"/>
        </w:rPr>
        <w:t xml:space="preserve">nay là xã</w:t>
      </w:r>
      <w:r>
        <w:rPr>
          <w:i/>
          <w:iCs/>
          <w:color w:val="000000" w:themeColor="text1"/>
        </w:rPr>
        <w:t xml:space="preserve"> Sóc Sơn, thành phố Hà Nội</w:t>
      </w:r>
      <w:r>
        <w:rPr>
          <w:color w:val="000000" w:themeColor="text1"/>
        </w:rPr>
        <w:t xml:space="preserve">) theo Giấy chứng nhận quyền sử dụng đất, quyền sở hữu nhà ở và tài sản khác gắn liền với đất số: CY 429748, số vào sổ cấp GCN: CS-SS 16856 do Sở Tài nguyên và Môi trường thành phố Hà Nội cấp ngày 18/11/2020 cho Ông Dương Đình Tiệp</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12" w:lineRule="auto"/>
        <w:ind/>
        <w:jc w:val="both"/>
        <w:rPr>
          <w:bCs/>
          <w:color w:val="000000" w:themeColor="text1"/>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rFonts w:ascii="Times New Roman" w:hAnsi="Times New Roman" w:eastAsia="Times New Roman" w:cs="Times New Roman"/>
          <w:color w:val="000000"/>
          <w:spacing w:val="-4"/>
          <w:sz w:val="24"/>
        </w:rPr>
        <w:t xml:space="preserve">Kết quả thẩm định giá xác định giá trị tài sản đảm bảo để cấp tín dụng tại ngân hàng SHB</w:t>
      </w:r>
      <w:r>
        <w:rPr>
          <w:bCs/>
          <w:color w:val="000000" w:themeColor="text1"/>
        </w:rPr>
        <w:t xml:space="preserve">.</w:t>
      </w:r>
      <w:r>
        <w:rPr>
          <w:bCs/>
          <w:color w:val="000000" w:themeColor="text1"/>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496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801"/>
        <w:gridCol w:w="1802"/>
        <w:gridCol w:w="174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0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74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344"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139; 140, tờ bản đồ số: 41 có địa chỉ: Thôn Xuân Dục, xã Tân Minh, huyện Sóc Sơn, thành phố Hà Nội (</w:t>
            </w:r>
            <w:r>
              <w:rPr>
                <w:b/>
                <w:bCs/>
                <w:i/>
                <w:iCs/>
                <w:color w:val="000000"/>
              </w:rPr>
              <w:t xml:space="preserve">nay là xã</w:t>
            </w:r>
            <w:r>
              <w:rPr>
                <w:b/>
                <w:bCs/>
                <w:i/>
                <w:iCs/>
                <w:color w:val="000000"/>
              </w:rPr>
              <w:t xml:space="preserve"> Sóc Sơn, thành phố Hà Nội) </w:t>
            </w:r>
            <w:r>
              <w:rPr>
                <w:b/>
                <w:bCs/>
                <w:color w:val="000000"/>
              </w:rPr>
              <w:t xml:space="preserve">theo Giấy chứng nhận quyền sử dụng đất, quyền sở hữu nhà ở và tài sản khác gắn liền với đất số: CY 429748, số vào sổ cấp GCN: CS-SS 16856 do Sở Tài nguyên và Môi trường thành phố Hà Nội cấp ngày 18/11/2020 cho Ông Dương Đình Tiệp</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801"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90,0</w:t>
            </w:r>
            <w:r>
              <w:rPr>
                <w:color w:val="000000"/>
              </w:rPr>
            </w:r>
            <w:r>
              <w:rPr>
                <w:color w:val="000000"/>
              </w:rPr>
            </w:r>
          </w:p>
        </w:tc>
        <w:tc>
          <w:tcPr>
            <w:shd w:val="clear" w:color="000000" w:fill="ffffff"/>
            <w:tcBorders/>
            <w:tcW w:w="1741" w:type="dxa"/>
            <w:vAlign w:val="center"/>
            <w:textDirection w:val="lrTb"/>
            <w:noWrap w:val="false"/>
          </w:tcPr>
          <w:p>
            <w:pPr>
              <w:pBdr/>
              <w:spacing w:after="40" w:before="40" w:line="288" w:lineRule="auto"/>
              <w:ind/>
              <w:jc w:val="center"/>
              <w:rPr/>
            </w:pPr>
            <w:r>
              <w:rPr>
                <w:color w:val="000000" w:themeColor="text1"/>
              </w:rPr>
              <w:t xml:space="preserve">42.000.000</w:t>
            </w:r>
            <w:r/>
          </w:p>
        </w:tc>
        <w:tc>
          <w:tcPr>
            <w:shd w:val="clear" w:color="000000" w:fill="ffffff"/>
            <w:tcBorders/>
            <w:tcW w:w="2164" w:type="dxa"/>
            <w:vAlign w:val="center"/>
            <w:textDirection w:val="lrTb"/>
            <w:noWrap w:val="false"/>
          </w:tcPr>
          <w:p>
            <w:pPr>
              <w:pBdr/>
              <w:spacing w:after="40" w:before="40" w:line="288" w:lineRule="auto"/>
              <w:ind/>
              <w:jc w:val="right"/>
              <w:rPr/>
            </w:pPr>
            <w:r>
              <w:rPr>
                <w:color w:val="000000" w:themeColor="text1"/>
              </w:rPr>
              <w:t xml:space="preserve">3.780.000.000</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801"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96,0</w:t>
            </w:r>
            <w:r>
              <w:rPr>
                <w:color w:val="000000"/>
              </w:rPr>
            </w:r>
            <w:r>
              <w:rPr>
                <w:color w:val="000000"/>
              </w:rPr>
            </w:r>
          </w:p>
        </w:tc>
        <w:tc>
          <w:tcPr>
            <w:shd w:val="clear" w:color="000000" w:fill="ffffff"/>
            <w:tcBorders/>
            <w:tcW w:w="1741" w:type="dxa"/>
            <w:vAlign w:val="center"/>
            <w:textDirection w:val="lrTb"/>
            <w:noWrap w:val="false"/>
          </w:tcPr>
          <w:p>
            <w:pPr>
              <w:pBdr/>
              <w:spacing w:after="40" w:before="40" w:line="288" w:lineRule="auto"/>
              <w:ind/>
              <w:jc w:val="center"/>
              <w:rPr/>
            </w:pPr>
            <w:r>
              <w:rPr>
                <w:color w:val="000000" w:themeColor="text1"/>
              </w:rPr>
              <w:t xml:space="preserve">180.000</w:t>
            </w:r>
            <w:r/>
          </w:p>
        </w:tc>
        <w:tc>
          <w:tcPr>
            <w:shd w:val="clear" w:color="000000" w:fill="ffffff"/>
            <w:tcBorders/>
            <w:tcW w:w="2164" w:type="dxa"/>
            <w:vAlign w:val="center"/>
            <w:textDirection w:val="lrTb"/>
            <w:noWrap w:val="false"/>
          </w:tcPr>
          <w:p>
            <w:pPr>
              <w:pBdr/>
              <w:spacing w:after="40" w:before="40" w:line="288" w:lineRule="auto"/>
              <w:ind/>
              <w:jc w:val="right"/>
              <w:rPr/>
            </w:pPr>
            <w:r>
              <w:rPr>
                <w:color w:val="000000" w:themeColor="text1"/>
              </w:rPr>
              <w:t xml:space="preserve">17.280.000</w:t>
            </w:r>
            <w:r/>
          </w:p>
        </w:tc>
      </w:tr>
      <w:tr>
        <w:trPr>
          <w:trHeight w:val="20"/>
        </w:trPr>
        <w:tc>
          <w:tcPr>
            <w:gridSpan w:val="4"/>
            <w:tcBorders/>
            <w:tcW w:w="729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right"/>
              <w:rPr>
                <w:b/>
                <w:bCs/>
                <w:color w:val="000000"/>
              </w:rPr>
            </w:pPr>
            <w:r>
              <w:rPr>
                <w:b/>
                <w:bCs/>
              </w:rPr>
              <w:t xml:space="preserve">3.797.280.000</w:t>
            </w:r>
            <w:r>
              <w:rPr>
                <w:b/>
                <w:bCs/>
                <w:color w:val="000000"/>
              </w:rPr>
            </w:r>
            <w:r>
              <w:rPr>
                <w:b/>
                <w:bCs/>
                <w:color w:val="000000"/>
              </w:rPr>
            </w:r>
          </w:p>
        </w:tc>
      </w:tr>
      <w:tr>
        <w:trPr>
          <w:trHeight w:val="20"/>
        </w:trPr>
        <w:tc>
          <w:tcPr>
            <w:gridSpan w:val="4"/>
            <w:tcBorders/>
            <w:tcW w:w="7297"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right"/>
              <w:rPr>
                <w:b/>
                <w:bCs/>
                <w:color w:val="000000"/>
              </w:rPr>
            </w:pPr>
            <w:r>
              <w:rPr>
                <w:b/>
                <w:bCs/>
                <w:color w:val="000000"/>
              </w:rPr>
              <w:t xml:space="preserve">3.797.000.000</w:t>
            </w:r>
            <w:r>
              <w:rPr>
                <w:b/>
                <w:bCs/>
                <w:color w:val="000000"/>
              </w:rPr>
            </w:r>
            <w:r>
              <w:rPr>
                <w:b/>
                <w:bCs/>
                <w:color w:val="000000"/>
              </w:rPr>
            </w:r>
          </w:p>
        </w:tc>
      </w:tr>
      <w:tr>
        <w:trPr>
          <w:trHeight w:val="20"/>
        </w:trPr>
        <w:tc>
          <w:tcPr>
            <w:gridSpan w:val="5"/>
            <w:tcBorders/>
            <w:tcW w:w="9461"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bảy trăm chín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center"/>
        <w:rPr>
          <w:b/>
          <w:bCs/>
        </w:rPr>
      </w:pPr>
      <w:r>
        <w:rPr>
          <w:b/>
          <w:bCs/>
          <w:highlight w:val="none"/>
          <w:lang w:val="vi-VN"/>
        </w:rPr>
      </w:r>
      <w:r>
        <w:rPr>
          <w:b/>
          <w:bCs/>
          <w:i/>
          <w:iCs/>
          <w:color w:val="000000" w:themeColor="text1"/>
          <w:highlight w:val="white"/>
          <w:lang w:val="pt-BR"/>
        </w:rPr>
        <w:t xml:space="preserve">* </w:t>
      </w:r>
      <w:r>
        <w:rPr>
          <w:rFonts w:ascii="Times New Roman" w:hAnsi="Times New Roman" w:eastAsia="Times New Roman" w:cs="Times New Roman"/>
          <w:b/>
          <w:i/>
          <w:iCs/>
          <w:color w:val="000000" w:themeColor="text1"/>
          <w:sz w:val="24"/>
          <w:highlight w:val="white"/>
        </w:rPr>
        <w:t xml:space="preserve">Ghi chú:</w:t>
      </w:r>
      <w:r>
        <w:rPr>
          <w:rFonts w:ascii="Arial" w:hAnsi="Arial" w:eastAsia="Arial" w:cs="Arial"/>
          <w:i/>
          <w:iCs/>
          <w:color w:val="000000" w:themeColor="text1"/>
          <w:spacing w:val="3"/>
          <w:sz w:val="23"/>
          <w:highlight w:val="white"/>
        </w:rPr>
        <w:t xml:space="preserve"> </w:t>
      </w:r>
      <w:r>
        <w:rPr>
          <w:rFonts w:ascii="Times New Roman" w:hAnsi="Times New Roman" w:eastAsia="Times New Roman" w:cs="Times New Roman"/>
          <w:i/>
          <w:iCs/>
          <w:color w:val="000000" w:themeColor="text1"/>
          <w:spacing w:val="3"/>
          <w:sz w:val="24"/>
          <w:szCs w:val="24"/>
          <w:highlight w:val="white"/>
        </w:rPr>
        <w:t xml:space="preserve">Đ</w:t>
      </w:r>
      <w:r>
        <w:rPr>
          <w:rFonts w:ascii="Times New Roman" w:hAnsi="Times New Roman" w:eastAsia="Times New Roman" w:cs="Times New Roman"/>
          <w:i/>
          <w:iCs/>
          <w:color w:val="000000" w:themeColor="text1"/>
          <w:spacing w:val="3"/>
          <w:sz w:val="24"/>
          <w:szCs w:val="24"/>
          <w:highlight w:val="white"/>
        </w:rPr>
        <w:t xml:space="preserve">ơn giá đất ở được xác định trong điều kiện giá trị phần đất ở và giá trị phần đất trồng cây lâu năm không tách rời nhau</w:t>
      </w:r>
      <w:r>
        <w:rPr>
          <w:rFonts w:ascii="Times New Roman" w:hAnsi="Times New Roman" w:eastAsia="Times New Roman" w:cs="Times New Roman"/>
          <w:i/>
          <w:iCs/>
          <w:color w:val="000000" w:themeColor="text1"/>
          <w:spacing w:val="3"/>
          <w:sz w:val="24"/>
          <w:szCs w:val="24"/>
          <w:highlight w:val="none"/>
        </w:rPr>
        <w:t xml:space="preserve">.</w:t>
      </w:r>
      <w:r>
        <w:rPr>
          <w:b/>
          <w:bCs/>
        </w:rPr>
      </w:r>
      <w:r>
        <w:rPr>
          <w:b/>
          <w:bCs/>
        </w:rP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843"/>
        <w:gridCol w:w="29"/>
        <w:gridCol w:w="3160"/>
        <w:gridCol w:w="5031"/>
        <w:gridCol w:w="29"/>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275/2026/0607/VFI-BC.48.A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20 tháng 4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275/2026/0607/VFI-CT.48.A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DƯƠNG ĐÌNH TIỆP</w:t>
            </w: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CCCD</w:t>
            </w:r>
            <w:r>
              <w:rPr>
                <w:bCs/>
                <w:highlight w:val="white"/>
              </w:rPr>
            </w:r>
            <w:r>
              <w:rPr>
                <w:bCs/>
                <w:highlight w:val="white"/>
              </w:rPr>
            </w:r>
          </w:p>
        </w:tc>
        <w:tc>
          <w:tcPr>
            <w:tcBorders/>
            <w:tcW w:w="284" w:type="dxa"/>
            <w:vAlign w:val="center"/>
            <w:textDirection w:val="lrTb"/>
            <w:noWrap w:val="false"/>
          </w:tcPr>
          <w:p>
            <w:pPr>
              <w:pStyle w:val="1035"/>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40" w:before="40" w:line="276" w:lineRule="auto"/>
              <w:ind/>
              <w:jc w:val="both"/>
              <w:rPr>
                <w:color w:val="000000" w:themeColor="text1"/>
                <w:highlight w:val="white"/>
              </w:rPr>
            </w:pPr>
            <w:r>
              <w:rPr>
                <w:color w:val="000000" w:themeColor="text1"/>
                <w:highlight w:val="white"/>
                <w:lang w:val="pt-BR"/>
              </w:rPr>
              <w:t xml:space="preserve">001086042957</w:t>
            </w:r>
            <w:r>
              <w:rPr>
                <w:color w:val="000000" w:themeColor="text1"/>
                <w:highlight w:val="white"/>
              </w:rPr>
            </w:r>
            <w:r>
              <w:rPr>
                <w:color w:val="000000" w:themeColor="text1"/>
                <w:highlight w:val="whit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139; 140, tờ bản đồ số: 41 có địa chỉ: Thôn Xuân Dục, xã Tân Minh, huyện Sóc Sơn, thành phố Hà Nội (</w:t>
            </w:r>
            <w:r>
              <w:rPr>
                <w:bCs/>
                <w:i/>
                <w:iCs/>
                <w:color w:val="000000" w:themeColor="text1"/>
                <w:lang w:val="pt-BR"/>
              </w:rPr>
              <w:t xml:space="preserve">nay là xã</w:t>
            </w:r>
            <w:r>
              <w:rPr>
                <w:bCs/>
                <w:i/>
                <w:iCs/>
                <w:color w:val="000000" w:themeColor="text1"/>
                <w:lang w:val="pt-BR"/>
              </w:rPr>
              <w:t xml:space="preserve"> Sóc Sơn, thành phố Hà Nội</w:t>
            </w:r>
            <w:r>
              <w:rPr>
                <w:bCs/>
                <w:color w:val="000000" w:themeColor="text1"/>
                <w:lang w:val="pt-BR"/>
              </w:rPr>
              <w:t xml:space="preserve">) theo Giấy chứng nhận quyền sử dụng đất, quyền sở hữu nhà ở và tài sản khác gắn liền với đất số: CY 429748, số vào sổ cấp GCN: CS-SS 16856 do Sở Tài nguyên và Môi trường thành phố Hà Nội cấp ngày 18/11/2020 cho Ông Dương Đình Tiệp</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Xã</w:t>
            </w:r>
            <w:r>
              <w:rPr>
                <w:bCs/>
                <w:color w:val="000000" w:themeColor="text1"/>
                <w:lang w:val="pt-BR"/>
              </w:rPr>
              <w:t xml:space="preserve"> Sóc Sơn,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21.269416666667, 105.87416666667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CY 429748, số vào sổ cấp GCN: CS-SS 16856 do Sở Tài nguyên và Môi trường thành phố Hà Nội cấp ngày 18/11/2020 cho Ông Dương Đình Tiệp</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275/2026/0607/VFI-HĐTĐ.48.A ngày 16/04/2026 giữa Ông Dương Đình Tiệp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t xml:space="preserve">Thị trường </w:t>
      </w:r>
      <w:r>
        <w:rPr>
          <w:rFonts w:ascii="Times New Roman" w:hAnsi="Times New Roman" w:eastAsia="Times New Roman" w:cs="Times New Roman"/>
          <w:b w:val="0"/>
          <w:bCs w:val="0"/>
          <w:color w:val="000000" w:themeColor="text1"/>
          <w:sz w:val="24"/>
          <w:szCs w:val="24"/>
        </w:rPr>
        <w:t xml:space="preserve">bất động sản Sóc Sơn</w:t>
      </w:r>
      <w:r>
        <w:rPr>
          <w:rFonts w:ascii="Times New Roman" w:hAnsi="Times New Roman" w:eastAsia="Times New Roman" w:cs="Times New Roman"/>
          <w:b w:val="0"/>
          <w:bCs w:val="0"/>
          <w:color w:val="000000" w:themeColor="text1"/>
          <w:sz w:val="24"/>
          <w:szCs w:val="24"/>
        </w:rPr>
        <w:t xml:space="preserve"> đang bước vào giai đoạn tăng trưởng mới khi hạ tầng liên tục được đầu tư và dòng tiền có xu hướng dịch chuyển về vùng ven Hà Nội. Năm 2026, liệu đây có phải là thời điểm “vàng” để xuống tiền? Bài viết dưới đây sẽ phân tích toàn diện tiềm năng, cơ hội và n</w:t>
      </w:r>
      <w:r>
        <w:rPr>
          <w:rFonts w:ascii="Times New Roman" w:hAnsi="Times New Roman" w:eastAsia="Times New Roman" w:cs="Times New Roman"/>
          <w:b w:val="0"/>
          <w:bCs w:val="0"/>
          <w:color w:val="000000" w:themeColor="text1"/>
          <w:sz w:val="24"/>
          <w:szCs w:val="24"/>
        </w:rPr>
        <w:t xml:space="preserve">hững yếu tố tác động giúp nhà đầu tư đưa ra quyết định chính xác.</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color w:val="000000" w:themeColor="text1"/>
          <w:sz w:val="24"/>
          <w:szCs w:val="24"/>
        </w:rPr>
        <w:t xml:space="preserve">Tổng Quan Thị Trường Bất Động Sản Sóc Sơn năm 2026</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color w:val="000000" w:themeColor="text1"/>
          <w:sz w:val="24"/>
          <w:szCs w:val="24"/>
        </w:rPr>
      </w:r>
      <w:r>
        <w:rPr>
          <w:rFonts w:ascii="Times New Roman" w:hAnsi="Times New Roman" w:eastAsia="Times New Roman" w:cs="Times New Roman"/>
          <w:b w:val="0"/>
          <w:bCs w:val="0"/>
          <w:color w:val="000000" w:themeColor="text1"/>
          <w:sz w:val="24"/>
          <w:szCs w:val="24"/>
        </w:rPr>
        <w:t xml:space="preserve">Bước sang năm 2026, </w:t>
      </w:r>
      <w:r>
        <w:rPr>
          <w:rFonts w:ascii="Times New Roman" w:hAnsi="Times New Roman" w:eastAsia="Times New Roman" w:cs="Times New Roman"/>
          <w:b w:val="0"/>
          <w:bCs w:val="0"/>
          <w:color w:val="000000" w:themeColor="text1"/>
          <w:sz w:val="24"/>
          <w:szCs w:val="24"/>
        </w:rPr>
        <w:t xml:space="preserve">bất động sản Sóc Sơn</w:t>
      </w:r>
      <w:r>
        <w:rPr>
          <w:rFonts w:ascii="Times New Roman" w:hAnsi="Times New Roman" w:eastAsia="Times New Roman" w:cs="Times New Roman"/>
          <w:b w:val="0"/>
          <w:bCs w:val="0"/>
          <w:color w:val="000000" w:themeColor="text1"/>
          <w:sz w:val="24"/>
          <w:szCs w:val="24"/>
        </w:rPr>
        <w:t xml:space="preserve"> tiếp tục là một trong những thị trường vùng ven Hà Nội nhận được sự quan tâm lớn từ giới đầu tư. Nhờ vị trí chiến lược nằm ở cửa ngõ phía Bắc Thủ đô, kết nối thuận tiện với sân bay Nội Bài và các tuyến giao thông huyết mạch, Sóc Sơn đang dần chuyển mình t</w:t>
      </w:r>
      <w:r>
        <w:rPr>
          <w:rFonts w:ascii="Times New Roman" w:hAnsi="Times New Roman" w:eastAsia="Times New Roman" w:cs="Times New Roman"/>
          <w:b w:val="0"/>
          <w:bCs w:val="0"/>
          <w:color w:val="000000" w:themeColor="text1"/>
          <w:sz w:val="24"/>
          <w:szCs w:val="24"/>
        </w:rPr>
        <w:t xml:space="preserve">ừ khu vực ngoại thành sang điểm đến đầu tư tiềm năng trong trung và dài hạn.</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t xml:space="preserve">Giai đoạn 2023–2025, thị trường </w:t>
      </w:r>
      <w:r>
        <w:rPr>
          <w:rFonts w:ascii="Times New Roman" w:hAnsi="Times New Roman" w:eastAsia="Times New Roman" w:cs="Times New Roman"/>
          <w:b w:val="0"/>
          <w:bCs w:val="0"/>
          <w:color w:val="000000" w:themeColor="text1"/>
          <w:sz w:val="24"/>
          <w:szCs w:val="24"/>
        </w:rPr>
        <w:t xml:space="preserve">bất động sản Sóc Sơn</w:t>
      </w:r>
      <w:r>
        <w:rPr>
          <w:rFonts w:ascii="Times New Roman" w:hAnsi="Times New Roman" w:eastAsia="Times New Roman" w:cs="Times New Roman"/>
          <w:b w:val="0"/>
          <w:bCs w:val="0"/>
          <w:color w:val="000000" w:themeColor="text1"/>
          <w:sz w:val="24"/>
          <w:szCs w:val="24"/>
        </w:rPr>
        <w:t xml:space="preserve"> trải qua nhiều biến động do ảnh hưởng chung của nền kinh tế và chính sách tín dụng. Tuy nhiên, thay vì “đóng băng”, khu vực này có xu hướng </w:t>
      </w:r>
      <w:r>
        <w:rPr>
          <w:rFonts w:ascii="Times New Roman" w:hAnsi="Times New Roman" w:eastAsia="Times New Roman" w:cs="Times New Roman"/>
          <w:b w:val="0"/>
          <w:bCs w:val="0"/>
          <w:color w:val="000000" w:themeColor="text1"/>
          <w:sz w:val="24"/>
          <w:szCs w:val="24"/>
        </w:rPr>
        <w:t xml:space="preserve">tích lũy và ổn định giá</w:t>
      </w:r>
      <w:r>
        <w:rPr>
          <w:rFonts w:ascii="Times New Roman" w:hAnsi="Times New Roman" w:eastAsia="Times New Roman" w:cs="Times New Roman"/>
          <w:b w:val="0"/>
          <w:bCs w:val="0"/>
          <w:color w:val="000000" w:themeColor="text1"/>
          <w:sz w:val="24"/>
          <w:szCs w:val="24"/>
        </w:rPr>
        <w:t xml:space="preserve">, tạo nền tảng vững chắc cho chu kỳ tăng trưởng mới. Mặt bằng giá đất tại Sóc Sơn hiện vẫn ở mức tương đối “mềm” so với các khu vực lân cận như Đông Anh hay Mê Linh, qua đó mở ra cơ hội cho những nhà đầu tư có tầm nhìn dài hạn.</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t xml:space="preserve">Một trong những yếu tố quan trọng thúc đẩy thị trường năm 2026 là </w:t>
      </w:r>
      <w:r>
        <w:rPr>
          <w:rFonts w:ascii="Times New Roman" w:hAnsi="Times New Roman" w:eastAsia="Times New Roman" w:cs="Times New Roman"/>
          <w:b w:val="0"/>
          <w:bCs w:val="0"/>
          <w:color w:val="000000" w:themeColor="text1"/>
          <w:sz w:val="24"/>
          <w:szCs w:val="24"/>
        </w:rPr>
        <w:t xml:space="preserve">sự phát triển hạ tầng giao thông</w:t>
      </w:r>
      <w:r>
        <w:rPr>
          <w:rFonts w:ascii="Times New Roman" w:hAnsi="Times New Roman" w:eastAsia="Times New Roman" w:cs="Times New Roman"/>
          <w:b w:val="0"/>
          <w:bCs w:val="0"/>
          <w:color w:val="000000" w:themeColor="text1"/>
          <w:sz w:val="24"/>
          <w:szCs w:val="24"/>
        </w:rPr>
        <w:t xml:space="preserve">. Đường vành đai 4 đang xây dựng và sẽ đi vào hoạt động quý 2 năm 2027, nâng cấp trục kết nối sân bay cùng hệ thống giao thông liên vùng đang giúp rút ngắn thời gian di chuyển từ Sóc Sơn vào trung tâm Hà Nội. Điều này không chỉ gia tăng giá trị bất động sả</w:t>
      </w:r>
      <w:r>
        <w:rPr>
          <w:rFonts w:ascii="Times New Roman" w:hAnsi="Times New Roman" w:eastAsia="Times New Roman" w:cs="Times New Roman"/>
          <w:b w:val="0"/>
          <w:bCs w:val="0"/>
          <w:color w:val="000000" w:themeColor="text1"/>
          <w:sz w:val="24"/>
          <w:szCs w:val="24"/>
        </w:rPr>
        <w:t xml:space="preserve">n mà còn thu hút dòng tiền đầu tư dịch chuyển từ nội đô ra khu vực ven đô.</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t xml:space="preserve">Bên cạnh đó, xu hướng </w:t>
      </w:r>
      <w:r>
        <w:rPr>
          <w:rFonts w:ascii="Times New Roman" w:hAnsi="Times New Roman" w:eastAsia="Times New Roman" w:cs="Times New Roman"/>
          <w:b w:val="0"/>
          <w:bCs w:val="0"/>
          <w:color w:val="000000" w:themeColor="text1"/>
          <w:sz w:val="24"/>
          <w:szCs w:val="24"/>
        </w:rPr>
        <w:t xml:space="preserve">đầu tư bất động sản nghỉ dưỡng ven đô</w:t>
      </w:r>
      <w:r>
        <w:rPr>
          <w:rFonts w:ascii="Times New Roman" w:hAnsi="Times New Roman" w:eastAsia="Times New Roman" w:cs="Times New Roman"/>
          <w:b w:val="0"/>
          <w:bCs w:val="0"/>
          <w:color w:val="000000" w:themeColor="text1"/>
          <w:sz w:val="24"/>
          <w:szCs w:val="24"/>
        </w:rPr>
        <w:t xml:space="preserve"> tiếp tục phát triển mạnh. Với lợi thế địa hình đồi núi, không gian xanh và khí hậu trong lành, Sóc Sơn đang trở thành lựa chọn hàng đầu cho các mô hình nhà vườn, homestay, farmstay. Đây là phân khúc vừa phục vụ nhu cầu nghỉ dưỡng cuối tuần, vừa có thể kha</w:t>
      </w:r>
      <w:r>
        <w:rPr>
          <w:rFonts w:ascii="Times New Roman" w:hAnsi="Times New Roman" w:eastAsia="Times New Roman" w:cs="Times New Roman"/>
          <w:b w:val="0"/>
          <w:bCs w:val="0"/>
          <w:color w:val="000000" w:themeColor="text1"/>
          <w:sz w:val="24"/>
          <w:szCs w:val="24"/>
        </w:rPr>
        <w:t xml:space="preserve">i thác dòng tiền ổn định.</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t xml:space="preserve">Tổng thể, thị trường </w:t>
      </w:r>
      <w:r>
        <w:rPr>
          <w:rFonts w:ascii="Times New Roman" w:hAnsi="Times New Roman" w:eastAsia="Times New Roman" w:cs="Times New Roman"/>
          <w:b w:val="0"/>
          <w:bCs w:val="0"/>
          <w:color w:val="000000" w:themeColor="text1"/>
          <w:sz w:val="24"/>
          <w:szCs w:val="24"/>
        </w:rPr>
        <w:t xml:space="preserve">bất động sản Sóc Sơn 2026</w:t>
      </w:r>
      <w:r>
        <w:rPr>
          <w:rFonts w:ascii="Times New Roman" w:hAnsi="Times New Roman" w:eastAsia="Times New Roman" w:cs="Times New Roman"/>
          <w:b w:val="0"/>
          <w:bCs w:val="0"/>
          <w:color w:val="000000" w:themeColor="text1"/>
          <w:sz w:val="24"/>
          <w:szCs w:val="24"/>
        </w:rPr>
        <w:t xml:space="preserve"> được đánh giá đang ở giai đoạn “khởi động lại” sau thời kỳ điều chỉnh, với nhiều tín hiệu tích cực từ hạ tầng, quy hoạch và nhu cầu thực tế. Tuy chưa bùng nổ ngay lập tức, nhưng đây lại là thời điểm phù hợp để nhà đầu tư nghiên cứu, đón đầu cơ hội và lựa </w:t>
      </w:r>
      <w:r>
        <w:rPr>
          <w:rFonts w:ascii="Times New Roman" w:hAnsi="Times New Roman" w:eastAsia="Times New Roman" w:cs="Times New Roman"/>
          <w:b w:val="0"/>
          <w:bCs w:val="0"/>
          <w:color w:val="000000" w:themeColor="text1"/>
          <w:sz w:val="24"/>
          <w:szCs w:val="24"/>
        </w:rPr>
        <w:t xml:space="preserve">chọn những sản phẩm có tiềm năng tăng giá bền vững trong tương lai.</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color w:val="000000" w:themeColor="text1"/>
          <w:sz w:val="24"/>
          <w:szCs w:val="24"/>
        </w:rPr>
        <w:t xml:space="preserve">Vì Sao Bất Động Sản Sóc Sơn Có Tiềm Năng Tăng Giá?</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color w:val="000000" w:themeColor="text1"/>
          <w:sz w:val="24"/>
          <w:szCs w:val="24"/>
        </w:rPr>
      </w:r>
      <w:r>
        <w:rPr>
          <w:rFonts w:ascii="Times New Roman" w:hAnsi="Times New Roman" w:eastAsia="Times New Roman" w:cs="Times New Roman"/>
          <w:b w:val="0"/>
          <w:bCs w:val="0"/>
          <w:color w:val="000000" w:themeColor="text1"/>
          <w:sz w:val="24"/>
          <w:szCs w:val="24"/>
        </w:rPr>
        <w:t xml:space="preserve">Trong bức tranh chung của thị trường vùng ven Hà Nội, </w:t>
      </w:r>
      <w:r>
        <w:rPr>
          <w:rFonts w:ascii="Times New Roman" w:hAnsi="Times New Roman" w:eastAsia="Times New Roman" w:cs="Times New Roman"/>
          <w:b w:val="0"/>
          <w:bCs w:val="0"/>
          <w:color w:val="000000" w:themeColor="text1"/>
          <w:sz w:val="24"/>
          <w:szCs w:val="24"/>
        </w:rPr>
        <w:t xml:space="preserve">bất động sản Sóc Sơn</w:t>
      </w:r>
      <w:r>
        <w:rPr>
          <w:rFonts w:ascii="Times New Roman" w:hAnsi="Times New Roman" w:eastAsia="Times New Roman" w:cs="Times New Roman"/>
          <w:b w:val="0"/>
          <w:bCs w:val="0"/>
          <w:color w:val="000000" w:themeColor="text1"/>
          <w:sz w:val="24"/>
          <w:szCs w:val="24"/>
        </w:rPr>
        <w:t xml:space="preserve"> được nhiều chuyên gia đánh giá là khu vực còn nhiều dư địa tăng trưởng. Không phải ngẫu nhiên mà dòng tiền đầu tư đang dần dịch chuyển về đây. Dưới đây là những yếu tố cốt lõi lý giải vì sao tiềm năng tăng giá của khu vực này ngày càng rõ nét trong năm 20</w:t>
      </w:r>
      <w:r>
        <w:rPr>
          <w:rFonts w:ascii="Times New Roman" w:hAnsi="Times New Roman" w:eastAsia="Times New Roman" w:cs="Times New Roman"/>
          <w:b w:val="0"/>
          <w:bCs w:val="0"/>
          <w:color w:val="000000" w:themeColor="text1"/>
          <w:sz w:val="24"/>
          <w:szCs w:val="24"/>
        </w:rPr>
        <w:t xml:space="preserve">26 và những năm tới.</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color w:val="000000" w:themeColor="text1"/>
          <w:sz w:val="24"/>
          <w:szCs w:val="24"/>
        </w:rPr>
        <w:t xml:space="preserve">Hạ tầng giao thông ngày càng hoàn thiện</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color w:val="000000" w:themeColor="text1"/>
          <w:sz w:val="24"/>
          <w:szCs w:val="24"/>
        </w:rPr>
      </w:r>
      <w:r>
        <w:rPr>
          <w:rFonts w:ascii="Times New Roman" w:hAnsi="Times New Roman" w:eastAsia="Times New Roman" w:cs="Times New Roman"/>
          <w:b w:val="0"/>
          <w:bCs w:val="0"/>
          <w:color w:val="000000" w:themeColor="text1"/>
          <w:sz w:val="24"/>
          <w:szCs w:val="24"/>
        </w:rPr>
        <w:t xml:space="preserve">Một trong những động lực lớn nhất thúc đẩy giá trị </w:t>
      </w:r>
      <w:r>
        <w:rPr>
          <w:rFonts w:ascii="Times New Roman" w:hAnsi="Times New Roman" w:eastAsia="Times New Roman" w:cs="Times New Roman"/>
          <w:b w:val="0"/>
          <w:bCs w:val="0"/>
          <w:color w:val="000000" w:themeColor="text1"/>
          <w:sz w:val="24"/>
          <w:szCs w:val="24"/>
        </w:rPr>
        <w:t xml:space="preserve">bất động sản Sóc Sơn</w:t>
      </w:r>
      <w:r>
        <w:rPr>
          <w:rFonts w:ascii="Times New Roman" w:hAnsi="Times New Roman" w:eastAsia="Times New Roman" w:cs="Times New Roman"/>
          <w:b w:val="0"/>
          <w:bCs w:val="0"/>
          <w:color w:val="000000" w:themeColor="text1"/>
          <w:sz w:val="24"/>
          <w:szCs w:val="24"/>
        </w:rPr>
        <w:t xml:space="preserve"> chính là hệ thống hạ tầng. Với lợi thế nằm gần sân bay Nội Bài và kết nối trực tiếp với các tuyến đường huyết mạch như Quốc lộ 3, Quốc lộ 2a, Quốc lộ 35, Quốc lộ 131.Cao tốc Hà Nội – Lào Cai, Cao tốc Hà Nội – Thái Nguyên…, Sóc Sơn đang được hưởng lợi lớn </w:t>
      </w:r>
      <w:r>
        <w:rPr>
          <w:rFonts w:ascii="Times New Roman" w:hAnsi="Times New Roman" w:eastAsia="Times New Roman" w:cs="Times New Roman"/>
          <w:b w:val="0"/>
          <w:bCs w:val="0"/>
          <w:color w:val="000000" w:themeColor="text1"/>
          <w:sz w:val="24"/>
          <w:szCs w:val="24"/>
        </w:rPr>
        <w:t xml:space="preserve">từ việc nâng cấp và mở rộng giao thông như đường vành đai 4 đang được xây dựng. Khi thời gian di chuyển vào trung tâm Hà Nội được rút ngắn, giá trị đất đai tại các khu vực ven đô thường có xu hướng tăng mạnh theo quy luật “hạ tầng đi trước – bất động sản đ</w:t>
      </w:r>
      <w:r>
        <w:rPr>
          <w:rFonts w:ascii="Times New Roman" w:hAnsi="Times New Roman" w:eastAsia="Times New Roman" w:cs="Times New Roman"/>
          <w:b w:val="0"/>
          <w:bCs w:val="0"/>
          <w:color w:val="000000" w:themeColor="text1"/>
          <w:sz w:val="24"/>
          <w:szCs w:val="24"/>
        </w:rPr>
        <w:t xml:space="preserve">i sau”.</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color w:val="000000" w:themeColor="text1"/>
          <w:sz w:val="24"/>
          <w:szCs w:val="24"/>
        </w:rPr>
        <w:t xml:space="preserve">Quy hoạch rõ ràng, định hướng phát triển dài hạn</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color w:val="000000" w:themeColor="text1"/>
          <w:sz w:val="24"/>
          <w:szCs w:val="24"/>
        </w:rPr>
      </w:pPr>
      <w:r>
        <w:rPr>
          <w:rFonts w:ascii="Times New Roman" w:hAnsi="Times New Roman" w:eastAsia="Times New Roman" w:cs="Times New Roman"/>
          <w:b/>
          <w:color w:val="000000" w:themeColor="text1"/>
          <w:sz w:val="24"/>
          <w:szCs w:val="24"/>
        </w:rPr>
      </w:r>
      <w:r>
        <w:rPr>
          <w:rFonts w:ascii="Times New Roman" w:hAnsi="Times New Roman" w:eastAsia="Times New Roman" w:cs="Times New Roman"/>
          <w:b w:val="0"/>
          <w:bCs w:val="0"/>
          <w:color w:val="000000" w:themeColor="text1"/>
          <w:sz w:val="24"/>
          <w:szCs w:val="24"/>
        </w:rPr>
        <w:t xml:space="preserve">Sóc Sơn được định hướng phát triển thành khu vực đô thị vệ tinh của Hà Nội, đồng thời đẩy mạnh các mô hình du lịch sinh thái và nghỉ dưỡng. Quy hoạch bài bản giúp thị trường </w:t>
      </w:r>
      <w:r>
        <w:rPr>
          <w:rFonts w:ascii="Times New Roman" w:hAnsi="Times New Roman" w:eastAsia="Times New Roman" w:cs="Times New Roman"/>
          <w:b w:val="0"/>
          <w:bCs w:val="0"/>
          <w:color w:val="000000" w:themeColor="text1"/>
          <w:sz w:val="24"/>
          <w:szCs w:val="24"/>
        </w:rPr>
        <w:t xml:space="preserve">bất động sản Sóc Sơn</w:t>
      </w:r>
      <w:r>
        <w:rPr>
          <w:rFonts w:ascii="Times New Roman" w:hAnsi="Times New Roman" w:eastAsia="Times New Roman" w:cs="Times New Roman"/>
          <w:b w:val="0"/>
          <w:bCs w:val="0"/>
          <w:color w:val="000000" w:themeColor="text1"/>
          <w:sz w:val="24"/>
          <w:szCs w:val="24"/>
        </w:rPr>
        <w:t xml:space="preserve"> có nền tảng phát triển bền vững, hạn chế rủi ro “sốt ảo” và tạo niềm tin cho nhà đầu tư dài hạn. Những khu vực nằm trong quy hoạch hạ tầng hoặc phát triển du lịch thường có biên độ tăng giá tốt theo thời gian</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 xml:space="preserve">Mặt bằng giá còn “mềm”, dư địa tăng trưởng lớn</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color w:val="000000" w:themeColor="text1"/>
          <w:sz w:val="24"/>
          <w:szCs w:val="24"/>
        </w:rPr>
      </w:r>
      <w:r>
        <w:rPr>
          <w:rFonts w:ascii="Times New Roman" w:hAnsi="Times New Roman" w:eastAsia="Times New Roman" w:cs="Times New Roman"/>
          <w:b w:val="0"/>
          <w:bCs w:val="0"/>
          <w:color w:val="000000" w:themeColor="text1"/>
          <w:sz w:val="24"/>
          <w:szCs w:val="24"/>
        </w:rPr>
        <w:t xml:space="preserve">So với các khu vực lân cận như Đông Anh hay Mê Linh, giá </w:t>
      </w:r>
      <w:r>
        <w:rPr>
          <w:rFonts w:ascii="Times New Roman" w:hAnsi="Times New Roman" w:eastAsia="Times New Roman" w:cs="Times New Roman"/>
          <w:b w:val="0"/>
          <w:bCs w:val="0"/>
          <w:color w:val="000000" w:themeColor="text1"/>
          <w:sz w:val="24"/>
          <w:szCs w:val="24"/>
        </w:rPr>
        <w:t xml:space="preserve">bất động sản Sóc Sơn</w:t>
      </w:r>
      <w:r>
        <w:rPr>
          <w:rFonts w:ascii="Times New Roman" w:hAnsi="Times New Roman" w:eastAsia="Times New Roman" w:cs="Times New Roman"/>
          <w:b w:val="0"/>
          <w:bCs w:val="0"/>
          <w:color w:val="000000" w:themeColor="text1"/>
          <w:sz w:val="24"/>
          <w:szCs w:val="24"/>
        </w:rPr>
        <w:t xml:space="preserve"> hiện vẫn ở mức thấp hơn đáng kể. Điều này đồng nghĩa với việc biên độ tăng giá còn rộng, đặc biệt khi hạ tầng và quy hoạch dần hoàn thiện. Với cùng một mức vốn, nhà đầu tư có thể sở hữu diện tích lớn hơn hoặc vị trí đẹp hơn, tạo lợi thế cạnh tranh rõ rệt </w:t>
      </w:r>
      <w:r>
        <w:rPr>
          <w:rFonts w:ascii="Times New Roman" w:hAnsi="Times New Roman" w:eastAsia="Times New Roman" w:cs="Times New Roman"/>
          <w:b w:val="0"/>
          <w:bCs w:val="0"/>
          <w:color w:val="000000" w:themeColor="text1"/>
          <w:sz w:val="24"/>
          <w:szCs w:val="24"/>
        </w:rPr>
        <w:t xml:space="preserve">trong tương lai.</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color w:val="000000" w:themeColor="text1"/>
          <w:sz w:val="24"/>
          <w:szCs w:val="24"/>
        </w:rPr>
        <w:t xml:space="preserve">Xu hướng dịch chuyển về vùng ven và nhu cầu nghỉ dưỡng tăng cao</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color w:val="000000" w:themeColor="text1"/>
          <w:sz w:val="24"/>
          <w:szCs w:val="24"/>
        </w:rPr>
      </w:pPr>
      <w:r>
        <w:rPr>
          <w:rFonts w:ascii="Times New Roman" w:hAnsi="Times New Roman" w:eastAsia="Times New Roman" w:cs="Times New Roman"/>
          <w:b/>
          <w:color w:val="000000" w:themeColor="text1"/>
          <w:sz w:val="24"/>
          <w:szCs w:val="24"/>
        </w:rPr>
      </w:r>
      <w:r>
        <w:rPr>
          <w:rFonts w:ascii="Times New Roman" w:hAnsi="Times New Roman" w:eastAsia="Times New Roman" w:cs="Times New Roman"/>
          <w:b w:val="0"/>
          <w:bCs w:val="0"/>
          <w:color w:val="000000" w:themeColor="text1"/>
          <w:sz w:val="24"/>
          <w:szCs w:val="24"/>
        </w:rPr>
        <w:t xml:space="preserve">Sau đại dịch Covid và định hướng của Hà Nội khi có sự dịch chuyển 860.000 dân từ nội đô ra vùng ven , xu hướng “bỏ phố về ven đô” ngày càng rõ rệt. </w:t>
      </w:r>
      <w:hyperlink r:id="rId17" w:tooltip="https://kiteland.vn/tiem-nang-dau-tu-dat-soc-son/" w:history="1">
        <w:r>
          <w:rPr>
            <w:rStyle w:val="1025"/>
            <w:rFonts w:ascii="Times New Roman" w:hAnsi="Times New Roman" w:eastAsia="Times New Roman" w:cs="Times New Roman"/>
            <w:b w:val="0"/>
            <w:bCs w:val="0"/>
            <w:color w:val="000000" w:themeColor="text1"/>
            <w:sz w:val="24"/>
            <w:szCs w:val="24"/>
            <w:u w:val="none"/>
          </w:rPr>
          <w:t xml:space="preserve">Sóc Sơn</w:t>
        </w:r>
      </w:hyperlink>
      <w:r>
        <w:rPr>
          <w:rFonts w:ascii="Times New Roman" w:hAnsi="Times New Roman" w:eastAsia="Times New Roman" w:cs="Times New Roman"/>
          <w:b w:val="0"/>
          <w:bCs w:val="0"/>
          <w:color w:val="000000" w:themeColor="text1"/>
          <w:sz w:val="24"/>
          <w:szCs w:val="24"/>
        </w:rPr>
        <w:t xml:space="preserve">, với lợi thế không gian xanh, địa hình đồi núi và khí hậu trong lành, đang trở thành điểm đến lý tưởng cho các mô hình nhà vườn, homestay, farmstay. Nhu cầu thực tăng lên sẽ kéo theo giá trị </w:t>
      </w:r>
      <w:r>
        <w:rPr>
          <w:rFonts w:ascii="Times New Roman" w:hAnsi="Times New Roman" w:eastAsia="Times New Roman" w:cs="Times New Roman"/>
          <w:b w:val="0"/>
          <w:bCs w:val="0"/>
          <w:color w:val="000000" w:themeColor="text1"/>
          <w:sz w:val="24"/>
          <w:szCs w:val="24"/>
        </w:rPr>
        <w:t xml:space="preserve">bất động sản Sóc Sơn</w:t>
      </w:r>
      <w:r>
        <w:rPr>
          <w:rFonts w:ascii="Times New Roman" w:hAnsi="Times New Roman" w:eastAsia="Times New Roman" w:cs="Times New Roman"/>
          <w:b w:val="0"/>
          <w:bCs w:val="0"/>
          <w:color w:val="000000" w:themeColor="text1"/>
          <w:sz w:val="24"/>
          <w:szCs w:val="24"/>
        </w:rPr>
        <w:t xml:space="preserve"> gia tăng một cách tự nhiên và bền vững</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b/>
          <w:color w:val="000000" w:themeColor="text1"/>
          <w:sz w:val="24"/>
          <w:szCs w:val="24"/>
        </w:rPr>
        <w:t xml:space="preserve">Dòng tiền đầu tư đang quay trở lại thị trường</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color w:val="000000" w:themeColor="text1"/>
          <w:sz w:val="24"/>
          <w:szCs w:val="24"/>
        </w:rPr>
      </w:r>
      <w:r>
        <w:rPr>
          <w:rFonts w:ascii="Times New Roman" w:hAnsi="Times New Roman" w:eastAsia="Times New Roman" w:cs="Times New Roman"/>
          <w:b w:val="0"/>
          <w:bCs w:val="0"/>
          <w:color w:val="000000" w:themeColor="text1"/>
          <w:sz w:val="24"/>
          <w:szCs w:val="24"/>
        </w:rPr>
        <w:t xml:space="preserve">Sau giai đoạn trầm lắng, thị trường bất động sản đang có dấu hiệu phục hồi, trong đó dòng tiền có xu hướng tìm đến các khu vực còn nhiều tiềm năng như Sóc Sơn. Không chỉ nhà đầu tư cá nhân, nhiều đơn vị lớn cũng bắt đầu quan tâm đến quỹ đất tại đây, tạo hi</w:t>
      </w:r>
      <w:r>
        <w:rPr>
          <w:rFonts w:ascii="Times New Roman" w:hAnsi="Times New Roman" w:eastAsia="Times New Roman" w:cs="Times New Roman"/>
          <w:b w:val="0"/>
          <w:bCs w:val="0"/>
          <w:color w:val="000000" w:themeColor="text1"/>
          <w:sz w:val="24"/>
          <w:szCs w:val="24"/>
        </w:rPr>
        <w:t xml:space="preserve">ệu ứng lan tỏa và góp phần thúc đẩy mặt bằng giá tăng trong trung và dài hạn.</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t xml:space="preserve">Tổng hợp các yếu tố trên cho thấy, </w:t>
      </w:r>
      <w:r>
        <w:rPr>
          <w:rFonts w:ascii="Times New Roman" w:hAnsi="Times New Roman" w:eastAsia="Times New Roman" w:cs="Times New Roman"/>
          <w:b w:val="0"/>
          <w:bCs w:val="0"/>
          <w:color w:val="000000" w:themeColor="text1"/>
          <w:sz w:val="24"/>
          <w:szCs w:val="24"/>
        </w:rPr>
        <w:t xml:space="preserve">bất động sản Sóc Sơn</w:t>
      </w:r>
      <w:r>
        <w:rPr>
          <w:rFonts w:ascii="Times New Roman" w:hAnsi="Times New Roman" w:eastAsia="Times New Roman" w:cs="Times New Roman"/>
          <w:b w:val="0"/>
          <w:bCs w:val="0"/>
          <w:color w:val="000000" w:themeColor="text1"/>
          <w:sz w:val="24"/>
          <w:szCs w:val="24"/>
        </w:rPr>
        <w:t xml:space="preserve"> không chỉ có lợi thế về vị trí và giá mà còn được hỗ trợ bởi hạ tầng, quy hoạch và xu hướng thị trường. Đây chính là nền tảng quan trọng giúp khu vực này có tiềm năng tăng giá bền vững, đặc biệt đối với những nhà đầu tư biết đón đầu và lựa chọn đúng thời </w:t>
      </w:r>
      <w:r>
        <w:rPr>
          <w:rFonts w:ascii="Times New Roman" w:hAnsi="Times New Roman" w:eastAsia="Times New Roman" w:cs="Times New Roman"/>
          <w:b w:val="0"/>
          <w:bCs w:val="0"/>
          <w:color w:val="000000" w:themeColor="text1"/>
          <w:sz w:val="24"/>
          <w:szCs w:val="24"/>
        </w:rPr>
        <w:t xml:space="preserve">điểm.</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t xml:space="preserve">Kết Luận</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val="0"/>
          <w:bCs w:val="0"/>
          <w:color w:val="000000" w:themeColor="text1"/>
          <w:sz w:val="24"/>
          <w:szCs w:val="24"/>
        </w:rPr>
        <w:t xml:space="preserve">Tổng thể, năm 2026 được xem là giai đoạn “bản lề” của thị trường </w:t>
      </w:r>
      <w:r>
        <w:rPr>
          <w:rFonts w:ascii="Times New Roman" w:hAnsi="Times New Roman" w:eastAsia="Times New Roman" w:cs="Times New Roman"/>
          <w:b w:val="0"/>
          <w:bCs w:val="0"/>
          <w:color w:val="000000" w:themeColor="text1"/>
          <w:sz w:val="24"/>
          <w:szCs w:val="24"/>
        </w:rPr>
        <w:t xml:space="preserve">bất động sản Sóc Sơn</w:t>
      </w:r>
      <w:r>
        <w:rPr>
          <w:rFonts w:ascii="Times New Roman" w:hAnsi="Times New Roman" w:eastAsia="Times New Roman" w:cs="Times New Roman"/>
          <w:b w:val="0"/>
          <w:bCs w:val="0"/>
          <w:color w:val="000000" w:themeColor="text1"/>
          <w:sz w:val="24"/>
          <w:szCs w:val="24"/>
        </w:rPr>
        <w:t xml:space="preserve"> sau thời kỳ điều chỉnh và tích lũy. Với lợi thế về vị trí cửa ngõ Thủ đô, hạ tầng giao thông ngày càng hoàn thiện, cùng xu hướng dịch chuyển đầu tư ra vùng ven, Sóc Sơn đang dần khẳng định là một điểm đến tiềm năng cho cả nhà đầu tư cá nhân lẫn dài hạn.</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eastAsia="Times New Roman" w:cs="Times New Roman"/>
          <w:b w:val="0"/>
          <w:bCs w:val="0"/>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t xml:space="preserve">Tuy nhiên, cơ hội luôn đi kèm thách thức. </w:t>
      </w:r>
      <w:r>
        <w:rPr>
          <w:rFonts w:ascii="Times New Roman" w:hAnsi="Times New Roman" w:eastAsia="Times New Roman" w:cs="Times New Roman"/>
          <w:b w:val="0"/>
          <w:bCs w:val="0"/>
          <w:color w:val="000000" w:themeColor="text1"/>
          <w:sz w:val="24"/>
          <w:szCs w:val="24"/>
        </w:rPr>
        <w:t xml:space="preserve">Bất động sản Sóc Sơn</w:t>
      </w:r>
      <w:r>
        <w:rPr>
          <w:rFonts w:ascii="Times New Roman" w:hAnsi="Times New Roman" w:eastAsia="Times New Roman" w:cs="Times New Roman"/>
          <w:b w:val="0"/>
          <w:bCs w:val="0"/>
          <w:color w:val="000000" w:themeColor="text1"/>
          <w:sz w:val="24"/>
          <w:szCs w:val="24"/>
        </w:rPr>
        <w:t xml:space="preserve"> không phải là thị trường dành cho những quyết định vội vàng hay chạy theo “sóng ngắn hạn”. Để tối ưu hiệu quả đầu tư, nhà đầu tư cần lựa chọn đúng phân khúc, ưu tiên pháp lý rõ ràng, vị trí có khả năng kết nối tốt và đặc biệt là có chiến lược nắm giữ phù </w:t>
      </w:r>
      <w:r>
        <w:rPr>
          <w:rFonts w:ascii="Times New Roman" w:hAnsi="Times New Roman" w:eastAsia="Times New Roman" w:cs="Times New Roman"/>
          <w:b w:val="0"/>
          <w:bCs w:val="0"/>
          <w:color w:val="000000" w:themeColor="text1"/>
          <w:sz w:val="24"/>
          <w:szCs w:val="24"/>
        </w:rPr>
        <w:t xml:space="preserve">hợp.</w:t>
      </w: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60" w:lineRule="auto"/>
        <w:ind w:right="0" w:firstLine="360" w:left="0"/>
        <w:rPr>
          <w:rFonts w:ascii="Times New Roman" w:hAnsi="Times New Roman" w:cs="Times New Roman"/>
          <w:b/>
          <w:bCs/>
          <w:color w:val="000000" w:themeColor="text1"/>
          <w:sz w:val="24"/>
          <w:szCs w:val="24"/>
        </w:rPr>
      </w:pPr>
      <w:r>
        <w:rPr>
          <w:rFonts w:ascii="Times New Roman" w:hAnsi="Times New Roman" w:eastAsia="Times New Roman" w:cs="Times New Roman"/>
          <w:b w:val="0"/>
          <w:bCs w:val="0"/>
          <w:color w:val="000000" w:themeColor="text1"/>
          <w:sz w:val="24"/>
          <w:szCs w:val="24"/>
        </w:rPr>
      </w:r>
      <w:r>
        <w:rPr>
          <w:rFonts w:ascii="Times New Roman" w:hAnsi="Times New Roman" w:eastAsia="Times New Roman" w:cs="Times New Roman"/>
          <w:b w:val="0"/>
          <w:bCs w:val="0"/>
          <w:color w:val="000000" w:themeColor="text1"/>
          <w:sz w:val="24"/>
          <w:szCs w:val="24"/>
        </w:rPr>
        <w:t xml:space="preserve">Ở góc độ chuyên gia, có thể khẳng định rằng Sóc Sơn vẫn còn nhiều dư địa tăng trưởng trong những năm tới. Đây là thời điểm thích hợp để nghiên cứu, khảo sát và “đi trước đón đầu” những khu vực giàu tiềm năng, thay vì chờ đến khi thị trường tăng nóng mới th</w:t>
      </w:r>
      <w:r>
        <w:rPr>
          <w:rFonts w:ascii="Times New Roman" w:hAnsi="Times New Roman" w:eastAsia="Times New Roman" w:cs="Times New Roman"/>
          <w:b w:val="0"/>
          <w:bCs w:val="0"/>
          <w:color w:val="000000" w:themeColor="text1"/>
          <w:sz w:val="24"/>
          <w:szCs w:val="24"/>
        </w:rPr>
        <w:t xml:space="preserve">am gia.</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pStyle w:val="1035"/>
        <w:pBdr/>
        <w:tabs>
          <w:tab w:val="left" w:leader="none" w:pos="993"/>
        </w:tabs>
        <w:spacing w:after="120" w:before="120" w:line="360" w:lineRule="auto"/>
        <w:ind w:left="0"/>
        <w:jc w:val="center"/>
        <w:rPr>
          <w:rFonts w:ascii="Times New Roman" w:hAnsi="Times New Roman" w:cs="Times New Roman"/>
          <w:b/>
          <w:bCs/>
          <w:i/>
          <w:color w:val="000000" w:themeColor="text1"/>
          <w:sz w:val="24"/>
          <w:szCs w:val="24"/>
          <w:u w:val="none"/>
        </w:rPr>
      </w:pPr>
      <w:r>
        <w:rPr>
          <w:rFonts w:ascii="Times New Roman" w:hAnsi="Times New Roman" w:eastAsia="Times New Roman" w:cs="Times New Roman"/>
          <w:i/>
          <w:iCs/>
          <w:color w:val="000000" w:themeColor="text1"/>
          <w:sz w:val="24"/>
          <w:szCs w:val="24"/>
          <w:u w:val="none"/>
        </w:rPr>
      </w:r>
      <w:r>
        <w:rPr>
          <w:rFonts w:ascii="Times New Roman" w:hAnsi="Times New Roman" w:eastAsia="Times New Roman" w:cs="Times New Roman"/>
          <w:i/>
          <w:iCs/>
          <w:color w:val="000000" w:themeColor="text1"/>
          <w:sz w:val="24"/>
          <w:szCs w:val="24"/>
          <w:u w:val="none"/>
        </w:rPr>
        <w:t xml:space="preserve">(Nguồn: </w:t>
      </w:r>
      <w:hyperlink r:id="rId18" w:tooltip="https://kiteland.vn/phan-tich-dau-tu-thi-truong-bat-dong-san-soc-son/#:~:text=T%E1%BB%95ng%20th%E1%BB%83%2C%20th%E1%BB%8B%20tr%C6%B0%E1%BB%9Dng%20b%E1%BA%A5t%20%C4%91%E1%BB%99ng%20s%E1%BA%A3n%20S%C3%B3c,t%E1%BA%A7ng%2C%20quy%20ho%E1%BA%A1ch%20v%C3%A0%20nhu%20c%E1%BA%A7u%20th%E1%BB%B1c%20t%E1%BA%BF." w:history="1">
        <w:r>
          <w:rPr>
            <w:rStyle w:val="1025"/>
            <w:rFonts w:ascii="Times New Roman" w:hAnsi="Times New Roman" w:eastAsia="Times New Roman" w:cs="Times New Roman"/>
            <w:i/>
            <w:iCs/>
            <w:color w:val="000000" w:themeColor="text1"/>
            <w:sz w:val="24"/>
            <w:szCs w:val="24"/>
            <w:u w:val="none"/>
          </w:rPr>
          <w:t xml:space="preserve">Phân Tích Đầu Tư Thị Trường Bất Động Sản Sóc Sơn Năm 2026</w:t>
        </w:r>
      </w:hyperlink>
      <w:r>
        <w:rPr>
          <w:rFonts w:ascii="Times New Roman" w:hAnsi="Times New Roman" w:eastAsia="Times New Roman" w:cs="Times New Roman"/>
          <w:i/>
          <w:iCs/>
          <w:color w:val="000000" w:themeColor="text1"/>
          <w:sz w:val="24"/>
          <w:szCs w:val="24"/>
          <w:u w:val="none"/>
        </w:rPr>
        <w:t xml:space="preserve">)</w:t>
      </w:r>
      <w:r>
        <w:rPr>
          <w:rFonts w:ascii="Times New Roman" w:hAnsi="Times New Roman" w:cs="Times New Roman"/>
          <w:b/>
          <w:bCs/>
          <w:i/>
          <w:color w:val="000000" w:themeColor="text1"/>
          <w:sz w:val="24"/>
          <w:szCs w:val="24"/>
          <w:u w:val="none"/>
        </w:rPr>
      </w:r>
      <w:r>
        <w:rPr>
          <w:rFonts w:ascii="Times New Roman" w:hAnsi="Times New Roman" w:cs="Times New Roman"/>
          <w:b/>
          <w:bCs/>
          <w:i/>
          <w:color w:val="000000" w:themeColor="text1"/>
          <w:sz w:val="24"/>
          <w:szCs w:val="24"/>
          <w:u w:val="none"/>
        </w:rPr>
      </w:r>
    </w:p>
    <w:p>
      <w:pPr>
        <w:pStyle w:val="103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pPr>
        <w:pStyle w:val="1035"/>
        <w:pBdr/>
        <w:tabs>
          <w:tab w:val="left" w:leader="none" w:pos="993"/>
        </w:tabs>
        <w:spacing w:after="120" w:before="120" w:line="276" w:lineRule="auto"/>
        <w:ind w:left="0"/>
        <w:jc w:val="both"/>
        <w:rPr>
          <w:b/>
          <w:bCs/>
          <w:highlight w:val="none"/>
          <w:lang w:val="pt-BR"/>
        </w:rPr>
      </w:pPr>
      <w:r>
        <w:rPr>
          <w:b/>
          <w:bCs/>
          <w:highlight w:val="none"/>
          <w:lang w:val="pt-BR" w:bidi="pt-BR"/>
        </w:rPr>
      </w:r>
      <w:r>
        <w:rPr>
          <w:b/>
          <w:bCs/>
          <w:highlight w:val="none"/>
          <w:lang w:val="pt-BR"/>
        </w:rPr>
      </w:r>
      <w:r>
        <w:rPr>
          <w:b/>
          <w:bCs/>
          <w:highlight w:val="none"/>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139; 140, tờ bản đồ số: 41 có địa chỉ: Thôn Xuân Dục, xã Tân Minh, huyện Sóc Sơn, thành phố Hà Nội (</w:t>
            </w:r>
            <w:r>
              <w:rPr>
                <w:b/>
                <w:bCs/>
                <w:i/>
                <w:iCs/>
                <w:color w:val="000000"/>
              </w:rPr>
              <w:t xml:space="preserve">nay là xã</w:t>
            </w:r>
            <w:r>
              <w:rPr>
                <w:b/>
                <w:bCs/>
                <w:i/>
                <w:iCs/>
                <w:color w:val="000000"/>
              </w:rPr>
              <w:t xml:space="preserve"> Sóc Sơn, thành phố Hà Nội)</w:t>
            </w:r>
            <w:r>
              <w:rPr>
                <w:b/>
                <w:bCs/>
                <w:color w:val="000000"/>
              </w:rPr>
              <w:t xml:space="preserve"> theo Giấy chứng nhận quyền sử dụng đất, quyền sở hữu nhà ở và tài sản khác gắn liền với đất số: CY 429748, số vào sổ cấp GCN: CS-SS 16856 do Sở Tài nguyên và Môi trường thành phố Hà Nội cấp ngày 18/11/2020 cho Ông Dương Đình Tiệp</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139; 140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41</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Thôn Xuân Dục, xã Tân Minh, huyện Sóc Sơn, thành phố Hà Nội (</w:t>
            </w:r>
            <w:r>
              <w:rPr>
                <w:b w:val="0"/>
                <w:bCs w:val="0"/>
                <w:i/>
                <w:iCs/>
                <w:color w:val="000000"/>
              </w:rPr>
              <w:t xml:space="preserve">nay là xã</w:t>
            </w:r>
            <w:r>
              <w:rPr>
                <w:b w:val="0"/>
                <w:bCs w:val="0"/>
                <w:i/>
                <w:iCs/>
                <w:color w:val="000000"/>
              </w:rPr>
              <w:t xml:space="preserve"> Sóc Sơn, thành phố Hà Nộ</w:t>
            </w:r>
            <w:r>
              <w:rPr>
                <w:b w:val="0"/>
                <w:bCs w:val="0"/>
                <w:i/>
                <w:iCs/>
                <w:color w:val="000000"/>
              </w:rPr>
              <w:t xml:space="preserve">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244,0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vertAlign w:val="baseline"/>
              </w:rPr>
            </w:pPr>
            <w:r>
              <w:rPr>
                <w:color w:val="000000"/>
              </w:rPr>
              <w:t xml:space="preserve">Sử dụng riêng: Đất ở 90,0m</w:t>
            </w:r>
            <w:r>
              <w:rPr>
                <w:color w:val="000000"/>
                <w:vertAlign w:val="superscript"/>
              </w:rPr>
              <w:t xml:space="preserve">2</w:t>
            </w:r>
            <w:r>
              <w:rPr>
                <w:color w:val="000000"/>
                <w:vertAlign w:val="baseline"/>
              </w:rPr>
              <w:t xml:space="preserve">, Đất CLN: 96,0m</w:t>
            </w:r>
            <w:r>
              <w:rPr>
                <w:color w:val="000000"/>
                <w:vertAlign w:val="superscript"/>
              </w:rPr>
              <w:t xml:space="preserve">2</w:t>
            </w:r>
            <w:r>
              <w:rPr>
                <w:color w:val="000000"/>
                <w:vertAlign w:val="baseline"/>
              </w:rPr>
              <w:t xml:space="preserve">;</w:t>
            </w:r>
            <w:r>
              <w:rPr>
                <w:color w:val="000000"/>
                <w:vertAlign w:val="baseline"/>
              </w:rPr>
            </w:r>
            <w:r>
              <w:rPr>
                <w:color w:val="000000"/>
                <w:vertAlign w:val="baseline"/>
              </w:rPr>
            </w:r>
          </w:p>
          <w:p>
            <w:pPr>
              <w:pBdr/>
              <w:spacing/>
              <w:ind/>
              <w:jc w:val="center"/>
              <w:rPr>
                <w:color w:val="000000"/>
                <w:vertAlign w:val="baseline"/>
              </w:rPr>
            </w:pPr>
            <w:r>
              <w:rPr>
                <w:color w:val="000000"/>
                <w:vertAlign w:val="baseline"/>
              </w:rPr>
              <w:t xml:space="preserve">Sử dụng chung: Đất CLN: 58,0m</w:t>
            </w:r>
            <w:r>
              <w:rPr>
                <w:color w:val="000000"/>
                <w:vertAlign w:val="superscript"/>
              </w:rPr>
              <w:t xml:space="preserve">2</w:t>
            </w:r>
            <w:r>
              <w:rPr>
                <w:color w:val="000000"/>
                <w:vertAlign w:val="baseline"/>
              </w:rPr>
              <w:t xml:space="preserve"> </w:t>
            </w:r>
            <w:r>
              <w:rPr>
                <w:color w:val="000000"/>
                <w:vertAlign w:val="baseline"/>
              </w:rPr>
            </w:r>
            <w:r>
              <w:rPr>
                <w:color w:val="000000"/>
                <w:vertAlign w:val="baseli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vertAlign w:val="superscript"/>
              </w:rPr>
            </w:pPr>
            <w:r>
              <w:rPr>
                <w:color w:val="000000" w:themeColor="text1"/>
              </w:rPr>
              <w:t xml:space="preserve">Đất ONT: 90,0m</w:t>
            </w:r>
            <w:r>
              <w:rPr>
                <w:color w:val="000000" w:themeColor="text1"/>
                <w:vertAlign w:val="superscript"/>
              </w:rPr>
              <w:t xml:space="preserve">2</w:t>
            </w:r>
            <w:r>
              <w:rPr>
                <w:color w:val="000000" w:themeColor="text1"/>
              </w:rPr>
              <w:t xml:space="preserve">, Đất CLN: 154,0m</w:t>
            </w:r>
            <w:r>
              <w:rPr>
                <w:color w:val="000000" w:themeColor="text1"/>
                <w:vertAlign w:val="superscript"/>
              </w:rPr>
              <w:t xml:space="preserve">2</w:t>
            </w:r>
            <w:r>
              <w:rPr>
                <w:color w:val="000000"/>
                <w:vertAlign w:val="superscript"/>
              </w:rPr>
            </w:r>
            <w:r>
              <w:rPr>
                <w:color w:val="000000"/>
                <w:vertAlign w:val="superscript"/>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ff0000"/>
              </w:rPr>
            </w:pPr>
            <w:r>
              <w:rPr>
                <w:color w:val="000000" w:themeColor="text1"/>
              </w:rPr>
              <w:t xml:space="preserve">Đất ở: Lâu dài; Đất CLN: Sử dụng đến ngày 01/7/2</w:t>
            </w:r>
            <w:r>
              <w:rPr>
                <w:color w:val="000000" w:themeColor="text1"/>
              </w:rPr>
              <w:t xml:space="preserve">0</w:t>
            </w:r>
            <w:r>
              <w:rPr>
                <w:color w:val="000000" w:themeColor="text1"/>
              </w:rPr>
              <w:t xml:space="preserve">64</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vertAlign w:val="baseline"/>
              </w:rPr>
            </w:pPr>
            <w:r>
              <w:rPr>
                <w:color w:val="000000"/>
              </w:rPr>
              <w:t xml:space="preserve">Nhận tặng cho đất được Công nhận QSDĐ như giao đất có thu tiền sử dụng đất (90,0m</w:t>
            </w:r>
            <w:r>
              <w:rPr>
                <w:color w:val="000000"/>
                <w:vertAlign w:val="superscript"/>
              </w:rPr>
              <w:t xml:space="preserve">2</w:t>
            </w:r>
            <w:r>
              <w:rPr>
                <w:color w:val="000000"/>
                <w:vertAlign w:val="baseline"/>
              </w:rPr>
              <w:t xml:space="preserve">), như giao đất không thu tiền sử dụng đất (154,0m</w:t>
            </w:r>
            <w:r>
              <w:rPr>
                <w:color w:val="000000"/>
                <w:vertAlign w:val="superscript"/>
              </w:rPr>
              <w:t xml:space="preserve">2</w:t>
            </w:r>
            <w:r>
              <w:rPr>
                <w:color w:val="000000"/>
                <w:vertAlign w:val="baseline"/>
              </w:rPr>
              <w:t xml:space="preserve">).</w:t>
            </w:r>
            <w:r>
              <w:rPr>
                <w:color w:val="000000"/>
                <w:vertAlign w:val="baseline"/>
              </w:rPr>
            </w:r>
            <w:r>
              <w:rPr>
                <w:color w:val="000000"/>
                <w:vertAlign w:val="baseli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Tài sản tiếp giáp trục chính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02 mặt ngõ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4"/>
              </w:rPr>
              <w:t xml:space="preserve">Tài sản nằm tại vị trí 2 (VT2) đường Quốc lộ 3: Đoạn thuộc các xã Sóc Sơn mới, Trung Giã mới theo </w:t>
            </w:r>
            <w:r>
              <w:rPr>
                <w:rFonts w:ascii="Times New Roman" w:hAnsi="Times New Roman" w:eastAsia="Times New Roman" w:cs="Times New Roman"/>
                <w:color w:val="000000" w:themeColor="text1"/>
                <w:sz w:val="24"/>
              </w:rPr>
              <w:t xml:space="preserve">Theo Nghị quyết số 52/2025/NQ-HĐND ngày 26 thá</w:t>
            </w:r>
            <w:r>
              <w:rPr>
                <w:rFonts w:ascii="Times New Roman" w:hAnsi="Times New Roman" w:eastAsia="Times New Roman" w:cs="Times New Roman"/>
                <w:color w:val="000000" w:themeColor="text1"/>
                <w:sz w:val="24"/>
              </w:rPr>
              <w:t xml:space="preserve">ng 11 năm 2025 của Hội đồng nhân dân thành phố Hà Nội về việc quy định về bảng giá đất lần đầu để công bố và áp dụng  từ ngày 01 tháng 01 năm 2026 trên địa bàn thành phố Hà Nội.</w:t>
            </w:r>
            <w:r>
              <w:rPr>
                <w:rFonts w:ascii="Times New Roman" w:hAnsi="Times New Roman" w:cs="Times New Roman"/>
                <w:color w:val="000000" w:themeColor="text1"/>
                <w:szCs w:val="24"/>
              </w:rPr>
            </w:r>
            <w:r>
              <w:rPr>
                <w:rFonts w:ascii="Times New Roman" w:hAnsi="Times New Roman" w:cs="Times New Roman"/>
                <w:color w:val="000000" w:themeColor="text1"/>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t xml:space="preserve">+ Hướng Tây Nam: Tiếp giáp đường giao thông rộng 6,0m;</w:t>
              <w:br/>
              <w:t xml:space="preserve">+ Hướng Đông Nam: Tiếp giáp đường giao thông rộng 2,0m</w:t>
            </w:r>
            <w:bookmarkEnd w:id="3"/>
            <w:r>
              <w:rPr>
                <w:highlight w:val="none"/>
              </w:rPr>
              <w:t xml:space="preserve">;</w:t>
            </w:r>
            <w:r>
              <w:rPr>
                <w:highlight w:val="none"/>
              </w:rPr>
            </w:r>
            <w:r>
              <w:rPr>
                <w:highlight w:val="none"/>
              </w:rPr>
            </w:r>
          </w:p>
          <w:p>
            <w:pPr>
              <w:pBdr/>
              <w:spacing/>
              <w:ind/>
              <w:rPr>
                <w:color w:val="000000" w:themeColor="text1"/>
              </w:rPr>
            </w:pPr>
            <w:r>
              <w:rPr>
                <w:highlight w:val="none"/>
              </w:rPr>
              <w:t xml:space="preserve">+ </w:t>
            </w:r>
            <w:r>
              <w:rPr>
                <w:color w:val="000000" w:themeColor="text1"/>
              </w:rPr>
              <w:t xml:space="preserve">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21.269416666667</w:t>
            </w:r>
            <w:r>
              <w:rPr>
                <w:color w:val="000000"/>
              </w:rPr>
              <w:t xml:space="preserve">, </w:t>
            </w:r>
            <w:r>
              <w:rPr>
                <w:color w:val="000000"/>
              </w:rPr>
              <w:t xml:space="preserve">105.87416666667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39534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539534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4.83pt;height:200.00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58,0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5,3</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29,16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Nở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Nhà cấp 4.</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b w:val="0"/>
                <w:bCs w:val="0"/>
                <w:color w:val="000000"/>
              </w:rPr>
            </w:pPr>
            <w:r>
              <w:rPr>
                <w:color w:val="000000"/>
              </w:rPr>
            </w:r>
            <w:r>
              <w:rPr>
                <w:rFonts w:ascii="Times New Roman" w:hAnsi="Times New Roman" w:eastAsia="Times New Roman" w:cs="Times New Roman"/>
                <w:color w:val="000000"/>
                <w:sz w:val="24"/>
              </w:rPr>
              <w:t xml:space="preserve">Tại thời điểm khảo sát, trên đất có 01 nhà cấp bốn, nhà được xây dựng đã lâu, kết cấu BTCT, tường gạch chịu lực, mái lợp ngói, ngoại quan còn khá. Hiện trạng đang sử dụng bình thư</w:t>
            </w:r>
            <w:r>
              <w:rPr>
                <w:rFonts w:ascii="Times New Roman" w:hAnsi="Times New Roman" w:eastAsia="Times New Roman" w:cs="Times New Roman"/>
                <w:color w:val="000000"/>
                <w:sz w:val="24"/>
              </w:rPr>
              <w:t xml:space="preserve">ờng và chưa được chứng nhận trên GCN số </w:t>
            </w:r>
            <w:r>
              <w:rPr>
                <w:b w:val="0"/>
                <w:bCs w:val="0"/>
                <w:color w:val="000000"/>
              </w:rPr>
              <w:t xml:space="preserve">CY 429748.</w:t>
            </w:r>
            <w:r>
              <w:rPr>
                <w:b w:val="0"/>
                <w:bCs w:val="0"/>
                <w:color w:val="000000"/>
              </w:rPr>
            </w:r>
            <w:r>
              <w:rPr>
                <w:b w:val="0"/>
                <w:bCs w:val="0"/>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trên đất có 01 nhà cấp bốn, nhà được xây dựng đã lâu, kết cấu BTCT, tường gạch chịu lực, mái lợp ngói, ngoại quan còn khá. Hiện trạng đang sử dụng bình thư</w:t>
      </w:r>
      <w:r>
        <w:rPr>
          <w:rFonts w:ascii="Times New Roman" w:hAnsi="Times New Roman" w:eastAsia="Times New Roman" w:cs="Times New Roman"/>
          <w:color w:val="000000"/>
          <w:sz w:val="24"/>
        </w:rPr>
        <w:t xml:space="preserve">ờng và chưa được chứng nhận trên GCN số </w:t>
      </w:r>
      <w:r>
        <w:rPr>
          <w:b w:val="0"/>
          <w:bCs w:val="0"/>
          <w:color w:val="000000"/>
        </w:rPr>
        <w:t xml:space="preserve">CY 429748</w:t>
      </w:r>
      <w:r>
        <w:rPr>
          <w:rFonts w:ascii="Times New Roman" w:hAnsi="Times New Roman" w:eastAsia="Times New Roman" w:cs="Times New Roman"/>
          <w:color w:val="000000"/>
          <w:sz w:val="24"/>
        </w:rPr>
        <w:t xml:space="preserve">. Tổ thẩm định cũng không được cung cấp bất kỳ hồ sơ pháp lý nào liên quan đến các công trình xây dựng hiện có trên thửa đất này. Do vậy, theo đề nghị của Khách hàng/Ngân hàng, chúng tôi không xác định giá t</w:t>
      </w:r>
      <w:r>
        <w:rPr>
          <w:rFonts w:ascii="Times New Roman" w:hAnsi="Times New Roman" w:eastAsia="Times New Roman" w:cs="Times New Roman"/>
          <w:color w:val="000000"/>
          <w:sz w:val="24"/>
        </w:rPr>
        <w:t xml:space="preserve">rị công trình xây dựng hiện có trên đất, nhưng vẫn coi đó là phần không thể tách rời của tài sản thẩm định. Kính đề nghị đơn vị sử dụng chứng thư lưu ý</w:t>
      </w:r>
      <w:r>
        <w:rPr>
          <w:spacing w:val="-2"/>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ở tại nông thôn</w:t>
      </w:r>
      <w:r>
        <w:rPr>
          <w:b/>
          <w:lang w:val="pt-BR"/>
        </w:rPr>
      </w:r>
      <w:r>
        <w:rPr>
          <w:b/>
          <w:lang w:val="pt-BR"/>
        </w:rPr>
        <w:t xml:space="preserve">:</w:t>
      </w:r>
      <w:r>
        <w:rPr>
          <w:b/>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p>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2"/>
        <w:gridCol w:w="1806"/>
        <w:gridCol w:w="1772"/>
        <w:gridCol w:w="1771"/>
        <w:gridCol w:w="1772"/>
        <w:gridCol w:w="1772"/>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Địa chỉ</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Sóc Sơn,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Sóc Sơn,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Sóc Sơn, thành phố Hà Nội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Xã Sóc Sơn, thành phố Hà Nội</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Nguồn tham khảo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https://guland.vn/post/ban-dat-80m2-full-tho-cu-sat-truc-truong-dua-ngua-ngang-69m-gia-375-ty-tai-xa-soc-son-2080666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trực tiếp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Liên hệ trưc tiếp</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u w:val="single"/>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rPr>
              <w:t xml:space="preserve">SDT: </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2"/>
              </w:rPr>
              <w:t xml:space="preserve">0392.693522</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rPr>
              <w:t xml:space="preserve">SDT: </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2"/>
              </w:rPr>
              <w:t xml:space="preserve">0989.980380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color w:val="000000"/>
                <w:sz w:val="22"/>
                <w:szCs w:val="22"/>
              </w:rPr>
            </w:pPr>
            <w:r>
              <w:rPr>
                <w:rFonts w:ascii="Times New Roman" w:hAnsi="Times New Roman" w:eastAsia="Times New Roman" w:cs="Times New Roman"/>
                <w:color w:val="000000"/>
                <w:sz w:val="22"/>
              </w:rPr>
              <w:t xml:space="preserve">SDT: </w:t>
            </w: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r>
          </w:p>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2"/>
              </w:rPr>
              <w:t xml:space="preserve">0989.980380</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tcBorders>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(Sale Nguyễn Tiến Hưng)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(Sale Anh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(Sale Anh Ninh)</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Tháng 4/2026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nông thôn (48m²), Đất trồng cây lâu năm (47m²)</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tiếp giáp trục chính thôn Xuân Dục. Tài sản cách QL3 khoảng 1,9km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QL3 khoảng 2,3km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QL3 khoảng 1,5km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cách QL3 khoảng 1,3km</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w:t>
              <w:br/>
              <w:t xml:space="preserve">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95,0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5,08</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Nở hậu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Cảnh quan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View khu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View khu dân cư</w:t>
            </w:r>
            <w:r>
              <w:rPr>
                <w:rFonts w:ascii="Times New Roman" w:hAnsi="Times New Roman" w:eastAsia="Times New Roman" w:cs="Times New Roman"/>
                <w:color w:val="000000"/>
                <w:sz w:val="22"/>
              </w:rPr>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Yếu tố khác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Tài sản trên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Nhà 1 tầng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Đất trống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sàn sử dụng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3.750.000.000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4.950.000.000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4.750.000.000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3.960.000.000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3.800.000.000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 tiết tính toán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392.511.504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Đơn giá xây dựng theo Quyết định 425/QĐ-BXD năm 2026 của Bộ Xây Dựng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5.947.144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 Tỷ lệ % CLCL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đất ở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3.000.000.000   </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3.567.488.496   </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3.800.000.000   </w:t>
            </w:r>
            <w:r>
              <w:rPr>
                <w:b/>
                <w:bCs/>
              </w:rPr>
            </w:r>
            <w:r>
              <w:rPr>
                <w:b/>
                <w:bCs/>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QSDĐ (đồng/m²)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37.500.000 </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43.242.285 </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rPr>
            </w:pPr>
            <w:r>
              <w:rPr>
                <w:rFonts w:ascii="Times New Roman" w:hAnsi="Times New Roman" w:eastAsia="Times New Roman" w:cs="Times New Roman"/>
                <w:b/>
                <w:bCs/>
                <w:color w:val="000000"/>
                <w:sz w:val="22"/>
              </w:rPr>
              <w:t xml:space="preserve">40.000.000 </w:t>
            </w:r>
            <w:r>
              <w:rPr>
                <w:b/>
                <w:bCs/>
              </w:rPr>
            </w:r>
            <w:r>
              <w:rPr>
                <w:b/>
                <w:bCs/>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Kém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28"/>
        <w:gridCol w:w="1951"/>
        <w:gridCol w:w="1136"/>
        <w:gridCol w:w="1524"/>
        <w:gridCol w:w="1524"/>
        <w:gridCol w:w="1524"/>
        <w:gridCol w:w="1524"/>
      </w:tblGrid>
      <w:tr>
        <w:trPr>
          <w:trHeight w:val="0"/>
          <w:tblHeade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3.000.000.000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3.567.488.496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3.800.000.000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37.500.000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43.242.285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40.000.000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ONT: 48m²; Đất CLN: 47m²</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2.000.000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37.500.000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43.242.285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42.000.000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tiếp giáp trục chính thôn Xuân Dục. Tài sản cách QL3 khoảng 1,9km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QL3 khoảng 2,3km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QL3 khoảng 1,5km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QL3 khoảng 1,3km</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37.500.000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43.242.285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42.000.000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6,0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6,0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6,0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6,0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37.500.000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43.242.285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42.000.000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b/>
                <w:color w:val="000000"/>
                <w:sz w:val="22"/>
              </w:rPr>
              <w:t xml:space="preserve">Diện tích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000000"/>
                <w:sz w:val="22"/>
              </w:rPr>
              <w:t xml:space="preserve">(m²)</w:t>
            </w:r>
            <w:r>
              <w:rPr>
                <w:rFonts w:ascii="Times New Roman" w:hAnsi="Times New Roman" w:eastAsia="Times New Roman" w:cs="Times New Roman"/>
                <w:color w:val="000000"/>
                <w:sz w:val="22"/>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90,0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82,5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95,0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-1.125.000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-1.297.269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36.375.000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41.945.016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42.000.000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tabs>
                <w:tab w:val="center" w:leader="none" w:pos="867"/>
              </w:tabs>
              <w:spacing w:line="300" w:lineRule="auto"/>
              <w:ind w:right="0" w:firstLine="0" w:left="0"/>
              <w:rPr/>
            </w:pPr>
            <w:r>
              <w:rPr>
                <w:rFonts w:ascii="Times New Roman" w:hAnsi="Times New Roman" w:eastAsia="Times New Roman" w:cs="Times New Roman"/>
                <w:b/>
                <w:color w:val="000000"/>
                <w:sz w:val="22"/>
              </w:rPr>
              <w:t xml:space="preserve">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(m)</w:t>
            </w:r>
            <w:r>
              <w:tab/>
            </w:r>
            <w:r>
              <w:rPr>
                <w:rFonts w:ascii="Times New Roman" w:hAnsi="Times New Roman" w:eastAsia="Times New Roman" w:cs="Times New Roman"/>
                <w:b/>
                <w:color w:val="000000"/>
                <w:sz w:val="22"/>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5,3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6,9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5,1</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-1.875.000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34.500.000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41.945.016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42.000.000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2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Tiếp giáp 1 mặt tiền</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1.875.000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2.162.114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2.100.000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36.375.000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44.107.130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44.100.000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Nở hậu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Tương đối vuông vức</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750.000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864.846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840.000 </w:t>
            </w:r>
            <w:r>
              <w:rPr>
                <w:color w:val="000000" w:themeColor="text1"/>
              </w:rPr>
            </w:r>
            <w:r>
              <w:rPr>
                <w:color w:val="000000" w:themeColor="text1"/>
              </w:rP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37.125.000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44.971.976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44.940.000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7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42.345.659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-12,3%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6,2%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6,13%</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91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5.625.000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4.324.228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b/>
                <w:color w:val="000000" w:themeColor="text1"/>
                <w:sz w:val="22"/>
              </w:rPr>
              <w:t xml:space="preserve">4.940.000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 </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2-5%</w:t>
            </w:r>
            <w:r>
              <w:rPr>
                <w:color w:val="000000" w:themeColor="text1"/>
              </w:rPr>
            </w:r>
            <w:r>
              <w:rPr>
                <w:color w:val="000000" w:themeColor="text1"/>
              </w:rP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(375.000)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1.729.691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300" w:lineRule="auto"/>
              <w:ind w:right="0" w:firstLine="0" w:left="0"/>
              <w:jc w:val="center"/>
              <w:rPr>
                <w:color w:val="000000" w:themeColor="text1"/>
              </w:rPr>
            </w:pPr>
            <w:r>
              <w:rPr>
                <w:rFonts w:ascii="Times New Roman" w:hAnsi="Times New Roman" w:eastAsia="Times New Roman" w:cs="Times New Roman"/>
                <w:color w:val="000000" w:themeColor="text1"/>
                <w:sz w:val="22"/>
              </w:rPr>
              <w:t xml:space="preserve">4.940.000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6,2% đến</w:t>
      </w:r>
      <w:r>
        <w:t xml:space="preserve"> </w:t>
      </w:r>
      <w:r>
        <w:t xml:space="preserve">12,3%,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60"/>
        <w:gridCol w:w="2125"/>
        <w:gridCol w:w="2056"/>
        <w:gridCol w:w="2042"/>
        <w:gridCol w:w="2541"/>
      </w:tblGrid>
      <w:tr>
        <w:trPr>
          <w:trHeight w:val="91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20"/>
        </w:trPr>
        <w:tc>
          <w:tcPr>
            <w:tcBorders>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37.125.000 </w:t>
            </w:r>
            <w:r/>
          </w:p>
        </w:tc>
        <w:tc>
          <w:tcPr>
            <w:tcBorders>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12.375.000 </w:t>
            </w:r>
            <w:r/>
          </w:p>
        </w:tc>
      </w:tr>
      <w:tr>
        <w:trPr>
          <w:trHeight w:val="320"/>
        </w:trPr>
        <w:tc>
          <w:tcPr>
            <w:tcBorders>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44.971.976 </w:t>
            </w:r>
            <w:r/>
          </w:p>
        </w:tc>
        <w:tc>
          <w:tcPr>
            <w:tcBorders>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14.990.659 </w:t>
            </w:r>
            <w:r/>
          </w:p>
        </w:tc>
      </w:tr>
      <w:tr>
        <w:trPr>
          <w:trHeight w:val="320"/>
        </w:trPr>
        <w:tc>
          <w:tcPr>
            <w:tcBorders>
              <w:left w:val="single" w:color="000000" w:sz="6" w:space="0"/>
              <w:bottom w:val="single" w:color="000000" w:sz="6" w:space="0"/>
              <w:right w:val="single" w:color="000000" w:sz="6" w:space="0"/>
            </w:tcBorders>
            <w:tcMar>
              <w:left w:w="15" w:type="dxa"/>
              <w:top w:w="15" w:type="dxa"/>
              <w:right w:w="15" w:type="dxa"/>
              <w:bottom w:w="0" w:type="dxa"/>
            </w:tcMar>
            <w:tcW w:w="76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15" w:type="dxa"/>
              <w:top w:w="15" w:type="dxa"/>
              <w:right w:w="15" w:type="dxa"/>
              <w:bottom w:w="0" w:type="dxa"/>
            </w:tcMar>
            <w:tcW w:w="212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6" w:space="0"/>
              <w:right w:val="single" w:color="000000" w:sz="6" w:space="0"/>
            </w:tcBorders>
            <w:tcMar>
              <w:left w:w="15" w:type="dxa"/>
              <w:top w:w="15" w:type="dxa"/>
              <w:right w:w="15"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44.940.000 </w:t>
            </w:r>
            <w:r/>
          </w:p>
        </w:tc>
        <w:tc>
          <w:tcPr>
            <w:tcBorders>
              <w:bottom w:val="single" w:color="000000" w:sz="6" w:space="0"/>
              <w:right w:val="single" w:color="000000" w:sz="6" w:space="0"/>
            </w:tcBorders>
            <w:tcMar>
              <w:left w:w="15" w:type="dxa"/>
              <w:top w:w="15" w:type="dxa"/>
              <w:right w:w="15" w:type="dxa"/>
              <w:bottom w:w="0" w:type="dxa"/>
            </w:tcMar>
            <w:tcW w:w="20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14.980.000 </w:t>
            </w:r>
            <w:r/>
          </w:p>
        </w:tc>
      </w:tr>
      <w:tr>
        <w:trPr>
          <w:trHeight w:val="31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42.345.659 </w:t>
            </w:r>
            <w:r/>
          </w:p>
        </w:tc>
      </w:tr>
      <w:tr>
        <w:trPr>
          <w:trHeight w:val="310"/>
        </w:trPr>
        <w:tc>
          <w:tcPr>
            <w:gridSpan w:val="4"/>
            <w:tcBorders>
              <w:top w:val="single" w:color="000000" w:sz="6" w:space="0"/>
              <w:left w:val="single" w:color="000000" w:sz="6" w:space="0"/>
              <w:bottom w:val="single" w:color="000000" w:sz="6" w:space="0"/>
              <w:right w:val="single" w:color="000000" w:sz="8" w:space="0"/>
            </w:tcBorders>
            <w:tcMar>
              <w:left w:w="15" w:type="dxa"/>
              <w:top w:w="15" w:type="dxa"/>
              <w:right w:w="15" w:type="dxa"/>
              <w:bottom w:w="0" w:type="dxa"/>
            </w:tcMar>
            <w:tcW w:w="6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15" w:type="dxa"/>
              <w:top w:w="15" w:type="dxa"/>
              <w:right w:w="15" w:type="dxa"/>
              <w:bottom w:w="0" w:type="dxa"/>
            </w:tcMar>
            <w:tcW w:w="254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42.000.000 </w:t>
            </w:r>
            <w:r/>
          </w:p>
        </w:tc>
      </w:tr>
    </w:tbl>
    <w:p>
      <w:pPr>
        <w:pBdr/>
        <w:spacing w:after="120" w:before="120" w:line="348"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42.000.000</w:t>
      </w:r>
      <w:r>
        <w:rPr>
          <w:b/>
          <w:bCs/>
          <w:color w:val="000000" w:themeColor="text1"/>
        </w:rPr>
        <w:t xml:space="preserve"> </w:t>
      </w:r>
      <w:r>
        <w:rPr>
          <w:b/>
          <w:bCs/>
        </w:rPr>
        <w:t xml:space="preserve">đồng/m².</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348" w:lineRule="auto"/>
        <w:ind w:firstLine="0" w:left="0"/>
        <w:jc w:val="both"/>
        <w:rPr/>
      </w:pPr>
      <w:r>
        <w:rPr>
          <w:b/>
          <w:bCs/>
          <w:highlight w:val="none"/>
        </w:rPr>
        <w:t xml:space="preserve">2.  </w:t>
      </w:r>
      <w:r>
        <w:rPr>
          <w:rFonts w:ascii="Times New Roman" w:hAnsi="Times New Roman" w:eastAsia="Times New Roman" w:cs="Times New Roman"/>
          <w:b/>
          <w:color w:val="000000"/>
          <w:sz w:val="24"/>
        </w:rPr>
        <w:t xml:space="preserve">Xác định đơn giá đất trồng cây lâu năm </w:t>
      </w:r>
      <w:r/>
    </w:p>
    <w:p>
      <w:pPr>
        <w:pBdr>
          <w:top w:val="none" w:color="000000" w:sz="4" w:space="0"/>
          <w:left w:val="none" w:color="000000" w:sz="4" w:space="0"/>
          <w:bottom w:val="none" w:color="000000" w:sz="4" w:space="0"/>
          <w:right w:val="none" w:color="000000" w:sz="4" w:space="0"/>
        </w:pBdr>
        <w:spacing w:after="120" w:before="120" w:line="348" w:lineRule="auto"/>
        <w:ind w:right="0" w:firstLine="360" w:left="0"/>
        <w:jc w:val="both"/>
        <w:rPr/>
      </w:pPr>
      <w:r>
        <w:rPr>
          <w:rFonts w:ascii="Times New Roman" w:hAnsi="Times New Roman" w:eastAsia="Times New Roman" w:cs="Times New Roman"/>
          <w:color w:val="000000"/>
          <w:sz w:val="24"/>
        </w:rPr>
        <w:t xml:space="preserve">Dưới sự thống nhất với Ngân hàng/Khách hàng, cho mục đích thẩm định giá tại báo cáo này, Tổ thẩm định xác định đơn giá quyền sử dụng đất trồng cây lâu năm theo khung giá UBND tỉnh.</w:t>
      </w:r>
      <w:r/>
    </w:p>
    <w:p>
      <w:pPr>
        <w:pBdr/>
        <w:spacing w:after="120" w:before="120" w:line="348" w:lineRule="auto"/>
        <w:ind w:right="0" w:firstLine="283" w:left="0"/>
        <w:jc w:val="both"/>
        <w:rPr>
          <w:b/>
          <w:bCs/>
        </w:rPr>
      </w:pPr>
      <w:r>
        <w:rPr>
          <w:rFonts w:ascii="Times New Roman" w:hAnsi="Times New Roman" w:eastAsia="Times New Roman" w:cs="Times New Roman"/>
          <w:color w:val="000000"/>
          <w:sz w:val="24"/>
        </w:rPr>
        <w:t xml:space="preserve">Theo Nghị quyết số 52/2025/NQ-HĐND ngày 26 thá</w:t>
      </w:r>
      <w:r>
        <w:rPr>
          <w:rFonts w:ascii="Times New Roman" w:hAnsi="Times New Roman" w:eastAsia="Times New Roman" w:cs="Times New Roman"/>
          <w:color w:val="000000"/>
          <w:sz w:val="24"/>
        </w:rPr>
        <w:t xml:space="preserve">ng 11 năm 2025 của Hội đồng nhân dân thành phố Hà Nội về việc quy định về bảng giá đất lần đầu để công bố và áp dụng  từ ngày 01 tháng 01 năm 2026 trên địa bàn thành phố Hà Nội, đơn giá Đất trồng cây lâu năm huyện Sóc Sơn (Trước sắp xếp): Vùng đồng bằng l</w:t>
      </w:r>
      <w:r>
        <w:rPr>
          <w:rFonts w:ascii="Times New Roman" w:hAnsi="Times New Roman" w:eastAsia="Times New Roman" w:cs="Times New Roman"/>
          <w:color w:val="000000"/>
          <w:sz w:val="24"/>
        </w:rPr>
        <w:t xml:space="preserve">à: 180.000 đồng/m². Do đó, Tổ thẩm định xác định Đơn giá quyền sử dụng đất trồng cây lâu năm là: </w:t>
      </w:r>
      <w:r>
        <w:rPr>
          <w:rFonts w:ascii="Times New Roman" w:hAnsi="Times New Roman" w:eastAsia="Times New Roman" w:cs="Times New Roman"/>
          <w:b/>
          <w:bCs/>
          <w:color w:val="000000"/>
          <w:sz w:val="24"/>
        </w:rPr>
        <w:t xml:space="preserve">180.000 (đồng/m</w:t>
      </w:r>
      <w:r>
        <w:rPr>
          <w:rFonts w:ascii="Times New Roman" w:hAnsi="Times New Roman" w:eastAsia="Times New Roman" w:cs="Times New Roman"/>
          <w:b/>
          <w:bCs/>
          <w:color w:val="000000"/>
          <w:sz w:val="20"/>
          <w:vertAlign w:val="superscript"/>
        </w:rPr>
        <w:t xml:space="preserve">2</w:t>
      </w:r>
      <w:r>
        <w:rPr>
          <w:rFonts w:ascii="Times New Roman" w:hAnsi="Times New Roman" w:eastAsia="Times New Roman" w:cs="Times New Roman"/>
          <w:b/>
          <w:bCs/>
          <w:color w:val="000000"/>
          <w:sz w:val="24"/>
        </w:rPr>
        <w:t xml:space="preserve">).</w:t>
      </w:r>
      <w:r>
        <w:rPr>
          <w:b/>
          <w:bCs/>
        </w:rPr>
      </w:r>
      <w:r>
        <w:rPr>
          <w:b/>
          <w:bCs/>
        </w:rPr>
      </w:r>
    </w:p>
    <w:p>
      <w:pPr>
        <w:pBdr/>
        <w:spacing w:after="120" w:before="120" w:line="348" w:lineRule="auto"/>
        <w:ind w:firstLine="0" w:left="0"/>
        <w:jc w:val="both"/>
        <w:rPr>
          <w:b/>
          <w:lang w:val="pt-BR"/>
        </w:rPr>
      </w:pPr>
      <w:r>
        <w:rPr>
          <w:b/>
          <w:lang w:val="pt-BR"/>
        </w:rPr>
        <w:t xml:space="preserve">3. Kết quả thẩm định giá:</w:t>
      </w:r>
      <w:r>
        <w:rPr>
          <w:b/>
          <w:lang w:val="pt-BR"/>
        </w:rPr>
      </w:r>
      <w:r>
        <w:rPr>
          <w:b/>
          <w:lang w:val="pt-BR"/>
        </w:rPr>
      </w:r>
    </w:p>
    <w:p>
      <w:pPr>
        <w:pStyle w:val="1035"/>
        <w:pBdr/>
        <w:tabs>
          <w:tab w:val="left" w:leader="none" w:pos="993"/>
        </w:tabs>
        <w:spacing w:after="120" w:before="120" w:line="348"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W w:w="4966"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801"/>
        <w:gridCol w:w="1802"/>
        <w:gridCol w:w="174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0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74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344"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139; 140, tờ bản đồ số: 41 có địa chỉ: Thôn Xuân Dục, xã Tân Minh, huyện Sóc Sơn, thành phố Hà Nội (</w:t>
            </w:r>
            <w:r>
              <w:rPr>
                <w:b/>
                <w:bCs/>
                <w:i/>
                <w:iCs/>
                <w:color w:val="000000"/>
              </w:rPr>
              <w:t xml:space="preserve">nay là xã</w:t>
            </w:r>
            <w:r>
              <w:rPr>
                <w:b/>
                <w:bCs/>
                <w:i/>
                <w:iCs/>
                <w:color w:val="000000"/>
              </w:rPr>
              <w:t xml:space="preserve"> Sóc Sơn, thành phố Hà Nội) </w:t>
            </w:r>
            <w:r>
              <w:rPr>
                <w:b/>
                <w:bCs/>
                <w:color w:val="000000"/>
              </w:rPr>
              <w:t xml:space="preserve">theo Giấy chứng nhận quyền sử dụng đất, quyền sở hữu nhà ở và tài sản khác gắn liền với đất số: CY 429748, số vào sổ cấp GCN: CS-SS 16856 do Sở Tài nguyên và Môi trường thành phố Hà Nội cấp ngày 18/11/2020 cho Ông Dương Đình Tiệp</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801"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90,0</w:t>
            </w:r>
            <w:r>
              <w:rPr>
                <w:color w:val="000000"/>
              </w:rPr>
            </w:r>
            <w:r>
              <w:rPr>
                <w:color w:val="000000"/>
              </w:rPr>
            </w:r>
          </w:p>
        </w:tc>
        <w:tc>
          <w:tcPr>
            <w:shd w:val="clear" w:color="000000" w:fill="ffffff"/>
            <w:tcBorders/>
            <w:tcW w:w="1741" w:type="dxa"/>
            <w:vAlign w:val="center"/>
            <w:textDirection w:val="lrTb"/>
            <w:noWrap w:val="false"/>
          </w:tcPr>
          <w:p>
            <w:pPr>
              <w:pBdr/>
              <w:spacing w:after="40" w:before="40" w:line="288" w:lineRule="auto"/>
              <w:ind/>
              <w:jc w:val="center"/>
              <w:rPr/>
            </w:pPr>
            <w:r>
              <w:rPr>
                <w:color w:val="000000" w:themeColor="text1"/>
              </w:rPr>
              <w:t xml:space="preserve">42.000.000</w:t>
            </w:r>
            <w:r/>
          </w:p>
        </w:tc>
        <w:tc>
          <w:tcPr>
            <w:shd w:val="clear" w:color="000000" w:fill="ffffff"/>
            <w:tcBorders/>
            <w:tcW w:w="2164" w:type="dxa"/>
            <w:vAlign w:val="center"/>
            <w:textDirection w:val="lrTb"/>
            <w:noWrap w:val="false"/>
          </w:tcPr>
          <w:p>
            <w:pPr>
              <w:pBdr/>
              <w:spacing w:after="40" w:before="40" w:line="288" w:lineRule="auto"/>
              <w:ind/>
              <w:jc w:val="right"/>
              <w:rPr/>
            </w:pPr>
            <w:r>
              <w:rPr>
                <w:color w:val="000000" w:themeColor="text1"/>
              </w:rPr>
              <w:t xml:space="preserve">3.780.000.000</w:t>
            </w: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2801" w:type="dxa"/>
            <w:vAlign w:val="center"/>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96,0</w:t>
            </w:r>
            <w:r>
              <w:rPr>
                <w:color w:val="000000"/>
              </w:rPr>
            </w:r>
            <w:r>
              <w:rPr>
                <w:color w:val="000000"/>
              </w:rPr>
            </w:r>
          </w:p>
        </w:tc>
        <w:tc>
          <w:tcPr>
            <w:shd w:val="clear" w:color="000000" w:fill="ffffff"/>
            <w:tcBorders/>
            <w:tcW w:w="1741" w:type="dxa"/>
            <w:vAlign w:val="center"/>
            <w:textDirection w:val="lrTb"/>
            <w:noWrap w:val="false"/>
          </w:tcPr>
          <w:p>
            <w:pPr>
              <w:pBdr/>
              <w:spacing w:after="40" w:before="40" w:line="288" w:lineRule="auto"/>
              <w:ind/>
              <w:jc w:val="center"/>
              <w:rPr/>
            </w:pPr>
            <w:r>
              <w:rPr>
                <w:color w:val="000000" w:themeColor="text1"/>
              </w:rPr>
              <w:t xml:space="preserve">180.000</w:t>
            </w:r>
            <w:r/>
          </w:p>
        </w:tc>
        <w:tc>
          <w:tcPr>
            <w:shd w:val="clear" w:color="000000" w:fill="ffffff"/>
            <w:tcBorders/>
            <w:tcW w:w="2164" w:type="dxa"/>
            <w:vAlign w:val="center"/>
            <w:textDirection w:val="lrTb"/>
            <w:noWrap w:val="false"/>
          </w:tcPr>
          <w:p>
            <w:pPr>
              <w:pBdr/>
              <w:spacing w:after="40" w:before="40" w:line="288" w:lineRule="auto"/>
              <w:ind/>
              <w:jc w:val="right"/>
              <w:rPr/>
            </w:pPr>
            <w:r>
              <w:rPr>
                <w:color w:val="000000" w:themeColor="text1"/>
              </w:rPr>
              <w:t xml:space="preserve">17.280.000</w:t>
            </w:r>
            <w:r/>
          </w:p>
        </w:tc>
      </w:tr>
      <w:tr>
        <w:trPr>
          <w:trHeight w:val="20"/>
        </w:trPr>
        <w:tc>
          <w:tcPr>
            <w:gridSpan w:val="4"/>
            <w:tcBorders/>
            <w:tcW w:w="7297"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right"/>
              <w:rPr>
                <w:b/>
                <w:bCs/>
                <w:color w:val="000000"/>
              </w:rPr>
            </w:pPr>
            <w:r>
              <w:rPr>
                <w:b/>
                <w:bCs/>
              </w:rPr>
              <w:t xml:space="preserve">3.797.280.000</w:t>
            </w:r>
            <w:r>
              <w:rPr>
                <w:b/>
                <w:bCs/>
                <w:color w:val="000000"/>
              </w:rPr>
            </w:r>
            <w:r>
              <w:rPr>
                <w:b/>
                <w:bCs/>
                <w:color w:val="000000"/>
              </w:rPr>
            </w:r>
          </w:p>
        </w:tc>
      </w:tr>
      <w:tr>
        <w:trPr>
          <w:trHeight w:val="20"/>
        </w:trPr>
        <w:tc>
          <w:tcPr>
            <w:gridSpan w:val="4"/>
            <w:tcBorders/>
            <w:tcW w:w="7297"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right"/>
              <w:rPr>
                <w:b/>
                <w:bCs/>
                <w:color w:val="000000"/>
              </w:rPr>
            </w:pPr>
            <w:r>
              <w:rPr>
                <w:b/>
                <w:bCs/>
                <w:color w:val="000000"/>
              </w:rPr>
              <w:t xml:space="preserve">3.797.000.000</w:t>
            </w:r>
            <w:r>
              <w:rPr>
                <w:b/>
                <w:bCs/>
                <w:color w:val="000000"/>
              </w:rPr>
            </w:r>
            <w:r>
              <w:rPr>
                <w:b/>
                <w:bCs/>
                <w:color w:val="000000"/>
              </w:rPr>
            </w:r>
          </w:p>
        </w:tc>
      </w:tr>
      <w:tr>
        <w:trPr>
          <w:trHeight w:val="20"/>
        </w:trPr>
        <w:tc>
          <w:tcPr>
            <w:gridSpan w:val="5"/>
            <w:tcBorders/>
            <w:tcW w:w="9461"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bảy trăm chín mươi bảy triệu đồng</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center"/>
        <w:rPr>
          <w:b/>
          <w:bCs/>
          <w:i/>
          <w:color w:val="000000" w:themeColor="text1"/>
          <w:highlight w:val="white"/>
        </w:rPr>
      </w:pPr>
      <w:r>
        <w:rPr>
          <w:b/>
          <w:bCs/>
          <w:i/>
          <w:iCs/>
          <w:color w:val="000000" w:themeColor="text1"/>
          <w:highlight w:val="white"/>
          <w:lang w:val="pt-BR"/>
        </w:rPr>
        <w:t xml:space="preserve">* </w:t>
      </w:r>
      <w:r>
        <w:rPr>
          <w:rFonts w:ascii="Times New Roman" w:hAnsi="Times New Roman" w:eastAsia="Times New Roman" w:cs="Times New Roman"/>
          <w:b/>
          <w:i/>
          <w:iCs/>
          <w:color w:val="000000" w:themeColor="text1"/>
          <w:sz w:val="24"/>
          <w:highlight w:val="white"/>
        </w:rPr>
        <w:t xml:space="preserve">Ghi chú:</w:t>
      </w:r>
      <w:r>
        <w:rPr>
          <w:rFonts w:ascii="Arial" w:hAnsi="Arial" w:eastAsia="Arial" w:cs="Arial"/>
          <w:i/>
          <w:iCs/>
          <w:color w:val="000000" w:themeColor="text1"/>
          <w:spacing w:val="3"/>
          <w:sz w:val="23"/>
          <w:highlight w:val="white"/>
        </w:rPr>
        <w:t xml:space="preserve"> </w:t>
      </w:r>
      <w:r>
        <w:rPr>
          <w:rFonts w:ascii="Times New Roman" w:hAnsi="Times New Roman" w:eastAsia="Times New Roman" w:cs="Times New Roman"/>
          <w:i/>
          <w:iCs/>
          <w:color w:val="000000" w:themeColor="text1"/>
          <w:spacing w:val="3"/>
          <w:sz w:val="24"/>
          <w:szCs w:val="24"/>
          <w:highlight w:val="white"/>
        </w:rPr>
        <w:t xml:space="preserve">Đ</w:t>
      </w:r>
      <w:r>
        <w:rPr>
          <w:rFonts w:ascii="Times New Roman" w:hAnsi="Times New Roman" w:eastAsia="Times New Roman" w:cs="Times New Roman"/>
          <w:i/>
          <w:iCs/>
          <w:color w:val="000000" w:themeColor="text1"/>
          <w:spacing w:val="3"/>
          <w:sz w:val="24"/>
          <w:szCs w:val="24"/>
          <w:highlight w:val="white"/>
        </w:rPr>
        <w:t xml:space="preserve">ơn giá đất ở được xác định trong điều kiện giá trị phần đất ở và giá trị phần đất trồng cây lâu năm không tách rời nhau</w:t>
      </w:r>
      <w:r>
        <w:rPr>
          <w:b/>
          <w:bCs/>
          <w:i/>
          <w:color w:val="000000" w:themeColor="text1"/>
          <w:highlight w:val="white"/>
        </w:rPr>
      </w:r>
      <w:r>
        <w:rPr>
          <w:b/>
          <w:bCs/>
          <w:i/>
          <w:color w:val="000000" w:themeColor="text1"/>
          <w:highlight w:val="white"/>
        </w:rPr>
      </w:r>
    </w:p>
    <w:p>
      <w:pPr>
        <w:pStyle w:val="1035"/>
        <w:pBdr/>
        <w:tabs>
          <w:tab w:val="left" w:leader="none" w:pos="993"/>
        </w:tabs>
        <w:spacing w:after="120" w:before="120" w:line="264"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pPr>
        <w:pStyle w:val="1035"/>
        <w:numPr>
          <w:ilvl w:val="0"/>
          <w:numId w:val="4"/>
        </w:numPr>
        <w:pBdr/>
        <w:tabs>
          <w:tab w:val="left" w:leader="none" w:pos="993"/>
        </w:tabs>
        <w:spacing w:after="120" w:before="120" w:line="264"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64"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64"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64"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64"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64"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64"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64"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64"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64" w:lineRule="auto"/>
        <w:ind w:left="0"/>
        <w:jc w:val="both"/>
        <w:rPr>
          <w:rFonts w:ascii="Times New Roman Bold" w:hAnsi="Times New Roman Bold"/>
          <w:b/>
          <w:bCs/>
          <w:spacing w:val="-4"/>
          <w:highlight w:val="none"/>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bCs/>
          <w:spacing w:val="-4"/>
          <w:highlight w:val="none"/>
          <w:lang w:val="pt-BR"/>
        </w:rPr>
      </w:r>
      <w:r>
        <w:rPr>
          <w:rFonts w:ascii="Times New Roman Bold" w:hAnsi="Times New Roman Bold"/>
          <w:b/>
          <w:bCs/>
          <w:spacing w:val="-4"/>
          <w:highlight w:val="none"/>
          <w:lang w:val="pt-BR"/>
        </w:rPr>
      </w:r>
    </w:p>
    <w:p>
      <w:pPr>
        <w:pStyle w:val="1035"/>
        <w:numPr>
          <w:ilvl w:val="0"/>
          <w:numId w:val="41"/>
        </w:numPr>
        <w:pBdr/>
        <w:tabs>
          <w:tab w:val="left" w:leader="none" w:pos="993"/>
        </w:tabs>
        <w:spacing w:after="120" w:before="120" w:line="264" w:lineRule="auto"/>
        <w:ind w:right="0" w:hanging="360" w:left="360"/>
        <w:jc w:val="both"/>
        <w:rPr>
          <w:rFonts w:ascii="Times New Roman Bold" w:hAnsi="Times New Roman Bold"/>
          <w:b/>
          <w:bCs/>
          <w:color w:val="auto"/>
          <w:spacing w:val="-4"/>
        </w:rPr>
      </w:pPr>
      <w:r>
        <w:rPr>
          <w:rFonts w:ascii="Times New Roman" w:hAnsi="Times New Roman" w:eastAsia="Times New Roman" w:cs="Times New Roman"/>
          <w:color w:val="auto"/>
          <w:sz w:val="24"/>
        </w:rPr>
        <w:t xml:space="preserve">Kết quả thẩm định giá chỉ được sử dụng cho một “mục đích thẩm định giá” duy nhất theo yêu cầu của khách hàng đã được ghi tại phần đầu của chứng thư. Khách hàng phải hoàn toàn chịu trách nhiệm khi sử dụng sai mục đích đã yêu cầu.</w:t>
      </w:r>
      <w:r>
        <w:rPr>
          <w:rFonts w:ascii="Times New Roman Bold" w:hAnsi="Times New Roman Bold"/>
          <w:b/>
          <w:bCs/>
          <w:color w:val="auto"/>
          <w:spacing w:val="-4"/>
        </w:rPr>
      </w:r>
      <w:r>
        <w:rPr>
          <w:rFonts w:ascii="Times New Roman Bold" w:hAnsi="Times New Roman Bold"/>
          <w:b/>
          <w:bCs/>
          <w:color w:val="auto"/>
          <w:spacing w:val="-4"/>
        </w:rPr>
      </w:r>
    </w:p>
    <w:p>
      <w:pPr>
        <w:pStyle w:val="1035"/>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64"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64"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64"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64"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64"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4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trên đất có 01 nhà cấp bốn, nhà được xây dựng đã lâu, kết cấu BTCT, tường gạch chịu lực, mái lợp ngói, ngoại quan còn khá. Hiện trạng đang sử dụng bình thư</w:t>
      </w:r>
      <w:r>
        <w:rPr>
          <w:rFonts w:ascii="Times New Roman" w:hAnsi="Times New Roman" w:eastAsia="Times New Roman" w:cs="Times New Roman"/>
          <w:color w:val="000000"/>
          <w:sz w:val="24"/>
        </w:rPr>
        <w:t xml:space="preserve">ờng và chưa được chứng nhận trên GCN số </w:t>
      </w:r>
      <w:r>
        <w:rPr>
          <w:b w:val="0"/>
          <w:bCs w:val="0"/>
          <w:color w:val="000000"/>
        </w:rPr>
        <w:t xml:space="preserve">CY 429748</w:t>
      </w:r>
      <w:r>
        <w:rPr>
          <w:rFonts w:ascii="Times New Roman" w:hAnsi="Times New Roman" w:eastAsia="Times New Roman" w:cs="Times New Roman"/>
          <w:color w:val="000000"/>
          <w:sz w:val="24"/>
        </w:rPr>
        <w:t xml:space="preserve">. Tổ thẩm định cũng không được cung cấp bất kỳ hồ sơ pháp lý nào liên quan đến các công trình xây dựng hiện có trên thửa đất này. Do vậy, theo đề nghị của Khách hàng/Ngân hàng, chúng tôi không xác định giá t</w:t>
      </w:r>
      <w:r>
        <w:rPr>
          <w:rFonts w:ascii="Times New Roman" w:hAnsi="Times New Roman" w:eastAsia="Times New Roman" w:cs="Times New Roman"/>
          <w:color w:val="000000"/>
          <w:sz w:val="24"/>
        </w:rPr>
        <w:t xml:space="preserve">rị công trình xây dựng hiện có trên đất, nhưng vẫn coi đó là phần không thể tách rời của tài sản thẩm định. Kính đề nghị đơn vị sử dụng chứng thư lưu ý</w:t>
      </w:r>
      <w:r>
        <w:rPr>
          <w:spacing w:val="-2"/>
          <w:lang w:val="pt-BR"/>
        </w:rPr>
        <w:t xml:space="preserve">.</w:t>
      </w:r>
      <w:r>
        <w:rPr>
          <w:spacing w:val="-2"/>
          <w:lang w:val="pt-BR"/>
        </w:rPr>
      </w:r>
      <w:r>
        <w:rPr>
          <w:spacing w:val="-2"/>
          <w:lang w:val="pt-BR"/>
        </w:rPr>
      </w:r>
    </w:p>
    <w:p>
      <w:pPr>
        <w:pStyle w:val="1035"/>
        <w:numPr>
          <w:ilvl w:val="0"/>
          <w:numId w:val="5"/>
        </w:numPr>
        <w:pBdr/>
        <w:spacing w:after="120" w:before="120" w:line="264"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3"/>
        </w:numPr>
        <w:pBdr/>
        <w:tabs>
          <w:tab w:val="left" w:leader="none" w:pos="993"/>
        </w:tabs>
        <w:spacing w:after="120" w:before="120" w:line="264"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64"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64"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64"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64"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64"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275/2026/0607/VFI-CT.48.A</w:t>
      </w:r>
      <w:r>
        <w:rPr>
          <w:color w:val="ff0000"/>
          <w:lang w:val="vi-VN"/>
        </w:rPr>
        <w:t xml:space="preserve"> </w:t>
      </w:r>
      <w:r>
        <w:rPr>
          <w:color w:val="000000" w:themeColor="text1"/>
        </w:rPr>
        <w:t xml:space="preserve">ngày 20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275/2026/0607/VFI-BC.48.A</w:t>
      </w:r>
      <w:r>
        <w:rPr>
          <w:i/>
          <w:lang w:val="pt-BR"/>
        </w:rPr>
        <w:t xml:space="preserve"> ngày 20 tháng 4</w:t>
      </w:r>
      <w:r>
        <w:rPr>
          <w:i/>
          <w:lang w:val="pt-BR"/>
        </w:rPr>
        <w:t xml:space="preserve">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43528" cy="216584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50907" name=""/>
                              <pic:cNvPicPr>
                                <a:picLocks noChangeAspect="1"/>
                              </pic:cNvPicPr>
                              <pic:nvPr/>
                            </pic:nvPicPr>
                            <pic:blipFill rotWithShape="1">
                              <a:blip r:embed="rId20"/>
                              <a:stretch/>
                            </pic:blipFill>
                            <pic:spPr bwMode="auto">
                              <a:xfrm flipH="0" flipV="0">
                                <a:off x="0" y="0"/>
                                <a:ext cx="1343527" cy="21658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5.79pt;height:170.5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5933" cy="188056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67394" name=""/>
                              <pic:cNvPicPr>
                                <a:picLocks noChangeAspect="1"/>
                              </pic:cNvPicPr>
                              <pic:nvPr/>
                            </pic:nvPicPr>
                            <pic:blipFill rotWithShape="1">
                              <a:blip r:embed="rId21"/>
                              <a:stretch/>
                            </pic:blipFill>
                            <pic:spPr bwMode="auto">
                              <a:xfrm flipH="0" flipV="0">
                                <a:off x="0" y="0"/>
                                <a:ext cx="2845932" cy="18805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4.09pt;height:148.0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Đường trước tài sản</w:t>
            </w:r>
            <w:r>
              <w:rPr>
                <w:b/>
                <w:bCs/>
                <w:i/>
                <w:lang w:val="pt-BR"/>
              </w:rPr>
              <w:t xml:space="preserve"> rộng 6,0m</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Lối đi chung rộng 2,0m</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96921" cy="213361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08595" name=""/>
                              <pic:cNvPicPr>
                                <a:picLocks noChangeAspect="1"/>
                              </pic:cNvPicPr>
                              <pic:nvPr/>
                            </pic:nvPicPr>
                            <pic:blipFill rotWithShape="1">
                              <a:blip r:embed="rId22"/>
                              <a:stretch/>
                            </pic:blipFill>
                            <pic:spPr bwMode="auto">
                              <a:xfrm flipH="0" flipV="0">
                                <a:off x="0" y="0"/>
                                <a:ext cx="2596920" cy="21336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4.48pt;height:168.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97695" cy="209982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214173" name=""/>
                              <pic:cNvPicPr>
                                <a:picLocks noChangeAspect="1"/>
                              </pic:cNvPicPr>
                              <pic:nvPr/>
                            </pic:nvPicPr>
                            <pic:blipFill rotWithShape="1">
                              <a:blip r:embed="rId23"/>
                              <a:stretch/>
                            </pic:blipFill>
                            <pic:spPr bwMode="auto">
                              <a:xfrm flipH="0" flipV="0">
                                <a:off x="0" y="0"/>
                                <a:ext cx="2997693" cy="20998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6.04pt;height:165.3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rHeight w:val="2757"/>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4757" cy="240175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9475" name=""/>
                              <pic:cNvPicPr>
                                <a:picLocks noChangeAspect="1"/>
                              </pic:cNvPicPr>
                              <pic:nvPr/>
                            </pic:nvPicPr>
                            <pic:blipFill rotWithShape="1">
                              <a:blip r:embed="rId24"/>
                              <a:stretch/>
                            </pic:blipFill>
                            <pic:spPr bwMode="auto">
                              <a:xfrm flipH="0" flipV="0">
                                <a:off x="0" y="0"/>
                                <a:ext cx="2804756" cy="24017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85pt;height:189.11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0972" cy="243907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16150" name=""/>
                              <pic:cNvPicPr>
                                <a:picLocks noChangeAspect="1"/>
                              </pic:cNvPicPr>
                              <pic:nvPr/>
                            </pic:nvPicPr>
                            <pic:blipFill rotWithShape="1">
                              <a:blip r:embed="rId25"/>
                              <a:stretch/>
                            </pic:blipFill>
                            <pic:spPr bwMode="auto">
                              <a:xfrm flipH="0" flipV="0">
                                <a:off x="0" y="0"/>
                                <a:ext cx="2920971" cy="24390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0.00pt;height:192.05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275/2026/0607/VFI-BC.48.A</w:t>
      </w:r>
      <w:r>
        <w:rPr>
          <w:i/>
          <w:lang w:val="pt-BR"/>
        </w:rPr>
        <w:t xml:space="preserve"> ngày 20 tháng 4</w:t>
      </w:r>
      <w:r>
        <w:rPr>
          <w:i/>
          <w:lang w:val="pt-BR"/>
        </w:rPr>
        <w:t xml:space="preserve"> năm 2026</w:t>
      </w:r>
      <w:r>
        <w:rPr>
          <w:i/>
          <w:lang w:val="pt-BR"/>
        </w:rPr>
        <w:t xml:space="preserve"> </w:t>
      </w:r>
      <w:r>
        <w:rPr>
          <w:i/>
          <w:lang w:val="pt-BR"/>
        </w:rPr>
        <w:t xml:space="preserve">của </w:t>
      </w:r>
      <w:r>
        <w:rPr>
          <w:i/>
          <w:lang w:val="pt-BR"/>
        </w:rPr>
      </w:r>
      <w:r>
        <w:rPr>
          <w:i/>
          <w:lang w:val="pt-BR"/>
        </w:rPr>
      </w:r>
    </w:p>
    <w:p>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pPr>
        <w:pBdr/>
        <w:spacing w:after="120"/>
        <w:ind/>
        <w:jc w:val="center"/>
        <w:rPr>
          <w:bCs/>
          <w:i/>
          <w:lang w:val="pt-BR"/>
        </w:rPr>
      </w:pPr>
      <w:r>
        <w:rPr>
          <w:i/>
          <w:highlight w:val="none"/>
          <w:lang w:val="pt-BR" w:bidi="pt-BR"/>
        </w:rPr>
      </w:r>
      <w:r>
        <mc:AlternateContent>
          <mc:Choice Requires="wpg">
            <w:drawing>
              <wp:inline xmlns:wp="http://schemas.openxmlformats.org/drawingml/2006/wordprocessingDrawing" distT="0" distB="0" distL="0" distR="0">
                <wp:extent cx="6048375" cy="582887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028203" name=""/>
                        <pic:cNvPicPr>
                          <a:picLocks noChangeAspect="1"/>
                        </pic:cNvPicPr>
                        <pic:nvPr/>
                      </pic:nvPicPr>
                      <pic:blipFill rotWithShape="1">
                        <a:blip r:embed="rId26"/>
                        <a:stretch/>
                      </pic:blipFill>
                      <pic:spPr bwMode="auto">
                        <a:xfrm>
                          <a:off x="0" y="0"/>
                          <a:ext cx="6048374" cy="58288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458.97pt;mso-wrap-distance-left:0.00pt;mso-wrap-distance-top:0.00pt;mso-wrap-distance-right:0.00pt;mso-wrap-distance-bottom:0.00pt;z-index:1;" stroked="false">
                <v:imagedata r:id="rId26" o:title=""/>
                <o:lock v:ext="edit" rotation="t"/>
              </v:shape>
            </w:pict>
          </mc:Fallback>
        </mc:AlternateContent>
      </w:r>
      <w:r>
        <w:rPr>
          <w:bCs/>
          <w:i/>
          <w:lang w:val="pt-BR"/>
        </w:rPr>
      </w:r>
      <w:r>
        <w:rPr>
          <w:bCs/>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568254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75603" name=""/>
                        <pic:cNvPicPr>
                          <a:picLocks noChangeAspect="1"/>
                        </pic:cNvPicPr>
                        <pic:nvPr/>
                      </pic:nvPicPr>
                      <pic:blipFill rotWithShape="1">
                        <a:blip r:embed="rId27"/>
                        <a:stretch/>
                      </pic:blipFill>
                      <pic:spPr bwMode="auto">
                        <a:xfrm>
                          <a:off x="0" y="0"/>
                          <a:ext cx="6048374" cy="56825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447.44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27396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84231" name=""/>
                        <pic:cNvPicPr>
                          <a:picLocks noChangeAspect="1"/>
                        </pic:cNvPicPr>
                        <pic:nvPr/>
                      </pic:nvPicPr>
                      <pic:blipFill rotWithShape="1">
                        <a:blip r:embed="rId28"/>
                        <a:stretch/>
                      </pic:blipFill>
                      <pic:spPr bwMode="auto">
                        <a:xfrm>
                          <a:off x="0" y="0"/>
                          <a:ext cx="6048374" cy="62739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494.01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color w:val="auto"/>
          <w:highlight w:val="none"/>
          <w:lang w:val="pt-BR"/>
        </w:rPr>
      </w:pPr>
      <w:r>
        <w:rPr>
          <w:b/>
          <w:bCs/>
          <w:iCs/>
          <w:color w:val="auto"/>
          <w:lang w:val="pt-BR"/>
        </w:rPr>
        <w:t xml:space="preserve">GIẤY CHỨNG NHẬN QSDĐ</w:t>
      </w:r>
      <w:r>
        <w:rPr>
          <w:b/>
          <w:bCs/>
          <w:iCs/>
          <w:color w:val="auto"/>
          <w:highlight w:val="none"/>
          <w:lang w:val="pt-BR"/>
        </w:rPr>
      </w:r>
      <w:r>
        <w:rPr>
          <w:b/>
          <w:bCs/>
          <w:iCs/>
          <w:color w:val="auto"/>
          <w:highlight w:val="none"/>
          <w:lang w:val="pt-BR"/>
        </w:rPr>
      </w:r>
    </w:p>
    <w:p>
      <w:pPr>
        <w:pBdr/>
        <w:spacing w:after="200" w:line="276" w:lineRule="auto"/>
        <w:ind/>
        <w:jc w:val="center"/>
        <w:rPr>
          <w:b/>
          <w:bCs/>
          <w:color w:val="auto"/>
          <w:highlight w:val="none"/>
          <w:lang w:val="pt-BR"/>
        </w:rPr>
      </w:pPr>
      <w:r>
        <w:rPr>
          <w:b/>
          <w:bCs/>
          <w:iCs/>
          <w:color w:val="auto"/>
          <w:highlight w:val="none"/>
          <w:lang w:val="pt-BR"/>
        </w:rPr>
      </w:r>
      <w:r>
        <mc:AlternateContent>
          <mc:Choice Requires="wpg">
            <w:drawing>
              <wp:inline xmlns:wp="http://schemas.openxmlformats.org/drawingml/2006/wordprocessingDrawing" distT="0" distB="0" distL="0" distR="0">
                <wp:extent cx="6086455" cy="853303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65898" name=""/>
                        <pic:cNvPicPr>
                          <a:picLocks noChangeAspect="1"/>
                        </pic:cNvPicPr>
                        <pic:nvPr/>
                      </pic:nvPicPr>
                      <pic:blipFill rotWithShape="1">
                        <a:blip r:embed="rId29"/>
                        <a:stretch/>
                      </pic:blipFill>
                      <pic:spPr bwMode="auto">
                        <a:xfrm flipH="0" flipV="0">
                          <a:off x="0" y="0"/>
                          <a:ext cx="6086455" cy="85330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9.25pt;height:671.89pt;mso-wrap-distance-left:0.00pt;mso-wrap-distance-top:0.00pt;mso-wrap-distance-right:0.00pt;mso-wrap-distance-bottom:0.00pt;z-index:1;" stroked="false">
                <v:imagedata r:id="rId29" o:title=""/>
                <o:lock v:ext="edit" rotation="t"/>
              </v:shape>
            </w:pict>
          </mc:Fallback>
        </mc:AlternateContent>
      </w:r>
      <w:r>
        <w:rPr>
          <w:b/>
          <w:bCs/>
          <w:color w:val="auto"/>
          <w:highlight w:val="none"/>
          <w:lang w:val="pt-BR"/>
        </w:rPr>
      </w:r>
      <w:r>
        <w:rPr>
          <w:b/>
          <w:bCs/>
          <w:color w:val="auto"/>
          <w:highlight w:val="none"/>
          <w:lang w:val="pt-BR"/>
        </w:rPr>
      </w:r>
    </w:p>
    <w:p>
      <w:pPr>
        <w:pBdr/>
        <w:spacing w:after="200" w:line="276" w:lineRule="auto"/>
        <w:ind/>
        <w:jc w:val="center"/>
        <w:rPr>
          <w:b/>
          <w:bCs/>
          <w:color w:val="auto"/>
          <w:highlight w:val="none"/>
          <w:lang w:val="pt-BR"/>
        </w:rPr>
      </w:pPr>
      <w:r>
        <w:rPr>
          <w:b/>
          <w:bCs/>
          <w:color w:val="auto"/>
          <w:highlight w:val="none"/>
          <w:lang w:val="pt-BR"/>
        </w:rPr>
      </w:r>
      <w:r>
        <w:rPr>
          <w:b/>
          <w:bCs/>
          <w:color w:val="auto"/>
          <w:highlight w:val="none"/>
          <w:lang w:val="pt-BR"/>
        </w:rPr>
      </w:r>
      <w:r>
        <w:rPr>
          <w:b/>
          <w:bCs/>
          <w:color w:val="auto"/>
          <w:highlight w:val="none"/>
          <w:lang w:val="pt-BR"/>
        </w:rPr>
      </w:r>
    </w:p>
    <w:p>
      <w:pPr>
        <w:pBdr/>
        <w:spacing w:after="200" w:line="276" w:lineRule="auto"/>
        <w:ind/>
        <w:jc w:val="center"/>
        <w:rPr>
          <w:b/>
          <w:bCs/>
          <w:color w:val="auto"/>
          <w:highlight w:val="none"/>
          <w:lang w:val="pt-BR"/>
        </w:rPr>
      </w:pPr>
      <w:r>
        <w:rPr>
          <w:b/>
          <w:bCs/>
          <w:iCs/>
          <w:color w:val="auto"/>
          <w:highlight w:val="none"/>
          <w:lang w:val="pt-BR" w:bidi="pt-BR"/>
        </w:rPr>
      </w:r>
      <w:r>
        <mc:AlternateContent>
          <mc:Choice Requires="wpg">
            <w:drawing>
              <wp:inline xmlns:wp="http://schemas.openxmlformats.org/drawingml/2006/wordprocessingDrawing" distT="0" distB="0" distL="0" distR="0">
                <wp:extent cx="6048375" cy="765768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17187" name=""/>
                        <pic:cNvPicPr>
                          <a:picLocks noChangeAspect="1"/>
                        </pic:cNvPicPr>
                        <pic:nvPr/>
                      </pic:nvPicPr>
                      <pic:blipFill rotWithShape="1">
                        <a:blip r:embed="rId30"/>
                        <a:stretch/>
                      </pic:blipFill>
                      <pic:spPr bwMode="auto">
                        <a:xfrm>
                          <a:off x="0" y="0"/>
                          <a:ext cx="6048374" cy="7657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02.97pt;mso-wrap-distance-left:0.00pt;mso-wrap-distance-top:0.00pt;mso-wrap-distance-right:0.00pt;mso-wrap-distance-bottom:0.00pt;z-index:1;" stroked="false">
                <v:imagedata r:id="rId30" o:title=""/>
                <o:lock v:ext="edit" rotation="t"/>
              </v:shape>
            </w:pict>
          </mc:Fallback>
        </mc:AlternateContent>
      </w:r>
      <w:r>
        <w:rPr>
          <w:b/>
          <w:bCs/>
          <w:color w:val="auto"/>
          <w:highlight w:val="none"/>
          <w:lang w:val="pt-BR"/>
        </w:rPr>
      </w:r>
      <w:r>
        <w:rPr>
          <w:b/>
          <w:bCs/>
          <w:color w:val="auto"/>
          <w:highlight w:val="none"/>
          <w:lang w:val="pt-BR"/>
        </w:rPr>
      </w:r>
    </w:p>
    <w:p>
      <w:pPr>
        <w:pBdr/>
        <w:spacing w:after="200" w:line="276" w:lineRule="auto"/>
        <w:ind/>
        <w:jc w:val="center"/>
        <w:rPr>
          <w:b/>
          <w:bCs/>
          <w:color w:val="auto"/>
        </w:rPr>
      </w:pPr>
      <w:r>
        <w:rPr>
          <w:b/>
          <w:bCs/>
          <w:color w:val="auto"/>
        </w:rPr>
      </w:r>
      <w:r>
        <w:rPr>
          <w:b/>
          <w:bCs/>
          <w:color w:val="auto"/>
        </w:rPr>
      </w:r>
      <w:r>
        <w:rPr>
          <w:b/>
          <w:bCs/>
          <w:color w:val="auto"/>
        </w:rPr>
      </w:r>
    </w:p>
    <w:p>
      <w:pPr>
        <w:pBdr/>
        <w:spacing w:after="200" w:line="276" w:lineRule="auto"/>
        <w:ind/>
        <w:jc w:val="center"/>
        <w:rPr>
          <w:b/>
          <w:bCs/>
          <w:color w:val="auto"/>
          <w:highlight w:val="none"/>
          <w:lang w:val="pt-BR"/>
        </w:rPr>
      </w:pPr>
      <w:r>
        <w:rPr>
          <w:b/>
          <w:bCs/>
          <w:iCs/>
          <w:color w:val="auto"/>
          <w:highlight w:val="none"/>
          <w:lang w:val="pt-BR"/>
        </w:rPr>
      </w:r>
      <w:r>
        <mc:AlternateContent>
          <mc:Choice Requires="wpg">
            <w:drawing>
              <wp:inline xmlns:wp="http://schemas.openxmlformats.org/drawingml/2006/wordprocessingDrawing" distT="0" distB="0" distL="0" distR="0">
                <wp:extent cx="6172451" cy="825573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92201" name=""/>
                        <pic:cNvPicPr>
                          <a:picLocks noChangeAspect="1"/>
                        </pic:cNvPicPr>
                        <pic:nvPr/>
                      </pic:nvPicPr>
                      <pic:blipFill rotWithShape="1">
                        <a:blip r:embed="rId31"/>
                        <a:stretch/>
                      </pic:blipFill>
                      <pic:spPr bwMode="auto">
                        <a:xfrm flipH="0" flipV="0">
                          <a:off x="0" y="0"/>
                          <a:ext cx="6172451" cy="82557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86.02pt;height:650.06pt;mso-wrap-distance-left:0.00pt;mso-wrap-distance-top:0.00pt;mso-wrap-distance-right:0.00pt;mso-wrap-distance-bottom:0.00pt;z-index:1;" stroked="false">
                <v:imagedata r:id="rId31" o:title=""/>
                <o:lock v:ext="edit" rotation="t"/>
              </v:shape>
            </w:pict>
          </mc:Fallback>
        </mc:AlternateContent>
      </w:r>
      <w:r>
        <w:rPr>
          <w:b/>
          <w:bCs/>
          <w:color w:val="auto"/>
          <w:highlight w:val="none"/>
          <w:lang w:val="pt-BR"/>
        </w:rPr>
      </w:r>
      <w:r>
        <w:rPr>
          <w:b/>
          <w:bCs/>
          <w:color w:val="auto"/>
          <w:highlight w:val="none"/>
          <w:lang w:val="pt-BR"/>
        </w:rPr>
      </w:r>
    </w:p>
    <w:p>
      <w:pPr>
        <w:pBdr/>
        <w:spacing w:after="200" w:line="276" w:lineRule="auto"/>
        <w:ind/>
        <w:jc w:val="center"/>
        <w:rPr>
          <w:b/>
          <w:bCs/>
          <w:color w:val="auto"/>
        </w:rPr>
      </w:pPr>
      <w:r>
        <w:rPr>
          <w:b/>
          <w:bCs/>
          <w:color w:val="auto"/>
        </w:rPr>
      </w:r>
      <w:r>
        <w:rPr>
          <w:b/>
          <w:bCs/>
          <w:color w:val="auto"/>
        </w:rPr>
      </w:r>
      <w:r>
        <w:rPr>
          <w:b/>
          <w:bCs/>
          <w:color w:val="auto"/>
        </w:rPr>
      </w:r>
    </w:p>
    <w:p>
      <w:pPr>
        <w:pBdr/>
        <w:spacing w:after="200" w:line="276" w:lineRule="auto"/>
        <w:ind/>
        <w:jc w:val="center"/>
        <w:rPr>
          <w:b/>
          <w:bCs/>
          <w:color w:val="auto"/>
        </w:rPr>
      </w:pPr>
      <w:r>
        <w:rPr>
          <w:b/>
          <w:bCs/>
          <w:color w:val="auto"/>
        </w:rPr>
      </w:r>
      <w:r>
        <w:rPr>
          <w:b/>
          <w:bCs/>
          <w:color w:val="auto"/>
        </w:rPr>
      </w:r>
      <w:r>
        <w:rPr>
          <w:b/>
          <w:bCs/>
          <w:color w:val="auto"/>
        </w:rPr>
      </w:r>
    </w:p>
    <w:p>
      <w:pPr>
        <w:pBdr/>
        <w:spacing w:after="200" w:line="276" w:lineRule="auto"/>
        <w:ind/>
        <w:jc w:val="center"/>
        <w:rPr>
          <w:b/>
          <w:bCs/>
          <w:color w:val="auto"/>
        </w:rPr>
      </w:pPr>
      <w:r>
        <w:rPr>
          <w:b/>
          <w:bCs/>
          <w:color w:val="auto"/>
        </w:rPr>
      </w:r>
      <w:r>
        <w:rPr>
          <w:b/>
          <w:bCs/>
          <w:color w:val="auto"/>
        </w:rPr>
      </w:r>
      <w:r>
        <w:rPr>
          <w:b/>
          <w:bCs/>
          <w:color w:val="auto"/>
        </w:rPr>
      </w:r>
    </w:p>
    <w:p>
      <w:pPr>
        <w:pBdr/>
        <w:spacing w:after="200" w:line="276" w:lineRule="auto"/>
        <w:ind/>
        <w:jc w:val="center"/>
        <w:rPr>
          <w:b/>
          <w:bCs/>
          <w:color w:val="auto"/>
        </w:rPr>
      </w:pPr>
      <w:r>
        <w:rPr>
          <w:b/>
          <w:bCs/>
          <w:iCs/>
          <w:color w:val="auto"/>
          <w:highlight w:val="none"/>
          <w:lang w:val="pt-BR"/>
        </w:rPr>
      </w:r>
      <w:r>
        <mc:AlternateContent>
          <mc:Choice Requires="wpg">
            <w:drawing>
              <wp:inline xmlns:wp="http://schemas.openxmlformats.org/drawingml/2006/wordprocessingDrawing" distT="0" distB="0" distL="0" distR="0">
                <wp:extent cx="6048375" cy="834117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88810" name=""/>
                        <pic:cNvPicPr>
                          <a:picLocks noChangeAspect="1"/>
                        </pic:cNvPicPr>
                        <pic:nvPr/>
                      </pic:nvPicPr>
                      <pic:blipFill rotWithShape="1">
                        <a:blip r:embed="rId32"/>
                        <a:stretch/>
                      </pic:blipFill>
                      <pic:spPr bwMode="auto">
                        <a:xfrm>
                          <a:off x="0" y="0"/>
                          <a:ext cx="6048374" cy="83411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56.79pt;mso-wrap-distance-left:0.00pt;mso-wrap-distance-top:0.00pt;mso-wrap-distance-right:0.00pt;mso-wrap-distance-bottom:0.00pt;z-index:1;" stroked="false">
                <v:imagedata r:id="rId32" o:title=""/>
                <o:lock v:ext="edit" rotation="t"/>
              </v:shape>
            </w:pict>
          </mc:Fallback>
        </mc:AlternateContent>
      </w:r>
      <w:r>
        <w:rPr>
          <w:b/>
          <w:bCs/>
          <w:color w:val="auto"/>
        </w:rPr>
      </w:r>
      <w:r>
        <w:rPr>
          <w:b/>
          <w:bCs/>
          <w:color w:val="auto"/>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nsid w:val="368D8EF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7B3F2449"/>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kiteland.vn/tiem-nang-dau-tu-dat-soc-son/" TargetMode="External"/><Relationship Id="rId18" Type="http://schemas.openxmlformats.org/officeDocument/2006/relationships/hyperlink" Target="https://kiteland.vn/phan-tich-dau-tu-thi-truong-bat-dong-san-soc-son/#:~:text=T%E1%BB%95ng%20th%E1%BB%83%2C%20th%E1%BB%8B%20tr%C6%B0%E1%BB%9Dng%20b%E1%BA%A5t%20%C4%91%E1%BB%99ng%20s%E1%BA%A3n%20S%C3%B3c,t%E1%BA%A7ng%2C%20quy%20ho%E1%BA%A1ch%20v%C3%A0%20nhu%20c%E1%BA%A7u%20th%E1%BB%B1c%20t%E1%BA%BF." TargetMode="External"/><Relationship Id="rId19" Type="http://schemas.openxmlformats.org/officeDocument/2006/relationships/image" Target="media/image3.png"/><Relationship Id="rId20" Type="http://schemas.openxmlformats.org/officeDocument/2006/relationships/image" Target="media/image4.jpg"/><Relationship Id="rId21" Type="http://schemas.openxmlformats.org/officeDocument/2006/relationships/image" Target="media/image5.jpg"/><Relationship Id="rId22" Type="http://schemas.openxmlformats.org/officeDocument/2006/relationships/image" Target="media/image6.jpg"/><Relationship Id="rId23" Type="http://schemas.openxmlformats.org/officeDocument/2006/relationships/image" Target="media/image7.jpg"/><Relationship Id="rId24" Type="http://schemas.openxmlformats.org/officeDocument/2006/relationships/image" Target="media/image8.jpg"/><Relationship Id="rId25" Type="http://schemas.openxmlformats.org/officeDocument/2006/relationships/image" Target="media/image9.jp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png"/><Relationship Id="rId32"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286</cp:revision>
  <dcterms:created xsi:type="dcterms:W3CDTF">2025-09-15T09:58:00Z</dcterms:created>
  <dcterms:modified xsi:type="dcterms:W3CDTF">2026-05-05T02:41:40Z</dcterms:modified>
</cp:coreProperties>
</file>