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206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206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275/2026/0681/VFI-CT.21.A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MẠNH HÀ</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i w:val="0"/>
                                <w:iCs w:val="0"/>
                              </w:rPr>
                              <w:t xml:space="preserve">Quyền sử dụng đất tại thửa đất số: 27-4, tờ bản đồ số 41 có địa chỉ: Phường Lĩnh Nam, quận Hoàng Mai, Hà Nội </w:t>
                            </w:r>
                            <w:r>
                              <w:rPr>
                                <w:i/>
                                <w:iCs/>
                              </w:rPr>
                              <w:t xml:space="preserve">(Nay là phường Lĩnh Nam, Thành phố Hà Nội)</w:t>
                            </w:r>
                            <w:r>
                              <w:rPr>
                                <w:i w:val="0"/>
                                <w:iCs w:val="0"/>
                              </w:rPr>
                              <w:t xml:space="preserve"> theo Giấy chứng nhận quyền sử dụng đất quyền sở hữu nhà ở và tài sản khác gắn liền với đất số: BD 454581,</w:t>
                            </w:r>
                            <w:r>
                              <w:rPr>
                                <w:i w:val="0"/>
                                <w:iCs w:val="0"/>
                              </w:rPr>
                              <w:t xml:space="preserve"> số vào sổ cấp GCN: CH 00950/HĐ:95/576 do Uỷ ban nhân dân quận Hoàng Mai cấp ngày 08/10/2010; Chủ sử dụng đất là Ông Nguyễn Mạnh Hà</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3.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275/2026/0681/VFI-CT.21.A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MẠNH HÀ</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i w:val="0"/>
                          <w:iCs w:val="0"/>
                        </w:rPr>
                        <w:t xml:space="preserve">Quyền sử dụng đất tại thửa đất số: 27-4, tờ bản đồ số 41 có địa chỉ: Phường Lĩnh Nam, quận Hoàng Mai, Hà Nội </w:t>
                      </w:r>
                      <w:r>
                        <w:rPr>
                          <w:i/>
                          <w:iCs/>
                        </w:rPr>
                        <w:t xml:space="preserve">(Nay là phường Lĩnh Nam, Thành phố Hà Nội)</w:t>
                      </w:r>
                      <w:r>
                        <w:rPr>
                          <w:i w:val="0"/>
                          <w:iCs w:val="0"/>
                        </w:rPr>
                        <w:t xml:space="preserve"> theo Giấy chứng nhận quyền sử dụng đất quyền sở hữu nhà ở và tài sản khác gắn liền với đất số: BD 454581,</w:t>
                      </w:r>
                      <w:r>
                        <w:rPr>
                          <w:i w:val="0"/>
                          <w:iCs w:val="0"/>
                        </w:rPr>
                        <w:t xml:space="preserve"> số vào sổ cấp GCN: CH 00950/HĐ:95/576 do Uỷ ban nhân dân quận Hoàng Mai cấp ngày 08/10/2010; Chủ sử dụng đất là Ông Nguyễn Mạnh Hà</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4-19</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w:t>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2: Thông tin thu thập thị trường + Pháp lý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21-25</w:t>
            </w:r>
            <w:r>
              <w:rPr>
                <w:b/>
                <w:bCs/>
              </w:rPr>
            </w:r>
            <w:r>
              <w:rPr>
                <w:b/>
                <w:bCs/>
              </w:rPr>
            </w:r>
          </w:p>
        </w:tc>
      </w:tr>
    </w:tbl>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233" w:type="dxa"/>
        <w:tblBorders/>
        <w:tblLayout w:type="fixed"/>
        <w:tblLook w:val="04A0" w:firstRow="1" w:lastRow="0" w:firstColumn="1" w:lastColumn="0" w:noHBand="0" w:noVBand="1"/>
      </w:tblPr>
      <w:tblGrid>
        <w:gridCol w:w="170"/>
        <w:gridCol w:w="1417"/>
        <w:gridCol w:w="8504"/>
        <w:gridCol w:w="142"/>
      </w:tblGrid>
      <w:tr>
        <w:trPr>
          <w:trHeight w:val="1701"/>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64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30"/>
        </w:trPr>
        <w:tc>
          <w:tcPr>
            <w:gridSpan w:val="2"/>
            <w:shd w:val="clear" w:color="auto" w:fill="auto"/>
            <w:tcBorders/>
            <w:tcMar>
              <w:left w:w="108" w:type="dxa"/>
              <w:top w:w="0" w:type="dxa"/>
              <w:right w:w="108" w:type="dxa"/>
              <w:bottom w:w="0" w:type="dxa"/>
            </w:tcMar>
            <w:tcW w:w="9921"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275/2026/0681/VFI-CT.21.A                                              </w:t>
            </w: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05 tháng 5 năm 2026</w:t>
            </w:r>
            <w:r>
              <w:rPr>
                <w:color w:val="000000" w:themeColor="text1"/>
                <w:sz w:val="24"/>
                <w:szCs w:val="24"/>
              </w:rPr>
            </w:r>
            <w:r>
              <w:rPr>
                <w:color w:val="000000" w:themeColor="text1"/>
                <w:sz w:val="24"/>
                <w:szCs w:val="24"/>
              </w:rPr>
            </w:r>
          </w:p>
        </w:tc>
      </w:tr>
    </w:tbl>
    <w:p>
      <w:pPr>
        <w:pStyle w:val="1028"/>
        <w:pBdr/>
        <w:spacing w:after="120" w:before="200" w:line="288" w:lineRule="auto"/>
        <w:ind/>
        <w:jc w:val="center"/>
        <w:rPr>
          <w:rStyle w:val="1027"/>
          <w:rFonts w:ascii="Times New Roman" w:hAnsi="Times New Roman"/>
          <w:b/>
          <w:bCs/>
          <w:color w:val="auto"/>
          <w:sz w:val="30"/>
          <w:szCs w:val="30"/>
          <w:lang w:val="vi-VN"/>
        </w:rPr>
      </w:pPr>
      <w:r>
        <w:rPr>
          <w:rStyle w:val="1027"/>
          <w:rFonts w:ascii="Times New Roman" w:hAnsi="Times New Roman"/>
          <w:b/>
          <w:bCs/>
          <w:color w:val="auto"/>
          <w:sz w:val="30"/>
          <w:szCs w:val="30"/>
          <w:lang w:val="vi-VN"/>
        </w:rPr>
        <w:t xml:space="preserve">CHỨNG THƯ THẨM ĐỊNH GIÁ</w:t>
      </w:r>
      <w:r>
        <w:rPr>
          <w:rStyle w:val="1027"/>
          <w:rFonts w:ascii="Times New Roman" w:hAnsi="Times New Roman"/>
          <w:b/>
          <w:bCs/>
          <w:color w:val="auto"/>
          <w:sz w:val="30"/>
          <w:szCs w:val="30"/>
          <w:lang w:val="vi-VN"/>
        </w:rPr>
      </w:r>
      <w:r>
        <w:rPr>
          <w:rStyle w:val="1027"/>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MẠNH HÀ</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275/2026/0681/VFI-HĐTĐ.21.A</w:t>
      </w:r>
      <w:r>
        <w:rPr>
          <w:spacing w:val="-4"/>
          <w:lang w:val="vi-VN"/>
        </w:rPr>
        <w:t xml:space="preserve"> ký ngày 04 tháng 5 năm 2026</w:t>
      </w:r>
      <w:r>
        <w:rPr>
          <w:spacing w:val="-4"/>
          <w:lang w:val="vi-VN"/>
        </w:rPr>
        <w:t xml:space="preserve"> </w:t>
      </w:r>
      <w:r>
        <w:rPr>
          <w:spacing w:val="-4"/>
          <w:lang w:val="vi-VN"/>
        </w:rPr>
        <w:t xml:space="preserve">giữa </w:t>
      </w:r>
      <w:r>
        <w:rPr>
          <w:color w:val="000000" w:themeColor="text1"/>
          <w:spacing w:val="-4"/>
        </w:rPr>
        <w:t xml:space="preserve">Ông Nguyễn Mạnh Hà</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275/2026/0681/VFI-BC.21.A</w:t>
      </w:r>
      <w:r>
        <w:rPr>
          <w:spacing w:val="-2"/>
          <w:lang w:val="pt-BR"/>
        </w:rPr>
        <w:t xml:space="preserve"> </w:t>
      </w:r>
      <w:r>
        <w:rPr>
          <w:spacing w:val="-2"/>
          <w:lang w:val="pt-BR"/>
        </w:rPr>
        <w:t xml:space="preserve">ngày 05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NGUYỄN MẠNH HÀ</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001098023242</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r>
            <w:r>
              <w:rPr>
                <w:b/>
                <w:bCs/>
                <w:lang w:val="vi-VN"/>
              </w:rPr>
            </w:r>
          </w:p>
        </w:tc>
      </w:tr>
      <w:tr>
        <w:trPr>
          <w:trHeight w:val="20"/>
        </w:trPr>
        <w:tc>
          <w:tcPr>
            <w:tcBorders/>
            <w:tcW w:w="2269" w:type="dxa"/>
            <w:vAlign w:val="center"/>
            <w:vMerge w:val="restart"/>
            <w:textDirection w:val="lrTb"/>
            <w:noWrap w:val="false"/>
          </w:tcPr>
          <w:p>
            <w:pPr>
              <w:pBdr/>
              <w:spacing w:after="40" w:before="4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vMerge w:val="restart"/>
            <w:textDirection w:val="lrTb"/>
            <w:noWrap w:val="false"/>
          </w:tcPr>
          <w:p>
            <w:pPr>
              <w:pBdr/>
              <w:spacing w:after="40" w:before="4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i w:val="0"/>
          <w:iCs w:val="0"/>
        </w:rPr>
        <w:t xml:space="preserve">Quyền sử dụng đất tại thửa đất số: 27-4, tờ bản đồ số 41 có địa chỉ: Phường Lĩnh Nam, quận Hoàng Mai, Hà Nội </w:t>
      </w:r>
      <w:r>
        <w:rPr>
          <w:i/>
          <w:iCs/>
        </w:rPr>
        <w:t xml:space="preserve">(Nay là phường Lĩnh Nam, Thành phố Hà Nội)</w:t>
      </w:r>
      <w:r>
        <w:rPr>
          <w:i w:val="0"/>
          <w:iCs w:val="0"/>
        </w:rPr>
        <w:t xml:space="preserve"> theo Giấy chứng nhận quyền sử dụng đất quyền sở hữu nhà ở và tài sản khác gắn liền với đất số: BD 454581,</w:t>
      </w:r>
      <w:r>
        <w:rPr>
          <w:i w:val="0"/>
          <w:iCs w:val="0"/>
        </w:rPr>
        <w:t xml:space="preserve"> số vào sổ cấp GCN: CH 00950/HĐ:95/576 do Uỷ ban nhân dân quận Hoàng Mai cấp ngày 08/10/2010; Chủ sử dụng đất là Ông Nguyễn Mạnh Hà</w:t>
      </w:r>
      <w:r>
        <w:rPr>
          <w:i w:val="0"/>
          <w:iCs w:val="0"/>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5/2026</w:t>
      </w:r>
      <w:r>
        <w:rPr>
          <w:bCs/>
          <w:lang w:val="nl-NL"/>
        </w:rPr>
        <w:t xml:space="preserve">.</w:t>
      </w:r>
      <w:r>
        <w:rPr>
          <w:b/>
          <w:bCs/>
        </w:rPr>
      </w:r>
      <w:r>
        <w:rPr>
          <w:b/>
          <w:bCs/>
        </w:rPr>
      </w:r>
    </w:p>
    <w:p>
      <w:pPr>
        <w:pBdr/>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color w:val="000000" w:themeColor="text1"/>
          <w:lang w:val="nl-NL"/>
        </w:rPr>
        <w:t xml:space="preserve"> </w:t>
      </w:r>
      <w:r>
        <w:rPr>
          <w:color w:val="000000" w:themeColor="text1"/>
          <w:lang w:val="nl-NL"/>
        </w:rPr>
        <w:t xml:space="preserve">Xác định giá trị tài sản thẩm định giá để Ngân hàng TMCP Sài Gòn - Hà Nội ("SHB") th</w:t>
      </w:r>
      <w:r>
        <w:rPr>
          <w:color w:val="000000" w:themeColor="text1"/>
          <w:lang w:val="nl-NL"/>
        </w:rPr>
        <w:t xml:space="preserve">ực hiện </w:t>
      </w:r>
      <w:r>
        <w:rPr>
          <w:color w:val="000000" w:themeColor="text1"/>
          <w:lang w:val="nl-NL"/>
        </w:rPr>
        <w:t xml:space="preserve">nhận giá trị tài sản bảo đảm phù hợp theo quy định của Pháp luật hiện hành</w:t>
      </w:r>
      <w:r>
        <w:rPr>
          <w:color w:val="000000" w:themeColor="text1"/>
          <w:lang w:val="nl-NL"/>
        </w:rPr>
        <w:t xml:space="preserve">.</w:t>
      </w:r>
      <w:r>
        <w:rPr>
          <w:color w:val="000000" w:themeColor="text1"/>
          <w:lang w:val="nl-NL" w:bidi="nl-NL"/>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5/2026</w:t>
      </w:r>
      <w:r>
        <w:rPr>
          <w:lang w:val="vi-VN"/>
        </w:rPr>
        <w:t xml:space="preserve"> ước tính</w:t>
      </w:r>
      <w:r>
        <w:t xml:space="preserve"> </w:t>
      </w:r>
      <w:r>
        <w:rPr>
          <w:lang w:val="vi-VN"/>
        </w:rPr>
        <w:t xml:space="preserve">như sau:</w:t>
      </w:r>
      <w:r/>
    </w:p>
    <w:tbl>
      <w:tblPr>
        <w:tblStyle w:val="103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2976"/>
        <w:gridCol w:w="1843"/>
        <w:gridCol w:w="1984"/>
        <w:gridCol w:w="1984"/>
      </w:tblGrid>
      <w:tr>
        <w:trPr>
          <w:trHeight w:val="729"/>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976"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Diện tích </w:t>
              <w:br/>
              <w:t xml:space="preserve">(m²)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Đơn giá </w:t>
              <w:br/>
              <w:t xml:space="preserve">(đồng/m²)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194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803" w:type="dxa"/>
            <w:vAlign w:val="center"/>
            <w:textDirection w:val="lrTb"/>
            <w:noWrap w:val="false"/>
          </w:tcPr>
          <w:p>
            <w:pPr>
              <w:pBdr/>
              <w:spacing w:after="0" w:before="0" w:line="288" w:lineRule="auto"/>
              <w:ind/>
              <w:jc w:val="both"/>
              <w:rPr/>
            </w:pPr>
            <w:r>
              <w:rPr>
                <w:rFonts w:ascii="Times New Roman" w:hAnsi="Times New Roman" w:eastAsia="Times New Roman" w:cs="Times New Roman"/>
                <w:b/>
                <w:color w:val="000000"/>
                <w:sz w:val="24"/>
              </w:rPr>
              <w:t xml:space="preserve">Quyền sử dụng đất tại thửa đất số: 27-4, tờ bản đồ số 41 có địa chỉ: Phường Lĩnh Nam, quận Hoàng Mai, Hà Nội (Nay là phường Lĩnh Nam, Thành phố Hà Nội) theo Giấy chứng nhận quyền sử dụng đất quyền sở hữu nhà ở và tài sản khác gắn liền với đất số: BD 454581</w:t>
            </w:r>
            <w:r>
              <w:rPr>
                <w:rFonts w:ascii="Times New Roman" w:hAnsi="Times New Roman" w:eastAsia="Times New Roman" w:cs="Times New Roman"/>
                <w:b/>
                <w:color w:val="000000"/>
                <w:sz w:val="24"/>
              </w:rPr>
              <w:t xml:space="preserve">, số vào sổ cấp GCN: CH 00950/HĐ:95/576 do Uỷ ban nhân dân quận Hoàng Mai cấp ngày 08/10/2010; Chủ sử dụng đất là Ông Nguyễn Mạnh Hà.</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88" w:lineRule="auto"/>
              <w:ind/>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976" w:type="dxa"/>
            <w:vAlign w:val="center"/>
            <w:textDirection w:val="lrTb"/>
            <w:noWrap w:val="false"/>
          </w:tcPr>
          <w:p>
            <w:pPr>
              <w:pBdr/>
              <w:spacing w:after="0" w:before="0" w:line="288" w:lineRule="auto"/>
              <w:ind/>
              <w:rPr/>
            </w:pPr>
            <w:r>
              <w:rPr>
                <w:rFonts w:ascii="Times New Roman" w:hAnsi="Times New Roman" w:eastAsia="Times New Roman" w:cs="Times New Roman"/>
                <w:color w:val="000000"/>
                <w:sz w:val="24"/>
              </w:rPr>
              <w:t xml:space="preserve">Đất ở tại đô thị</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88" w:lineRule="auto"/>
              <w:ind/>
              <w:jc w:val="center"/>
              <w:rPr/>
            </w:pPr>
            <w:r>
              <w:rPr>
                <w:rFonts w:ascii="Times New Roman" w:hAnsi="Times New Roman" w:eastAsia="Times New Roman" w:cs="Times New Roman"/>
                <w:color w:val="000000"/>
                <w:sz w:val="24"/>
              </w:rPr>
              <w:t xml:space="preserve">32,6</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88" w:lineRule="auto"/>
              <w:ind/>
              <w:jc w:val="center"/>
              <w:rPr/>
            </w:pPr>
            <w:r>
              <w:rPr>
                <w:rFonts w:ascii="Times New Roman" w:hAnsi="Times New Roman" w:eastAsia="Times New Roman" w:cs="Times New Roman"/>
                <w:color w:val="000000"/>
                <w:sz w:val="24"/>
              </w:rPr>
              <w:t xml:space="preserve">85.000.000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88" w:lineRule="auto"/>
              <w:ind/>
              <w:jc w:val="center"/>
              <w:rPr/>
            </w:pPr>
            <w:r>
              <w:rPr>
                <w:rFonts w:ascii="Times New Roman" w:hAnsi="Times New Roman" w:eastAsia="Times New Roman" w:cs="Times New Roman"/>
                <w:color w:val="000000"/>
                <w:sz w:val="24"/>
              </w:rPr>
              <w:t xml:space="preserve">2.771.000.000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40" w:type="dxa"/>
            <w:vAlign w:val="center"/>
            <w:textDirection w:val="lrTb"/>
            <w:noWrap/>
          </w:tcPr>
          <w:p>
            <w:pPr>
              <w:pBdr/>
              <w:spacing w:after="0" w:before="0" w:line="288"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pPr>
              <w:pBdr/>
              <w:spacing w:after="0" w:before="0" w:line="288" w:lineRule="auto"/>
              <w:ind/>
              <w:jc w:val="center"/>
              <w:rPr/>
            </w:pPr>
            <w:r>
              <w:rPr>
                <w:rFonts w:ascii="Times New Roman" w:hAnsi="Times New Roman" w:eastAsia="Times New Roman" w:cs="Times New Roman"/>
                <w:b/>
                <w:color w:val="000000"/>
                <w:sz w:val="24"/>
              </w:rPr>
              <w:t xml:space="preserve">2.771.000.000</w:t>
            </w:r>
            <w:r/>
          </w:p>
        </w:tc>
      </w:tr>
      <w:tr>
        <w:trPr>
          <w:trHeight w:val="309"/>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524" w:type="dxa"/>
            <w:vAlign w:val="center"/>
            <w:textDirection w:val="lrTb"/>
            <w:noWrap w:val="false"/>
          </w:tcPr>
          <w:p>
            <w:pPr>
              <w:pBdr/>
              <w:spacing w:after="0" w:before="0" w:line="288" w:lineRule="auto"/>
              <w:ind/>
              <w:jc w:val="center"/>
              <w:rPr/>
            </w:pPr>
            <w:r>
              <w:rPr>
                <w:rFonts w:ascii="Times New Roman" w:hAnsi="Times New Roman" w:eastAsia="Times New Roman" w:cs="Times New Roman"/>
                <w:b/>
                <w:i/>
                <w:color w:val="000000"/>
                <w:sz w:val="24"/>
              </w:rPr>
              <w:t xml:space="preserve">(Bằng chữ: Hai tỷ, bảy trăm bảy mươi mốt triệu đồng chẵn./.)</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5000" w:type="pct"/>
        <w:tblBorders/>
        <w:tblLayout w:type="fixed"/>
        <w:tblLook w:val="01E0" w:firstRow="1" w:lastRow="1" w:firstColumn="1" w:lastColumn="1" w:noHBand="0" w:noVBand="0"/>
      </w:tblPr>
      <w:tblGrid>
        <w:gridCol w:w="4422"/>
        <w:gridCol w:w="5102"/>
      </w:tblGrid>
      <w:tr>
        <w:trPr>
          <w:trHeight w:val="20"/>
        </w:trPr>
        <w:tc>
          <w:tcPr>
            <w:tcBorders/>
            <w:tcW w:w="4422"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02" w:type="dxa"/>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422"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02"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422" w:type="dxa"/>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5102"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ayout w:type="fixed"/>
        <w:tblLook w:val="04A0" w:firstRow="1" w:lastRow="0" w:firstColumn="1" w:lastColumn="0" w:noHBand="0" w:noVBand="1"/>
      </w:tblPr>
      <w:tblGrid>
        <w:gridCol w:w="244"/>
        <w:gridCol w:w="1344"/>
        <w:gridCol w:w="2563"/>
        <w:gridCol w:w="5412"/>
        <w:gridCol w:w="310"/>
      </w:tblGrid>
      <w:tr>
        <w:trPr>
          <w:trHeight w:val="1559"/>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85"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3"/>
            <w:shd w:val="clear" w:color="auto" w:fill="auto"/>
            <w:tcBorders/>
            <w:tcMar>
              <w:left w:w="108" w:type="dxa"/>
              <w:top w:w="0" w:type="dxa"/>
              <w:right w:w="108" w:type="dxa"/>
              <w:bottom w:w="0" w:type="dxa"/>
            </w:tcMar>
            <w:tcW w:w="9319"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275/2026/0681/VFI-CT.21.A                                  </w:t>
            </w: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05 tháng 5 năm 2026</w:t>
            </w:r>
            <w:r>
              <w:rPr>
                <w:color w:val="000000" w:themeColor="text1"/>
                <w:sz w:val="24"/>
                <w:szCs w:val="24"/>
              </w:rPr>
            </w:r>
            <w:r>
              <w:rPr>
                <w:color w:val="000000" w:themeColor="text1"/>
                <w:sz w:val="24"/>
                <w:szCs w:val="24"/>
              </w:rPr>
            </w:r>
          </w:p>
        </w:tc>
      </w:tr>
    </w:tbl>
    <w:p>
      <w:pPr>
        <w:pStyle w:val="102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275/2026/0681/VFI-CT.21.A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05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TP.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r>
            <w:r>
              <w:rPr>
                <w:b/>
                <w:bCs/>
                <w:lang w:val="vi-VN"/>
              </w:rPr>
            </w:r>
          </w:p>
        </w:tc>
      </w:tr>
      <w:tr>
        <w:trPr>
          <w:trHeight w:val="20"/>
        </w:trPr>
        <w:tc>
          <w:tcPr>
            <w:tcBorders/>
            <w:tcW w:w="2552" w:type="dxa"/>
            <w:vAlign w:val="center"/>
            <w:vMerge w:val="restart"/>
            <w:textDirection w:val="lrTb"/>
            <w:noWrap w:val="false"/>
          </w:tcPr>
          <w:p>
            <w:pPr>
              <w:pBdr/>
              <w:spacing w:after="40" w:before="4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pPr>
              <w:pBdr/>
              <w:spacing w:after="40" w:before="40" w:line="276" w:lineRule="auto"/>
              <w:ind/>
              <w:rPr>
                <w:bCs/>
              </w:rPr>
            </w:pPr>
            <w:r>
              <w:rPr>
                <w:bCs/>
              </w:rPr>
              <w:t xml:space="preserve">:</w:t>
            </w:r>
            <w:r>
              <w:rPr>
                <w:bCs/>
              </w:rPr>
            </w:r>
            <w:r>
              <w:rPr>
                <w:bCs/>
              </w:rPr>
            </w:r>
          </w:p>
        </w:tc>
        <w:tc>
          <w:tcPr>
            <w:tcBorders/>
            <w:tcW w:w="6940" w:type="dxa"/>
            <w:vAlign w:val="center"/>
            <w:vMerge w:val="restart"/>
            <w:textDirection w:val="lrTb"/>
            <w:noWrap w:val="false"/>
          </w:tcPr>
          <w:p>
            <w:pPr>
              <w:pBdr/>
              <w:spacing w:after="40" w:before="4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pPr>
        <w:pStyle w:val="102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line="276" w:lineRule="auto"/>
              <w:ind/>
              <w:rPr/>
            </w:pPr>
            <w:r>
              <w:rPr>
                <w:b/>
                <w:bCs/>
              </w:rPr>
            </w:r>
            <w:r>
              <w:rPr>
                <w:rFonts w:ascii="Times New Roman Bold" w:hAnsi="Times New Roman Bold"/>
                <w:b/>
                <w:color w:val="000000" w:themeColor="text1"/>
                <w:lang w:val="pt-BR"/>
              </w:rPr>
              <w:t xml:space="preserve">ÔNG NGUYỄN MẠNH HÀ</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001098023242</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i w:val="0"/>
                <w:iCs w:val="0"/>
              </w:rPr>
              <w:t xml:space="preserve">Quyền sử dụng đất tại thửa đất số: 27-4, tờ bản đồ số 41 có địa chỉ: Phường Lĩnh Nam, quận Hoàng Mai, Hà Nội </w:t>
            </w:r>
            <w:r>
              <w:rPr>
                <w:i/>
                <w:iCs/>
              </w:rPr>
              <w:t xml:space="preserve">(Nay là phường Lĩnh Nam, Thành phố Hà Nội)</w:t>
            </w:r>
            <w:r>
              <w:rPr>
                <w:i w:val="0"/>
                <w:iCs w:val="0"/>
              </w:rPr>
              <w:t xml:space="preserve"> theo Giấy chứng nhận quyền sử dụng đất quyền sở hữu nhà ở và tài sản khác gắn liền với đất số: BD 454581,</w:t>
            </w:r>
            <w:r>
              <w:rPr>
                <w:i w:val="0"/>
                <w:iCs w:val="0"/>
              </w:rPr>
              <w:t xml:space="preserve"> số vào sổ cấp GCN: CH 00950/HĐ:95/576 do Uỷ ban nhân dân quận Hoàng Mai cấp ngày 08/10/2010; Chủ sử dụng đất là Ông Nguyễn Mạnh Hà</w:t>
            </w:r>
            <w:r>
              <w:rPr>
                <w:bCs/>
                <w:i/>
                <w:iCs/>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r>
            <w:r>
              <w:rPr>
                <w:color w:val="000000" w:themeColor="text1"/>
                <w:lang w:val="nl-NL"/>
              </w:rPr>
              <w:t xml:space="preserve">Xác định giá trị tài sản thẩm định giá để Ngân hàng TMCP Sài Gòn - Hà Nội ("SHB") th</w:t>
            </w:r>
            <w:r>
              <w:rPr>
                <w:color w:val="000000" w:themeColor="text1"/>
                <w:lang w:val="nl-NL"/>
              </w:rPr>
              <w:t xml:space="preserve">ực hiện </w:t>
            </w:r>
            <w:r>
              <w:rPr>
                <w:color w:val="000000" w:themeColor="text1"/>
                <w:lang w:val="nl-NL"/>
              </w:rPr>
              <w:t xml:space="preserve">nhận giá trị tài sản bảo đảm phù hợp theo quy định của pháp luật hiện hành</w:t>
            </w:r>
            <w:r/>
            <w:r>
              <w:rPr>
                <w:bCs/>
                <w:color w:val="000000" w:themeColor="text1"/>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Lĩnh Nam,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9"/>
              <w:pBdr/>
              <w:spacing w:before="60" w:line="276" w:lineRule="auto"/>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20.975838, 105.894708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5/2026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9"/>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9"/>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9"/>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9"/>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9"/>
        <w:numPr>
          <w:ilvl w:val="0"/>
          <w:numId w:val="1"/>
        </w:numPr>
        <w:pBdr/>
        <w:tabs>
          <w:tab w:val="left" w:leader="none" w:pos="993"/>
        </w:tabs>
        <w:spacing w:after="120" w:before="120" w:line="276" w:lineRule="auto"/>
        <w:ind/>
        <w:jc w:val="both"/>
        <w:rPr>
          <w:spacing w:val="-4"/>
          <w:lang w:val="pt-BR"/>
          <w14:ligatures w14:val="none"/>
        </w:rPr>
      </w:pPr>
      <w:r>
        <w:rPr>
          <w:spacing w:val="-4"/>
          <w:lang w:val="pt-BR"/>
        </w:rPr>
        <w:t xml:space="preserve">Quyết định số </w:t>
      </w:r>
      <w:r>
        <w:rPr>
          <w:spacing w:val="-4"/>
          <w:lang w:val="pt-BR"/>
        </w:rPr>
        <w:t xml:space="preserve">425/QĐ-BXD</w:t>
      </w:r>
      <w:r>
        <w:rPr>
          <w:spacing w:val="-4"/>
          <w:lang w:val="pt-BR"/>
        </w:rPr>
        <w:t xml:space="preserve"> ngày 30/3/4/2026 của Bộ Xây dựng về việc Công bố suất vốn đầu tư xây dựng công trình và giá xây dựng tổng hợp bộ phận kết cấu công trình năm 2025;</w:t>
      </w:r>
      <w:r>
        <w:rPr>
          <w:spacing w:val="-4"/>
          <w:lang w:val="pt-BR"/>
          <w14:ligatures w14:val="none"/>
        </w:rPr>
      </w:r>
      <w:r>
        <w:rPr>
          <w:spacing w:val="-4"/>
          <w:lang w:val="pt-BR"/>
          <w14:ligatures w14:val="none"/>
        </w:rPr>
      </w:r>
    </w:p>
    <w:p>
      <w:pPr>
        <w:pStyle w:val="1029"/>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9"/>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9"/>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i w:val="0"/>
          <w:iCs w:val="0"/>
        </w:rPr>
        <w:t xml:space="preserve">Giấy chứng nhận quyền sử dụng đất quyền sở hữu nhà ở và tài sản khác gắn liền với đất số: BD 454581,</w:t>
      </w:r>
      <w:r>
        <w:rPr>
          <w:i w:val="0"/>
          <w:iCs w:val="0"/>
        </w:rPr>
        <w:t xml:space="preserve"> số vào sổ cấp GCN: CH 00950/HĐ:95/576 do Uỷ ban nhân dân quận Hoàng Mai cấp ngày 08/10/2010; Chủ sử dụng đất là Ông Nguyễn Mạnh Hà</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9"/>
        <w:numPr>
          <w:ilvl w:val="0"/>
          <w:numId w:val="2"/>
        </w:numPr>
        <w:pBdr/>
        <w:tabs>
          <w:tab w:val="left" w:leader="none" w:pos="993"/>
        </w:tabs>
        <w:spacing w:after="120" w:before="120" w:line="276" w:lineRule="auto"/>
        <w:ind/>
        <w:jc w:val="both"/>
        <w:rPr>
          <w:b/>
          <w:lang w:val="pt-BR"/>
        </w:rPr>
      </w:pPr>
      <w:r>
        <w:rPr>
          <w:color w:val="000000" w:themeColor="text1"/>
          <w:lang w:val="pt-BR"/>
        </w:rPr>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275/2026/0681/VFI-HĐTĐ.21.A</w:t>
      </w:r>
      <w:r>
        <w:rPr>
          <w:spacing w:val="-4"/>
          <w:lang w:val="vi-VN"/>
        </w:rPr>
        <w:t xml:space="preserve"> ký ngày 04 tháng 5 năm 2026</w:t>
      </w:r>
      <w:r>
        <w:rPr>
          <w:spacing w:val="-4"/>
          <w:lang w:val="vi-VN"/>
        </w:rPr>
        <w:t xml:space="preserve"> </w:t>
      </w:r>
      <w:r>
        <w:rPr>
          <w:spacing w:val="-4"/>
          <w:lang w:val="vi-VN"/>
        </w:rPr>
        <w:t xml:space="preserve">giữa </w:t>
      </w:r>
      <w:r>
        <w:rPr>
          <w:color w:val="000000" w:themeColor="text1"/>
          <w:spacing w:val="-4"/>
        </w:rPr>
        <w:t xml:space="preserve">Ông Nguyễn Mạnh Hà</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color w:val="000000" w:themeColor="text1"/>
          <w:lang w:val="pt-BR"/>
        </w:rPr>
        <w:t xml:space="preserve">.</w:t>
      </w:r>
      <w:r>
        <w:rPr>
          <w:b/>
          <w:lang w:val="pt-BR"/>
        </w:rPr>
      </w:r>
      <w:r>
        <w:rPr>
          <w:b/>
          <w:lang w:val="pt-BR"/>
        </w:rPr>
      </w:r>
    </w:p>
    <w:p>
      <w:pPr>
        <w:pStyle w:val="1029"/>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lang w:val="pt-BR"/>
        </w:rPr>
        <w:tab/>
      </w:r>
      <w:r>
        <w:rPr>
          <w:rFonts w:ascii="Times New Roman" w:hAnsi="Times New Roman" w:eastAsia="Times New Roman" w:cs="Times New Roman"/>
          <w:b/>
          <w:i/>
          <w:color w:val="000000"/>
          <w:sz w:val="24"/>
        </w:rPr>
        <w:t xml:space="preserve">Bức tranh thị trường bất động sản Hà Nội năm 2026: Hạ tầng dẫn dắt, thị trường bước vào chu kỳ tăng trưởng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Bước sang năm 2026, thị trường bất động sản Hà Nội được kỳ vọng bước vào chu kỳ tăng trưởng mới với nền tảng hạ tầng, pháp lý và chính sách ngày càng rõ nét. Thay vì những cơn “sốt nóng”, thị trường vận động theo hướng chọn lọc, phân hóa mạnh, lấy nhu cầu</w:t>
      </w:r>
      <w:r>
        <w:rPr>
          <w:rFonts w:ascii="Times New Roman" w:hAnsi="Times New Roman" w:eastAsia="Times New Roman" w:cs="Times New Roman"/>
          <w:color w:val="000000"/>
          <w:sz w:val="24"/>
        </w:rPr>
        <w:t xml:space="preserve"> ở thực, chất lượng dự án và năng lực doanh nghiệp làm trụ cột phát triển bền vững.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Trong bối cảnh kinh tế vĩ mô dần ổn định, khuôn khổ pháp lý được hoàn thiện và đầu tư công tiếp tục giữ vai trò "đầu kéo", bất động sản Thủ đô bước vào một chu kỳ phát triển mới – thận trọng hơn, thực chất hơn và lấy hạ tầng làm động lực trung tâm. Thay v</w:t>
      </w:r>
      <w:r>
        <w:rPr>
          <w:rFonts w:ascii="Times New Roman" w:hAnsi="Times New Roman" w:eastAsia="Times New Roman" w:cs="Times New Roman"/>
          <w:color w:val="000000"/>
          <w:sz w:val="24"/>
        </w:rPr>
        <w:t xml:space="preserve">ì những cơn "sốt nóng" ngắn hạn, thị trường năm 2026 được kỳ vọng tăng trưởng trên nền tảng bền vững, gắn chặt với quy hoạch đô thị, nhu cầu ở thực và năng lực triển khai của doanh nghiệp.</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Hạ tầng – "xương sống" mở không gian phát triển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Trong nhiều năm qua, hạ tầng giao thông luôn là yếu tố then chốt định hình không gian phát triển đô thị Hà Nội. Đến năm 2026, vai trò này càng trở nên rõ rệt khi hàng loạt dự án trọng điểm được triển khai đồng bộ, tạo lực đẩy dài hạn cho thị trường bất độ</w:t>
      </w:r>
      <w:r>
        <w:rPr>
          <w:rFonts w:ascii="Times New Roman" w:hAnsi="Times New Roman" w:eastAsia="Times New Roman" w:cs="Times New Roman"/>
          <w:color w:val="000000"/>
          <w:sz w:val="24"/>
        </w:rPr>
        <w:t xml:space="preserve">ng sản.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Dự án đường Vành đai 4 – Vùng Thủ đô, với quy mô hơn 85.000 tỷ đồng, được coi là "đòn bẩy chiến lược" mở rộng không gian phát triển về các hướng Bắc, Tây và Nam. Khi tuyến đường này từng bước thành hình, các khu vực vốn nằm ngoài trung tâm truyền thống sẽ</w:t>
      </w:r>
      <w:r>
        <w:rPr>
          <w:rFonts w:ascii="Times New Roman" w:hAnsi="Times New Roman" w:eastAsia="Times New Roman" w:cs="Times New Roman"/>
          <w:color w:val="000000"/>
          <w:sz w:val="24"/>
        </w:rPr>
        <w:t xml:space="preserve"> có điều kiện kết nối thuận lợi hơn, qua đó gia tăng sức hấp dẫn với các dự án đô thị, khu nhà ở và dịch vụ.</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Cùng với đó,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w:t>
      </w:r>
      <w:r>
        <w:rPr>
          <w:rFonts w:ascii="Times New Roman" w:hAnsi="Times New Roman" w:eastAsia="Times New Roman" w:cs="Times New Roman"/>
          <w:color w:val="000000"/>
          <w:sz w:val="24"/>
        </w:rPr>
        <w:t xml:space="preserve">g, hạ tầng 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w:t>
      </w:r>
      <w:r>
        <w:rPr>
          <w:rFonts w:ascii="Times New Roman" w:hAnsi="Times New Roman" w:eastAsia="Times New Roman" w:cs="Times New Roman"/>
          <w:color w:val="000000"/>
          <w:sz w:val="24"/>
        </w:rPr>
        <w:t xml:space="preserve">g trưởng bất động sản dài hạn.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Cao – Hòa Lạc), đang </w:t>
      </w:r>
      <w:r>
        <w:rPr>
          <w:rFonts w:ascii="Times New Roman" w:hAnsi="Times New Roman" w:eastAsia="Times New Roman" w:cs="Times New Roman"/>
          <w:color w:val="000000"/>
          <w:sz w:val="24"/>
        </w:rPr>
        <w:t xml:space="preserve">nổi lên như một cực phát triển mới. Ở phía Đông, hệ thống cầu vượt sông Hồng, cùng quy hoạch chỉnh trang đô thị ven sông, tiếp tục mở ra dư địa cho các dự án nhà ở và đô thị sinh thái.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Thị trường chuyển từ "tăng nóng" sang tăng trưởng chọn lọc</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vực có</w:t>
      </w:r>
      <w:r>
        <w:rPr>
          <w:rFonts w:ascii="Times New Roman" w:hAnsi="Times New Roman" w:eastAsia="Times New Roman" w:cs="Times New Roman"/>
          <w:color w:val="000000"/>
          <w:sz w:val="24"/>
        </w:rPr>
        <w:t xml:space="preserve"> quy hoạch rõ ràng, hạ tầng đồng bộ và nhu cầu ở thực ổn định.</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Theo ông Nguyễn Văn Đính, Chủ tịch Hội Môi giới Bất động sản Việt Nam (VARS), thị trường bất động sản Hà Nội sẽ không tăng trưởng theo kiểu nóng mà dựa trên nền tảng hạ tầng và nhu cầu thật. Những dự án gắn với các tuyến giao thông lớn, pháp lý minh bạch </w:t>
      </w:r>
      <w:r>
        <w:rPr>
          <w:rFonts w:ascii="Times New Roman" w:hAnsi="Times New Roman" w:eastAsia="Times New Roman" w:cs="Times New Roman"/>
          <w:color w:val="000000"/>
          <w:sz w:val="24"/>
        </w:rPr>
        <w:t xml:space="preserve">và được triển khai bài bản sẽ trở thành động lực chính của thị trường trong năm 2026.</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Số liệu từ các đơn vị nghiên cứu cho thấy, trong giai đoạn gần đây, giá bất động sản tại những khu vực bám trục hạ tầng lớn của Hà Nội vẫn duy trì mức tăng ổn định, trong khi thanh khoản dần cải thiện. Điều này phản ánh sự dịch chuyển của dòng tiền sang c</w:t>
      </w:r>
      <w:r>
        <w:rPr>
          <w:rFonts w:ascii="Times New Roman" w:hAnsi="Times New Roman" w:eastAsia="Times New Roman" w:cs="Times New Roman"/>
          <w:color w:val="000000"/>
          <w:sz w:val="24"/>
        </w:rPr>
        <w:t xml:space="preserve">ác phân khúc an toàn hơn, hạn chế rủi ro và có tiềm năng tăng trưởng dài hạn.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Nguồn cung lớn, thị trường phân hóa rõ nét</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 Điều này vừa tạ</w:t>
      </w:r>
      <w:r>
        <w:rPr>
          <w:rFonts w:ascii="Times New Roman" w:hAnsi="Times New Roman" w:eastAsia="Times New Roman" w:cs="Times New Roman"/>
          <w:color w:val="000000"/>
          <w:sz w:val="24"/>
        </w:rPr>
        <w:t xml:space="preserve">o cơ hội cho người mua, vừa đặt ra thách thức cho doanh nghiệp phát triển dự 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Ông David Jackson, Tổng Giám đốc Avison Young Việt Nam nhận định, thị trường căn hộ đang bước vào giai đoạn bản lề. Phân khúc này tiếp tục giữ vai trò chủ đạo trong giai đoạn 2025–2026, song sự phát triển sẽ không đồng đều. Các dự án có vị trí thuận lợi, </w:t>
      </w:r>
      <w:r>
        <w:rPr>
          <w:rFonts w:ascii="Times New Roman" w:hAnsi="Times New Roman" w:eastAsia="Times New Roman" w:cs="Times New Roman"/>
          <w:color w:val="000000"/>
          <w:sz w:val="24"/>
        </w:rPr>
        <w:t xml:space="preserve">kết nối hạ tầng tốt, pháp lý hoàn chỉnh và chủ đầu tư uy tín sẽ duy trì thanh khoản, trong khi những dự án xa trung tâm, thiếu tiện ích hoặc định giá vượt khả năng chi trả của số đông sẽ gặp khó.</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 hợp với nhu cầu ở thực. Trong khi đ</w:t>
      </w:r>
      <w:r>
        <w:rPr>
          <w:rFonts w:ascii="Times New Roman" w:hAnsi="Times New Roman" w:eastAsia="Times New Roman" w:cs="Times New Roman"/>
          <w:color w:val="000000"/>
          <w:sz w:val="24"/>
        </w:rPr>
        <w:t xml:space="preserve">ó, phân khúc nhà ở vừa túi tiền và nhà ở xã hội được kỳ vọng sẽ dần cải thiện nguồn cung khi các chính sách mới được triển khai đồng bộ.</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Chính sách và pháp lý – điểm tựa cho chu kỳ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Năm 2026 được xem là thời điểm các 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w:t>
      </w:r>
      <w:r>
        <w:rPr>
          <w:rFonts w:ascii="Times New Roman" w:hAnsi="Times New Roman" w:eastAsia="Times New Roman" w:cs="Times New Roman"/>
          <w:color w:val="000000"/>
          <w:sz w:val="24"/>
        </w:rPr>
        <w:t xml:space="preserve">nguồn cung đáng kể cho thị trường.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 "treo" </w:t>
      </w:r>
      <w:r>
        <w:rPr>
          <w:rFonts w:ascii="Times New Roman" w:hAnsi="Times New Roman" w:eastAsia="Times New Roman" w:cs="Times New Roman"/>
          <w:color w:val="000000"/>
          <w:sz w:val="24"/>
        </w:rPr>
        <w:t xml:space="preserve">dự án kéo dài, đồng thời tạo niềm tin cho nhà đầu tư và người mua nhà.</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Bước vào năm 2026, mặt bằng lãi suất được dự báo duy trì ở mức tương đối ổn định, dù có thể xuất hiện những điều chỉnh kỹ thuật. Ông Nguyễn Quốc Anh, Phó Tổng Giám đốc Batdongsan.com.vn cho rằng, mức lãi suất cho vay phổ biến quanh 6–7%/năm vẫn nằm trong </w:t>
      </w:r>
      <w:r>
        <w:rPr>
          <w:rFonts w:ascii="Times New Roman" w:hAnsi="Times New Roman" w:eastAsia="Times New Roman" w:cs="Times New Roman"/>
          <w:color w:val="000000"/>
          <w:sz w:val="24"/>
        </w:rPr>
        <w:t xml:space="preserve">vùng hỗ trợ giao dịch, khác xa giai đoạn "cú sốc kép" năm 2022.</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Ở góc nhìn vĩ mô, TS. Cấn Văn Lực, Chuyên gia Kinh tế trưởng Ngân hàng BIDV, Thành viên Hội đồng Tư vấn chính sách tài chính – tiền tệ quốc gia – nhận định, lãi suất thấp trong giai đoạn tới sẽ không còn kích hoạt đầu cơ mạnh như trước, mà thúc đẩy thị tr</w:t>
      </w:r>
      <w:r>
        <w:rPr>
          <w:rFonts w:ascii="Times New Roman" w:hAnsi="Times New Roman" w:eastAsia="Times New Roman" w:cs="Times New Roman"/>
          <w:color w:val="000000"/>
          <w:sz w:val="24"/>
        </w:rPr>
        <w:t xml:space="preserve">ường phát triển ổn định hơn. Người mua ngày càng thận trọng, ưu tiên pháp lý rõ ràng, chất lượng sản phẩm và uy tín chủ đầu tư – những yếu tố then chốt để hình thành chu kỳ tăng trưởng bền vững.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Triển vọng 2026: tăng trưởng bền vững trên nền tảng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Với nguồn cung tăng mạnh và người mua ngày càng kỹ tính, năm 2026 được xem là giai đoạn sàng lọc rõ nét đối với các doanh nghiệp bất động sản. Những chủ đầu tư có quỹ đất sạch, năng lực tài chính lành mạnh và chiến lược phát triển sản phẩm phù hợp sẽ có c</w:t>
      </w:r>
      <w:r>
        <w:rPr>
          <w:rFonts w:ascii="Times New Roman" w:hAnsi="Times New Roman" w:eastAsia="Times New Roman" w:cs="Times New Roman"/>
          <w:color w:val="000000"/>
          <w:sz w:val="24"/>
        </w:rPr>
        <w:t xml:space="preserve">ơ hội bứt phá. Ngược lại, các doanh nghiệp yếu về pháp lý, phụ thuộc nhiều vào đòn bẩy tài chính hoặc chạy theo đầu cơ ngắn hạn có thể tiếp tục bị đào thải.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phải gìn giữ.</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Thị trường k</w:t>
      </w:r>
      <w:r>
        <w:rPr>
          <w:rFonts w:ascii="Times New Roman" w:hAnsi="Times New Roman" w:eastAsia="Times New Roman" w:cs="Times New Roman"/>
          <w:color w:val="000000"/>
          <w:sz w:val="24"/>
        </w:rPr>
        <w:t xml:space="preserve">hông còn chỗ cho những cơn sốt ảo, mà hướng tới tăng trưởng ổn định, gắn với chất lượng đô thị và chất lượng sống.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Với những nền tảng đó, bất động sản Hà Nội trong năm 2026 được kỳ vọng sẽ bước vào chu kỳ phát triển mới – bền vững hơn, minh bạch hơn và đóng góp hiệu quả hơn cho tăng trưởng kinh tế – xã hội của Thủ đô.</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88" w:lineRule="auto"/>
        <w:ind w:right="0" w:firstLine="0" w:left="0"/>
        <w:jc w:val="center"/>
        <w:rPr/>
      </w:pPr>
      <w:r>
        <w:rPr>
          <w:rFonts w:ascii="Times New Roman" w:hAnsi="Times New Roman" w:eastAsia="Times New Roman" w:cs="Times New Roman"/>
          <w:i/>
          <w:color w:val="000000"/>
          <w:sz w:val="24"/>
        </w:rPr>
        <w:t xml:space="preserve">(Nguồn tham khảo: </w:t>
      </w:r>
      <w:hyperlink r:id="rId17" w:tooltip="https://thanglong.chinhphu.vn/buc-tranh-thi-truong-bat-dong-san-ha-noi-nam-2026-ha-tang-dan-dat-thi-truong-buoc-vao-chu-ky-tang-truong-moi-103260101181315972.htm" w:history="1">
        <w:r>
          <w:rPr>
            <w:rStyle w:val="1019"/>
            <w:rFonts w:ascii="Times New Roman" w:hAnsi="Times New Roman" w:eastAsia="Times New Roman" w:cs="Times New Roman"/>
            <w:i/>
            <w:color w:val="000000"/>
            <w:sz w:val="24"/>
            <w:u w:val="none"/>
          </w:rPr>
          <w:t xml:space="preserve">https://thanglong.chinhphu.vn/buc-tranh-thi-truong-bat-dong-san-ha-noi-nam-2026-ha-tang-dan-dat-thi-truong-buoc-vao-chu-ky-tang-truong-moi-103260101181315972.htm</w:t>
        </w:r>
      </w:hyperlink>
      <w:r/>
      <w:r/>
    </w:p>
    <w:p>
      <w:pPr>
        <w:pStyle w:val="102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27-4, tờ bản đồ số 41 có địa chỉ: Phường Lĩnh Nam, quận Hoàng Mai, Hà Nội (Nay là phường Lĩnh Nam, Thành phố Hà Nội) theo Giấy chứng nhận quyền sử dụng đất quyền sở hữu nhà ở và tài sản khác gắn liền với đất số: BD 454581</w:t>
            </w:r>
            <w:r>
              <w:rPr>
                <w:rFonts w:ascii="Times New Roman" w:hAnsi="Times New Roman" w:eastAsia="Times New Roman" w:cs="Times New Roman"/>
                <w:b/>
                <w:color w:val="000000"/>
                <w:sz w:val="24"/>
              </w:rPr>
              <w:t xml:space="preserve">, số vào sổ cấp GCN: CH 00950/HĐ:95/576 do Uỷ ban nhân dân quận Hoàng Mai cấp ngày 08/10/2010; Chủ sử dụng đất là Ông Nguyễn Mạnh Hà.</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27-4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41</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Phường Lĩnh Nam, quận Hoàng Mai, Hà Nội </w:t>
            </w:r>
            <w:r>
              <w:rPr>
                <w:rFonts w:ascii="Times New Roman" w:hAnsi="Times New Roman" w:eastAsia="Times New Roman" w:cs="Times New Roman"/>
                <w:i/>
                <w:color w:val="000000"/>
                <w:sz w:val="24"/>
              </w:rPr>
              <w:t xml:space="preserve">(Nay là phường Lĩnh Nam, Thành phố Hà Nội)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48,6</w:t>
            </w: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Sử dụng riêng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ở tại đô thị</w:t>
            </w: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Lâu dài</w:t>
            </w:r>
            <w:r/>
          </w:p>
        </w:tc>
      </w:tr>
      <w:tr>
        <w:trPr>
          <w:trHeight w:val="20"/>
        </w:trPr>
        <w:tc>
          <w:tcPr>
            <w:tcBorders/>
            <w:tcW w:w="7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Nguồn gốc sử dụng đất:</w:t>
            </w: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Công nhận quyền sử dụng đất như Nhà nước giao đất không thu tiền sử dụng đất (*) Nhận chuyển quyền sử dụng đất</w:t>
            </w:r>
            <w:r/>
          </w:p>
        </w:tc>
      </w:tr>
      <w:tr>
        <w:trPr>
          <w:trHeight w:val="20"/>
        </w:trPr>
        <w:tc>
          <w:tcPr>
            <w:tcBorders/>
            <w:tcW w:w="734"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cW w:w="2522"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Ghi chú:</w:t>
            </w:r>
            <w:r/>
          </w:p>
        </w:tc>
        <w:tc>
          <w:tcPr>
            <w:gridSpan w:val="3"/>
            <w:tcBorders/>
            <w:tcW w:w="6259" w:type="dxa"/>
            <w:vAlign w:val="center"/>
            <w:vMerge w:val="restart"/>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Nhận chuyển quyền từ một phần GCN số AĐ 625078 do UBND quận Hoàng Mai cấp tại quyết định số 1554/QĐ-UB ngày 07/8/2006. Theo số vào sổ: 576</w:t>
            </w:r>
            <w:r/>
          </w:p>
        </w:tc>
      </w:tr>
      <w:tr>
        <w:trPr>
          <w:trHeight w:val="20"/>
        </w:trPr>
        <w:tc>
          <w:tcPr>
            <w:tcBorders/>
            <w:tcW w:w="7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Thông tin quy hoạch:</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Tổ thẩm định tham khảo website quy hoạch Meeymap nhận thấy tài sản thẩm định nằm trong quy hoạch đất ở.</w:t>
            </w:r>
            <w:r/>
          </w:p>
          <w:p>
            <w:pPr>
              <w:pBdr/>
              <w:spacing w:after="0" w:before="0" w:line="240" w:lineRule="auto"/>
              <w:ind/>
              <w:jc w:val="both"/>
              <w:rPr/>
            </w:pPr>
            <w:r>
              <w:rPr>
                <w:rFonts w:ascii="Times New Roman" w:hAnsi="Times New Roman" w:eastAsia="Times New Roman" w:cs="Times New Roman"/>
                <w:color w:val="000000"/>
                <w:sz w:val="24"/>
              </w:rPr>
            </w:r>
            <w:r>
              <mc:AlternateContent>
                <mc:Choice Requires="wpg">
                  <w:drawing>
                    <wp:inline xmlns:wp="http://schemas.openxmlformats.org/drawingml/2006/wordprocessingDrawing" distT="0" distB="0" distL="0" distR="0">
                      <wp:extent cx="3852730" cy="2076021"/>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956182" name=""/>
                              <pic:cNvPicPr>
                                <a:picLocks noChangeAspect="1"/>
                              </pic:cNvPicPr>
                              <pic:nvPr/>
                            </pic:nvPicPr>
                            <pic:blipFill rotWithShape="1">
                              <a:blip r:embed="rId18"/>
                              <a:stretch/>
                            </pic:blipFill>
                            <pic:spPr bwMode="auto">
                              <a:xfrm flipH="0" flipV="0">
                                <a:off x="0" y="0"/>
                                <a:ext cx="3852730" cy="20760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03.36pt;height:163.47pt;mso-wrap-distance-left:0.00pt;mso-wrap-distance-top:0.00pt;mso-wrap-distance-right:0.00pt;mso-wrap-distance-bottom:0.00pt;z-index:1;" stroked="false">
                      <v:imagedata r:id="rId18" o:title=""/>
                      <o:lock v:ext="edit" rotation="t"/>
                    </v:shape>
                  </w:pict>
                </mc:Fallback>
              </mc:AlternateContent>
            </w:r>
            <w:r>
              <w:rPr>
                <w:rFonts w:ascii="Times New Roman" w:hAnsi="Times New Roman" w:eastAsia="Times New Roman" w:cs="Times New Roman"/>
                <w:color w:val="000000"/>
                <w:sz w:val="24"/>
              </w:rPr>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bê tông</w:t>
            </w: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01 mặt tiền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1m</w:t>
            </w: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1,5m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nằm tại ngõ 107 Thuý Lĩnh, phường Lĩnh Nam, Thành phố Hà Nội; cách đường ô tô khoảng 30m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Hướng Tây Bắc: Tiếp giáp đường bê tông khoảng 1,5m</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after="0" w:before="0" w:line="240" w:lineRule="auto"/>
              <w:ind/>
              <w:jc w:val="both"/>
              <w:rPr/>
            </w:pPr>
            <w:r>
              <w:rPr>
                <w:rFonts w:ascii="Times New Roman" w:hAnsi="Times New Roman" w:eastAsia="Times New Roman" w:cs="Times New Roman"/>
                <w:color w:val="000000"/>
                <w:sz w:val="24"/>
              </w:rPr>
              <w:t xml:space="preserve">Các hướng khác: Tiếp giáp các thửa đất khác</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20.975838</w:t>
            </w:r>
            <w:r>
              <w:rPr>
                <w:color w:val="000000"/>
              </w:rPr>
              <w:t xml:space="preserve">, </w:t>
            </w:r>
            <w:r>
              <w:rPr>
                <w:color w:val="000000"/>
              </w:rPr>
              <w:t xml:space="preserve">105.894708</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5456895" cy="294451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869632" name=""/>
                              <pic:cNvPicPr>
                                <a:picLocks noChangeAspect="1"/>
                              </pic:cNvPicPr>
                              <pic:nvPr/>
                            </pic:nvPicPr>
                            <pic:blipFill rotWithShape="1">
                              <a:blip r:embed="rId19"/>
                              <a:stretch/>
                            </pic:blipFill>
                            <pic:spPr bwMode="auto">
                              <a:xfrm flipH="0" flipV="0">
                                <a:off x="0" y="0"/>
                                <a:ext cx="5456894" cy="29445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9.68pt;height:231.85pt;mso-wrap-distance-left:0.00pt;mso-wrap-distance-top:0.00pt;mso-wrap-distance-right:0.00pt;mso-wrap-distance-bottom:0.00pt;z-index:1;" stroked="false">
                      <v:imagedata r:id="rId19"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32,6</w:t>
            </w: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15,6</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3,40</w:t>
            </w: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8,80</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Tương đối vuông vức</w:t>
            </w: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Tây Bắc</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w:t>
            </w:r>
            <w:r>
              <w:rPr>
                <w:color w:val="000000"/>
              </w:rPr>
            </w:r>
            <w:r>
              <w:rPr>
                <w:color w:val="000000"/>
              </w:rPr>
            </w:r>
          </w:p>
          <w:p>
            <w:pPr>
              <w:pBdr/>
              <w:spacing/>
              <w:ind/>
              <w:rPr>
                <w:color w:val="000000"/>
              </w:rPr>
            </w:pPr>
            <w:r>
              <w:rPr>
                <w:color w:val="000000"/>
              </w:rPr>
              <w:t xml:space="preserve">Hạ tầng thoát nước: Rãnh có nắp, </w:t>
            </w:r>
            <w:r>
              <w:rPr>
                <w:color w:val="000000"/>
              </w:rPr>
            </w:r>
            <w:r>
              <w:rPr>
                <w:color w:val="000000"/>
              </w:rPr>
            </w:r>
          </w:p>
          <w:p>
            <w:pPr>
              <w:pBdr/>
              <w:spacing/>
              <w:ind/>
              <w:rPr>
                <w:color w:val="000000"/>
              </w:rPr>
            </w:pPr>
            <w:r>
              <w:rPr>
                <w:color w:val="000000"/>
              </w:rPr>
              <w:t xml:space="preserve">Hạ tầng cấp điện: Điện lưới, </w:t>
            </w:r>
            <w:r>
              <w:rPr>
                <w:color w:val="000000"/>
              </w:rPr>
            </w:r>
            <w:r>
              <w:rPr>
                <w:color w:val="000000"/>
              </w:rPr>
            </w:r>
          </w:p>
          <w:p>
            <w:pPr>
              <w:pBdr/>
              <w:spacing/>
              <w:ind/>
              <w:rPr>
                <w:color w:val="000000"/>
              </w:rPr>
            </w:pPr>
            <w:r>
              <w:rPr>
                <w:color w:val="000000"/>
              </w:rPr>
              <w:t xml:space="preserve">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Đông đúc</w:t>
            </w: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Phù hợp để ở</w:t>
            </w: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Tại thời điểm khảo sát dưới sự hướng dẫn của Khách hàng, CTXD gắn liền với đất là Nhà cấp 4 xây hết đất, xây dựng năm 2012, công trình ngoại quan đã cũ.</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after="0" w:before="0" w:line="240" w:lineRule="auto"/>
              <w:ind/>
              <w:jc w:val="both"/>
              <w:rPr/>
            </w:pPr>
            <w:r>
              <w:rPr>
                <w:rFonts w:ascii="Times New Roman" w:hAnsi="Times New Roman" w:eastAsia="Times New Roman" w:cs="Times New Roman"/>
                <w:color w:val="000000"/>
                <w:sz w:val="24"/>
              </w:rPr>
              <w:t xml:space="preserve">+ Công trình chưa được chứng nhận trên GCN.</w:t>
            </w:r>
            <w:r/>
          </w:p>
        </w:tc>
      </w:tr>
    </w:tbl>
    <w:p>
      <w:pPr>
        <w:pBdr/>
        <w:spacing w:line="235" w:lineRule="auto"/>
        <w:ind w:left="0"/>
        <w:jc w:val="both"/>
        <w:rPr>
          <w:u w:val="single"/>
        </w:rPr>
      </w:pPr>
      <w:r>
        <w:rPr>
          <w:u w:val="single"/>
        </w:rPr>
      </w:r>
      <w:r>
        <w:rPr>
          <w:u w:val="single"/>
        </w:rPr>
      </w:r>
      <w:r>
        <w:rPr>
          <w:u w:val="single"/>
        </w:rPr>
      </w:r>
    </w:p>
    <w:p>
      <w:pPr>
        <w:pBdr/>
        <w:spacing w:line="288" w:lineRule="auto"/>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tbl>
      <w:tblPr>
        <w:tblStyle w:val="1033"/>
        <w:jc w:val="center"/>
        <w:tblW w:w="0" w:type="auto"/>
        <w:tblBorders/>
        <w:tblLayout w:type="fixed"/>
        <w:tblLook w:val="04A0" w:firstRow="1" w:lastRow="0" w:firstColumn="1" w:lastColumn="0" w:noHBand="0" w:noVBand="1"/>
      </w:tblPr>
      <w:tblGrid>
        <w:gridCol w:w="732"/>
        <w:gridCol w:w="1843"/>
        <w:gridCol w:w="2126"/>
        <w:gridCol w:w="2126"/>
        <w:gridCol w:w="1344"/>
        <w:gridCol w:w="1344"/>
      </w:tblGrid>
      <w:tr>
        <w:trPr>
          <w:jc w:val="center"/>
        </w:trPr>
        <w:tc>
          <w:tcPr>
            <w:tcBorders/>
            <w:tcW w:w="732" w:type="dxa"/>
            <w:vAlign w:val="center"/>
            <w:textDirection w:val="lrTb"/>
            <w:noWrap w:val="false"/>
          </w:tcPr>
          <w:p>
            <w:pPr>
              <w:pBdr/>
              <w:spacing/>
              <w:ind/>
              <w:jc w:val="center"/>
              <w:rPr>
                <w:b/>
                <w:bCs/>
              </w:rPr>
            </w:pPr>
            <w:r>
              <w:rPr>
                <w:b/>
                <w:bCs/>
              </w:rPr>
              <w:t xml:space="preserve">STT</w:t>
            </w:r>
            <w:r>
              <w:rPr>
                <w:b/>
                <w:bCs/>
              </w:rPr>
            </w:r>
            <w:r>
              <w:rPr>
                <w:b/>
                <w:bCs/>
              </w:rPr>
            </w:r>
          </w:p>
        </w:tc>
        <w:tc>
          <w:tcPr>
            <w:tcBorders/>
            <w:tcW w:w="184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2126"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2126"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44"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1344"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732" w:type="dxa"/>
            <w:vAlign w:val="center"/>
            <w:textDirection w:val="lrTb"/>
            <w:noWrap w:val="false"/>
          </w:tcPr>
          <w:p>
            <w:pPr>
              <w:pBdr/>
              <w:spacing/>
              <w:ind/>
              <w:jc w:val="center"/>
              <w:rPr/>
            </w:pPr>
            <w:r>
              <w:t xml:space="preserve">1</w:t>
            </w:r>
            <w:r/>
          </w:p>
        </w:tc>
        <w:tc>
          <w:tcPr>
            <w:tcBorders/>
            <w:tcW w:w="1843" w:type="dxa"/>
            <w:vAlign w:val="center"/>
            <w:textDirection w:val="lrTb"/>
            <w:noWrap w:val="false"/>
          </w:tcPr>
          <w:p>
            <w:pPr>
              <w:pBdr/>
              <w:spacing/>
              <w:ind/>
              <w:jc w:val="center"/>
              <w:rPr/>
            </w:pPr>
            <w:r>
              <w:t xml:space="preserve">Địa chỉ</w:t>
            </w:r>
            <w:r/>
          </w:p>
        </w:tc>
        <w:tc>
          <w:tcPr>
            <w:tcBorders/>
            <w:tcW w:w="2126" w:type="dxa"/>
            <w:vAlign w:val="center"/>
            <w:textDirection w:val="lrTb"/>
            <w:noWrap w:val="false"/>
          </w:tcPr>
          <w:p>
            <w:pPr>
              <w:pBdr/>
              <w:spacing/>
              <w:ind/>
              <w:jc w:val="center"/>
              <w:rPr/>
            </w:pPr>
            <w:r>
              <w:t xml:space="preserve">Phường Lĩnh Nam, quận Hoàng Mai, Hà Nội</w:t>
            </w:r>
            <w:r/>
          </w:p>
        </w:tc>
        <w:tc>
          <w:tcPr>
            <w:tcBorders/>
            <w:tcW w:w="2126" w:type="dxa"/>
            <w:vAlign w:val="center"/>
            <w:textDirection w:val="lrTb"/>
            <w:noWrap w:val="false"/>
          </w:tcPr>
          <w:p>
            <w:pPr>
              <w:pBdr/>
              <w:spacing/>
              <w:ind/>
              <w:jc w:val="center"/>
              <w:rPr/>
            </w:pPr>
            <w:r>
              <w:t xml:space="preserve">Phường Lĩnh Nam, Thành phố Hà Nội</w:t>
            </w:r>
            <w:r>
              <w:t xml:space="preserve"> ✔</w:t>
            </w:r>
            <w:r/>
          </w:p>
        </w:tc>
        <w:tc>
          <w:tcPr>
            <w:tcBorders/>
            <w:tcW w:w="1344" w:type="dxa"/>
            <w:vAlign w:val="center"/>
            <w:textDirection w:val="lrTb"/>
            <w:noWrap w:val="false"/>
          </w:tcPr>
          <w:p>
            <w:pPr>
              <w:pBdr/>
              <w:spacing/>
              <w:ind/>
              <w:jc w:val="center"/>
              <w:rPr/>
            </w:pPr>
            <w:r>
              <w:t xml:space="preserve">Có</w:t>
            </w:r>
            <w:r/>
          </w:p>
        </w:tc>
        <w:tc>
          <w:tcPr>
            <w:tcBorders/>
            <w:tcW w:w="1344" w:type="dxa"/>
            <w:vAlign w:val="center"/>
            <w:textDirection w:val="lrTb"/>
            <w:noWrap w:val="false"/>
          </w:tcPr>
          <w:p>
            <w:pPr>
              <w:pBdr/>
              <w:spacing/>
              <w:ind/>
              <w:jc w:val="center"/>
              <w:rPr/>
            </w:pPr>
            <w:r>
              <w:t xml:space="preserve">Sát nhập đơn vị hành chính</w:t>
            </w:r>
            <w:r/>
          </w:p>
        </w:tc>
      </w:tr>
      <w:tr>
        <w:trPr>
          <w:jc w:val="center"/>
        </w:trPr>
        <w:tc>
          <w:tcPr>
            <w:tcBorders/>
            <w:tcW w:w="732" w:type="dxa"/>
            <w:vAlign w:val="center"/>
            <w:textDirection w:val="lrTb"/>
            <w:noWrap w:val="false"/>
          </w:tcPr>
          <w:p>
            <w:pPr>
              <w:pBdr/>
              <w:spacing/>
              <w:ind/>
              <w:jc w:val="center"/>
              <w:rPr/>
            </w:pPr>
            <w:r>
              <w:t xml:space="preserve">2</w:t>
            </w:r>
            <w:r/>
          </w:p>
        </w:tc>
        <w:tc>
          <w:tcPr>
            <w:tcBorders/>
            <w:tcW w:w="1843" w:type="dxa"/>
            <w:vAlign w:val="center"/>
            <w:textDirection w:val="lrTb"/>
            <w:noWrap w:val="false"/>
          </w:tcPr>
          <w:p>
            <w:pPr>
              <w:pBdr/>
              <w:spacing/>
              <w:ind/>
              <w:jc w:val="center"/>
              <w:rPr/>
            </w:pPr>
            <w:r>
              <w:t xml:space="preserve">Pháp lý</w:t>
            </w:r>
            <w:r/>
          </w:p>
        </w:tc>
        <w:tc>
          <w:tcPr>
            <w:tcBorders/>
            <w:tcW w:w="2126"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2126"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3</w:t>
            </w:r>
            <w:r/>
          </w:p>
        </w:tc>
        <w:tc>
          <w:tcPr>
            <w:tcBorders/>
            <w:tcW w:w="1843" w:type="dxa"/>
            <w:vAlign w:val="center"/>
            <w:textDirection w:val="lrTb"/>
            <w:noWrap w:val="false"/>
          </w:tcPr>
          <w:p>
            <w:pPr>
              <w:pBdr/>
              <w:spacing/>
              <w:ind/>
              <w:jc w:val="center"/>
              <w:rPr/>
            </w:pPr>
            <w:r>
              <w:t xml:space="preserve">Loại đất</w:t>
            </w:r>
            <w:r/>
          </w:p>
        </w:tc>
        <w:tc>
          <w:tcPr>
            <w:tcBorders/>
            <w:tcW w:w="2126" w:type="dxa"/>
            <w:vAlign w:val="center"/>
            <w:textDirection w:val="lrTb"/>
            <w:noWrap w:val="false"/>
          </w:tcPr>
          <w:p>
            <w:pPr>
              <w:pBdr/>
              <w:spacing/>
              <w:ind/>
              <w:jc w:val="center"/>
              <w:rPr/>
            </w:pPr>
            <w:r>
              <w:t xml:space="preserve">Đất ở tại đô thị</w:t>
            </w:r>
            <w:r/>
          </w:p>
        </w:tc>
        <w:tc>
          <w:tcPr>
            <w:tcBorders/>
            <w:tcW w:w="2126" w:type="dxa"/>
            <w:vAlign w:val="center"/>
            <w:textDirection w:val="lrTb"/>
            <w:noWrap w:val="false"/>
          </w:tcPr>
          <w:p>
            <w:pPr>
              <w:pBdr/>
              <w:spacing/>
              <w:ind/>
              <w:jc w:val="center"/>
              <w:rPr/>
            </w:pPr>
            <w:r>
              <w:t xml:space="preserve">Đất ở tại đô thị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4</w:t>
            </w:r>
            <w:r/>
          </w:p>
        </w:tc>
        <w:tc>
          <w:tcPr>
            <w:tcBorders/>
            <w:tcW w:w="1843" w:type="dxa"/>
            <w:vAlign w:val="center"/>
            <w:textDirection w:val="lrTb"/>
            <w:noWrap w:val="false"/>
          </w:tcPr>
          <w:p>
            <w:pPr>
              <w:pBdr/>
              <w:spacing/>
              <w:ind/>
              <w:jc w:val="center"/>
              <w:rPr/>
            </w:pPr>
            <w:r>
              <w:t xml:space="preserve">Thời hạn sử dụng</w:t>
            </w:r>
            <w:r/>
          </w:p>
        </w:tc>
        <w:tc>
          <w:tcPr>
            <w:tcBorders/>
            <w:tcW w:w="2126" w:type="dxa"/>
            <w:vAlign w:val="center"/>
            <w:textDirection w:val="lrTb"/>
            <w:noWrap w:val="false"/>
          </w:tcPr>
          <w:p>
            <w:pPr>
              <w:pBdr/>
              <w:spacing/>
              <w:ind/>
              <w:jc w:val="center"/>
              <w:rPr/>
            </w:pPr>
            <w:r>
              <w:t xml:space="preserve">Lâu dài</w:t>
            </w:r>
            <w:r/>
          </w:p>
        </w:tc>
        <w:tc>
          <w:tcPr>
            <w:tcBorders/>
            <w:tcW w:w="2126" w:type="dxa"/>
            <w:vAlign w:val="center"/>
            <w:textDirection w:val="lrTb"/>
            <w:noWrap w:val="false"/>
          </w:tcPr>
          <w:p>
            <w:pPr>
              <w:pBdr/>
              <w:spacing/>
              <w:ind/>
              <w:jc w:val="center"/>
              <w:rPr/>
            </w:pPr>
            <w:r>
              <w:t xml:space="preserve">Lâu dài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5</w:t>
            </w:r>
            <w:r/>
          </w:p>
        </w:tc>
        <w:tc>
          <w:tcPr>
            <w:tcBorders/>
            <w:tcW w:w="1843" w:type="dxa"/>
            <w:vAlign w:val="center"/>
            <w:textDirection w:val="lrTb"/>
            <w:noWrap w:val="false"/>
          </w:tcPr>
          <w:p>
            <w:pPr>
              <w:pBdr/>
              <w:spacing/>
              <w:ind/>
              <w:jc w:val="center"/>
              <w:rPr/>
            </w:pPr>
            <w:r>
              <w:t xml:space="preserve">Diện tích</w:t>
            </w:r>
            <w:r/>
          </w:p>
        </w:tc>
        <w:tc>
          <w:tcPr>
            <w:tcBorders/>
            <w:tcW w:w="2126" w:type="dxa"/>
            <w:vAlign w:val="center"/>
            <w:textDirection w:val="lrTb"/>
            <w:noWrap w:val="false"/>
          </w:tcPr>
          <w:p>
            <w:pPr>
              <w:pBdr/>
              <w:spacing/>
              <w:ind/>
              <w:jc w:val="center"/>
              <w:rPr/>
            </w:pPr>
            <w:r>
              <w:t xml:space="preserve">32,6</w:t>
            </w:r>
            <w:r/>
          </w:p>
        </w:tc>
        <w:tc>
          <w:tcPr>
            <w:tcBorders/>
            <w:tcW w:w="2126" w:type="dxa"/>
            <w:vAlign w:val="center"/>
            <w:textDirection w:val="lrTb"/>
            <w:noWrap w:val="false"/>
          </w:tcPr>
          <w:p>
            <w:pPr>
              <w:pBdr/>
              <w:spacing/>
              <w:ind/>
              <w:jc w:val="center"/>
              <w:rPr/>
            </w:pPr>
            <w:r>
              <w:t xml:space="preserve">32,6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6</w:t>
            </w:r>
            <w:r/>
          </w:p>
        </w:tc>
        <w:tc>
          <w:tcPr>
            <w:tcBorders/>
            <w:tcW w:w="1843" w:type="dxa"/>
            <w:vAlign w:val="center"/>
            <w:textDirection w:val="lrTb"/>
            <w:noWrap w:val="false"/>
          </w:tcPr>
          <w:p>
            <w:pPr>
              <w:pBdr/>
              <w:spacing/>
              <w:ind/>
              <w:jc w:val="center"/>
              <w:rPr/>
            </w:pPr>
            <w:r>
              <w:t xml:space="preserve">Mặt tiền</w:t>
            </w:r>
            <w:r/>
          </w:p>
        </w:tc>
        <w:tc>
          <w:tcPr>
            <w:tcBorders/>
            <w:tcW w:w="2126" w:type="dxa"/>
            <w:vAlign w:val="center"/>
            <w:textDirection w:val="lrTb"/>
            <w:noWrap w:val="false"/>
          </w:tcPr>
          <w:p>
            <w:pPr>
              <w:pBdr/>
              <w:spacing/>
              <w:ind/>
              <w:jc w:val="center"/>
              <w:rPr/>
            </w:pPr>
            <w:r>
              <w:t xml:space="preserve">3,4</w:t>
            </w:r>
            <w:r/>
          </w:p>
        </w:tc>
        <w:tc>
          <w:tcPr>
            <w:tcBorders/>
            <w:tcW w:w="2126" w:type="dxa"/>
            <w:vAlign w:val="center"/>
            <w:textDirection w:val="lrTb"/>
            <w:noWrap w:val="false"/>
          </w:tcPr>
          <w:p>
            <w:pPr>
              <w:pBdr/>
              <w:spacing/>
              <w:ind/>
              <w:jc w:val="center"/>
              <w:rPr/>
            </w:pPr>
            <w:r>
              <w:t xml:space="preserve">3,4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7</w:t>
            </w:r>
            <w:r/>
          </w:p>
        </w:tc>
        <w:tc>
          <w:tcPr>
            <w:tcBorders/>
            <w:tcW w:w="1843" w:type="dxa"/>
            <w:vAlign w:val="center"/>
            <w:textDirection w:val="lrTb"/>
            <w:noWrap w:val="false"/>
          </w:tcPr>
          <w:p>
            <w:pPr>
              <w:pBdr/>
              <w:spacing/>
              <w:ind/>
              <w:jc w:val="center"/>
              <w:rPr/>
            </w:pPr>
            <w:r>
              <w:t xml:space="preserve">Chiều sâu</w:t>
            </w:r>
            <w:r/>
          </w:p>
        </w:tc>
        <w:tc>
          <w:tcPr>
            <w:tcBorders/>
            <w:tcW w:w="2126" w:type="dxa"/>
            <w:vAlign w:val="center"/>
            <w:textDirection w:val="lrTb"/>
            <w:noWrap w:val="false"/>
          </w:tcPr>
          <w:p>
            <w:pPr>
              <w:pBdr/>
              <w:spacing/>
              <w:ind/>
              <w:jc w:val="center"/>
              <w:rPr/>
            </w:pPr>
            <w:r>
              <w:t xml:space="preserve">8,8</w:t>
            </w:r>
            <w:r/>
          </w:p>
        </w:tc>
        <w:tc>
          <w:tcPr>
            <w:tcBorders/>
            <w:tcW w:w="2126" w:type="dxa"/>
            <w:vAlign w:val="center"/>
            <w:textDirection w:val="lrTb"/>
            <w:noWrap w:val="false"/>
          </w:tcPr>
          <w:p>
            <w:pPr>
              <w:pBdr/>
              <w:spacing/>
              <w:ind/>
              <w:jc w:val="center"/>
              <w:rPr/>
            </w:pPr>
            <w:r>
              <w:t xml:space="preserve">8,8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8</w:t>
            </w:r>
            <w:r/>
          </w:p>
        </w:tc>
        <w:tc>
          <w:tcPr>
            <w:tcBorders/>
            <w:tcW w:w="1843" w:type="dxa"/>
            <w:vAlign w:val="center"/>
            <w:textDirection w:val="lrTb"/>
            <w:noWrap w:val="false"/>
          </w:tcPr>
          <w:p>
            <w:pPr>
              <w:pBdr/>
              <w:spacing/>
              <w:ind/>
              <w:jc w:val="center"/>
              <w:rPr/>
            </w:pPr>
            <w:r>
              <w:t xml:space="preserve">Mặt tiếp giáp</w:t>
            </w:r>
            <w:r/>
          </w:p>
        </w:tc>
        <w:tc>
          <w:tcPr>
            <w:tcBorders/>
            <w:tcW w:w="2126" w:type="dxa"/>
            <w:vAlign w:val="center"/>
            <w:textDirection w:val="lrTb"/>
            <w:noWrap w:val="false"/>
          </w:tcPr>
          <w:p>
            <w:pPr>
              <w:pBdr/>
              <w:spacing/>
              <w:ind/>
              <w:jc w:val="center"/>
              <w:rPr/>
            </w:pPr>
            <w:r>
              <w:t xml:space="preserve">01 mặt tiền</w:t>
            </w:r>
            <w:r/>
          </w:p>
        </w:tc>
        <w:tc>
          <w:tcPr>
            <w:tcBorders/>
            <w:tcW w:w="2126" w:type="dxa"/>
            <w:vAlign w:val="center"/>
            <w:textDirection w:val="lrTb"/>
            <w:noWrap w:val="false"/>
          </w:tcPr>
          <w:p>
            <w:pPr>
              <w:pBdr/>
              <w:spacing/>
              <w:ind/>
              <w:jc w:val="center"/>
              <w:rPr/>
            </w:pPr>
            <w:r>
              <w:t xml:space="preserve">01 mặt tiền</w:t>
            </w:r>
            <w:r>
              <w:t xml:space="preserve">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9</w:t>
            </w:r>
            <w:r/>
          </w:p>
        </w:tc>
        <w:tc>
          <w:tcPr>
            <w:tcBorders/>
            <w:tcW w:w="1843" w:type="dxa"/>
            <w:vAlign w:val="center"/>
            <w:textDirection w:val="lrTb"/>
            <w:noWrap w:val="false"/>
          </w:tcPr>
          <w:p>
            <w:pPr>
              <w:pBdr/>
              <w:spacing/>
              <w:ind/>
              <w:jc w:val="center"/>
              <w:rPr/>
            </w:pPr>
            <w:r>
              <w:t xml:space="preserve">Hình dạng thửa đất</w:t>
            </w:r>
            <w:r/>
          </w:p>
        </w:tc>
        <w:tc>
          <w:tcPr>
            <w:tcBorders/>
            <w:tcW w:w="2126" w:type="dxa"/>
            <w:vAlign w:val="center"/>
            <w:textDirection w:val="lrTb"/>
            <w:noWrap w:val="false"/>
          </w:tcPr>
          <w:p>
            <w:pPr>
              <w:pBdr/>
              <w:spacing/>
              <w:ind/>
              <w:jc w:val="center"/>
              <w:rPr/>
            </w:pPr>
            <w:r>
              <w:t xml:space="preserve">Tương đối vuông vức</w:t>
            </w:r>
            <w:r/>
          </w:p>
        </w:tc>
        <w:tc>
          <w:tcPr>
            <w:tcBorders/>
            <w:tcW w:w="2126" w:type="dxa"/>
            <w:vAlign w:val="center"/>
            <w:textDirection w:val="lrTb"/>
            <w:noWrap w:val="false"/>
          </w:tcPr>
          <w:p>
            <w:pPr>
              <w:pBdr/>
              <w:spacing/>
              <w:ind/>
              <w:jc w:val="center"/>
              <w:rPr/>
            </w:pPr>
            <w:r>
              <w:t xml:space="preserve">Tương đối vuông vức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10</w:t>
            </w:r>
            <w:r/>
          </w:p>
        </w:tc>
        <w:tc>
          <w:tcPr>
            <w:tcBorders/>
            <w:tcW w:w="1843" w:type="dxa"/>
            <w:vAlign w:val="center"/>
            <w:textDirection w:val="lrTb"/>
            <w:noWrap w:val="false"/>
          </w:tcPr>
          <w:p>
            <w:pPr>
              <w:pBdr/>
              <w:spacing/>
              <w:ind/>
              <w:jc w:val="center"/>
              <w:rPr/>
            </w:pPr>
            <w:r>
              <w:t xml:space="preserve">Hướng</w:t>
            </w:r>
            <w:r/>
          </w:p>
        </w:tc>
        <w:tc>
          <w:tcPr>
            <w:tcBorders/>
            <w:tcW w:w="2126" w:type="dxa"/>
            <w:vAlign w:val="center"/>
            <w:textDirection w:val="lrTb"/>
            <w:noWrap w:val="false"/>
          </w:tcPr>
          <w:p>
            <w:pPr>
              <w:pBdr/>
              <w:spacing/>
              <w:ind/>
              <w:jc w:val="center"/>
              <w:rPr/>
            </w:pPr>
            <w:r>
              <w:t xml:space="preserve">Tây Bắc</w:t>
            </w:r>
            <w:r/>
          </w:p>
        </w:tc>
        <w:tc>
          <w:tcPr>
            <w:tcBorders/>
            <w:tcW w:w="2126" w:type="dxa"/>
            <w:vAlign w:val="center"/>
            <w:textDirection w:val="lrTb"/>
            <w:noWrap w:val="false"/>
          </w:tcPr>
          <w:p>
            <w:pPr>
              <w:pBdr/>
              <w:spacing/>
              <w:ind/>
              <w:jc w:val="center"/>
              <w:rPr/>
            </w:pPr>
            <w:r>
              <w:t xml:space="preserve">Tây Bắc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bl>
    <w:p>
      <w:pPr>
        <w:pStyle w:val="102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9"/>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9"/>
        <w:numPr>
          <w:ilvl w:val="0"/>
          <w:numId w:val="3"/>
        </w:numPr>
        <w:pBdr/>
        <w:tabs>
          <w:tab w:val="left" w:leader="none" w:pos="993"/>
        </w:tabs>
        <w:spacing w:after="120" w:before="120" w:line="264" w:lineRule="auto"/>
        <w:ind/>
        <w:jc w:val="both"/>
        <w:rPr>
          <w:spacing w:val="-2"/>
          <w:lang w:val="pt-BR"/>
        </w:rPr>
      </w:pPr>
      <w:r>
        <w:rPr>
          <w:spacing w:val="-2"/>
          <w:highlight w:val="none"/>
          <w:lang w:val="pt-BR" w:bidi="pt-BR"/>
        </w:rPr>
      </w:r>
      <w:r>
        <w:rPr>
          <w:rFonts w:ascii="Times New Roman" w:hAnsi="Times New Roman" w:eastAsia="Times New Roman" w:cs="Times New Roman"/>
          <w:color w:val="000000"/>
          <w:sz w:val="24"/>
        </w:rPr>
        <w:t xml:space="preserve">Tại thời điểm khảo sát dưới sự hướng dẫn của Khách hàng, CTXD gắn liền với đất là Nhà cấp 4 xây hết đất, xây dựng năm 2012, công trình ngoại quan đã cũ</w:t>
      </w:r>
      <w:r>
        <w:rPr>
          <w:spacing w:val="-2"/>
          <w:highlight w:val="none"/>
          <w:lang w:val="pt-BR" w:bidi="pt-BR"/>
        </w:rPr>
        <w:t xml:space="preserve">. Công trình chưa được chứng nhận trên GCN. Đồng thời, Tổ thẩm định không nhận đ</w:t>
      </w:r>
      <w:r>
        <w:rPr>
          <w:spacing w:val="-2"/>
          <w:highlight w:val="none"/>
          <w:lang w:val="pt-BR" w:bidi="pt-BR"/>
        </w:rPr>
        <w:t xml:space="preserve">ư</w:t>
      </w:r>
      <w:r>
        <w:rPr>
          <w:spacing w:val="-2"/>
          <w:highlight w:val="none"/>
          <w:lang w:val="pt-BR" w:bidi="pt-BR"/>
        </w:rPr>
        <w:t xml:space="preserve">ợc bất kỳ hồ sơ pháp lý nào liên quan đến CTXD nêu trên. Do vậy, theo đề nghị của Ngân hàng/Khách hàng, Tổ thẩm định không xác định giá trị của công trình xây dựng vào tổng giá trị, nhưng vẫn coi đó là phần không thể tách rời của tài sản thẩm định. Kính đề</w:t>
      </w:r>
      <w:r>
        <w:rPr>
          <w:spacing w:val="-2"/>
          <w:highlight w:val="none"/>
          <w:lang w:val="pt-BR" w:bidi="pt-BR"/>
        </w:rPr>
        <w:t xml:space="preserve"> nghị đơn vị sử dụng kết quả lưu ý</w:t>
      </w:r>
      <w:r>
        <w:rPr>
          <w:spacing w:val="-2"/>
          <w:highlight w:val="none"/>
          <w:lang w:val="pt-BR" w:bidi="pt-BR"/>
        </w:rPr>
        <w:t xml:space="preserve">.</w:t>
      </w:r>
      <w:r>
        <w:rPr>
          <w:spacing w:val="-2"/>
          <w:lang w:val="pt-BR"/>
        </w:rPr>
      </w:r>
      <w:r>
        <w:rPr>
          <w:spacing w:val="-2"/>
          <w:lang w:val="pt-BR"/>
        </w:rPr>
      </w:r>
    </w:p>
    <w:p>
      <w:pPr>
        <w:pStyle w:val="1029"/>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9"/>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9"/>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9"/>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9"/>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9"/>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9"/>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9"/>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3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1843"/>
        <w:gridCol w:w="1736"/>
        <w:gridCol w:w="1736"/>
        <w:gridCol w:w="1736"/>
        <w:gridCol w:w="1736"/>
      </w:tblGrid>
      <w:tr>
        <w:trPr>
          <w:trHeight w:val="30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6" w:space="0"/>
              <w:bottom w:val="single" w:color="000000" w:sz="6" w:space="0"/>
              <w:right w:val="single" w:color="000000" w:sz="6"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ĐẶC ĐIỂM BĐS</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6" w:space="0"/>
              <w:right w:val="single" w:color="000000" w:sz="6" w:space="0"/>
            </w:tcBorders>
            <w:tcMar>
              <w:left w:w="0" w:type="dxa"/>
              <w:top w:w="0" w:type="dxa"/>
              <w:right w:w="0" w:type="dxa"/>
              <w:bottom w:w="0" w:type="dxa"/>
            </w:tcMar>
            <w:tcW w:w="1843"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bottom w:val="single" w:color="000000" w:sz="6" w:space="0"/>
              <w:right w:val="single" w:color="000000" w:sz="6"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Địa chỉ</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 Lĩnh Nam, Thành phố Hà Nội</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 Lĩnh Nam, Thành phố Hà Nội</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 Lĩnh Nam, Thành phố Hà Nội</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 Lĩnh Nam, Thành phố Hà Nội</w:t>
            </w:r>
            <w:r/>
          </w:p>
        </w:tc>
      </w:tr>
      <w:tr>
        <w:trPr>
          <w:trHeight w:val="2760"/>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hyperlink r:id="rId20" w:tooltip="https://batdongsan.com.vn/ban-dat-duong-thuy-linh-phuong-linh-nam-8/em-chinh-chu-can-ban-manh-at-tho-cu-32m-3-65-ty-so-o-vuong-et-tai-pho-hoang-mai-pr45425917" w:history="1">
              <w:r>
                <w:rPr>
                  <w:rStyle w:val="1019"/>
                  <w:rFonts w:ascii="Times New Roman" w:hAnsi="Times New Roman" w:eastAsia="Times New Roman" w:cs="Times New Roman"/>
                  <w:color w:val="000000"/>
                  <w:sz w:val="22"/>
                  <w:u w:val="none"/>
                </w:rPr>
                <w:t xml:space="preserve">https://batdongsan.com.vn/ban-dat-duong-thuy-linh-phuong-linh-nam-8/em-chinh-chu-can-ban-manh-at-tho-cu-32m-3-65-ty-so-o-vuong-et-tai-pho-hoang-mai-pr45425917</w:t>
              </w:r>
            </w:hyperlink>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hyperlink r:id="rId21" w:tooltip="https://alonhadat.com.vn/ban-nha-thuy-linh-linh-nam-33-36m-4-tang-4-78-ty-ngo-rong-o-to-qua-17088376.html" w:history="1">
              <w:r>
                <w:rPr>
                  <w:rStyle w:val="1019"/>
                  <w:rFonts w:ascii="Times New Roman" w:hAnsi="Times New Roman" w:eastAsia="Times New Roman" w:cs="Times New Roman"/>
                  <w:color w:val="000000"/>
                  <w:sz w:val="22"/>
                  <w:u w:val="none"/>
                </w:rPr>
                <w:t xml:space="preserve">https://alonhadat.com.vn/ban-nha-thuy-linh-linh-nam-33-36m-4-tang-4-78-ty-ngo-rong-o-to-qua-17088376.html</w:t>
              </w:r>
            </w:hyperlink>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r>
      <w:tr>
        <w:trPr>
          <w:trHeight w:val="828"/>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Thông tin liên lạc</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0799.818.686</w:t>
              <w:br/>
              <w:t xml:space="preserve">(Sale Phạm Quang Sáng)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0936.082.293</w:t>
              <w:br/>
              <w:t xml:space="preserve">(Sale Vũ Anh Tuấn)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0779166866 </w:t>
              <w:br/>
              <w:t xml:space="preserve">(Sale Hồ Lý)</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4/2026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4/2026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4/2026 </w:t>
            </w:r>
            <w:r/>
          </w:p>
        </w:tc>
      </w:tr>
      <w:tr>
        <w:trPr>
          <w:trHeight w:val="828"/>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828"/>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r>
      <w:tr>
        <w:trPr>
          <w:trHeight w:val="2208"/>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ngõ 107 Thuý Lĩnh, phường Lĩnh Nam, Thành phố Hà Nội; cách đường ô tô khoảng 30m</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ngõ Thuý Lĩnh, phường Lĩnh Nam, Thành phố Hà Nội; cách mặt phố Lĩnh Nam khoảng 400m, cách đường ô tô khoảng 70m</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ngõ Thuý Lĩnh, phường Lĩnh Nam, Thành phố Hà Nội; cách đường ô tô khoảng 30m</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ngõ Thuý Lĩnh, phường Lĩnh Nam, Thành phố Hà Nội; cách đường ô tô khoảng 30m</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76" w:lineRule="auto"/>
              <w:ind/>
              <w:jc w:val="center"/>
              <w:rPr>
                <w:b w:val="0"/>
                <w:bCs w:val="0"/>
              </w:rPr>
            </w:pPr>
            <w:r>
              <w:rPr>
                <w:rFonts w:ascii="Times New Roman" w:hAnsi="Times New Roman" w:eastAsia="Times New Roman" w:cs="Times New Roman"/>
                <w:b w:val="0"/>
                <w:bCs w:val="0"/>
                <w:color w:val="000000"/>
                <w:sz w:val="22"/>
              </w:rPr>
              <w:t xml:space="preserve">Đường trước đất khoảng 1,5m, đoạn bé nhất vào tài sản khoảng 1m</w:t>
            </w:r>
            <w:r>
              <w:rPr>
                <w:b w:val="0"/>
                <w:bCs w:val="0"/>
              </w:rPr>
            </w:r>
            <w:r>
              <w:rPr>
                <w:b w:val="0"/>
                <w:bCs w:val="0"/>
              </w:rP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2m</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2m</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2m</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32,6</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32</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33</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3,40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3,2</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3,5</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3,1</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đối vuông vức</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đối vuông vức</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đối vuông vức</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đối vuông vức</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Yếu tố phong thủy</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r>
      <w:tr>
        <w:trPr>
          <w:trHeight w:val="828"/>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3,5 tầng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tầng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3,5</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sàn sử dụng (m²)</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115,5</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3.650.000.000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4.780.000.000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3.900.000.000</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21</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lượng/bán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3.285.000.000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4.302.000.000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3.315.000.000</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Chi tiết tính toán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828.298.548</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14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Đơn giá xây dựng theo Quyết định số 425/QĐ-BXD ngày 30/3/4/2026 của Bộ Xây Dựng (đồng/m²)</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7.968.240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 Tỷ lệ % CLCL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đất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3.285.000.000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3.473.701.452</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3.315.000.000</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QSDĐ (đồng/m²)</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102.656.250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105.263.680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110.500.000</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NHẬN XÉT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9"/>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3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10"/>
        <w:gridCol w:w="1686"/>
        <w:gridCol w:w="850"/>
        <w:gridCol w:w="1595"/>
        <w:gridCol w:w="1595"/>
        <w:gridCol w:w="1595"/>
        <w:gridCol w:w="1595"/>
      </w:tblGrid>
      <w:tr>
        <w:trPr>
          <w:trHeight w:val="630"/>
          <w:tblHeader/>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828"/>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3.285.000.000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3.473.701.452</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3.315.000.000</w:t>
            </w: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đất ước tính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102.656.250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105.263.680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110.500.000</w:t>
            </w:r>
            <w:r/>
          </w:p>
        </w:tc>
      </w:tr>
      <w:tr>
        <w:trPr>
          <w:trHeight w:val="52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Pháp lý</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102.656.250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105.263.680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110.500.000 </w:t>
            </w:r>
            <w:r/>
          </w:p>
        </w:tc>
      </w:tr>
      <w:tr>
        <w:trPr>
          <w:trHeight w:val="2208"/>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C2</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Vị trí</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ngõ 107 Thuý Lĩnh, phường Lĩnh Nam, Thành phố Hà Nội; cách đường ô tô khoảng 30m</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ngõ Thuý Lĩnh, phường Lĩnh Nam, Thành phố Hà Nội; cách mặt phố Lĩnh Nam khoảng 400m, cách đường ô tô khoảng 70m</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ngõ Thuý Lĩnh, phường Lĩnh Nam, Thành phố Hà Nội; cách đường ô tô khoảng 30m</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ngõ Thuý Lĩnh, phường Lĩnh Nam, Thành phố Hà Nội; cách đường ô tô khoảng 30m</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102.656.250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105.263.680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110.500.000 </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C3</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Giao thông</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Đường trước đất khoảng 1,5m, đoạn bé nhất vào tài sản khoảng 1m</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2m</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2m</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2m</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-20,00%</w:t>
            </w: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-20.531.250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-21.052.736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-22.100.000 </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82.125.000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84.210.944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88.400.000 </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C4</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Diện tích đất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m2</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32,6</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32</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33</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30</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82.125.000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84.210.944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88.400.000 </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C5</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Mặt tiền (m)</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m</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3,4</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3,2</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3,5</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3,1</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82.125.000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84.210.944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88.400.000 </w:t>
            </w: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C6</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82.125.000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84.210.944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88.400.000 </w:t>
            </w: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C7</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Hình dáng thửa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Tương đối vuông vức</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Tương đối vuông vức</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Tương đối vuông vức</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Tương đối vuông vức</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82.125.000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84.210.944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88.400.000 </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D</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Mức giá chỉ dẫn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82.125.000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84.210.944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88.400.000 </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D1</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trị trung bình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gridSpan w:val="2"/>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1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gridSpan w:val="2"/>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1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84.911.981 </w:t>
            </w:r>
            <w:r/>
          </w:p>
        </w:tc>
      </w:tr>
      <w:tr>
        <w:trPr>
          <w:trHeight w:val="300"/>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D2</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độ chênh lệch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-3,28%</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-0,83%</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4,11%</w:t>
            </w:r>
            <w:r/>
          </w:p>
        </w:tc>
      </w:tr>
      <w:tr>
        <w:trPr>
          <w:trHeight w:val="828"/>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E</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E1</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20.531.250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21.052.736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22.100.000 </w:t>
            </w: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E2</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số lần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Lần</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E3</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Biên độ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- 20%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- 20%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- 20%</w:t>
            </w: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E4</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20.531.250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21.052.736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22.100.000 </w:t>
            </w: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-3,28</w:t>
      </w:r>
      <w:r>
        <w:t xml:space="preserve">% đến</w:t>
      </w:r>
      <w:r>
        <w:t xml:space="preserve"> </w:t>
      </w:r>
      <w:r>
        <w:t xml:space="preserve">4,11</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Style w:val="103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931"/>
        <w:gridCol w:w="2214"/>
        <w:gridCol w:w="2223"/>
        <w:gridCol w:w="2218"/>
        <w:gridCol w:w="2224"/>
      </w:tblGrid>
      <w:tr>
        <w:trPr>
          <w:trHeight w:val="936"/>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3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9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shd w:val="clear" w:color="ffffff" w:fill="ffffff"/>
            <w:tcBorders>
              <w:bottom w:val="single" w:color="000000" w:sz="6" w:space="0"/>
              <w:right w:val="single" w:color="000000" w:sz="6"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82.125.000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27.375.000</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9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shd w:val="clear" w:color="ffffff" w:fill="ffffff"/>
            <w:tcBorders>
              <w:bottom w:val="single" w:color="000000" w:sz="6" w:space="0"/>
              <w:right w:val="single" w:color="000000" w:sz="6"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84.210.944</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28.070.315</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9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shd w:val="clear" w:color="ffffff" w:fill="ffffff"/>
            <w:tcBorders>
              <w:bottom w:val="single" w:color="000000" w:sz="6" w:space="0"/>
              <w:right w:val="single" w:color="000000" w:sz="6"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88.400.000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29.466.667</w:t>
            </w:r>
            <w:r/>
          </w:p>
        </w:tc>
      </w:tr>
      <w:tr>
        <w:trPr>
          <w:trHeight w:val="312"/>
        </w:trPr>
        <w:tc>
          <w:tcPr>
            <w:gridSpan w:val="4"/>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8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shd w:val="clear" w:color="ffffff" w:fill="ffffff"/>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84.911.981</w:t>
            </w:r>
            <w:r/>
          </w:p>
        </w:tc>
      </w:tr>
      <w:tr>
        <w:trPr>
          <w:trHeight w:val="312"/>
        </w:trPr>
        <w:tc>
          <w:tcPr>
            <w:gridSpan w:val="4"/>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8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shd w:val="clear" w:color="ffffff" w:fill="ffffff"/>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85.000.000</w:t>
            </w: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85.000.000</w:t>
      </w:r>
      <w:r>
        <w:rPr>
          <w:b/>
          <w:bCs/>
          <w:color w:val="000000" w:themeColor="text1"/>
        </w:rPr>
        <w:t xml:space="preserve"> </w:t>
      </w:r>
      <w:r>
        <w:rPr>
          <w:b/>
          <w:bCs/>
        </w:rPr>
        <w:t xml:space="preserve">đồng/m².</w:t>
      </w:r>
      <w:r>
        <w:rPr>
          <w:b/>
          <w:bCs/>
        </w:rPr>
      </w:r>
      <w:r>
        <w:rPr>
          <w:b/>
          <w:bCs/>
        </w:rPr>
      </w:r>
    </w:p>
    <w:p>
      <w:pPr>
        <w:pStyle w:val="1029"/>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9"/>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5/2026</w:t>
      </w:r>
      <w:r>
        <w:t xml:space="preserve"> </w:t>
      </w:r>
      <w:r>
        <w:t xml:space="preserve">ước tính </w:t>
      </w:r>
      <w:r>
        <w:t xml:space="preserve">như sau</w:t>
      </w:r>
      <w:r>
        <w:t xml:space="preserve">:</w:t>
      </w:r>
      <w:r/>
    </w:p>
    <w:tbl>
      <w:tblPr>
        <w:tblStyle w:val="103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2976"/>
        <w:gridCol w:w="1843"/>
        <w:gridCol w:w="1984"/>
        <w:gridCol w:w="1984"/>
      </w:tblGrid>
      <w:tr>
        <w:trPr>
          <w:trHeight w:val="729"/>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976"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Diện tích </w:t>
              <w:br/>
              <w:t xml:space="preserve">(m²)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Đơn giá </w:t>
              <w:br/>
              <w:t xml:space="preserve">(đồng/m²)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194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803" w:type="dxa"/>
            <w:vAlign w:val="center"/>
            <w:textDirection w:val="lrTb"/>
            <w:noWrap w:val="false"/>
          </w:tcPr>
          <w:p>
            <w:pPr>
              <w:pBdr/>
              <w:spacing w:after="0" w:before="0" w:line="288" w:lineRule="auto"/>
              <w:ind/>
              <w:jc w:val="both"/>
              <w:rPr/>
            </w:pPr>
            <w:r>
              <w:rPr>
                <w:rFonts w:ascii="Times New Roman" w:hAnsi="Times New Roman" w:eastAsia="Times New Roman" w:cs="Times New Roman"/>
                <w:b/>
                <w:color w:val="000000"/>
                <w:sz w:val="24"/>
              </w:rPr>
              <w:t xml:space="preserve">Quyền sử dụng đất tại thửa đất số: 27-4, tờ bản đồ số 41 có địa chỉ: Phường Lĩnh Nam, quận Hoàng Mai, Hà Nội </w:t>
            </w:r>
            <w:r>
              <w:rPr>
                <w:rFonts w:ascii="Times New Roman" w:hAnsi="Times New Roman" w:eastAsia="Times New Roman" w:cs="Times New Roman"/>
                <w:b/>
                <w:i/>
                <w:iCs/>
                <w:color w:val="000000"/>
                <w:sz w:val="24"/>
              </w:rPr>
              <w:t xml:space="preserve">(Nay là phường Lĩnh Nam, Thành phố Hà Nội)</w:t>
            </w:r>
            <w:r>
              <w:rPr>
                <w:rFonts w:ascii="Times New Roman" w:hAnsi="Times New Roman" w:eastAsia="Times New Roman" w:cs="Times New Roman"/>
                <w:b/>
                <w:color w:val="000000"/>
                <w:sz w:val="24"/>
              </w:rPr>
              <w:t xml:space="preserve"> theo Giấy chứng nhận quyền sử dụng đất quyền sở hữu nhà ở và tài sản khác gắn liền với đất số: BD 454581</w:t>
            </w:r>
            <w:r>
              <w:rPr>
                <w:rFonts w:ascii="Times New Roman" w:hAnsi="Times New Roman" w:eastAsia="Times New Roman" w:cs="Times New Roman"/>
                <w:b/>
                <w:color w:val="000000"/>
                <w:sz w:val="24"/>
              </w:rPr>
              <w:t xml:space="preserve">, số vào sổ cấp GCN: CH 00950/HĐ:95/576 do Uỷ ban nhân dân quận Hoàng Mai cấp ngày 08/10/2010; Chủ sử dụng đất là Ông Nguyễn Mạnh Hà.</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88" w:lineRule="auto"/>
              <w:ind/>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976" w:type="dxa"/>
            <w:vAlign w:val="center"/>
            <w:textDirection w:val="lrTb"/>
            <w:noWrap w:val="false"/>
          </w:tcPr>
          <w:p>
            <w:pPr>
              <w:pBdr/>
              <w:spacing w:after="0" w:before="0" w:line="288" w:lineRule="auto"/>
              <w:ind/>
              <w:rPr/>
            </w:pPr>
            <w:r>
              <w:rPr>
                <w:rFonts w:ascii="Times New Roman" w:hAnsi="Times New Roman" w:eastAsia="Times New Roman" w:cs="Times New Roman"/>
                <w:color w:val="000000"/>
                <w:sz w:val="24"/>
              </w:rPr>
              <w:t xml:space="preserve">Đất ở tại đô thị</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88" w:lineRule="auto"/>
              <w:ind/>
              <w:jc w:val="center"/>
              <w:rPr/>
            </w:pPr>
            <w:r>
              <w:rPr>
                <w:rFonts w:ascii="Times New Roman" w:hAnsi="Times New Roman" w:eastAsia="Times New Roman" w:cs="Times New Roman"/>
                <w:color w:val="000000"/>
                <w:sz w:val="24"/>
              </w:rPr>
              <w:t xml:space="preserve">32,6</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88" w:lineRule="auto"/>
              <w:ind/>
              <w:jc w:val="center"/>
              <w:rPr/>
            </w:pPr>
            <w:r>
              <w:rPr>
                <w:rFonts w:ascii="Times New Roman" w:hAnsi="Times New Roman" w:eastAsia="Times New Roman" w:cs="Times New Roman"/>
                <w:color w:val="000000"/>
                <w:sz w:val="24"/>
              </w:rPr>
              <w:t xml:space="preserve">85.000.000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88" w:lineRule="auto"/>
              <w:ind/>
              <w:jc w:val="center"/>
              <w:rPr/>
            </w:pPr>
            <w:r>
              <w:rPr>
                <w:rFonts w:ascii="Times New Roman" w:hAnsi="Times New Roman" w:eastAsia="Times New Roman" w:cs="Times New Roman"/>
                <w:color w:val="000000"/>
                <w:sz w:val="24"/>
              </w:rPr>
              <w:t xml:space="preserve">2.771.000.000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40" w:type="dxa"/>
            <w:vAlign w:val="center"/>
            <w:textDirection w:val="lrTb"/>
            <w:noWrap/>
          </w:tcPr>
          <w:p>
            <w:pPr>
              <w:pBdr/>
              <w:spacing w:after="0" w:before="0" w:line="288"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pPr>
              <w:pBdr/>
              <w:spacing w:after="0" w:before="0" w:line="288" w:lineRule="auto"/>
              <w:ind/>
              <w:jc w:val="center"/>
              <w:rPr/>
            </w:pPr>
            <w:r>
              <w:rPr>
                <w:rFonts w:ascii="Times New Roman" w:hAnsi="Times New Roman" w:eastAsia="Times New Roman" w:cs="Times New Roman"/>
                <w:b/>
                <w:color w:val="000000"/>
                <w:sz w:val="24"/>
              </w:rPr>
              <w:t xml:space="preserve">2.771.000.000</w:t>
            </w:r>
            <w:r/>
          </w:p>
        </w:tc>
      </w:tr>
      <w:tr>
        <w:trPr>
          <w:trHeight w:val="309"/>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524" w:type="dxa"/>
            <w:vAlign w:val="center"/>
            <w:textDirection w:val="lrTb"/>
            <w:noWrap w:val="false"/>
          </w:tcPr>
          <w:p>
            <w:pPr>
              <w:pBdr/>
              <w:spacing w:after="0" w:before="0" w:line="288" w:lineRule="auto"/>
              <w:ind/>
              <w:jc w:val="center"/>
              <w:rPr/>
            </w:pPr>
            <w:r>
              <w:rPr>
                <w:rFonts w:ascii="Times New Roman" w:hAnsi="Times New Roman" w:eastAsia="Times New Roman" w:cs="Times New Roman"/>
                <w:b/>
                <w:i/>
                <w:color w:val="000000"/>
                <w:sz w:val="24"/>
              </w:rPr>
              <w:t xml:space="preserve">(Bằng chữ: Hai tỷ, bảy trăm bảy mươi mốt triệu đồng chẵn./.)</w:t>
            </w:r>
            <w:r/>
          </w:p>
        </w:tc>
      </w:tr>
    </w:tbl>
    <w:p>
      <w:pPr>
        <w:pStyle w:val="1029"/>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9"/>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9"/>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9"/>
        <w:numPr>
          <w:ilvl w:val="0"/>
          <w:numId w:val="5"/>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color w:val="000000" w:themeColor="text1"/>
          <w14:ligatures w14:val="none"/>
        </w:rPr>
      </w:pPr>
      <w:r>
        <w:rPr>
          <w:rFonts w:ascii="Times New Roman" w:hAnsi="Times New Roman" w:eastAsia="Times New Roman" w:cs="Times New Roman"/>
          <w:color w:val="000000" w:themeColor="text1"/>
          <w:sz w:val="24"/>
        </w:rPr>
        <w:t xml:space="preserve">Kết quả thẩm định giá chỉ được sử dụng cho một </w:t>
      </w:r>
      <w:r>
        <w:rPr>
          <w:rFonts w:ascii="Times New Roman" w:hAnsi="Times New Roman" w:eastAsia="Times New Roman" w:cs="Times New Roman"/>
          <w:i/>
          <w:color w:val="000000" w:themeColor="text1"/>
          <w:sz w:val="24"/>
        </w:rPr>
        <w:t xml:space="preserve">“mục đích thẩm định giá”</w:t>
      </w:r>
      <w:r>
        <w:rPr>
          <w:rFonts w:ascii="Times New Roman" w:hAnsi="Times New Roman" w:eastAsia="Times New Roman" w:cs="Times New Roman"/>
          <w:color w:val="000000" w:themeColor="text1"/>
          <w:sz w:val="24"/>
        </w:rPr>
        <w:t xml:space="preserve"> duy nhất theo yêu cầu của Khách hàng đã được ghi tại phần đầu của Chứng thư. Khách hàng phải hoàn toàn chịu trách nhiệm khi sử dụng sai mục đích đã yêu cầu.</w:t>
      </w:r>
      <w:r>
        <w:rPr>
          <w:color w:val="000000" w:themeColor="text1"/>
          <w14:ligatures w14:val="none"/>
        </w:rPr>
      </w:r>
      <w:r>
        <w:rPr>
          <w:color w:val="000000" w:themeColor="text1"/>
          <w14:ligatures w14:val="none"/>
        </w:rPr>
      </w:r>
    </w:p>
    <w:p>
      <w:pPr>
        <w:pStyle w:val="1029"/>
        <w:numPr>
          <w:ilvl w:val="0"/>
          <w:numId w:val="5"/>
        </w:numPr>
        <w:pBdr/>
        <w:tabs>
          <w:tab w:val="left" w:leader="none" w:pos="993"/>
        </w:tabs>
        <w:spacing w:after="120" w:before="120" w:line="288" w:lineRule="auto"/>
        <w:ind/>
        <w:jc w:val="both"/>
        <w:rPr>
          <w:lang w:val="pt-BR"/>
        </w:rPr>
      </w:pPr>
      <w:r>
        <w:rPr>
          <w:color w:val="000000" w:themeColor="text1"/>
          <w:lang w:val="pt-BR"/>
        </w:rPr>
        <w:t xml:space="preserve">Thẩm định giá không phải là một môn khoa học chính xác và việc t</w:t>
      </w:r>
      <w:r>
        <w:rPr>
          <w:color w:val="000000" w:themeColor="text1"/>
          <w:lang w:val="pt-BR"/>
        </w:rPr>
        <w:t xml:space="preserve">ính toán đôi khi phải dựa vào các phán đoán, các giả định, các giả thiết trong một thời điểm cụ thể, cố định vì vậy giá trị thẩm định giá được ước tính có thể phù hợp với mục đích th</w:t>
      </w:r>
      <w:r>
        <w:rPr>
          <w:color w:val="000000" w:themeColor="text1"/>
          <w:lang w:val="pt-BR"/>
        </w:rPr>
        <w:t xml:space="preserve">ẩm định giá và không hẳn phù hợp với các mục đích khác, nó là một khoản giá trị được ước tính tại một thời điểm cụ thể nên không nhất thiết phải trùng khớp với bất kỳ </w:t>
      </w:r>
      <w:r>
        <w:rPr>
          <w:color w:val="000000" w:themeColor="text1"/>
          <w:lang w:val="pt-BR"/>
        </w:rPr>
        <w:t xml:space="preserve">kết </w:t>
      </w:r>
      <w:r>
        <w:rPr>
          <w:color w:val="000000" w:themeColor="text1"/>
          <w:lang w:val="pt-BR"/>
        </w:rPr>
        <w:t xml:space="preserve">quả nào của bất kỳ bên nào khác cùng thực hiện tính toán và đưa ra kết quả ước lượ</w:t>
      </w:r>
      <w:r>
        <w:rPr>
          <w:lang w:val="pt-BR"/>
        </w:rPr>
        <w:t xml:space="preserve">ng.</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9"/>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9"/>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9"/>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9"/>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9"/>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9"/>
        <w:numPr>
          <w:ilvl w:val="0"/>
          <w:numId w:val="5"/>
        </w:numPr>
        <w:pBdr/>
        <w:spacing w:after="120" w:before="120" w:line="288" w:lineRule="auto"/>
        <w:ind/>
        <w:jc w:val="both"/>
        <w:rPr>
          <w:lang w:val="vi-VN"/>
          <w14:ligatures w14:val="none"/>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14:ligatures w14:val="none"/>
        </w:rPr>
      </w:r>
      <w:r>
        <w:rPr>
          <w:lang w:val="vi-VN"/>
          <w14:ligatures w14:val="none"/>
        </w:rPr>
      </w:r>
    </w:p>
    <w:p>
      <w:pPr>
        <w:pStyle w:val="1029"/>
        <w:numPr>
          <w:ilvl w:val="0"/>
          <w:numId w:val="5"/>
        </w:numPr>
        <w:pBdr/>
        <w:spacing w:after="120" w:before="120" w:line="288" w:lineRule="auto"/>
        <w:ind/>
        <w:jc w:val="both"/>
        <w:rPr>
          <w:lang w:val="vi-VN"/>
          <w14:ligatures w14:val="none"/>
        </w:rPr>
      </w:pPr>
      <w:r>
        <w:rPr>
          <w:lang w:val="vi-VN" w:bidi="vi-VN"/>
        </w:rPr>
      </w:r>
      <w:r>
        <w:rPr>
          <w:lang w:val="vi-VN"/>
        </w:rPr>
        <w:t xml:space="preserve">Tại thời điểm khảo sát dưới sự hướng dẫn của Khách hàng, CTXD gắn liền với đất là Nhà cấp 4 xây hết đất, xây dựng năm 2012, công trình ngoại quan đã cũ</w:t>
      </w:r>
      <w:r>
        <w:rPr>
          <w:lang w:val="vi-VN" w:bidi="pt-BR"/>
        </w:rPr>
        <w:t xml:space="preserve">. Công trình chưa được chứng nhận trên GCN. Đồng thời, Tổ thẩm định không nhận đ</w:t>
      </w:r>
      <w:r>
        <w:rPr>
          <w:lang w:val="vi-VN" w:bidi="pt-BR"/>
        </w:rPr>
        <w:t xml:space="preserve">ư</w:t>
      </w:r>
      <w:r>
        <w:rPr>
          <w:lang w:val="vi-VN" w:bidi="pt-BR"/>
        </w:rPr>
        <w:t xml:space="preserve">ợc bất kỳ hồ sơ pháp lý nào liên quan đến CTXD nêu trên. Do vậy, theo đề nghị của Ngân hàng/Khách hàng, Tổ thẩm định không xác định giá trị của công trình xây dựng vào tổng giá trị, nhưng vẫn coi đó là phần không thể tách rời của tài sản thẩm định. Kính đề</w:t>
      </w:r>
      <w:r>
        <w:rPr>
          <w:lang w:val="vi-VN" w:bidi="pt-BR"/>
        </w:rPr>
        <w:t xml:space="preserve"> nghị đơn vị sử dụng kết quả lưu ý</w:t>
      </w:r>
      <w:r>
        <w:rPr>
          <w:lang w:val="vi-VN" w:bidi="pt-BR"/>
        </w:rPr>
        <w:t xml:space="preserve">.</w:t>
      </w:r>
      <w:r>
        <w:rPr>
          <w:lang w:val="vi-VN"/>
          <w14:ligatures w14:val="none"/>
        </w:rPr>
      </w:r>
      <w:r>
        <w:rPr>
          <w:lang w:val="vi-VN"/>
          <w14:ligatures w14:val="none"/>
        </w:rPr>
      </w:r>
    </w:p>
    <w:p>
      <w:pPr>
        <w:pStyle w:val="1029"/>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9"/>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9"/>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9"/>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9"/>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 + Pháp lý +BBKS</w:t>
      </w:r>
      <w:r>
        <w:rPr>
          <w:lang w:val="pt-BR"/>
        </w:rPr>
        <w:t xml:space="preserve">.</w:t>
      </w:r>
      <w:r>
        <w:rPr>
          <w:lang w:val="pt-BR"/>
        </w:rPr>
      </w:r>
      <w:r>
        <w:rPr>
          <w:lang w:val="pt-BR"/>
        </w:rPr>
      </w:r>
    </w:p>
    <w:p>
      <w:pPr>
        <w:pStyle w:val="1029"/>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275/2026/0681/VFI-CT.21.A</w:t>
      </w:r>
      <w:r>
        <w:rPr>
          <w:color w:val="ff0000"/>
          <w:lang w:val="vi-VN"/>
        </w:rPr>
        <w:t xml:space="preserve"> </w:t>
      </w:r>
      <w:r>
        <w:rPr>
          <w:color w:val="000000" w:themeColor="text1"/>
        </w:rPr>
        <w:t xml:space="preserve">ngày 05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5000" w:type="pct"/>
        <w:tblBorders/>
        <w:tblLayout w:type="fixed"/>
        <w:tblLook w:val="01E0" w:firstRow="1" w:lastRow="1" w:firstColumn="1" w:lastColumn="1" w:noHBand="0" w:noVBand="0"/>
      </w:tblPr>
      <w:tblGrid>
        <w:gridCol w:w="4422"/>
        <w:gridCol w:w="5102"/>
      </w:tblGrid>
      <w:tr>
        <w:trPr>
          <w:trHeight w:val="20"/>
        </w:trPr>
        <w:tc>
          <w:tcPr>
            <w:tcBorders/>
            <w:tcW w:w="4422"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02"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422"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02"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422"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5102"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Trương Thị Diệp</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275/2026/0681/VFI-BC.21.A ngày</w:t>
      </w:r>
      <w:r>
        <w:rPr>
          <w:i/>
          <w:lang w:val="pt-BR"/>
        </w:rPr>
        <w:t xml:space="preserve"> </w:t>
      </w:r>
      <w:r>
        <w:rPr>
          <w:i/>
          <w:lang w:val="pt-BR"/>
        </w:rPr>
        <w:t xml:space="preserve">5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905"/>
        <w:gridCol w:w="3402"/>
      </w:tblGrid>
      <w:tr>
        <w:trPr/>
        <w:tc>
          <w:tcPr>
            <w:tcBorders/>
            <w:tcW w:w="2905"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3402"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r>
      <w:tr>
        <w:trPr/>
        <w:tc>
          <w:tcPr>
            <w:tcBorders/>
            <w:tcW w:w="2905"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997200" cy="2160000"/>
                      <wp:effectExtent l="76576" t="166215" r="76576" b="166215"/>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775468" name=""/>
                              <pic:cNvPicPr>
                                <a:picLocks noChangeAspect="1"/>
                              </pic:cNvPicPr>
                              <pic:nvPr/>
                            </pic:nvPicPr>
                            <pic:blipFill rotWithShape="1">
                              <a:blip r:embed="rId22"/>
                              <a:stretch/>
                            </pic:blipFill>
                            <pic:spPr bwMode="auto">
                              <a:xfrm rot="0" flipH="0" flipV="0">
                                <a:off x="0" y="0"/>
                                <a:ext cx="9972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78.52pt;height:170.08pt;mso-wrap-distance-left:0.00pt;mso-wrap-distance-top:0.00pt;mso-wrap-distance-right:0.00pt;mso-wrap-distance-bottom:0.00pt;rotation:0;z-index:1;" stroked="false">
                      <v:imagedata r:id="rId22" o:title=""/>
                      <o:lock v:ext="edit" rotation="t"/>
                    </v:shape>
                  </w:pict>
                </mc:Fallback>
              </mc:AlternateContent>
            </w:r>
            <w:r>
              <w:rPr>
                <w:i/>
                <w:lang w:val="pt-BR"/>
              </w:rPr>
            </w:r>
            <w:r>
              <w:rPr>
                <w:i/>
                <w:lang w:val="pt-BR"/>
              </w:rPr>
            </w:r>
          </w:p>
        </w:tc>
        <w:tc>
          <w:tcPr>
            <w:tcBorders/>
            <w:tcW w:w="3402"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081477" name=""/>
                              <pic:cNvPicPr>
                                <a:picLocks noChangeAspect="1"/>
                              </pic:cNvPicPr>
                              <pic:nvPr/>
                            </pic:nvPicPr>
                            <pic:blipFill rotWithShape="1">
                              <a:blip r:embed="rId23"/>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6.77pt;height:170.08pt;mso-wrap-distance-left:0.00pt;mso-wrap-distance-top:0.00pt;mso-wrap-distance-right:0.00pt;mso-wrap-distance-bottom:0.00pt;rotation:0;z-index:1;" stroked="false">
                      <v:imagedata r:id="rId23" o:title=""/>
                      <o:lock v:ext="edit" rotation="t"/>
                    </v:shape>
                  </w:pict>
                </mc:Fallback>
              </mc:AlternateContent>
            </w:r>
            <w:r>
              <w:rPr>
                <w:i/>
                <w:lang w:val="pt-BR"/>
              </w:rPr>
            </w:r>
            <w:r>
              <w:rPr>
                <w:i/>
                <w:lang w:val="pt-BR"/>
              </w:rPr>
            </w:r>
          </w:p>
        </w:tc>
      </w:tr>
      <w:tr>
        <w:trPr/>
        <w:tc>
          <w:tcPr>
            <w:tcBorders/>
            <w:tcW w:w="2905" w:type="dxa"/>
            <w:vAlign w:val="center"/>
            <w:textDirection w:val="lrTb"/>
            <w:noWrap w:val="false"/>
          </w:tcPr>
          <w:p>
            <w:pPr>
              <w:pBdr/>
              <w:spacing w:after="120"/>
              <w:ind/>
              <w:jc w:val="center"/>
              <w:rPr>
                <w:b/>
                <w:bCs/>
                <w:i/>
                <w:lang w:val="pt-BR"/>
              </w:rPr>
            </w:pPr>
            <w:r>
              <w:rPr>
                <w:b/>
                <w:bCs/>
                <w:i/>
                <w:lang w:val="pt-BR"/>
              </w:rPr>
              <w:t xml:space="preserve">Đường vào tài sản</w:t>
            </w:r>
            <w:r>
              <w:rPr>
                <w:b/>
                <w:bCs/>
                <w:i/>
                <w:lang w:val="pt-BR"/>
              </w:rPr>
            </w:r>
            <w:r>
              <w:rPr>
                <w:b/>
                <w:bCs/>
                <w:i/>
                <w:lang w:val="pt-BR"/>
              </w:rPr>
            </w:r>
          </w:p>
        </w:tc>
        <w:tc>
          <w:tcPr>
            <w:tcBorders/>
            <w:tcW w:w="3402" w:type="dxa"/>
            <w:vAlign w:val="center"/>
            <w:textDirection w:val="lrTb"/>
            <w:noWrap w:val="false"/>
          </w:tcPr>
          <w:p>
            <w:pPr>
              <w:pBdr/>
              <w:spacing w:after="120"/>
              <w:ind/>
              <w:jc w:val="center"/>
              <w:rPr>
                <w:b/>
                <w:bCs/>
                <w:i/>
                <w:lang w:val="pt-BR"/>
              </w:rPr>
            </w:pPr>
            <w:r>
              <w:rPr>
                <w:b/>
                <w:bCs/>
                <w:i/>
                <w:lang w:val="pt-BR"/>
              </w:rPr>
              <w:t xml:space="preserve">Đường vào tài sản</w:t>
            </w:r>
            <w:r>
              <w:rPr>
                <w:b/>
                <w:bCs/>
                <w:i/>
                <w:lang w:val="pt-BR"/>
              </w:rPr>
            </w:r>
            <w:r>
              <w:rPr>
                <w:b/>
                <w:bCs/>
                <w:i/>
                <w:lang w:val="pt-BR"/>
              </w:rPr>
            </w:r>
          </w:p>
        </w:tc>
      </w:tr>
      <w:tr>
        <w:trPr/>
        <w:tc>
          <w:tcPr>
            <w:tcBorders/>
            <w:tcW w:w="2905"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946726" name=""/>
                              <pic:cNvPicPr>
                                <a:picLocks noChangeAspect="1"/>
                              </pic:cNvPicPr>
                              <pic:nvPr/>
                            </pic:nvPicPr>
                            <pic:blipFill rotWithShape="1">
                              <a:blip r:embed="rId24"/>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6.77pt;height:170.08pt;mso-wrap-distance-left:0.00pt;mso-wrap-distance-top:0.00pt;mso-wrap-distance-right:0.00pt;mso-wrap-distance-bottom:0.00pt;rotation:0;z-index:1;" stroked="false">
                      <v:imagedata r:id="rId24" o:title=""/>
                      <o:lock v:ext="edit" rotation="t"/>
                    </v:shape>
                  </w:pict>
                </mc:Fallback>
              </mc:AlternateContent>
            </w:r>
            <w:r>
              <w:rPr>
                <w:i/>
                <w:lang w:val="pt-BR"/>
              </w:rPr>
            </w:r>
            <w:r>
              <w:rPr>
                <w:i/>
                <w:lang w:val="pt-BR"/>
              </w:rPr>
            </w:r>
          </w:p>
        </w:tc>
        <w:tc>
          <w:tcPr>
            <w:tcBorders/>
            <w:tcW w:w="3402"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735372" name=""/>
                              <pic:cNvPicPr>
                                <a:picLocks noChangeAspect="1"/>
                              </pic:cNvPicPr>
                              <pic:nvPr/>
                            </pic:nvPicPr>
                            <pic:blipFill rotWithShape="1">
                              <a:blip r:embed="rId25"/>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6.77pt;height:170.08pt;mso-wrap-distance-left:0.00pt;mso-wrap-distance-top:0.00pt;mso-wrap-distance-right:0.00pt;mso-wrap-distance-bottom:0.00pt;rotation:0;z-index:1;" stroked="false">
                      <v:imagedata r:id="rId25" o:title=""/>
                      <o:lock v:ext="edit" rotation="t"/>
                    </v:shape>
                  </w:pict>
                </mc:Fallback>
              </mc:AlternateContent>
            </w:r>
            <w:r>
              <w:rPr>
                <w:i/>
                <w:lang w:val="pt-BR"/>
              </w:rPr>
            </w:r>
            <w:r>
              <w:rPr>
                <w:i/>
                <w:lang w:val="pt-BR"/>
              </w:rPr>
            </w:r>
          </w:p>
        </w:tc>
      </w:tr>
      <w:tr>
        <w:trPr/>
        <w:tc>
          <w:tcPr>
            <w:tcBorders/>
            <w:tcW w:w="2905"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3402"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2905"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644258" name=""/>
                              <pic:cNvPicPr>
                                <a:picLocks noChangeAspect="1"/>
                              </pic:cNvPicPr>
                              <pic:nvPr/>
                            </pic:nvPicPr>
                            <pic:blipFill rotWithShape="1">
                              <a:blip r:embed="rId26"/>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6.77pt;height:170.08pt;mso-wrap-distance-left:0.00pt;mso-wrap-distance-top:0.00pt;mso-wrap-distance-right:0.00pt;mso-wrap-distance-bottom:0.00pt;rotation:0;z-index:1;" stroked="false">
                      <v:imagedata r:id="rId26" o:title=""/>
                      <o:lock v:ext="edit" rotation="t"/>
                    </v:shape>
                  </w:pict>
                </mc:Fallback>
              </mc:AlternateContent>
            </w:r>
            <w:r>
              <w:rPr>
                <w:i/>
                <w:lang w:val="pt-BR"/>
              </w:rPr>
            </w:r>
            <w:r>
              <w:rPr>
                <w:i/>
                <w:lang w:val="pt-BR"/>
              </w:rPr>
            </w:r>
          </w:p>
        </w:tc>
        <w:tc>
          <w:tcPr>
            <w:tcBorders/>
            <w:tcW w:w="3402"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087811" name=""/>
                              <pic:cNvPicPr>
                                <a:picLocks noChangeAspect="1"/>
                              </pic:cNvPicPr>
                              <pic:nvPr/>
                            </pic:nvPicPr>
                            <pic:blipFill rotWithShape="1">
                              <a:blip r:embed="rId27"/>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6.77pt;height:170.08pt;mso-wrap-distance-left:0.00pt;mso-wrap-distance-top:0.00pt;mso-wrap-distance-right:0.00pt;mso-wrap-distance-bottom:0.00pt;rotation:0;z-index:1;" stroked="false">
                      <v:imagedata r:id="rId27"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275/2026/0681/VFI-BC.21.A</w:t>
      </w:r>
      <w:r>
        <w:rPr>
          <w:i/>
          <w:lang w:val="pt-BR"/>
        </w:rPr>
        <w:t xml:space="preserve"> </w:t>
      </w:r>
      <w:r>
        <w:rPr>
          <w:i/>
          <w:lang w:val="pt-BR"/>
        </w:rPr>
        <w:t xml:space="preserve">ngày 5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mc:AlternateContent>
          <mc:Choice Requires="wpg">
            <w:drawing>
              <wp:inline xmlns:wp="http://schemas.openxmlformats.org/drawingml/2006/wordprocessingDrawing" distT="0" distB="0" distL="0" distR="0">
                <wp:extent cx="5101203" cy="6592413"/>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362036" name=""/>
                        <pic:cNvPicPr>
                          <a:picLocks noChangeAspect="1"/>
                        </pic:cNvPicPr>
                        <pic:nvPr/>
                      </pic:nvPicPr>
                      <pic:blipFill rotWithShape="1">
                        <a:blip r:embed="rId28"/>
                        <a:stretch/>
                      </pic:blipFill>
                      <pic:spPr bwMode="auto">
                        <a:xfrm flipH="0" flipV="0">
                          <a:off x="0" y="0"/>
                          <a:ext cx="5101202" cy="65924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01.67pt;height:519.09pt;mso-wrap-distance-left:0.00pt;mso-wrap-distance-top:0.00pt;mso-wrap-distance-right:0.00pt;mso-wrap-distance-bottom:0.00pt;z-index:1;" stroked="false">
                <v:imagedata r:id="rId28" o:title=""/>
                <o:lock v:ext="edit" rotation="t"/>
              </v:shape>
            </w:pict>
          </mc:Fallback>
        </mc:AlternateContent>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mc:AlternateContent>
                <mc:Choice Requires="wpg">
                  <w:drawing>
                    <wp:inline xmlns:wp="http://schemas.openxmlformats.org/drawingml/2006/wordprocessingDrawing" distT="0" distB="0" distL="0" distR="0">
                      <wp:extent cx="1720237" cy="1208262"/>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665976" name=""/>
                              <pic:cNvPicPr>
                                <a:picLocks noChangeAspect="1"/>
                              </pic:cNvPicPr>
                              <pic:nvPr/>
                            </pic:nvPicPr>
                            <pic:blipFill rotWithShape="1">
                              <a:blip r:embed="rId29"/>
                              <a:stretch/>
                            </pic:blipFill>
                            <pic:spPr bwMode="auto">
                              <a:xfrm flipH="0" flipV="0">
                                <a:off x="0" y="0"/>
                                <a:ext cx="1720237" cy="12082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35.45pt;height:95.14pt;mso-wrap-distance-left:0.00pt;mso-wrap-distance-top:0.00pt;mso-wrap-distance-right:0.00pt;mso-wrap-distance-bottom:0.00pt;z-index:1;" stroked="false">
                      <v:imagedata r:id="rId29" o:title=""/>
                      <o:lock v:ext="edit" rotation="t"/>
                    </v:shape>
                  </w:pict>
                </mc:Fallback>
              </mc:AlternateConten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Trương Thị Diệp</w:t>
            </w:r>
            <w:r>
              <w:rPr>
                <w:b/>
                <w:bCs/>
              </w:rPr>
            </w:r>
            <w:r>
              <w:rPr>
                <w:b/>
                <w:bCs/>
              </w:rPr>
            </w:r>
          </w:p>
        </w:tc>
      </w:tr>
    </w:tbl>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5739687" cy="735276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710950" name=""/>
                        <pic:cNvPicPr>
                          <a:picLocks noChangeAspect="1"/>
                        </pic:cNvPicPr>
                        <pic:nvPr/>
                      </pic:nvPicPr>
                      <pic:blipFill rotWithShape="1">
                        <a:blip r:embed="rId30"/>
                        <a:stretch/>
                      </pic:blipFill>
                      <pic:spPr bwMode="auto">
                        <a:xfrm flipH="0" flipV="0">
                          <a:off x="0" y="0"/>
                          <a:ext cx="5739687" cy="73527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51.94pt;height:578.96pt;mso-wrap-distance-left:0.00pt;mso-wrap-distance-top:0.00pt;mso-wrap-distance-right:0.00pt;mso-wrap-distance-bottom:0.00pt;z-index:1;" stroked="false">
                <v:imagedata r:id="rId30"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mc:AlternateContent>
                <mc:Choice Requires="wpg">
                  <w:drawing>
                    <wp:inline xmlns:wp="http://schemas.openxmlformats.org/drawingml/2006/wordprocessingDrawing" distT="0" distB="0" distL="0" distR="0">
                      <wp:extent cx="1720238" cy="1208262"/>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049601" name=""/>
                              <pic:cNvPicPr>
                                <a:picLocks noChangeAspect="1"/>
                              </pic:cNvPicPr>
                              <pic:nvPr/>
                            </pic:nvPicPr>
                            <pic:blipFill rotWithShape="1">
                              <a:blip r:embed="rId29"/>
                              <a:stretch/>
                            </pic:blipFill>
                            <pic:spPr bwMode="auto">
                              <a:xfrm rot="0" flipH="0" flipV="0">
                                <a:off x="0" y="0"/>
                                <a:ext cx="1720236" cy="12082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35.45pt;height:95.14pt;mso-wrap-distance-left:0.00pt;mso-wrap-distance-top:0.00pt;mso-wrap-distance-right:0.00pt;mso-wrap-distance-bottom:0.00pt;rotation:0;z-index:1;" stroked="false">
                      <v:imagedata r:id="rId29" o:title=""/>
                      <o:lock v:ext="edit" rotation="t"/>
                    </v:shape>
                  </w:pict>
                </mc:Fallback>
              </mc:AlternateConten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Trương Thị Diệp</w:t>
            </w:r>
            <w:r>
              <w:rPr>
                <w:b/>
                <w:bCs/>
              </w:rPr>
            </w:r>
            <w:r>
              <w:rPr>
                <w:b/>
                <w:bCs/>
              </w:rPr>
            </w:r>
          </w:p>
        </w:tc>
      </w:tr>
    </w:tbl>
    <w:p>
      <w:pPr>
        <w:pBdr/>
        <w:spacing w:after="200" w:line="276" w:lineRule="auto"/>
        <w:ind/>
        <w:rPr>
          <w:iCs/>
          <w:lang w:val="pt-BR"/>
        </w:rPr>
      </w:pPr>
      <w:r>
        <w:rPr>
          <w:iCs/>
          <w:lang w:val="pt-BR"/>
        </w:rPr>
        <w:br w:type="page" w:clear="all"/>
      </w:r>
      <w:r>
        <mc:AlternateContent>
          <mc:Choice Requires="wpg">
            <w:drawing>
              <wp:inline xmlns:wp="http://schemas.openxmlformats.org/drawingml/2006/wordprocessingDrawing" distT="0" distB="0" distL="0" distR="0">
                <wp:extent cx="5616631" cy="7438485"/>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383629" name=""/>
                        <pic:cNvPicPr>
                          <a:picLocks noChangeAspect="1"/>
                        </pic:cNvPicPr>
                        <pic:nvPr/>
                      </pic:nvPicPr>
                      <pic:blipFill rotWithShape="1">
                        <a:blip r:embed="rId31"/>
                        <a:stretch/>
                      </pic:blipFill>
                      <pic:spPr bwMode="auto">
                        <a:xfrm flipH="0" flipV="0">
                          <a:off x="0" y="0"/>
                          <a:ext cx="5616630" cy="74384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42.25pt;height:585.71pt;mso-wrap-distance-left:0.00pt;mso-wrap-distance-top:0.00pt;mso-wrap-distance-right:0.00pt;mso-wrap-distance-bottom:0.00pt;z-index:1;" stroked="false">
                <v:imagedata r:id="rId31"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mc:AlternateContent>
                <mc:Choice Requires="wpg">
                  <w:drawing>
                    <wp:inline xmlns:wp="http://schemas.openxmlformats.org/drawingml/2006/wordprocessingDrawing" distT="0" distB="0" distL="0" distR="0">
                      <wp:extent cx="1720238" cy="1208262"/>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398918" name=""/>
                              <pic:cNvPicPr>
                                <a:picLocks noChangeAspect="1"/>
                              </pic:cNvPicPr>
                              <pic:nvPr/>
                            </pic:nvPicPr>
                            <pic:blipFill rotWithShape="1">
                              <a:blip r:embed="rId29"/>
                              <a:stretch/>
                            </pic:blipFill>
                            <pic:spPr bwMode="auto">
                              <a:xfrm rot="0" flipH="0" flipV="0">
                                <a:off x="0" y="0"/>
                                <a:ext cx="1720237" cy="12082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35.45pt;height:95.14pt;mso-wrap-distance-left:0.00pt;mso-wrap-distance-top:0.00pt;mso-wrap-distance-right:0.00pt;mso-wrap-distance-bottom:0.00pt;rotation:0;z-index:1;" stroked="false">
                      <v:imagedata r:id="rId29" o:title=""/>
                      <o:lock v:ext="edit" rotation="t"/>
                    </v:shape>
                  </w:pict>
                </mc:Fallback>
              </mc:AlternateConten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Trương Thị Diệp</w:t>
            </w:r>
            <w:r>
              <w:rPr>
                <w:b/>
                <w:bCs/>
              </w:rPr>
            </w:r>
            <w:r>
              <w:rPr>
                <w:b/>
                <w:bCs/>
              </w:rPr>
            </w:r>
          </w:p>
        </w:tc>
      </w:tr>
    </w:tbl>
    <w:p>
      <w:pPr>
        <w:pBdr/>
        <w:spacing w:after="200" w:line="276" w:lineRule="auto"/>
        <w:ind/>
        <w:jc w:val="center"/>
        <w:rPr>
          <w:iCs/>
          <w:highlight w:val="none"/>
          <w:lang w:val="pt-BR"/>
        </w:rPr>
      </w:pPr>
      <w:r>
        <w:rPr>
          <w:iCs/>
          <w:lang w:val="pt-BR"/>
        </w:rPr>
      </w:r>
      <w:r>
        <mc:AlternateContent>
          <mc:Choice Requires="wpg">
            <w:drawing>
              <wp:inline xmlns:wp="http://schemas.openxmlformats.org/drawingml/2006/wordprocessingDrawing" distT="0" distB="0" distL="0" distR="0">
                <wp:extent cx="4195731" cy="471433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052376" name=""/>
                        <pic:cNvPicPr>
                          <a:picLocks noChangeAspect="1"/>
                        </pic:cNvPicPr>
                        <pic:nvPr/>
                      </pic:nvPicPr>
                      <pic:blipFill rotWithShape="1">
                        <a:blip r:embed="rId32"/>
                        <a:srcRect l="0" t="10081" r="0" b="5647"/>
                        <a:stretch/>
                      </pic:blipFill>
                      <pic:spPr bwMode="auto">
                        <a:xfrm rot="0" flipH="0" flipV="0">
                          <a:off x="0" y="0"/>
                          <a:ext cx="4195730" cy="47143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30.37pt;height:371.21pt;mso-wrap-distance-left:0.00pt;mso-wrap-distance-top:0.00pt;mso-wrap-distance-right:0.00pt;mso-wrap-distance-bottom:0.00pt;rotation:0;z-index:1;" stroked="false">
                <v:imagedata r:id="rId32" o:title="" croptop="6607f" cropleft="0f" cropbottom="3701f" cropright="0f"/>
                <o:lock v:ext="edit" rotation="t"/>
              </v:shape>
            </w:pict>
          </mc:Fallback>
        </mc:AlternateContent>
      </w:r>
      <w:r>
        <w:rPr>
          <w:iCs/>
          <w:highlight w:val="none"/>
          <w:lang w:val="pt-BR"/>
        </w:rPr>
      </w:r>
      <w:r>
        <w:rPr>
          <w:iCs/>
          <w:highlight w:val="none"/>
          <w:lang w:val="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375" cy="3732913"/>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238241" name=""/>
                        <pic:cNvPicPr>
                          <a:picLocks noChangeAspect="1"/>
                        </pic:cNvPicPr>
                        <pic:nvPr/>
                      </pic:nvPicPr>
                      <pic:blipFill rotWithShape="1">
                        <a:blip r:embed="rId33"/>
                        <a:srcRect l="-314" t="9429" r="313" b="8280"/>
                        <a:stretch/>
                      </pic:blipFill>
                      <pic:spPr bwMode="auto">
                        <a:xfrm flipH="0" flipV="0">
                          <a:off x="0" y="0"/>
                          <a:ext cx="6048374" cy="37329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293.93pt;mso-wrap-distance-left:0.00pt;mso-wrap-distance-top:0.00pt;mso-wrap-distance-right:0.00pt;mso-wrap-distance-bottom:0.00pt;z-index:1;" stroked="false">
                <v:imagedata r:id="rId33" o:title="" croptop="6179f" cropleft="-205f" cropbottom="5426f" cropright="205f"/>
                <o:lock v:ext="edit" rotation="t"/>
              </v:shape>
            </w:pict>
          </mc:Fallback>
        </mc:AlternateContent>
      </w:r>
      <w:r>
        <w:rPr>
          <w:highlight w:val="none"/>
          <w:lang w:val="pt-BR" w:bidi="pt-BR"/>
        </w:rPr>
      </w:r>
      <w:r>
        <w:rPr>
          <w:highlight w:val="none"/>
          <w:lang w:val="pt-BR" w:bidi="pt-BR"/>
        </w:rPr>
      </w:r>
    </w:p>
    <w:p>
      <w:pPr>
        <w:pBdr/>
        <w:shd w:val="nil" w:color="auto"/>
        <w:spacing/>
        <w:ind/>
        <w:rPr>
          <w:lang w:val="pt-BR"/>
        </w:rPr>
      </w:pPr>
      <w:r>
        <w:rPr>
          <w:lang w:val="pt-BR"/>
        </w:rPr>
        <w:br w:type="page" w:clear="all"/>
      </w:r>
      <w:r>
        <w:rPr>
          <w:lang w:val="pt-BR"/>
        </w:rPr>
      </w:r>
      <w:r>
        <w:rPr>
          <w:lang w:val="pt-BR"/>
        </w:rPr>
      </w:r>
    </w:p>
    <w:p>
      <w:pPr>
        <w:pBdr/>
        <w:spacing w:after="200" w:line="276" w:lineRule="auto"/>
        <w:ind/>
        <w:rPr>
          <w:lang w:val="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327190" name=""/>
                        <pic:cNvPicPr>
                          <a:picLocks noChangeAspect="1"/>
                        </pic:cNvPicPr>
                        <pic:nvPr/>
                      </pic:nvPicPr>
                      <pic:blipFill rotWithShape="1">
                        <a:blip r:embed="rId34"/>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35.00pt;mso-wrap-distance-left:0.00pt;mso-wrap-distance-top:0.00pt;mso-wrap-distance-right:0.00pt;mso-wrap-distance-bottom:0.00pt;z-index:1;" stroked="false">
                <v:imagedata r:id="rId34" o:title=""/>
                <o:lock v:ext="edit" rotation="t"/>
              </v:shape>
            </w:pict>
          </mc:Fallback>
        </mc:AlternateContent>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7D38C42"/>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1">
    <w:name w:val="Table Grid Light"/>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1"/>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2"/>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3"/>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4"/>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5"/>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w:basedOn w:val="10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w:basedOn w:val="10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1"/>
    <w:basedOn w:val="10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2"/>
    <w:basedOn w:val="10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3"/>
    <w:basedOn w:val="10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4"/>
    <w:basedOn w:val="10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5"/>
    <w:basedOn w:val="10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6"/>
    <w:basedOn w:val="10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1"/>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2"/>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3"/>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4"/>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5"/>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6"/>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3">
    <w:name w:val="Grid Table 6 Colorful - Accent 1"/>
    <w:basedOn w:val="10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4">
    <w:name w:val="Grid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5">
    <w:name w:val="Grid Table 6 Colorful - Accent 3"/>
    <w:basedOn w:val="10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6">
    <w:name w:val="Grid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7">
    <w:name w:val="Grid Table 6 Colorful - Accent 5"/>
    <w:basedOn w:val="10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6 Colorful - Accent 6"/>
    <w:basedOn w:val="10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7 Colorful"/>
    <w:basedOn w:val="10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1"/>
    <w:basedOn w:val="10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5"/>
    <w:basedOn w:val="10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6"/>
    <w:basedOn w:val="10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1"/>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2"/>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3"/>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4"/>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5"/>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6"/>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w:basedOn w:val="10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1"/>
    <w:basedOn w:val="10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2"/>
    <w:basedOn w:val="10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3"/>
    <w:basedOn w:val="10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4"/>
    <w:basedOn w:val="10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5"/>
    <w:basedOn w:val="10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6"/>
    <w:basedOn w:val="10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1"/>
    <w:basedOn w:val="10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3"/>
    <w:basedOn w:val="10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5"/>
    <w:basedOn w:val="10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6"/>
    <w:basedOn w:val="10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1"/>
    <w:basedOn w:val="10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2"/>
    <w:basedOn w:val="10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3"/>
    <w:basedOn w:val="10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4"/>
    <w:basedOn w:val="10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5"/>
    <w:basedOn w:val="10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6"/>
    <w:basedOn w:val="10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5 Dark"/>
    <w:basedOn w:val="10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1"/>
    <w:basedOn w:val="10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2"/>
    <w:basedOn w:val="10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3"/>
    <w:basedOn w:val="10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4"/>
    <w:basedOn w:val="10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5"/>
    <w:basedOn w:val="10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6"/>
    <w:basedOn w:val="10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1"/>
    <w:basedOn w:val="10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3"/>
    <w:basedOn w:val="10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5"/>
    <w:basedOn w:val="10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6"/>
    <w:basedOn w:val="10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7 Colorful"/>
    <w:basedOn w:val="10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9">
    <w:name w:val="List Table 7 Colorful - Accent 1"/>
    <w:basedOn w:val="10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0">
    <w:name w:val="List Table 7 Colorful - Accent 2"/>
    <w:basedOn w:val="10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1">
    <w:name w:val="List Table 7 Colorful - Accent 3"/>
    <w:basedOn w:val="10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2">
    <w:name w:val="List Table 7 Colorful - Accent 4"/>
    <w:basedOn w:val="10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3">
    <w:name w:val="List Table 7 Colorful - Accent 5"/>
    <w:basedOn w:val="10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4">
    <w:name w:val="List Table 7 Colorful - Accent 6"/>
    <w:basedOn w:val="10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5">
    <w:name w:val="Lined - Accent"/>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1"/>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2"/>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3"/>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4"/>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5"/>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6"/>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w:basedOn w:val="10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1"/>
    <w:basedOn w:val="10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2"/>
    <w:basedOn w:val="10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3"/>
    <w:basedOn w:val="10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4"/>
    <w:basedOn w:val="10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5"/>
    <w:basedOn w:val="10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6"/>
    <w:basedOn w:val="10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w:basedOn w:val="10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6">
    <w:name w:val="Heading 5"/>
    <w:basedOn w:val="1007"/>
    <w:next w:val="1007"/>
    <w:link w:val="9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07"/>
    <w:next w:val="1007"/>
    <w:link w:val="9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07"/>
    <w:next w:val="1007"/>
    <w:link w:val="9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07"/>
    <w:next w:val="1007"/>
    <w:link w:val="9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07"/>
    <w:next w:val="1007"/>
    <w:link w:val="9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name w:val="Heading 5 Char"/>
    <w:basedOn w:val="1012"/>
    <w:link w:val="966"/>
    <w:uiPriority w:val="9"/>
    <w:pPr>
      <w:pBdr/>
      <w:spacing/>
      <w:ind/>
    </w:pPr>
    <w:rPr>
      <w:rFonts w:ascii="Arial" w:hAnsi="Arial" w:eastAsia="Arial" w:cs="Arial"/>
      <w:color w:val="0f4761" w:themeColor="accent1" w:themeShade="BF"/>
    </w:rPr>
  </w:style>
  <w:style w:type="character" w:styleId="972">
    <w:name w:val="Heading 6 Char"/>
    <w:basedOn w:val="1012"/>
    <w:link w:val="967"/>
    <w:uiPriority w:val="9"/>
    <w:pPr>
      <w:pBdr/>
      <w:spacing/>
      <w:ind/>
    </w:pPr>
    <w:rPr>
      <w:rFonts w:ascii="Arial" w:hAnsi="Arial" w:eastAsia="Arial" w:cs="Arial"/>
      <w:i/>
      <w:iCs/>
      <w:color w:val="595959" w:themeColor="text1" w:themeTint="A6"/>
    </w:rPr>
  </w:style>
  <w:style w:type="character" w:styleId="973">
    <w:name w:val="Heading 7 Char"/>
    <w:basedOn w:val="1012"/>
    <w:link w:val="968"/>
    <w:uiPriority w:val="9"/>
    <w:pPr>
      <w:pBdr/>
      <w:spacing/>
      <w:ind/>
    </w:pPr>
    <w:rPr>
      <w:rFonts w:ascii="Arial" w:hAnsi="Arial" w:eastAsia="Arial" w:cs="Arial"/>
      <w:color w:val="595959" w:themeColor="text1" w:themeTint="A6"/>
    </w:rPr>
  </w:style>
  <w:style w:type="character" w:styleId="974">
    <w:name w:val="Heading 8 Char"/>
    <w:basedOn w:val="1012"/>
    <w:link w:val="969"/>
    <w:uiPriority w:val="9"/>
    <w:pPr>
      <w:pBdr/>
      <w:spacing/>
      <w:ind/>
    </w:pPr>
    <w:rPr>
      <w:rFonts w:ascii="Arial" w:hAnsi="Arial" w:eastAsia="Arial" w:cs="Arial"/>
      <w:i/>
      <w:iCs/>
      <w:color w:val="272727" w:themeColor="text1" w:themeTint="D8"/>
    </w:rPr>
  </w:style>
  <w:style w:type="character" w:styleId="975">
    <w:name w:val="Heading 9 Char"/>
    <w:basedOn w:val="1012"/>
    <w:link w:val="970"/>
    <w:uiPriority w:val="9"/>
    <w:pPr>
      <w:pBdr/>
      <w:spacing/>
      <w:ind/>
    </w:pPr>
    <w:rPr>
      <w:rFonts w:ascii="Arial" w:hAnsi="Arial" w:eastAsia="Arial" w:cs="Arial"/>
      <w:i/>
      <w:iCs/>
      <w:color w:val="272727" w:themeColor="text1" w:themeTint="D8"/>
    </w:rPr>
  </w:style>
  <w:style w:type="paragraph" w:styleId="976">
    <w:name w:val="Subtitle"/>
    <w:basedOn w:val="1007"/>
    <w:next w:val="1007"/>
    <w:link w:val="977"/>
    <w:uiPriority w:val="11"/>
    <w:qFormat/>
    <w:pPr>
      <w:numPr>
        <w:ilvl w:val="1"/>
      </w:numPr>
      <w:pBdr/>
      <w:spacing/>
      <w:ind/>
    </w:pPr>
    <w:rPr>
      <w:color w:val="595959" w:themeColor="text1" w:themeTint="A6"/>
      <w:spacing w:val="15"/>
      <w:sz w:val="28"/>
      <w:szCs w:val="28"/>
    </w:rPr>
  </w:style>
  <w:style w:type="character" w:styleId="977">
    <w:name w:val="Subtitle Char"/>
    <w:basedOn w:val="1012"/>
    <w:link w:val="976"/>
    <w:uiPriority w:val="11"/>
    <w:pPr>
      <w:pBdr/>
      <w:spacing/>
      <w:ind/>
    </w:pPr>
    <w:rPr>
      <w:color w:val="595959" w:themeColor="text1" w:themeTint="A6"/>
      <w:spacing w:val="15"/>
      <w:sz w:val="28"/>
      <w:szCs w:val="28"/>
    </w:rPr>
  </w:style>
  <w:style w:type="paragraph" w:styleId="978">
    <w:name w:val="Quote"/>
    <w:basedOn w:val="1007"/>
    <w:next w:val="1007"/>
    <w:link w:val="979"/>
    <w:uiPriority w:val="29"/>
    <w:qFormat/>
    <w:pPr>
      <w:pBdr/>
      <w:spacing w:before="160"/>
      <w:ind/>
      <w:jc w:val="center"/>
    </w:pPr>
    <w:rPr>
      <w:i/>
      <w:iCs/>
      <w:color w:val="404040" w:themeColor="text1" w:themeTint="BF"/>
    </w:rPr>
  </w:style>
  <w:style w:type="character" w:styleId="979">
    <w:name w:val="Quote Char"/>
    <w:basedOn w:val="1012"/>
    <w:link w:val="978"/>
    <w:uiPriority w:val="29"/>
    <w:pPr>
      <w:pBdr/>
      <w:spacing/>
      <w:ind/>
    </w:pPr>
    <w:rPr>
      <w:i/>
      <w:iCs/>
      <w:color w:val="404040" w:themeColor="text1" w:themeTint="BF"/>
    </w:rPr>
  </w:style>
  <w:style w:type="character" w:styleId="980">
    <w:name w:val="Intense Emphasis"/>
    <w:basedOn w:val="1012"/>
    <w:uiPriority w:val="21"/>
    <w:qFormat/>
    <w:pPr>
      <w:pBdr/>
      <w:spacing/>
      <w:ind/>
    </w:pPr>
    <w:rPr>
      <w:i/>
      <w:iCs/>
      <w:color w:val="0f4761" w:themeColor="accent1" w:themeShade="BF"/>
    </w:rPr>
  </w:style>
  <w:style w:type="paragraph" w:styleId="981">
    <w:name w:val="Intense Quote"/>
    <w:basedOn w:val="1007"/>
    <w:next w:val="1007"/>
    <w:link w:val="98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2">
    <w:name w:val="Intense Quote Char"/>
    <w:basedOn w:val="1012"/>
    <w:link w:val="981"/>
    <w:uiPriority w:val="30"/>
    <w:pPr>
      <w:pBdr/>
      <w:spacing/>
      <w:ind/>
    </w:pPr>
    <w:rPr>
      <w:i/>
      <w:iCs/>
      <w:color w:val="0f4761" w:themeColor="accent1" w:themeShade="BF"/>
    </w:rPr>
  </w:style>
  <w:style w:type="character" w:styleId="983">
    <w:name w:val="Intense Reference"/>
    <w:basedOn w:val="1012"/>
    <w:uiPriority w:val="32"/>
    <w:qFormat/>
    <w:pPr>
      <w:pBdr/>
      <w:spacing/>
      <w:ind/>
    </w:pPr>
    <w:rPr>
      <w:b/>
      <w:bCs/>
      <w:smallCaps/>
      <w:color w:val="0f4761" w:themeColor="accent1" w:themeShade="BF"/>
      <w:spacing w:val="5"/>
    </w:rPr>
  </w:style>
  <w:style w:type="paragraph" w:styleId="984">
    <w:name w:val="No Spacing"/>
    <w:basedOn w:val="1007"/>
    <w:uiPriority w:val="1"/>
    <w:qFormat/>
    <w:pPr>
      <w:pBdr/>
      <w:spacing w:after="0" w:line="240" w:lineRule="auto"/>
      <w:ind/>
    </w:pPr>
  </w:style>
  <w:style w:type="character" w:styleId="985">
    <w:name w:val="Subtle Emphasis"/>
    <w:basedOn w:val="1012"/>
    <w:uiPriority w:val="19"/>
    <w:qFormat/>
    <w:pPr>
      <w:pBdr/>
      <w:spacing/>
      <w:ind/>
    </w:pPr>
    <w:rPr>
      <w:i/>
      <w:iCs/>
      <w:color w:val="404040" w:themeColor="text1" w:themeTint="BF"/>
    </w:rPr>
  </w:style>
  <w:style w:type="character" w:styleId="986">
    <w:name w:val="Subtle Reference"/>
    <w:basedOn w:val="1012"/>
    <w:uiPriority w:val="31"/>
    <w:qFormat/>
    <w:pPr>
      <w:pBdr/>
      <w:spacing/>
      <w:ind/>
    </w:pPr>
    <w:rPr>
      <w:smallCaps/>
      <w:color w:val="5a5a5a" w:themeColor="text1" w:themeTint="A5"/>
    </w:rPr>
  </w:style>
  <w:style w:type="character" w:styleId="987">
    <w:name w:val="Book Title"/>
    <w:basedOn w:val="1012"/>
    <w:uiPriority w:val="33"/>
    <w:qFormat/>
    <w:pPr>
      <w:pBdr/>
      <w:spacing/>
      <w:ind/>
    </w:pPr>
    <w:rPr>
      <w:b/>
      <w:bCs/>
      <w:i/>
      <w:iCs/>
      <w:spacing w:val="5"/>
    </w:rPr>
  </w:style>
  <w:style w:type="paragraph" w:styleId="988">
    <w:name w:val="Caption"/>
    <w:basedOn w:val="1007"/>
    <w:next w:val="1007"/>
    <w:uiPriority w:val="35"/>
    <w:unhideWhenUsed/>
    <w:qFormat/>
    <w:pPr>
      <w:pBdr/>
      <w:spacing w:after="200" w:line="240" w:lineRule="auto"/>
      <w:ind/>
    </w:pPr>
    <w:rPr>
      <w:i/>
      <w:iCs/>
      <w:color w:val="0e2841" w:themeColor="text2"/>
      <w:sz w:val="18"/>
      <w:szCs w:val="18"/>
    </w:rPr>
  </w:style>
  <w:style w:type="paragraph" w:styleId="989">
    <w:name w:val="footnote text"/>
    <w:basedOn w:val="1007"/>
    <w:link w:val="990"/>
    <w:uiPriority w:val="99"/>
    <w:semiHidden/>
    <w:unhideWhenUsed/>
    <w:pPr>
      <w:pBdr/>
      <w:spacing w:after="0" w:line="240" w:lineRule="auto"/>
      <w:ind/>
    </w:pPr>
    <w:rPr>
      <w:sz w:val="20"/>
      <w:szCs w:val="20"/>
    </w:rPr>
  </w:style>
  <w:style w:type="character" w:styleId="990">
    <w:name w:val="Footnote Text Char"/>
    <w:basedOn w:val="1012"/>
    <w:link w:val="989"/>
    <w:uiPriority w:val="99"/>
    <w:semiHidden/>
    <w:pPr>
      <w:pBdr/>
      <w:spacing/>
      <w:ind/>
    </w:pPr>
    <w:rPr>
      <w:sz w:val="20"/>
      <w:szCs w:val="20"/>
    </w:rPr>
  </w:style>
  <w:style w:type="character" w:styleId="991">
    <w:name w:val="footnote reference"/>
    <w:basedOn w:val="1012"/>
    <w:uiPriority w:val="99"/>
    <w:semiHidden/>
    <w:unhideWhenUsed/>
    <w:pPr>
      <w:pBdr/>
      <w:spacing/>
      <w:ind/>
    </w:pPr>
    <w:rPr>
      <w:vertAlign w:val="superscript"/>
    </w:rPr>
  </w:style>
  <w:style w:type="paragraph" w:styleId="992">
    <w:name w:val="endnote text"/>
    <w:basedOn w:val="1007"/>
    <w:link w:val="993"/>
    <w:uiPriority w:val="99"/>
    <w:semiHidden/>
    <w:unhideWhenUsed/>
    <w:pPr>
      <w:pBdr/>
      <w:spacing w:after="0" w:line="240" w:lineRule="auto"/>
      <w:ind/>
    </w:pPr>
    <w:rPr>
      <w:sz w:val="20"/>
      <w:szCs w:val="20"/>
    </w:rPr>
  </w:style>
  <w:style w:type="character" w:styleId="993">
    <w:name w:val="Endnote Text Char"/>
    <w:basedOn w:val="1012"/>
    <w:link w:val="992"/>
    <w:uiPriority w:val="99"/>
    <w:semiHidden/>
    <w:pPr>
      <w:pBdr/>
      <w:spacing/>
      <w:ind/>
    </w:pPr>
    <w:rPr>
      <w:sz w:val="20"/>
      <w:szCs w:val="20"/>
    </w:rPr>
  </w:style>
  <w:style w:type="character" w:styleId="994">
    <w:name w:val="endnote reference"/>
    <w:basedOn w:val="1012"/>
    <w:uiPriority w:val="99"/>
    <w:semiHidden/>
    <w:unhideWhenUsed/>
    <w:pPr>
      <w:pBdr/>
      <w:spacing/>
      <w:ind/>
    </w:pPr>
    <w:rPr>
      <w:vertAlign w:val="superscript"/>
    </w:rPr>
  </w:style>
  <w:style w:type="paragraph" w:styleId="995">
    <w:name w:val="toc 1"/>
    <w:basedOn w:val="1007"/>
    <w:next w:val="1007"/>
    <w:uiPriority w:val="39"/>
    <w:unhideWhenUsed/>
    <w:pPr>
      <w:pBdr/>
      <w:spacing w:after="100"/>
      <w:ind/>
    </w:pPr>
  </w:style>
  <w:style w:type="paragraph" w:styleId="996">
    <w:name w:val="toc 2"/>
    <w:basedOn w:val="1007"/>
    <w:next w:val="1007"/>
    <w:uiPriority w:val="39"/>
    <w:unhideWhenUsed/>
    <w:pPr>
      <w:pBdr/>
      <w:spacing w:after="100"/>
      <w:ind w:left="220"/>
    </w:pPr>
  </w:style>
  <w:style w:type="paragraph" w:styleId="997">
    <w:name w:val="toc 3"/>
    <w:basedOn w:val="1007"/>
    <w:next w:val="1007"/>
    <w:uiPriority w:val="39"/>
    <w:unhideWhenUsed/>
    <w:pPr>
      <w:pBdr/>
      <w:spacing w:after="100"/>
      <w:ind w:left="440"/>
    </w:pPr>
  </w:style>
  <w:style w:type="paragraph" w:styleId="998">
    <w:name w:val="toc 4"/>
    <w:basedOn w:val="1007"/>
    <w:next w:val="1007"/>
    <w:uiPriority w:val="39"/>
    <w:unhideWhenUsed/>
    <w:pPr>
      <w:pBdr/>
      <w:spacing w:after="100"/>
      <w:ind w:left="660"/>
    </w:pPr>
  </w:style>
  <w:style w:type="paragraph" w:styleId="999">
    <w:name w:val="toc 5"/>
    <w:basedOn w:val="1007"/>
    <w:next w:val="1007"/>
    <w:uiPriority w:val="39"/>
    <w:unhideWhenUsed/>
    <w:pPr>
      <w:pBdr/>
      <w:spacing w:after="100"/>
      <w:ind w:left="880"/>
    </w:pPr>
  </w:style>
  <w:style w:type="paragraph" w:styleId="1000">
    <w:name w:val="toc 6"/>
    <w:basedOn w:val="1007"/>
    <w:next w:val="1007"/>
    <w:uiPriority w:val="39"/>
    <w:unhideWhenUsed/>
    <w:pPr>
      <w:pBdr/>
      <w:spacing w:after="100"/>
      <w:ind w:left="1100"/>
    </w:pPr>
  </w:style>
  <w:style w:type="paragraph" w:styleId="1001">
    <w:name w:val="toc 7"/>
    <w:basedOn w:val="1007"/>
    <w:next w:val="1007"/>
    <w:uiPriority w:val="39"/>
    <w:unhideWhenUsed/>
    <w:pPr>
      <w:pBdr/>
      <w:spacing w:after="100"/>
      <w:ind w:left="1320"/>
    </w:pPr>
  </w:style>
  <w:style w:type="paragraph" w:styleId="1002">
    <w:name w:val="toc 8"/>
    <w:basedOn w:val="1007"/>
    <w:next w:val="1007"/>
    <w:uiPriority w:val="39"/>
    <w:unhideWhenUsed/>
    <w:pPr>
      <w:pBdr/>
      <w:spacing w:after="100"/>
      <w:ind w:left="1540"/>
    </w:pPr>
  </w:style>
  <w:style w:type="paragraph" w:styleId="1003">
    <w:name w:val="toc 9"/>
    <w:basedOn w:val="1007"/>
    <w:next w:val="1007"/>
    <w:uiPriority w:val="39"/>
    <w:unhideWhenUsed/>
    <w:pPr>
      <w:pBdr/>
      <w:spacing w:after="100"/>
      <w:ind w:left="1760"/>
    </w:pPr>
  </w:style>
  <w:style w:type="character" w:styleId="1004">
    <w:name w:val="Placeholder Text"/>
    <w:basedOn w:val="1012"/>
    <w:uiPriority w:val="99"/>
    <w:semiHidden/>
    <w:pPr>
      <w:pBdr/>
      <w:spacing/>
      <w:ind/>
    </w:pPr>
    <w:rPr>
      <w:color w:val="666666"/>
    </w:rPr>
  </w:style>
  <w:style w:type="paragraph" w:styleId="1005">
    <w:name w:val="TOC Heading"/>
    <w:uiPriority w:val="39"/>
    <w:unhideWhenUsed/>
    <w:pPr>
      <w:pBdr/>
      <w:spacing/>
      <w:ind/>
    </w:pPr>
  </w:style>
  <w:style w:type="paragraph" w:styleId="1006">
    <w:name w:val="table of figures"/>
    <w:basedOn w:val="1007"/>
    <w:next w:val="1007"/>
    <w:uiPriority w:val="99"/>
    <w:unhideWhenUsed/>
    <w:pPr>
      <w:pBdr/>
      <w:spacing w:after="0" w:afterAutospacing="0"/>
      <w:ind/>
    </w:pPr>
  </w:style>
  <w:style w:type="paragraph" w:styleId="1007" w:default="1">
    <w:name w:val="Normal"/>
    <w:qFormat/>
    <w:pPr>
      <w:pBdr/>
      <w:spacing w:after="0" w:line="240" w:lineRule="auto"/>
      <w:ind/>
    </w:pPr>
    <w:rPr>
      <w:rFonts w:ascii="Times New Roman" w:hAnsi="Times New Roman" w:eastAsia="Times New Roman" w:cs="Times New Roman"/>
      <w:sz w:val="24"/>
      <w:szCs w:val="24"/>
    </w:rPr>
  </w:style>
  <w:style w:type="paragraph" w:styleId="1008">
    <w:name w:val="Heading 1"/>
    <w:basedOn w:val="1007"/>
    <w:next w:val="1007"/>
    <w:link w:val="1015"/>
    <w:qFormat/>
    <w:pPr>
      <w:keepNext w:val="true"/>
      <w:pBdr/>
      <w:spacing w:after="120" w:before="120"/>
      <w:ind/>
      <w:jc w:val="center"/>
      <w:outlineLvl w:val="0"/>
    </w:pPr>
    <w:rPr>
      <w:b/>
      <w:bCs/>
      <w:sz w:val="27"/>
      <w:szCs w:val="27"/>
    </w:rPr>
  </w:style>
  <w:style w:type="paragraph" w:styleId="1009">
    <w:name w:val="Heading 2"/>
    <w:basedOn w:val="1007"/>
    <w:next w:val="1007"/>
    <w:link w:val="101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0">
    <w:name w:val="Heading 3"/>
    <w:basedOn w:val="1007"/>
    <w:next w:val="1007"/>
    <w:link w:val="1017"/>
    <w:qFormat/>
    <w:pPr>
      <w:keepNext w:val="true"/>
      <w:pBdr/>
      <w:spacing w:before="60"/>
      <w:ind/>
      <w:outlineLvl w:val="2"/>
    </w:pPr>
    <w:rPr>
      <w:sz w:val="28"/>
      <w:szCs w:val="28"/>
    </w:rPr>
  </w:style>
  <w:style w:type="paragraph" w:styleId="1011">
    <w:name w:val="Heading 4"/>
    <w:basedOn w:val="1007"/>
    <w:next w:val="1007"/>
    <w:link w:val="1018"/>
    <w:qFormat/>
    <w:pPr>
      <w:keepNext w:val="true"/>
      <w:pBdr/>
      <w:spacing/>
      <w:ind/>
      <w:jc w:val="center"/>
      <w:outlineLvl w:val="3"/>
    </w:pPr>
    <w:rPr>
      <w:b/>
      <w:bCs/>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link w:val="1008"/>
    <w:pPr>
      <w:pBdr/>
      <w:spacing/>
      <w:ind/>
    </w:pPr>
    <w:rPr>
      <w:rFonts w:ascii="Times New Roman" w:hAnsi="Times New Roman" w:eastAsia="Times New Roman" w:cs="Times New Roman"/>
      <w:b/>
      <w:bCs/>
      <w:sz w:val="27"/>
      <w:szCs w:val="27"/>
    </w:rPr>
  </w:style>
  <w:style w:type="character" w:styleId="1016" w:customStyle="1">
    <w:name w:val="Heading 2 Char"/>
    <w:basedOn w:val="1012"/>
    <w:link w:val="1009"/>
    <w:uiPriority w:val="9"/>
    <w:pPr>
      <w:pBdr/>
      <w:spacing/>
      <w:ind/>
    </w:pPr>
    <w:rPr>
      <w:rFonts w:asciiTheme="majorHAnsi" w:hAnsiTheme="majorHAnsi" w:eastAsiaTheme="majorEastAsia" w:cstheme="majorBidi"/>
      <w:color w:val="365f91" w:themeColor="accent1" w:themeShade="BF"/>
      <w:sz w:val="26"/>
      <w:szCs w:val="26"/>
    </w:rPr>
  </w:style>
  <w:style w:type="character" w:styleId="1017" w:customStyle="1">
    <w:name w:val="Heading 3 Char"/>
    <w:basedOn w:val="1012"/>
    <w:link w:val="1010"/>
    <w:pPr>
      <w:pBdr/>
      <w:spacing/>
      <w:ind/>
    </w:pPr>
    <w:rPr>
      <w:rFonts w:ascii="Times New Roman" w:hAnsi="Times New Roman" w:eastAsia="Times New Roman" w:cs="Times New Roman"/>
      <w:sz w:val="28"/>
      <w:szCs w:val="28"/>
    </w:rPr>
  </w:style>
  <w:style w:type="character" w:styleId="1018" w:customStyle="1">
    <w:name w:val="Heading 4 Char"/>
    <w:basedOn w:val="1012"/>
    <w:link w:val="1011"/>
    <w:pPr>
      <w:pBdr/>
      <w:spacing/>
      <w:ind/>
    </w:pPr>
    <w:rPr>
      <w:rFonts w:ascii="Times New Roman" w:hAnsi="Times New Roman" w:eastAsia="Times New Roman" w:cs="Times New Roman"/>
      <w:b/>
      <w:bCs/>
      <w:sz w:val="24"/>
      <w:szCs w:val="24"/>
    </w:rPr>
  </w:style>
  <w:style w:type="character" w:styleId="1019">
    <w:name w:val="Hyperlink"/>
    <w:uiPriority w:val="99"/>
    <w:pPr>
      <w:pBdr/>
      <w:spacing/>
      <w:ind/>
    </w:pPr>
    <w:rPr>
      <w:color w:val="000000"/>
      <w:u w:val="single"/>
    </w:rPr>
  </w:style>
  <w:style w:type="character" w:styleId="1020">
    <w:name w:val="Strong"/>
    <w:uiPriority w:val="22"/>
    <w:qFormat/>
    <w:pPr>
      <w:pBdr/>
      <w:spacing/>
      <w:ind/>
    </w:pPr>
    <w:rPr>
      <w:b/>
      <w:bCs/>
    </w:rPr>
  </w:style>
  <w:style w:type="paragraph" w:styleId="1021">
    <w:name w:val="Balloon Text"/>
    <w:basedOn w:val="1007"/>
    <w:link w:val="1022"/>
    <w:uiPriority w:val="99"/>
    <w:semiHidden/>
    <w:unhideWhenUsed/>
    <w:pPr>
      <w:pBdr/>
      <w:spacing/>
      <w:ind/>
    </w:pPr>
    <w:rPr>
      <w:rFonts w:ascii="Tahoma" w:hAnsi="Tahoma" w:cs="Tahoma"/>
      <w:sz w:val="16"/>
      <w:szCs w:val="16"/>
    </w:rPr>
  </w:style>
  <w:style w:type="character" w:styleId="1022" w:customStyle="1">
    <w:name w:val="Balloon Text Char"/>
    <w:basedOn w:val="1012"/>
    <w:link w:val="1021"/>
    <w:uiPriority w:val="99"/>
    <w:semiHidden/>
    <w:pPr>
      <w:pBdr/>
      <w:spacing/>
      <w:ind/>
    </w:pPr>
    <w:rPr>
      <w:rFonts w:ascii="Tahoma" w:hAnsi="Tahoma" w:eastAsia="Times New Roman" w:cs="Tahoma"/>
      <w:sz w:val="16"/>
      <w:szCs w:val="16"/>
    </w:rPr>
  </w:style>
  <w:style w:type="paragraph" w:styleId="1023">
    <w:name w:val="Header"/>
    <w:basedOn w:val="1007"/>
    <w:link w:val="1024"/>
    <w:unhideWhenUsed/>
    <w:pPr>
      <w:pBdr/>
      <w:tabs>
        <w:tab w:val="center" w:leader="none" w:pos="4680"/>
        <w:tab w:val="right" w:leader="none" w:pos="9360"/>
      </w:tabs>
      <w:spacing/>
      <w:ind/>
    </w:pPr>
  </w:style>
  <w:style w:type="character" w:styleId="1024" w:customStyle="1">
    <w:name w:val="Header Char"/>
    <w:basedOn w:val="1012"/>
    <w:link w:val="1023"/>
    <w:pPr>
      <w:pBdr/>
      <w:spacing/>
      <w:ind/>
    </w:pPr>
    <w:rPr>
      <w:rFonts w:ascii="Times New Roman" w:hAnsi="Times New Roman" w:eastAsia="Times New Roman" w:cs="Times New Roman"/>
      <w:sz w:val="24"/>
      <w:szCs w:val="24"/>
    </w:rPr>
  </w:style>
  <w:style w:type="paragraph" w:styleId="1025">
    <w:name w:val="Footer"/>
    <w:basedOn w:val="1007"/>
    <w:link w:val="1026"/>
    <w:uiPriority w:val="99"/>
    <w:unhideWhenUsed/>
    <w:pPr>
      <w:pBdr/>
      <w:tabs>
        <w:tab w:val="center" w:leader="none" w:pos="4680"/>
        <w:tab w:val="right" w:leader="none" w:pos="9360"/>
      </w:tabs>
      <w:spacing/>
      <w:ind/>
    </w:pPr>
  </w:style>
  <w:style w:type="character" w:styleId="1026" w:customStyle="1">
    <w:name w:val="Footer Char"/>
    <w:basedOn w:val="1012"/>
    <w:link w:val="1025"/>
    <w:uiPriority w:val="99"/>
    <w:pPr>
      <w:pBdr/>
      <w:spacing/>
      <w:ind/>
    </w:pPr>
    <w:rPr>
      <w:rFonts w:ascii="Times New Roman" w:hAnsi="Times New Roman" w:eastAsia="Times New Roman" w:cs="Times New Roman"/>
      <w:sz w:val="24"/>
      <w:szCs w:val="24"/>
    </w:rPr>
  </w:style>
  <w:style w:type="character" w:styleId="1027" w:customStyle="1">
    <w:name w:val="normal-h1"/>
    <w:pPr>
      <w:pBdr/>
      <w:spacing/>
      <w:ind/>
    </w:pPr>
    <w:rPr>
      <w:rFonts w:hint="default" w:ascii=".VnTime" w:hAnsi=".VnTime"/>
      <w:color w:val="0000ff"/>
      <w:sz w:val="24"/>
      <w:szCs w:val="24"/>
    </w:rPr>
  </w:style>
  <w:style w:type="paragraph" w:styleId="1028" w:customStyle="1">
    <w:name w:val="normal-p"/>
    <w:basedOn w:val="1007"/>
    <w:pPr>
      <w:pBdr/>
      <w:spacing/>
      <w:ind/>
      <w:jc w:val="both"/>
    </w:pPr>
    <w:rPr>
      <w:sz w:val="20"/>
      <w:szCs w:val="20"/>
    </w:rPr>
  </w:style>
  <w:style w:type="paragraph" w:styleId="1029">
    <w:name w:val="List Paragraph"/>
    <w:basedOn w:val="1007"/>
    <w:link w:val="1116"/>
    <w:uiPriority w:val="34"/>
    <w:qFormat/>
    <w:pPr>
      <w:pBdr/>
      <w:spacing/>
      <w:ind w:left="720"/>
    </w:pPr>
  </w:style>
  <w:style w:type="paragraph" w:styleId="1030">
    <w:name w:val="Normal (Web)"/>
    <w:basedOn w:val="1007"/>
    <w:uiPriority w:val="99"/>
    <w:pPr>
      <w:pBdr/>
      <w:spacing w:after="100" w:afterAutospacing="1" w:before="100" w:beforeAutospacing="1"/>
      <w:ind/>
    </w:pPr>
  </w:style>
  <w:style w:type="paragraph" w:styleId="1031">
    <w:name w:val="Body Text"/>
    <w:basedOn w:val="1007"/>
    <w:link w:val="1032"/>
    <w:pPr>
      <w:pBdr/>
      <w:spacing w:after="120"/>
      <w:ind/>
      <w:jc w:val="both"/>
    </w:pPr>
  </w:style>
  <w:style w:type="character" w:styleId="1032" w:customStyle="1">
    <w:name w:val="Body Text Char"/>
    <w:basedOn w:val="1012"/>
    <w:link w:val="1031"/>
    <w:pPr>
      <w:pBdr/>
      <w:spacing/>
      <w:ind/>
    </w:pPr>
    <w:rPr>
      <w:rFonts w:ascii="Times New Roman" w:hAnsi="Times New Roman" w:eastAsia="Times New Roman" w:cs="Times New Roman"/>
      <w:sz w:val="24"/>
      <w:szCs w:val="24"/>
    </w:rPr>
  </w:style>
  <w:style w:type="table" w:styleId="1033">
    <w:name w:val="Table Grid"/>
    <w:basedOn w:val="101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5">
    <w:name w:val="annotation reference"/>
    <w:basedOn w:val="1012"/>
    <w:uiPriority w:val="99"/>
    <w:semiHidden/>
    <w:unhideWhenUsed/>
    <w:pPr>
      <w:pBdr/>
      <w:spacing/>
      <w:ind/>
    </w:pPr>
    <w:rPr>
      <w:sz w:val="16"/>
      <w:szCs w:val="16"/>
    </w:rPr>
  </w:style>
  <w:style w:type="paragraph" w:styleId="1036">
    <w:name w:val="annotation text"/>
    <w:basedOn w:val="1007"/>
    <w:link w:val="1037"/>
    <w:uiPriority w:val="99"/>
    <w:unhideWhenUsed/>
    <w:pPr>
      <w:pBdr/>
      <w:spacing/>
      <w:ind/>
    </w:pPr>
    <w:rPr>
      <w:sz w:val="20"/>
      <w:szCs w:val="20"/>
    </w:rPr>
  </w:style>
  <w:style w:type="character" w:styleId="1037" w:customStyle="1">
    <w:name w:val="Comment Text Char"/>
    <w:basedOn w:val="1012"/>
    <w:link w:val="1036"/>
    <w:uiPriority w:val="99"/>
    <w:pPr>
      <w:pBdr/>
      <w:spacing/>
      <w:ind/>
    </w:pPr>
    <w:rPr>
      <w:rFonts w:ascii="Times New Roman" w:hAnsi="Times New Roman" w:eastAsia="Times New Roman" w:cs="Times New Roman"/>
      <w:sz w:val="20"/>
      <w:szCs w:val="20"/>
    </w:rPr>
  </w:style>
  <w:style w:type="paragraph" w:styleId="1038">
    <w:name w:val="annotation subject"/>
    <w:basedOn w:val="1036"/>
    <w:next w:val="1036"/>
    <w:link w:val="1039"/>
    <w:uiPriority w:val="99"/>
    <w:semiHidden/>
    <w:unhideWhenUsed/>
    <w:pPr>
      <w:pBdr/>
      <w:spacing/>
      <w:ind/>
    </w:pPr>
    <w:rPr>
      <w:b/>
      <w:bCs/>
    </w:rPr>
  </w:style>
  <w:style w:type="character" w:styleId="1039" w:customStyle="1">
    <w:name w:val="Comment Subject Char"/>
    <w:basedOn w:val="1037"/>
    <w:link w:val="1038"/>
    <w:uiPriority w:val="99"/>
    <w:semiHidden/>
    <w:pPr>
      <w:pBdr/>
      <w:spacing/>
      <w:ind/>
    </w:pPr>
    <w:rPr>
      <w:rFonts w:ascii="Times New Roman" w:hAnsi="Times New Roman" w:eastAsia="Times New Roman" w:cs="Times New Roman"/>
      <w:b/>
      <w:bCs/>
      <w:sz w:val="20"/>
      <w:szCs w:val="20"/>
    </w:rPr>
  </w:style>
  <w:style w:type="paragraph" w:styleId="1040" w:customStyle="1">
    <w:name w:val="font5"/>
    <w:basedOn w:val="1007"/>
    <w:pPr>
      <w:pBdr/>
      <w:spacing w:after="100" w:afterAutospacing="1" w:before="100" w:beforeAutospacing="1"/>
      <w:ind/>
    </w:pPr>
    <w:rPr>
      <w:rFonts w:ascii="Tahoma" w:hAnsi="Tahoma" w:cs="Tahoma"/>
      <w:color w:val="000000"/>
      <w:sz w:val="18"/>
      <w:szCs w:val="18"/>
    </w:rPr>
  </w:style>
  <w:style w:type="paragraph" w:styleId="1041" w:customStyle="1">
    <w:name w:val="font6"/>
    <w:basedOn w:val="1007"/>
    <w:pPr>
      <w:pBdr/>
      <w:spacing w:after="100" w:afterAutospacing="1" w:before="100" w:beforeAutospacing="1"/>
      <w:ind/>
    </w:pPr>
    <w:rPr>
      <w:rFonts w:ascii="Tahoma" w:hAnsi="Tahoma" w:cs="Tahoma"/>
      <w:b/>
      <w:bCs/>
      <w:color w:val="000000"/>
      <w:sz w:val="18"/>
      <w:szCs w:val="18"/>
    </w:rPr>
  </w:style>
  <w:style w:type="paragraph" w:styleId="1042" w:customStyle="1">
    <w:name w:val="xl23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34"/>
    <w:basedOn w:val="1007"/>
    <w:pPr>
      <w:pBdr/>
      <w:spacing w:after="100" w:afterAutospacing="1" w:before="100" w:beforeAutospacing="1"/>
      <w:ind/>
      <w:jc w:val="center"/>
    </w:pPr>
  </w:style>
  <w:style w:type="paragraph" w:styleId="1044" w:customStyle="1">
    <w:name w:val="xl235"/>
    <w:basedOn w:val="1007"/>
    <w:pPr>
      <w:pBdr/>
      <w:spacing w:after="100" w:afterAutospacing="1" w:before="100" w:beforeAutospacing="1"/>
      <w:ind/>
      <w:jc w:val="center"/>
    </w:pPr>
    <w:rPr>
      <w:b/>
      <w:bCs/>
    </w:rPr>
  </w:style>
  <w:style w:type="paragraph" w:styleId="1045" w:customStyle="1">
    <w:name w:val="xl236"/>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3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38"/>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3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40"/>
    <w:basedOn w:val="1007"/>
    <w:pPr>
      <w:pBdr/>
      <w:spacing w:after="100" w:afterAutospacing="1" w:before="100" w:beforeAutospacing="1"/>
      <w:ind/>
    </w:pPr>
  </w:style>
  <w:style w:type="paragraph" w:styleId="1050" w:customStyle="1">
    <w:name w:val="xl241"/>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42"/>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3"/>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44"/>
    <w:basedOn w:val="1007"/>
    <w:pPr>
      <w:pBdr/>
      <w:spacing w:after="100" w:afterAutospacing="1" w:before="100" w:beforeAutospacing="1"/>
      <w:ind/>
    </w:pPr>
    <w:rPr>
      <w:b/>
      <w:bCs/>
    </w:rPr>
  </w:style>
  <w:style w:type="paragraph" w:styleId="1054" w:customStyle="1">
    <w:name w:val="xl245"/>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47"/>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4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8" w:customStyle="1">
    <w:name w:val="xl24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5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5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3"/>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4"/>
    <w:basedOn w:val="100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5"/>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8"/>
    <w:basedOn w:val="100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0"/>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1"/>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2"/>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63"/>
    <w:basedOn w:val="1007"/>
    <w:pPr>
      <w:pBdr/>
      <w:shd w:val="clear" w:color="000000" w:fill="ffffff"/>
      <w:spacing w:after="100" w:afterAutospacing="1" w:before="100" w:beforeAutospacing="1"/>
      <w:ind/>
    </w:pPr>
  </w:style>
  <w:style w:type="paragraph" w:styleId="1073" w:customStyle="1">
    <w:name w:val="xl264"/>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5"/>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6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6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68"/>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9"/>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7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1"/>
    <w:basedOn w:val="100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1" w:customStyle="1">
    <w:name w:val="xl27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73"/>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74"/>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5"/>
    <w:basedOn w:val="1007"/>
    <w:pPr>
      <w:pBdr/>
      <w:spacing w:after="100" w:afterAutospacing="1" w:before="100" w:beforeAutospacing="1"/>
      <w:ind/>
    </w:pPr>
  </w:style>
  <w:style w:type="paragraph" w:styleId="1085" w:customStyle="1">
    <w:name w:val="xl27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77"/>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7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7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8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8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8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4"/>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5"/>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7"/>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8"/>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89"/>
    <w:basedOn w:val="1007"/>
    <w:pPr>
      <w:pBdr>
        <w:left w:val="single" w:color="000000" w:sz="4" w:space="0"/>
        <w:right w:val="single" w:color="000000" w:sz="4" w:space="0"/>
      </w:pBdr>
      <w:spacing w:after="100" w:afterAutospacing="1" w:before="100" w:beforeAutospacing="1"/>
      <w:ind/>
    </w:pPr>
    <w:rPr>
      <w:b/>
      <w:bCs/>
    </w:rPr>
  </w:style>
  <w:style w:type="paragraph" w:styleId="1099" w:customStyle="1">
    <w:name w:val="xl29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91"/>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92"/>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93"/>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94"/>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name w:val="Title"/>
    <w:basedOn w:val="1007"/>
    <w:link w:val="1105"/>
    <w:qFormat/>
    <w:pPr>
      <w:pBdr/>
      <w:spacing/>
      <w:ind/>
      <w:jc w:val="center"/>
    </w:pPr>
    <w:rPr>
      <w:b/>
      <w:bCs/>
      <w:sz w:val="32"/>
      <w:szCs w:val="26"/>
    </w:rPr>
  </w:style>
  <w:style w:type="character" w:styleId="1105" w:customStyle="1">
    <w:name w:val="Title Char"/>
    <w:basedOn w:val="1012"/>
    <w:link w:val="1104"/>
    <w:pPr>
      <w:pBdr/>
      <w:spacing/>
      <w:ind/>
    </w:pPr>
    <w:rPr>
      <w:rFonts w:ascii="Times New Roman" w:hAnsi="Times New Roman" w:eastAsia="Times New Roman" w:cs="Times New Roman"/>
      <w:b/>
      <w:bCs/>
      <w:sz w:val="32"/>
      <w:szCs w:val="26"/>
    </w:rPr>
  </w:style>
  <w:style w:type="character" w:styleId="1106" w:customStyle="1">
    <w:name w:val="Unresolved Mention1"/>
    <w:basedOn w:val="1012"/>
    <w:uiPriority w:val="99"/>
    <w:semiHidden/>
    <w:unhideWhenUsed/>
    <w:pPr>
      <w:pBdr/>
      <w:spacing/>
      <w:ind/>
    </w:pPr>
    <w:rPr>
      <w:color w:val="605e5c"/>
      <w:shd w:val="clear" w:color="auto" w:fill="e1dfdd"/>
    </w:rPr>
  </w:style>
  <w:style w:type="character" w:styleId="1107" w:customStyle="1">
    <w:name w:val="Body text (3)_"/>
    <w:link w:val="1108"/>
    <w:pPr>
      <w:pBdr/>
      <w:spacing/>
      <w:ind/>
    </w:pPr>
    <w:rPr>
      <w:rFonts w:ascii="Times New Roman" w:hAnsi="Times New Roman" w:cs="Times New Roman"/>
      <w:i/>
      <w:iCs/>
      <w:spacing w:val="4"/>
      <w:shd w:val="clear" w:color="auto" w:fill="ffffff"/>
    </w:rPr>
  </w:style>
  <w:style w:type="paragraph" w:styleId="1108" w:customStyle="1">
    <w:name w:val="Body text (3)1"/>
    <w:basedOn w:val="1007"/>
    <w:link w:val="110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9" w:customStyle="1">
    <w:name w:val="t-j"/>
    <w:basedOn w:val="1007"/>
    <w:pPr>
      <w:pBdr/>
      <w:spacing w:after="100" w:afterAutospacing="1" w:before="100" w:beforeAutospacing="1"/>
      <w:ind/>
    </w:pPr>
  </w:style>
  <w:style w:type="character" w:styleId="1110" w:customStyle="1">
    <w:name w:val="Unresolved Mention2"/>
    <w:basedOn w:val="1012"/>
    <w:uiPriority w:val="99"/>
    <w:semiHidden/>
    <w:unhideWhenUsed/>
    <w:pPr>
      <w:pBdr/>
      <w:spacing/>
      <w:ind/>
    </w:pPr>
    <w:rPr>
      <w:color w:val="605e5c"/>
      <w:shd w:val="clear" w:color="auto" w:fill="e1dfdd"/>
    </w:rPr>
  </w:style>
  <w:style w:type="character" w:styleId="1111">
    <w:name w:val="FollowedHyperlink"/>
    <w:basedOn w:val="1012"/>
    <w:uiPriority w:val="99"/>
    <w:semiHidden/>
    <w:unhideWhenUsed/>
    <w:pPr>
      <w:pBdr/>
      <w:spacing/>
      <w:ind/>
    </w:pPr>
    <w:rPr>
      <w:color w:val="800080" w:themeColor="followedHyperlink"/>
      <w:u w:val="single"/>
    </w:rPr>
  </w:style>
  <w:style w:type="character" w:styleId="1112" w:customStyle="1">
    <w:name w:val="text"/>
    <w:basedOn w:val="1012"/>
    <w:pPr>
      <w:pBdr/>
      <w:spacing/>
      <w:ind/>
    </w:pPr>
  </w:style>
  <w:style w:type="character" w:styleId="1113" w:customStyle="1">
    <w:name w:val="card-send-time__sendtime"/>
    <w:basedOn w:val="1012"/>
    <w:pPr>
      <w:pBdr/>
      <w:spacing/>
      <w:ind/>
    </w:pPr>
  </w:style>
  <w:style w:type="character" w:styleId="1114" w:customStyle="1">
    <w:name w:val="Đề cập Chưa giải quyết1"/>
    <w:basedOn w:val="1012"/>
    <w:uiPriority w:val="99"/>
    <w:semiHidden/>
    <w:unhideWhenUsed/>
    <w:pPr>
      <w:pBdr/>
      <w:spacing/>
      <w:ind/>
    </w:pPr>
    <w:rPr>
      <w:color w:val="605e5c"/>
      <w:shd w:val="clear" w:color="auto" w:fill="e1dfdd"/>
    </w:rPr>
  </w:style>
  <w:style w:type="paragraph" w:styleId="1115" w:customStyle="1">
    <w:name w:val="nqtitle"/>
    <w:basedOn w:val="1007"/>
    <w:pPr>
      <w:pBdr/>
      <w:spacing w:after="100" w:afterAutospacing="1" w:before="100" w:beforeAutospacing="1"/>
      <w:ind/>
    </w:pPr>
    <w:rPr>
      <w:lang w:val="vi-VN" w:eastAsia="vi-VN"/>
    </w:rPr>
  </w:style>
  <w:style w:type="character" w:styleId="1116" w:customStyle="1">
    <w:name w:val="List Paragraph Char"/>
    <w:link w:val="1029"/>
    <w:uiPriority w:val="34"/>
    <w:qFormat/>
    <w:pPr>
      <w:pBdr/>
      <w:spacing/>
      <w:ind/>
    </w:pPr>
    <w:rPr>
      <w:rFonts w:ascii="Times New Roman" w:hAnsi="Times New Roman" w:eastAsia="Times New Roman" w:cs="Times New Roman"/>
      <w:sz w:val="24"/>
      <w:szCs w:val="24"/>
    </w:rPr>
  </w:style>
  <w:style w:type="character" w:styleId="1117" w:customStyle="1">
    <w:name w:val="Đề cập Chưa giải quyết2"/>
    <w:basedOn w:val="1012"/>
    <w:uiPriority w:val="99"/>
    <w:semiHidden/>
    <w:unhideWhenUsed/>
    <w:pPr>
      <w:pBdr/>
      <w:spacing/>
      <w:ind/>
    </w:pPr>
    <w:rPr>
      <w:color w:val="605e5c"/>
      <w:shd w:val="clear" w:color="auto" w:fill="e1dfdd"/>
    </w:rPr>
  </w:style>
  <w:style w:type="character" w:styleId="1118" w:customStyle="1">
    <w:name w:val="Unresolved Mention3"/>
    <w:basedOn w:val="1012"/>
    <w:uiPriority w:val="99"/>
    <w:semiHidden/>
    <w:unhideWhenUsed/>
    <w:pPr>
      <w:pBdr/>
      <w:spacing/>
      <w:ind/>
    </w:pPr>
    <w:rPr>
      <w:color w:val="605e5c"/>
      <w:shd w:val="clear" w:color="auto" w:fill="e1dfdd"/>
    </w:rPr>
  </w:style>
  <w:style w:type="character" w:styleId="1119" w:customStyle="1">
    <w:name w:val="copy"/>
    <w:basedOn w:val="1012"/>
    <w:pPr>
      <w:pBdr/>
      <w:spacing/>
      <w:ind/>
    </w:pPr>
  </w:style>
  <w:style w:type="paragraph" w:styleId="1120" w:customStyle="1">
    <w:name w:val="align-justify"/>
    <w:basedOn w:val="1007"/>
    <w:pPr>
      <w:pBdr/>
      <w:spacing w:after="100" w:afterAutospacing="1" w:before="100" w:beforeAutospacing="1"/>
      <w:ind/>
    </w:pPr>
  </w:style>
  <w:style w:type="character" w:styleId="1121" w:customStyle="1">
    <w:name w:val="btn"/>
    <w:basedOn w:val="1012"/>
    <w:pPr>
      <w:pBdr/>
      <w:spacing/>
      <w:ind/>
    </w:pPr>
  </w:style>
  <w:style w:type="character" w:styleId="1122" w:customStyle="1">
    <w:name w:val="hide_mobile"/>
    <w:basedOn w:val="1012"/>
    <w:pPr>
      <w:pBdr/>
      <w:spacing/>
      <w:ind/>
    </w:pPr>
  </w:style>
  <w:style w:type="character" w:styleId="1123">
    <w:name w:val="Emphasis"/>
    <w:basedOn w:val="1012"/>
    <w:uiPriority w:val="20"/>
    <w:qFormat/>
    <w:pPr>
      <w:pBdr/>
      <w:spacing/>
      <w:ind/>
    </w:pPr>
    <w:rPr>
      <w:i/>
      <w:iCs/>
    </w:rPr>
  </w:style>
  <w:style w:type="character" w:styleId="1124" w:customStyle="1">
    <w:name w:val="t1"/>
    <w:basedOn w:val="1012"/>
    <w:pPr>
      <w:pBdr/>
      <w:spacing/>
      <w:ind/>
    </w:pPr>
  </w:style>
  <w:style w:type="character" w:styleId="1125" w:customStyle="1">
    <w:name w:val="Unresolved Mention4"/>
    <w:basedOn w:val="1012"/>
    <w:uiPriority w:val="99"/>
    <w:semiHidden/>
    <w:unhideWhenUsed/>
    <w:pPr>
      <w:pBdr/>
      <w:spacing/>
      <w:ind/>
    </w:pPr>
    <w:rPr>
      <w:color w:val="605e5c"/>
      <w:shd w:val="clear" w:color="auto" w:fill="e1dfdd"/>
    </w:rPr>
  </w:style>
  <w:style w:type="character" w:styleId="1126">
    <w:name w:val="Unresolved Mention"/>
    <w:basedOn w:val="101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thanglong.chinhphu.vn/buc-tranh-thi-truong-bat-dong-san-ha-noi-nam-2026-ha-tang-dan-dat-thi-truong-buoc-vao-chu-ky-tang-truong-moi-103260101181315972.htm" TargetMode="External"/><Relationship Id="rId18" Type="http://schemas.openxmlformats.org/officeDocument/2006/relationships/image" Target="media/image3.jpg"/><Relationship Id="rId19" Type="http://schemas.openxmlformats.org/officeDocument/2006/relationships/image" Target="media/image4.png"/><Relationship Id="rId20" Type="http://schemas.openxmlformats.org/officeDocument/2006/relationships/hyperlink" Target="https://batdongsan.com.vn/ban-dat-duong-thuy-linh-phuong-linh-nam-8/em-chinh-chu-can-ban-manh-at-tho-cu-32m-3-65-ty-so-o-vuong-et-tai-pho-hoang-mai-pr45425917" TargetMode="External"/><Relationship Id="rId21" Type="http://schemas.openxmlformats.org/officeDocument/2006/relationships/hyperlink" Target="https://alonhadat.com.vn/ban-nha-thuy-linh-linh-nam-33-36m-4-tang-4-78-ty-ngo-rong-o-to-qua-17088376.html" TargetMode="External"/><Relationship Id="rId22" Type="http://schemas.openxmlformats.org/officeDocument/2006/relationships/image" Target="media/image5.jpg"/><Relationship Id="rId23" Type="http://schemas.openxmlformats.org/officeDocument/2006/relationships/image" Target="media/image6.jpg"/><Relationship Id="rId24" Type="http://schemas.openxmlformats.org/officeDocument/2006/relationships/image" Target="media/image7.jpg"/><Relationship Id="rId25" Type="http://schemas.openxmlformats.org/officeDocument/2006/relationships/image" Target="media/image8.jpg"/><Relationship Id="rId26" Type="http://schemas.openxmlformats.org/officeDocument/2006/relationships/image" Target="media/image9.jpg"/><Relationship Id="rId27" Type="http://schemas.openxmlformats.org/officeDocument/2006/relationships/image" Target="media/image10.jpg"/><Relationship Id="rId28" Type="http://schemas.openxmlformats.org/officeDocument/2006/relationships/image" Target="media/image11.png"/><Relationship Id="rId29" Type="http://schemas.openxmlformats.org/officeDocument/2006/relationships/image" Target="media/image12.png"/><Relationship Id="rId30" Type="http://schemas.openxmlformats.org/officeDocument/2006/relationships/image" Target="media/image13.png"/><Relationship Id="rId31" Type="http://schemas.openxmlformats.org/officeDocument/2006/relationships/image" Target="media/image14.png"/><Relationship Id="rId32" Type="http://schemas.openxmlformats.org/officeDocument/2006/relationships/image" Target="media/image15.jpg"/><Relationship Id="rId33" Type="http://schemas.openxmlformats.org/officeDocument/2006/relationships/image" Target="media/image16.jpg"/><Relationship Id="rId34" Type="http://schemas.openxmlformats.org/officeDocument/2006/relationships/image" Target="media/image17.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Trương Thị Diệp</cp:lastModifiedBy>
  <cp:revision>281</cp:revision>
  <dcterms:created xsi:type="dcterms:W3CDTF">2025-09-15T09:58:00Z</dcterms:created>
  <dcterms:modified xsi:type="dcterms:W3CDTF">2026-05-07T02:24:56Z</dcterms:modified>
</cp:coreProperties>
</file>