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highlight w:val="white"/>
        </w:rPr>
      </w:pPr>
      <w:r>
        <w:rPr>
          <w:b/>
          <w:sz w:val="28"/>
          <w:highlight w:val="white"/>
          <w:lang w:val="vi-VN"/>
        </w:rPr>
      </w:r>
      <w:r>
        <w:rPr>
          <w:b/>
          <w:sz w:val="28"/>
          <w:highlight w:val="white"/>
          <w:lang w:val="vi-VN"/>
        </w:rPr>
      </w:r>
      <w:r>
        <w:rPr>
          <w:b/>
          <w:sz w:val="28"/>
          <w:highlight w:val="white"/>
          <w:lang w:val="vi-VN"/>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275/2026/1017/VFI-CT.44.A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Nguyễn Thị Bảo</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color w:val="000000" w:themeColor="text1"/>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85, tờ bản đồ số: 18, có địa chỉ: Thôn Mỹ Xá, xã Minh Tân, huyện Nam Sách, tỉnh Hải Dương (nay là xã Thái Tân, th</w:t>
                            </w:r>
                            <w:r>
                              <w:rPr>
                                <w:color w:val="000000" w:themeColor="text1"/>
                              </w:rPr>
                              <w:t xml:space="preserve">ành phố Hải Phòng) theo Giấy chứng nhận quyền sử dụng đất, quyền sở hữu nhà ở và tài sản khác gắn liền với đất số: CQ 638656, Số vào sổ cấp GCN: CH00045 do UBND huyện Nam Sách cấp ngày 27/03/2019; chủ sử dụng đất là Ông Nguyễn Văn Đoàn và Bà Nguyễn Thị Bảo</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07/2026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lang w:val="pt-BR"/>
                              </w:rPr>
                            </w:r>
                            <w:r>
                              <w:rPr>
                                <w:b/>
                                <w:color w:val="000000" w:themeColor="text1"/>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275/2026/1017/VFI-CT.44.A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Nguyễn Thị Bảo</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color w:val="000000" w:themeColor="text1"/>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85, tờ bản đồ số: 18, có địa chỉ: Thôn Mỹ Xá, xã Minh Tân, huyện Nam Sách, tỉnh Hải Dương (nay là xã Thái Tân, th</w:t>
                      </w:r>
                      <w:r>
                        <w:rPr>
                          <w:color w:val="000000" w:themeColor="text1"/>
                        </w:rPr>
                        <w:t xml:space="preserve">ành phố Hải Phòng) theo Giấy chứng nhận quyền sử dụng đất, quyền sở hữu nhà ở và tài sản khác gắn liền với đất số: CQ 638656, Số vào sổ cấp GCN: CH00045 do UBND huyện Nam Sách cấp ngày 27/03/2019; chủ sử dụng đất là Ông Nguyễn Văn Đoàn và Bà Nguyễn Thị Bảo</w:t>
                      </w:r>
                      <w:r>
                        <w:rPr>
                          <w:bCs/>
                          <w:i/>
                          <w:iCs/>
                          <w:color w:val="000000" w:themeColor="text1"/>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07/2026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lang w:val="pt-BR"/>
                        </w:rPr>
                      </w:r>
                      <w:r>
                        <w:rPr>
                          <w:b/>
                          <w:color w:val="000000" w:themeColor="text1"/>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4-22</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 + Pháp lý + BBKS</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23-27</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28</w:t>
            </w:r>
            <w:r>
              <w:rPr>
                <w:b/>
                <w:bCs/>
                <w:highlight w:val="white"/>
              </w:rPr>
              <w:t xml:space="preserve">-32</w:t>
            </w:r>
            <w:r>
              <w:rPr>
                <w:b/>
                <w:bCs/>
                <w:highlight w:val="white"/>
              </w:rPr>
            </w:r>
            <w:r>
              <w:rPr>
                <w:b/>
                <w:bCs/>
                <w:highlight w:val="white"/>
              </w:rPr>
            </w:r>
          </w:p>
        </w:tc>
      </w:tr>
    </w:tbl>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4"/>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highlight w:val="white"/>
              </w:rPr>
            </w:pPr>
            <w:r>
              <w:rPr>
                <w:rStyle w:val="1033"/>
                <w:rFonts w:ascii="Times New Roman" w:hAnsi="Times New Roman"/>
                <w:color w:val="000000" w:themeColor="text1"/>
                <w:highlight w:val="white"/>
                <w:lang w:val="pt-BR"/>
              </w:rPr>
              <w:t xml:space="preserve">Số: </w:t>
            </w:r>
            <w:r>
              <w:rPr>
                <w:rStyle w:val="1033"/>
                <w:rFonts w:ascii="Times New Roman" w:hAnsi="Times New Roman"/>
                <w:color w:val="000000" w:themeColor="text1"/>
                <w:highlight w:val="white"/>
                <w:lang w:val="pt-BR"/>
              </w:rPr>
              <w:t xml:space="preserve">275/2026/1017/VFI-CT.44.A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highlight w:val="white"/>
              </w:rPr>
            </w:pPr>
            <w:r>
              <w:rPr>
                <w:rStyle w:val="1033"/>
                <w:rFonts w:ascii="Times New Roman" w:hAnsi="Times New Roman"/>
                <w:i/>
                <w:color w:val="auto"/>
                <w:highlight w:val="white"/>
              </w:rPr>
              <w:t xml:space="preserve">TP. Hà Nội</w:t>
            </w:r>
            <w:r>
              <w:rPr>
                <w:rStyle w:val="1033"/>
                <w:rFonts w:ascii="Times New Roman" w:hAnsi="Times New Roman"/>
                <w:i/>
                <w:color w:val="auto"/>
                <w:highlight w:val="white"/>
                <w:lang w:val="vi-VN"/>
              </w:rPr>
              <w:t xml:space="preserve">, </w:t>
            </w:r>
            <w:r>
              <w:rPr>
                <w:rStyle w:val="1033"/>
                <w:rFonts w:ascii="Times New Roman" w:hAnsi="Times New Roman"/>
                <w:i/>
                <w:color w:val="000000" w:themeColor="text1"/>
                <w:highlight w:val="white"/>
                <w:lang w:val="vi-VN"/>
              </w:rPr>
              <w:t xml:space="preserve">ngày 6 tháng 7 năm 2026</w:t>
            </w:r>
            <w:r>
              <w:rPr>
                <w:color w:val="000000" w:themeColor="text1"/>
                <w:sz w:val="24"/>
                <w:szCs w:val="24"/>
                <w:highlight w:val="white"/>
                <w:lang w:val="vi-VN"/>
              </w:rPr>
            </w:r>
            <w:r>
              <w:rPr>
                <w:color w:val="000000" w:themeColor="text1"/>
                <w:sz w:val="24"/>
                <w:szCs w:val="24"/>
                <w:highlight w:val="white"/>
                <w:lang w:val="vi-VN"/>
              </w:rPr>
            </w:r>
          </w:p>
        </w:tc>
      </w:tr>
    </w:tbl>
    <w:p>
      <w:pPr>
        <w:pStyle w:val="1034"/>
        <w:pBdr/>
        <w:spacing w:after="120" w:before="200" w:line="288" w:lineRule="auto"/>
        <w:ind/>
        <w:jc w:val="center"/>
        <w:rPr>
          <w:rStyle w:val="1033"/>
          <w:rFonts w:ascii="Times New Roman" w:hAnsi="Times New Roman"/>
          <w:b/>
          <w:bCs/>
          <w:color w:val="auto"/>
          <w:sz w:val="30"/>
          <w:szCs w:val="30"/>
          <w:highlight w:val="white"/>
        </w:rPr>
      </w:pPr>
      <w:r>
        <w:rPr>
          <w:rStyle w:val="1033"/>
          <w:rFonts w:ascii="Times New Roman" w:hAnsi="Times New Roman"/>
          <w:b/>
          <w:bCs/>
          <w:color w:val="auto"/>
          <w:sz w:val="30"/>
          <w:szCs w:val="30"/>
          <w:highlight w:val="white"/>
          <w:lang w:val="vi-VN"/>
        </w:rPr>
        <w:t xml:space="preserve">CHỨNG THƯ THẨM ĐỊNH GIÁ</w:t>
      </w:r>
      <w:r>
        <w:rPr>
          <w:rStyle w:val="1033"/>
          <w:rFonts w:ascii="Times New Roman" w:hAnsi="Times New Roman"/>
          <w:b/>
          <w:bCs/>
          <w:color w:val="auto"/>
          <w:sz w:val="30"/>
          <w:szCs w:val="30"/>
          <w:highlight w:val="white"/>
          <w:lang w:val="vi-VN"/>
        </w:rPr>
      </w:r>
      <w:r>
        <w:rPr>
          <w:rStyle w:val="1033"/>
          <w:rFonts w:ascii="Times New Roman" w:hAnsi="Times New Roman"/>
          <w:b/>
          <w:bCs/>
          <w:color w:val="auto"/>
          <w:sz w:val="30"/>
          <w:szCs w:val="30"/>
          <w:highlight w:val="white"/>
          <w:lang w:val="vi-VN"/>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Bà Nguyễn Thị Bảo</w:t>
      </w:r>
      <w:r>
        <w:rPr>
          <w:rFonts w:ascii="Times New Roman Bold" w:hAnsi="Times New Roman Bold"/>
          <w:b/>
          <w:highlight w:val="white"/>
          <w:lang w:val="pt-BR"/>
        </w:rPr>
      </w:r>
      <w:r>
        <w:rPr>
          <w:rFonts w:ascii="Times New Roman Bold" w:hAnsi="Times New Roman Bold"/>
          <w:b/>
          <w:highlight w:val="white"/>
          <w:lang w:val="pt-BR"/>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275/2026/1017/VFI-HĐTĐ.44.A</w:t>
      </w:r>
      <w:r>
        <w:rPr>
          <w:spacing w:val="-4"/>
          <w:highlight w:val="white"/>
          <w:lang w:val="vi-VN"/>
        </w:rPr>
        <w:t xml:space="preserve"> ký ngày </w:t>
      </w:r>
      <w:r>
        <w:rPr>
          <w:color w:val="000000" w:themeColor="text1"/>
          <w:spacing w:val="-4"/>
          <w:highlight w:val="white"/>
        </w:rPr>
        <w:t xml:space="preserve">1 tháng 7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Bà Nguyễn Thị Bảo</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275/2026/1017/VFI-BC.44.A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6 tháng 7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ind/>
              <w:rPr>
                <w:highlight w:val="white"/>
              </w:rPr>
            </w:pPr>
            <w:r>
              <w:rPr>
                <w:b/>
                <w:bCs/>
                <w:highlight w:val="white"/>
              </w:rPr>
              <w:t xml:space="preserve">Bà Nguyễn Thị Bảo</w:t>
            </w:r>
            <w:r>
              <w:rPr>
                <w:highlight w:val="white"/>
              </w:rP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0"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030153002467</w:t>
            </w:r>
            <w:r>
              <w:rPr>
                <w:color w:val="ff0000"/>
                <w:highlight w:val="white"/>
                <w:lang w:val="pt-BR"/>
              </w:rPr>
            </w:r>
            <w:r>
              <w:rPr>
                <w:color w:val="ff0000"/>
                <w:highlight w:val="white"/>
                <w:lang w:val="pt-BR"/>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bCs/>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Bdr/>
        <w:spacing w:after="120" w:before="120" w:line="276"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color w:val="000000" w:themeColor="text1"/>
          <w:highlight w:val="white"/>
        </w:rPr>
        <w:t xml:space="preserve">Quyền sử dụng đất tại thửa đất số: 85, tờ bản đồ số: 18, có địa chỉ: Thôn Mỹ Xá, xã Minh Tân, huyện Nam Sách, tỉnh Hải Dương (nay là xã Thái Tân, th</w:t>
      </w:r>
      <w:r>
        <w:rPr>
          <w:color w:val="000000" w:themeColor="text1"/>
          <w:highlight w:val="white"/>
        </w:rPr>
        <w:t xml:space="preserve">ành phố Hải Phòng) theo Giấy chứng nhận quyền sử dụng đất, quyền sở hữu nhà ở và tài sản khác gắn liền với đất số: CQ 638656, Số vào sổ cấp GCN: CH00045 do UBND huyện Nam Sách cấp ngày 27/03/2019; chủ sử dụng đất là Ông Nguyễn Văn Đoàn và Bà Nguyễn Thị Bảo</w:t>
      </w:r>
      <w:r>
        <w:rPr>
          <w:i/>
          <w:iCs/>
          <w:highlight w:val="white"/>
        </w:rPr>
        <w:t xml:space="preserve">.</w:t>
      </w:r>
      <w:r>
        <w:rPr>
          <w:b/>
          <w:bCs/>
          <w:highlight w:val="white"/>
        </w:rPr>
      </w:r>
      <w:r>
        <w:rPr>
          <w:b/>
          <w:bCs/>
          <w:highlight w:val="white"/>
        </w:rPr>
      </w:r>
    </w:p>
    <w:p>
      <w:pPr>
        <w:pBdr/>
        <w:spacing w:after="120" w:before="120" w:line="276"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07/2026</w:t>
      </w:r>
      <w:r>
        <w:rPr>
          <w:bCs/>
          <w:highlight w:val="white"/>
          <w:lang w:val="nl-NL"/>
        </w:rPr>
        <w:t xml:space="preserve">.</w:t>
      </w:r>
      <w:r>
        <w:rPr>
          <w:b/>
          <w:bCs/>
          <w:highlight w:val="white"/>
        </w:rPr>
      </w:r>
      <w:r>
        <w:rPr>
          <w:b/>
          <w:bCs/>
          <w:highlight w:val="white"/>
        </w:rPr>
      </w:r>
    </w:p>
    <w:p>
      <w:pPr>
        <w:pBdr/>
        <w:tabs>
          <w:tab w:val="left" w:leader="none" w:pos="851"/>
        </w:tabs>
        <w:spacing w:after="120" w:before="120" w:line="276"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276"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lang w:val="vi-VN"/>
        </w:rPr>
      </w:r>
    </w:p>
    <w:p>
      <w:pPr>
        <w:pBdr/>
        <w:tabs>
          <w:tab w:val="left" w:leader="none" w:pos="5202"/>
        </w:tabs>
        <w:spacing w:after="120" w:before="120" w:line="276"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lang w:val="pt-BR"/>
        </w:rPr>
      </w:r>
    </w:p>
    <w:p>
      <w:pPr>
        <w:pBdr/>
        <w:tabs>
          <w:tab w:val="left" w:leader="none" w:pos="2430"/>
          <w:tab w:val="left" w:leader="none" w:pos="5130"/>
        </w:tabs>
        <w:spacing w:after="120" w:before="120" w:line="276"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276"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276"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276"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276"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lang w:val="pt-BR"/>
        </w:rPr>
      </w:r>
    </w:p>
    <w:p>
      <w:pPr>
        <w:pBdr/>
        <w:spacing w:after="120" w:before="120" w:line="276"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07/2026</w:t>
      </w:r>
      <w:r>
        <w:rPr>
          <w:highlight w:val="white"/>
          <w:lang w:val="vi-VN"/>
        </w:rPr>
        <w:t xml:space="preserve"> ước tính</w:t>
      </w:r>
      <w:r>
        <w:rPr>
          <w:highlight w:val="white"/>
        </w:rPr>
        <w:t xml:space="preserve"> </w:t>
      </w:r>
      <w:r>
        <w:rPr>
          <w:highlight w:val="white"/>
          <w:lang w:val="vi-VN"/>
        </w:rPr>
        <w:t xml:space="preserve">như sau:</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white"/>
              </w:rPr>
            </w:pPr>
            <w:r>
              <w:rPr>
                <w:color w:val="000000"/>
                <w:highlight w:val="white"/>
              </w:rPr>
              <w:t xml:space="preserve">Quyền sử dụng đất tại thửa đất số: 85, tờ bản đồ số: 18, có địa chỉ: Thôn Mỹ Xá, xã Minh Tân, huyện Nam Sách, tỉnh Hải Dương (nay là xã Thái Tân, th</w:t>
            </w:r>
            <w:r>
              <w:rPr>
                <w:color w:val="000000"/>
                <w:highlight w:val="white"/>
              </w:rPr>
              <w:t xml:space="preserve">ành phố Hải Phòng) theo Giấy chứng nhận quyền sử dụng đất, quyền sở hữu nhà ở và tài sản khác gắn liền với đất số: CQ 638656, Số vào sổ cấp GCN: CH00045 do UBND huyện Nam Sách cấp ngày 27/03/2019; chủ sử dụng đất là Ông Nguyễn Văn Đoàn và Bà Nguyễn Thị Bảo</w:t>
            </w:r>
            <w:r>
              <w:rPr>
                <w:b/>
                <w:bCs/>
                <w:highlight w:val="white"/>
              </w:rPr>
              <w:t xml:space="preserve">.</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p>
        </w:tc>
        <w:tc>
          <w:tcPr>
            <w:tcBorders/>
            <w:tcW w:w="946"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3434</w:t>
            </w:r>
            <w:r>
              <w:rPr>
                <w:color w:val="000000"/>
                <w:highlight w:val="white"/>
              </w:rPr>
            </w:r>
            <w:r>
              <w:rPr>
                <w:color w:val="000000"/>
                <w:highlight w:val="white"/>
              </w:rPr>
            </w:r>
          </w:p>
        </w:tc>
        <w:tc>
          <w:tcPr>
            <w:shd w:val="clear" w:color="000000" w:fill="ffffff"/>
            <w:tcBorders/>
            <w:tcW w:w="1355"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5.924.103</w:t>
            </w:r>
            <w:r>
              <w:rPr>
                <w:highlight w:val="white"/>
              </w:rPr>
            </w:r>
          </w:p>
        </w:tc>
        <w:tc>
          <w:tcPr>
            <w:shd w:val="clear" w:color="000000" w:fill="ffffff"/>
            <w:tcBorders/>
            <w:tcW w:w="1136"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20.343.368.723</w:t>
            </w:r>
            <w:r>
              <w:rPr>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2</w:t>
            </w:r>
            <w:r>
              <w:rPr>
                <w:b w:val="0"/>
                <w:bCs w:val="0"/>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trồng cây lâu năm</w:t>
            </w:r>
            <w:r>
              <w:rPr>
                <w:b w:val="0"/>
                <w:bCs w:val="0"/>
                <w:highlight w:val="white"/>
              </w:rPr>
            </w:r>
          </w:p>
        </w:tc>
        <w:tc>
          <w:tcPr>
            <w:tcBorders/>
            <w:tcW w:w="946"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1257,2</w:t>
            </w:r>
            <w:r>
              <w:rPr>
                <w:color w:val="000000"/>
                <w:highlight w:val="white"/>
              </w:rPr>
            </w:r>
            <w:r>
              <w:rPr>
                <w:color w:val="000000"/>
                <w:highlight w:val="white"/>
              </w:rPr>
            </w:r>
          </w:p>
        </w:tc>
        <w:tc>
          <w:tcPr>
            <w:shd w:val="clear" w:color="000000" w:fill="ffffff"/>
            <w:tcBorders/>
            <w:tcW w:w="1355"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236.964</w:t>
            </w:r>
            <w:r>
              <w:rPr>
                <w:highlight w:val="white"/>
              </w:rPr>
            </w:r>
          </w:p>
        </w:tc>
        <w:tc>
          <w:tcPr>
            <w:shd w:val="clear" w:color="000000" w:fill="ffffff"/>
            <w:tcBorders/>
            <w:tcW w:w="1136"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297.911.277</w:t>
            </w:r>
            <w:r>
              <w:rPr>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highlight w:val="white"/>
              </w:rPr>
            </w:pPr>
            <w:r>
              <w:rPr>
                <w:b/>
                <w:bCs/>
                <w:highlight w:val="white"/>
              </w:rPr>
              <w:t xml:space="preserve">20.641.280.000</w:t>
            </w:r>
            <w:r>
              <w:rPr>
                <w:b/>
                <w:bCs/>
                <w:color w:val="000000"/>
                <w:highlight w:val="white"/>
              </w:rPr>
            </w:r>
            <w:r>
              <w:rPr>
                <w:b/>
                <w:bCs/>
                <w:color w:val="000000"/>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themeColor="text1"/>
                <w:highlight w:val="white"/>
              </w:rPr>
            </w:pPr>
            <w:r>
              <w:rPr>
                <w:b/>
                <w:bCs/>
                <w:color w:val="000000" w:themeColor="text1"/>
                <w:highlight w:val="white"/>
              </w:rPr>
              <w:t xml:space="preserve">20.641.000.000</w:t>
            </w:r>
            <w:r>
              <w:rPr>
                <w:b/>
                <w:bCs/>
                <w:color w:val="000000" w:themeColor="text1"/>
                <w:highlight w:val="white"/>
              </w:rPr>
            </w:r>
            <w:r>
              <w:rPr>
                <w:b/>
                <w:bCs/>
                <w:color w:val="000000" w:themeColor="text1"/>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Hai mươi tỷ sáu trăm bốn mươi mốt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lang w:val="pt-BR"/>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p>
    <w:p>
      <w:pPr>
        <w:pBdr/>
        <w:spacing w:after="120" w:before="120" w:line="312" w:lineRule="auto"/>
        <w:ind w:firstLine="360"/>
        <w:rPr>
          <w:highlight w:val="white"/>
        </w:rPr>
      </w:pPr>
      <w:r>
        <w:rPr>
          <w:highlight w:val="white"/>
          <w:lang w:val="pt-BR"/>
        </w:rPr>
        <w:t xml:space="preserve">- </w:t>
      </w:r>
      <w:r>
        <w:rPr>
          <w:highlight w:val="white"/>
          <w:lang w:val="pt-BR"/>
        </w:rPr>
        <w:t xml:space="preserve">Chi tiết như Báo cáo kèm theo.</w:t>
      </w:r>
      <w:r>
        <w:rPr>
          <w:rFonts w:eastAsia="Calibri"/>
          <w:b/>
          <w:spacing w:val="-4"/>
          <w:highlight w:val="white"/>
          <w:lang w:val="pt-BR"/>
        </w:rPr>
        <w:br w:type="page" w:clear="all"/>
      </w: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lang w:val="pt-BR"/>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lang w:val="vi-VN"/>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lang w:val="pt-BR"/>
              </w:rPr>
            </w:r>
          </w:p>
        </w:tc>
      </w:tr>
    </w:tbl>
    <w:p>
      <w:pPr>
        <w:pBdr/>
        <w:spacing w:after="200" w:line="276" w:lineRule="auto"/>
        <w:ind/>
        <w:rPr>
          <w:highlight w:val="white"/>
        </w:rPr>
      </w:pPr>
      <w:r>
        <w:rPr>
          <w:highlight w:val="white"/>
        </w:rPr>
        <w:br w:type="page" w:clear="all"/>
      </w:r>
      <w:r>
        <w:rPr>
          <w:highlight w:val="whit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8057"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5"/>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color w:val="000000" w:themeColor="text1"/>
                <w:sz w:val="24"/>
                <w:szCs w:val="24"/>
                <w:highlight w:val="white"/>
              </w:rPr>
            </w:pPr>
            <w:r>
              <w:rPr>
                <w:rStyle w:val="1033"/>
                <w:rFonts w:ascii="Times New Roman" w:hAnsi="Times New Roman"/>
                <w:color w:val="000000" w:themeColor="text1"/>
                <w:highlight w:val="white"/>
                <w:lang w:val="pt-BR"/>
              </w:rPr>
              <w:t xml:space="preserve">Số: </w:t>
            </w:r>
            <w:r>
              <w:rPr>
                <w:rStyle w:val="1033"/>
                <w:rFonts w:ascii="Times New Roman" w:hAnsi="Times New Roman"/>
                <w:color w:val="000000" w:themeColor="text1"/>
                <w:highlight w:val="white"/>
                <w:lang w:val="pt-BR"/>
              </w:rPr>
              <w:t xml:space="preserve">275/2026/1017/VF</w:t>
            </w:r>
            <w:r>
              <w:rPr>
                <w:rStyle w:val="1033"/>
                <w:rFonts w:ascii="Times New Roman" w:hAnsi="Times New Roman"/>
                <w:color w:val="000000" w:themeColor="text1"/>
                <w:highlight w:val="white"/>
                <w:lang w:val="pt-BR"/>
              </w:rPr>
              <w:t xml:space="preserve">I-BC.44.A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jc w:val="right"/>
              <w:rPr>
                <w:color w:val="000000" w:themeColor="text1"/>
                <w:sz w:val="24"/>
                <w:szCs w:val="24"/>
                <w:highlight w:val="white"/>
              </w:rPr>
            </w:pPr>
            <w:r>
              <w:rPr>
                <w:rStyle w:val="1033"/>
                <w:rFonts w:ascii="Times New Roman" w:hAnsi="Times New Roman"/>
                <w:i/>
                <w:color w:val="auto"/>
                <w:highlight w:val="white"/>
              </w:rPr>
              <w:t xml:space="preserve">TP. Hà Nội</w:t>
            </w:r>
            <w:r>
              <w:rPr>
                <w:rStyle w:val="1033"/>
                <w:rFonts w:ascii="Times New Roman" w:hAnsi="Times New Roman"/>
                <w:i/>
                <w:color w:val="auto"/>
                <w:highlight w:val="white"/>
                <w:lang w:val="vi-VN"/>
              </w:rPr>
              <w:t xml:space="preserve">, </w:t>
            </w:r>
            <w:r>
              <w:rPr>
                <w:rStyle w:val="1033"/>
                <w:rFonts w:ascii="Times New Roman" w:hAnsi="Times New Roman"/>
                <w:i/>
                <w:color w:val="000000" w:themeColor="text1"/>
                <w:highlight w:val="white"/>
                <w:lang w:val="vi-VN"/>
              </w:rPr>
              <w:t xml:space="preserve">ngày 6 tháng 7 năm 2026</w:t>
            </w:r>
            <w:r>
              <w:rPr>
                <w:color w:val="000000" w:themeColor="text1"/>
                <w:sz w:val="24"/>
                <w:szCs w:val="24"/>
                <w:highlight w:val="white"/>
                <w:lang w:val="vi-VN"/>
              </w:rPr>
            </w:r>
            <w:r>
              <w:rPr>
                <w:color w:val="000000" w:themeColor="text1"/>
                <w:sz w:val="24"/>
                <w:szCs w:val="24"/>
                <w:highlight w:val="white"/>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4"/>
              <w:pBdr/>
              <w:spacing w:after="60"/>
              <w:ind/>
              <w:rPr>
                <w:rStyle w:val="1033"/>
                <w:rFonts w:ascii="Times New Roman" w:hAnsi="Times New Roman"/>
                <w:color w:val="000000" w:themeColor="text1"/>
                <w:highlight w:val="white"/>
              </w:rPr>
            </w:pPr>
            <w:r>
              <w:rPr>
                <w:rStyle w:val="1033"/>
                <w:rFonts w:ascii="Times New Roman" w:hAnsi="Times New Roman"/>
                <w:color w:val="000000" w:themeColor="text1"/>
                <w:highlight w:val="white"/>
                <w:lang w:val="pt-BR"/>
              </w:rPr>
            </w:r>
            <w:r>
              <w:rPr>
                <w:rStyle w:val="1033"/>
                <w:rFonts w:ascii="Times New Roman" w:hAnsi="Times New Roman"/>
                <w:color w:val="000000" w:themeColor="text1"/>
                <w:highlight w:val="white"/>
                <w:lang w:val="pt-BR"/>
              </w:rPr>
            </w:r>
            <w:r>
              <w:rPr>
                <w:rStyle w:val="1033"/>
                <w:rFonts w:ascii="Times New Roman" w:hAnsi="Times New Roman"/>
                <w:color w:val="000000" w:themeColor="text1"/>
                <w:highlight w:val="white"/>
                <w:lang w:val="pt-BR"/>
              </w:rPr>
            </w:r>
          </w:p>
        </w:tc>
        <w:tc>
          <w:tcPr>
            <w:shd w:val="clear" w:color="auto" w:fill="auto"/>
            <w:tcBorders/>
            <w:tcMar>
              <w:left w:w="108" w:type="dxa"/>
              <w:top w:w="0" w:type="dxa"/>
              <w:right w:w="108" w:type="dxa"/>
              <w:bottom w:w="0" w:type="dxa"/>
            </w:tcMar>
            <w:tcW w:w="5412" w:type="dxa"/>
            <w:textDirection w:val="lrTb"/>
            <w:noWrap w:val="false"/>
          </w:tcPr>
          <w:p>
            <w:pPr>
              <w:pStyle w:val="1034"/>
              <w:pBdr/>
              <w:spacing w:after="60"/>
              <w:ind w:right="-56"/>
              <w:rPr>
                <w:rStyle w:val="1033"/>
                <w:rFonts w:ascii="Times New Roman" w:hAnsi="Times New Roman"/>
                <w:i/>
                <w:color w:val="auto"/>
                <w:highlight w:val="white"/>
              </w:rPr>
            </w:pPr>
            <w:r>
              <w:rPr>
                <w:rFonts w:ascii="Times New Roman" w:hAnsi="Times New Roman"/>
                <w:i/>
                <w:color w:val="auto"/>
                <w:highlight w:val="white"/>
              </w:rPr>
            </w:r>
            <w:r>
              <w:rPr>
                <w:rStyle w:val="1033"/>
                <w:rFonts w:ascii="Times New Roman" w:hAnsi="Times New Roman"/>
                <w:i/>
                <w:color w:val="auto"/>
                <w:highlight w:val="white"/>
              </w:rPr>
            </w:r>
            <w:r>
              <w:rPr>
                <w:rStyle w:val="1033"/>
                <w:rFonts w:ascii="Times New Roman" w:hAnsi="Times New Roman"/>
                <w:i/>
                <w:color w:val="auto"/>
                <w:highlight w:val="white"/>
              </w:rPr>
            </w:r>
          </w:p>
        </w:tc>
      </w:tr>
    </w:tbl>
    <w:p>
      <w:pPr>
        <w:pStyle w:val="1034"/>
        <w:pBdr/>
        <w:tabs>
          <w:tab w:val="left" w:leader="none" w:pos="5103"/>
        </w:tabs>
        <w:spacing w:before="200" w:line="340" w:lineRule="atLeast"/>
        <w:ind/>
        <w:jc w:val="center"/>
        <w:rPr>
          <w:bCs/>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lang w:val="pt-BR"/>
        </w:rPr>
      </w:r>
    </w:p>
    <w:p>
      <w:pPr>
        <w:pStyle w:val="1014"/>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275/2026/1017/VFI-CT.44.A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6 tháng 7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lang w:val="pt-BR"/>
        </w:rPr>
      </w:r>
    </w:p>
    <w:p>
      <w:pPr>
        <w:pStyle w:val="1014"/>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bCs/>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Style w:val="1035"/>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lang w:val="pt-BR"/>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ind/>
              <w:rPr>
                <w:highlight w:val="white"/>
              </w:rPr>
            </w:pPr>
            <w:r>
              <w:rPr>
                <w:b/>
                <w:bCs/>
                <w:highlight w:val="white"/>
              </w:rPr>
              <w:t xml:space="preserve">Bà Nguyễn Thị Bảo</w:t>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030153002467</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lang w:val="pt-BR"/>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
                <w:bCs/>
                <w:spacing w:val="2"/>
                <w:highlight w:val="white"/>
              </w:rPr>
            </w:pPr>
            <w:r>
              <w:rPr>
                <w:bCs/>
                <w:color w:val="000000" w:themeColor="text1"/>
                <w:highlight w:val="white"/>
                <w:lang w:val="pt-BR"/>
              </w:rPr>
              <w:t xml:space="preserve">Quyền sử dụng đất tại thửa đất số: 85, tờ bản đồ số: 18, có địa chỉ: Thôn Mỹ Xá, xã Minh Tân, huyện Nam Sách, tỉnh Hải Dương (nay là xã Thái Tân, th</w:t>
            </w:r>
            <w:r>
              <w:rPr>
                <w:bCs/>
                <w:color w:val="000000" w:themeColor="text1"/>
                <w:highlight w:val="white"/>
                <w:lang w:val="pt-BR"/>
              </w:rPr>
              <w:t xml:space="preserve">ành phố Hải Phòng) theo Giấy chứng nhận quyền sử dụng đất, quyền sở hữu nhà ở và tài sản khác gắn liền với đất số: CQ 638656, Số vào sổ cấp GCN: CH00045 do UBND huyện Nam Sách cấp ngày 27/03/2019; chủ sử dụng đất là Ông Nguyễn Văn Đoàn và Bà Nguyễn Thị Bảo</w:t>
            </w:r>
            <w:r>
              <w:rPr>
                <w:bCs/>
                <w:spacing w:val="2"/>
                <w:highlight w:val="white"/>
              </w:rPr>
              <w:t xml:space="preserve">.</w:t>
            </w:r>
            <w:r>
              <w:rPr>
                <w:b/>
                <w:bCs/>
                <w:spacing w:val="2"/>
                <w:highlight w:val="white"/>
                <w:lang w:val="vi-VN"/>
              </w:rPr>
            </w:r>
            <w:r>
              <w:rPr>
                <w:b/>
                <w:bCs/>
                <w:spacing w:val="2"/>
                <w:highlight w:val="white"/>
                <w:lang w:val="vi-VN"/>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lang w:val="pt-BR"/>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lang w:val="pt-BR"/>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07/2026</w:t>
            </w:r>
            <w:r>
              <w:rPr>
                <w:highlight w:val="white"/>
                <w:lang w:val="pt-BR"/>
              </w:rPr>
              <w:t xml:space="preserve">.</w:t>
            </w:r>
            <w:r>
              <w:rPr>
                <w:bCs/>
                <w:spacing w:val="-4"/>
                <w:highlight w:val="white"/>
                <w:lang w:val="pt-BR"/>
              </w:rPr>
            </w:r>
            <w:r>
              <w:rPr>
                <w:bCs/>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r>
            <w:r>
              <w:rPr>
                <w:color w:val="000000" w:themeColor="text1"/>
                <w:highlight w:val="white"/>
                <w:lang w:val="pt-BR"/>
              </w:rPr>
              <w:t xml:space="preserve">T</w:t>
            </w:r>
            <w:r>
              <w:rPr>
                <w:color w:val="000000" w:themeColor="text1"/>
                <w:highlight w:val="white"/>
                <w:lang w:val="pt-BR"/>
              </w:rPr>
              <w:t xml:space="preserve">hôn Mỹ Xá, xã </w:t>
            </w:r>
            <w:r>
              <w:rPr>
                <w:color w:val="000000" w:themeColor="text1"/>
                <w:highlight w:val="white"/>
                <w:lang w:val="pt-BR"/>
              </w:rPr>
              <w:t xml:space="preserve">Minh Tân, thành phố Hải Phòng</w:t>
            </w:r>
            <w:r>
              <w:rPr>
                <w:color w:val="ee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20.976472222222, 106.29522222222</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5"/>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r>
            <w:r>
              <w:rPr>
                <w:highlight w:val="white"/>
                <w:lang w:val="pt-BR"/>
              </w:rPr>
              <w:t xml:space="preserve">Ngày 01/07/2026</w:t>
            </w:r>
            <w:r>
              <w:rPr>
                <w:highlight w:val="white"/>
                <w:lang w:val="pt-BR"/>
              </w:rPr>
              <w:t xml:space="preserve">.</w:t>
            </w:r>
            <w:r>
              <w:rPr>
                <w:highlight w:val="white"/>
                <w:lang w:val="pt-BR"/>
              </w:rPr>
            </w:r>
            <w:r>
              <w:rPr>
                <w:highlight w:val="white"/>
              </w:rPr>
            </w:r>
            <w:r>
              <w:rPr>
                <w:highlight w:val="white"/>
                <w:lang w:val="pt-BR"/>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lang w:val="pt-BR"/>
        </w:rPr>
      </w:r>
    </w:p>
    <w:p>
      <w:pPr>
        <w:pStyle w:val="1035"/>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lang w:val="vi-VN"/>
        </w:rPr>
      </w:r>
    </w:p>
    <w:p>
      <w:pPr>
        <w:pStyle w:val="1035"/>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lang w:val="pt-BR"/>
        </w:rPr>
      </w:r>
    </w:p>
    <w:p>
      <w:pPr>
        <w:pStyle w:val="1035"/>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lang w:val="pt-BR"/>
        </w:rPr>
      </w:r>
    </w:p>
    <w:p>
      <w:pPr>
        <w:pStyle w:val="1035"/>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lang w:val="pt-BR"/>
        </w:rPr>
      </w:r>
    </w:p>
    <w:p>
      <w:pPr>
        <w:pStyle w:val="1035"/>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lang w:val="pt-BR"/>
        </w:rPr>
      </w:r>
    </w:p>
    <w:p>
      <w:pPr>
        <w:pStyle w:val="1035"/>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lang w:val="pt-BR"/>
        </w:rPr>
      </w:r>
    </w:p>
    <w:p>
      <w:pPr>
        <w:pStyle w:val="1035"/>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lang w:val="pt-BR"/>
        </w:rPr>
      </w:r>
    </w:p>
    <w:p>
      <w:pPr>
        <w:pStyle w:val="1035"/>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lang w:val="pt-BR"/>
        </w:rPr>
      </w:r>
    </w:p>
    <w:p>
      <w:pPr>
        <w:pStyle w:val="1035"/>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lang w:val="pt-BR"/>
        </w:rPr>
      </w:r>
    </w:p>
    <w:p>
      <w:pPr>
        <w:pStyle w:val="1035"/>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lang w:val="pt-BR"/>
        </w:rPr>
      </w:r>
    </w:p>
    <w:p>
      <w:pPr>
        <w:pStyle w:val="1035"/>
        <w:numPr>
          <w:ilvl w:val="0"/>
          <w:numId w:val="2"/>
        </w:numPr>
        <w:pBdr/>
        <w:tabs>
          <w:tab w:val="left" w:leader="none" w:pos="993"/>
        </w:tabs>
        <w:spacing w:after="120" w:before="120" w:line="276" w:lineRule="auto"/>
        <w:ind/>
        <w:jc w:val="both"/>
        <w:rPr>
          <w:bCs/>
          <w:i/>
          <w:iCs/>
          <w:highlight w:val="white"/>
        </w:rPr>
      </w:pPr>
      <w:r>
        <w:rPr>
          <w:bCs/>
          <w:color w:val="000000" w:themeColor="text1"/>
          <w:highlight w:val="white"/>
          <w:lang w:val="pt-BR"/>
        </w:rPr>
        <w:t xml:space="preserve">Giấy chứng nhận quyền sử dụng đất, quyền sở hữu nhà ở và tài sản khác gắn liền với đất số: CQ 638656, Số vào sổ cấp GCN: CH00045 do UBND huyện Nam Sách cấp ngày 27/03/2019; chủ sử dụng đất là Ông Nguyễn Văn Đoàn và Bà Nguyễn Thị Bảo</w:t>
      </w:r>
      <w:r>
        <w:rPr>
          <w:highlight w:val="white"/>
          <w:lang w:val="pt-BR"/>
        </w:rPr>
        <w:t xml:space="preserve">.</w:t>
      </w:r>
      <w:r>
        <w:rPr>
          <w:i/>
          <w:iCs/>
          <w:highlight w:val="white"/>
          <w:lang w:val="pt-BR"/>
        </w:rPr>
      </w:r>
      <w:r>
        <w:rPr>
          <w:i/>
          <w:iCs/>
          <w:highlight w:val="white"/>
          <w:lang w:val="pt-BR"/>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5"/>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275/2026/1017/VFI-HĐTĐ.44.A ngà</w:t>
      </w:r>
      <w:r>
        <w:rPr>
          <w:color w:val="000000" w:themeColor="text1"/>
          <w:highlight w:val="white"/>
          <w:lang w:val="pt-BR"/>
        </w:rPr>
        <w:t xml:space="preserve">y 01/7/2026 giữa Bà</w:t>
      </w:r>
      <w:r>
        <w:rPr>
          <w:color w:val="000000" w:themeColor="text1"/>
          <w:highlight w:val="white"/>
          <w:lang w:val="pt-BR"/>
        </w:rPr>
        <w:t xml:space="preserve"> Nguyễn Thị Bảo với Công ty Cổ phần Thẩm định và Đầu tư Tài chính Hoa Sen.</w:t>
      </w:r>
      <w:r>
        <w:rPr>
          <w:b/>
          <w:highlight w:val="white"/>
          <w:lang w:val="pt-BR"/>
        </w:rPr>
      </w:r>
      <w:r>
        <w:rPr>
          <w:b/>
          <w:highlight w:val="white"/>
          <w:lang w:val="pt-BR"/>
        </w:rPr>
      </w:r>
    </w:p>
    <w:p>
      <w:pPr>
        <w:pStyle w:val="1035"/>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w:t>
      </w:r>
      <w:r>
        <w:rPr>
          <w:b/>
          <w:bCs/>
          <w:highlight w:val="white"/>
          <w:lang w:val="pt-BR"/>
        </w:rPr>
        <w:t xml:space="preserve">ỔNG QUAN VỀ THỊ TRƯỜNG CỦA TÀI SẢN THẨM ĐỊNH GIÁ</w:t>
      </w:r>
      <w:r>
        <w:rPr>
          <w:b/>
          <w:bCs/>
          <w:highlight w:val="white"/>
          <w:lang w:val="pt-BR"/>
        </w:rPr>
      </w:r>
      <w:r>
        <w:rPr>
          <w:b/>
          <w:bCs/>
          <w:highlight w:val="white"/>
          <w:lang w:val="pt-BR"/>
        </w:rPr>
      </w:r>
    </w:p>
    <w:p>
      <w:pPr>
        <w:pBdr>
          <w:top w:val="none" w:color="000000" w:sz="4" w:space="0"/>
          <w:left w:val="none" w:color="000000" w:sz="4" w:space="0"/>
          <w:bottom w:val="none" w:color="000000" w:sz="4" w:space="0"/>
          <w:right w:val="none" w:color="000000" w:sz="4" w:space="0"/>
        </w:pBdr>
        <w:spacing w:after="240" w:before="180"/>
        <w:ind w:right="0" w:firstLine="0" w:left="0"/>
        <w:rPr>
          <w:rFonts w:ascii="Times New Roman" w:hAnsi="Times New Roman" w:cs="Times New Roman"/>
          <w:sz w:val="24"/>
          <w:szCs w:val="24"/>
          <w:highlight w:val="white"/>
        </w:rPr>
      </w:pPr>
      <w:r>
        <w:rPr>
          <w:highlight w:val="white"/>
          <w:lang w:val="pt-BR"/>
        </w:rPr>
        <w:tab/>
      </w:r>
      <w:r>
        <w:rPr>
          <w:rFonts w:ascii="Times New Roman" w:hAnsi="Times New Roman" w:eastAsia="Times New Roman" w:cs="Times New Roman"/>
          <w:b w:val="0"/>
          <w:bCs w:val="0"/>
          <w:color w:val="000000"/>
          <w:sz w:val="24"/>
          <w:szCs w:val="24"/>
          <w:highlight w:val="white"/>
          <w:u w:val="none"/>
        </w:rPr>
        <w:t xml:space="preserve">Thị trường bất động sản (BĐS) huyện Nam Sách năm 2026 đang ghi nhận bước chuyển mình lịch sử mang tính đột phá, chịu tác động trực tiếp từ làn sóng sáp nhập hành chính cấp tỉnh và hạ tầng công nghiệp bùng nổ</w:t>
      </w:r>
      <w:r>
        <w:rPr>
          <w:rFonts w:ascii="Times New Roman" w:hAnsi="Times New Roman" w:eastAsia="Times New Roman" w:cs="Times New Roman"/>
          <w:color w:val="000000"/>
          <w:sz w:val="24"/>
          <w:szCs w:val="24"/>
          <w:highlight w:val="white"/>
        </w:rPr>
        <w:t xml:space="preserve">. Dưới đây là bức tranh tổng quan toàn diện về thị trường BĐS Nam Sách trong năm 2026:</w:t>
      </w:r>
      <w:r>
        <w:rPr>
          <w:rFonts w:ascii="Times New Roman" w:hAnsi="Times New Roman" w:cs="Times New Roman"/>
          <w:sz w:val="24"/>
          <w:szCs w:val="24"/>
          <w:highlight w:val="white"/>
        </w:rPr>
      </w:r>
      <w:r>
        <w:rPr>
          <w:rFonts w:ascii="Times New Roman" w:hAnsi="Times New Roman" w:cs="Times New Roman"/>
          <w:sz w:val="24"/>
          <w:szCs w:val="24"/>
          <w:highlight w:val="whit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1. Đòn bẩy quy hoạch "Siêu đô thị" Hải Phòng</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p>
      <w:pPr>
        <w:pStyle w:val="1035"/>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u w:val="none"/>
        </w:rPr>
        <w:t xml:space="preserve">Bước ngoặt địa chính trị</w:t>
      </w:r>
      <w:r>
        <w:rPr>
          <w:rFonts w:ascii="Times New Roman" w:hAnsi="Times New Roman" w:eastAsia="Times New Roman" w:cs="Times New Roman"/>
          <w:b w:val="0"/>
          <w:bCs w:val="0"/>
          <w:color w:val="000000" w:themeColor="text1"/>
          <w:sz w:val="24"/>
          <w:szCs w:val="24"/>
          <w:highlight w:val="white"/>
          <w:u w:val="none"/>
        </w:rPr>
        <w:t xml:space="preserve">: Từ sau cột mốc sáp nhập tỉnh Hải Dương vào thành phố Hải Phòng, huyện Nam Sách đã chính thức trở thành một đơn vị hành chính thuộc </w:t>
      </w:r>
      <w:r>
        <w:rPr>
          <w:rFonts w:ascii="Times New Roman" w:hAnsi="Times New Roman" w:eastAsia="Times New Roman" w:cs="Times New Roman"/>
          <w:b w:val="0"/>
          <w:bCs w:val="0"/>
          <w:color w:val="000000" w:themeColor="text1"/>
          <w:sz w:val="24"/>
          <w:szCs w:val="24"/>
          <w:highlight w:val="white"/>
          <w:u w:val="none"/>
        </w:rPr>
        <w:t xml:space="preserve">Thành phố Hải Phòng mới</w:t>
      </w:r>
      <w:r>
        <w:rPr>
          <w:rFonts w:ascii="Times New Roman" w:hAnsi="Times New Roman" w:eastAsia="Times New Roman" w:cs="Times New Roman"/>
          <w:b w:val="0"/>
          <w:bCs w:val="0"/>
          <w:color w:val="000000" w:themeColor="text1"/>
          <w:sz w:val="24"/>
          <w:szCs w:val="24"/>
          <w:highlight w:val="white"/>
          <w:u w:val="none"/>
        </w:rPr>
        <w:t xml:space="preserve">.</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p>
      <w:pPr>
        <w:pStyle w:val="1035"/>
        <w:numPr>
          <w:ilvl w:val="0"/>
          <w:numId w:val="39"/>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u w:val="none"/>
        </w:rPr>
        <w:t xml:space="preserve">Hấp lực dòng vốn</w:t>
      </w:r>
      <w:r>
        <w:rPr>
          <w:rFonts w:ascii="Times New Roman" w:hAnsi="Times New Roman" w:eastAsia="Times New Roman" w:cs="Times New Roman"/>
          <w:b w:val="0"/>
          <w:bCs w:val="0"/>
          <w:color w:val="000000" w:themeColor="text1"/>
          <w:sz w:val="24"/>
          <w:szCs w:val="24"/>
          <w:highlight w:val="white"/>
          <w:u w:val="none"/>
        </w:rPr>
        <w:t xml:space="preserve">: Việc đứng trong hàng ngũ siêu đô thị kinh tế lớn thứ ba cả nước giúp Nam Sách được thừa hưởng dòng vốn đầu tư công mạnh mẽ, hệ thống tiêu chuẩn hạ tầng được nâng cấp theo chuẩn đô thị loại I của Hải Phòng.</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2. Sự bùng nổ BĐS Công nghiệp &amp; Khu dân cư mới</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p>
      <w:pPr>
        <w:pStyle w:val="1035"/>
        <w:numPr>
          <w:ilvl w:val="0"/>
          <w:numId w:val="40"/>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u w:val="none"/>
        </w:rPr>
        <w:t xml:space="preserve">Mở rộng KCN</w:t>
      </w:r>
      <w:r>
        <w:rPr>
          <w:rFonts w:ascii="Times New Roman" w:hAnsi="Times New Roman" w:eastAsia="Times New Roman" w:cs="Times New Roman"/>
          <w:b w:val="0"/>
          <w:bCs w:val="0"/>
          <w:color w:val="000000" w:themeColor="text1"/>
          <w:sz w:val="24"/>
          <w:szCs w:val="24"/>
          <w:highlight w:val="white"/>
          <w:u w:val="none"/>
        </w:rPr>
        <w:t xml:space="preserve">: Nam Sách tiếp tục đẩy mạnh phát triển hạ tầng công nghiệp với trọng điểm là dự án Khu công nghiệp Nam Sách. Điều này kéo theo nhu cầu khổng lồ về nhà ở chuyên gia, nhà trọ công nhân và mặt bằng kinh doanh phụ trợ.</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p>
      <w:pPr>
        <w:pStyle w:val="1035"/>
        <w:numPr>
          <w:ilvl w:val="0"/>
          <w:numId w:val="40"/>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u w:val="none"/>
        </w:rPr>
        <w:t xml:space="preserve">Đón đầu làn sóng dự án mới</w:t>
      </w:r>
      <w:r>
        <w:rPr>
          <w:rFonts w:ascii="Times New Roman" w:hAnsi="Times New Roman" w:eastAsia="Times New Roman" w:cs="Times New Roman"/>
          <w:b w:val="0"/>
          <w:bCs w:val="0"/>
          <w:color w:val="000000" w:themeColor="text1"/>
          <w:sz w:val="24"/>
          <w:szCs w:val="24"/>
          <w:highlight w:val="white"/>
          <w:u w:val="none"/>
        </w:rPr>
        <w:t xml:space="preserve">: Các quỹ đất sạch xung quanh trung tâm đang được khai phá. Đáng chú ý là việc triển khai các thông tin pháp lý và hạ tầng cho </w:t>
      </w:r>
      <w:r>
        <w:rPr>
          <w:rFonts w:ascii="Times New Roman" w:hAnsi="Times New Roman" w:eastAsia="Times New Roman" w:cs="Times New Roman"/>
          <w:b w:val="0"/>
          <w:bCs w:val="0"/>
          <w:color w:val="000000" w:themeColor="text1"/>
          <w:sz w:val="24"/>
          <w:szCs w:val="24"/>
          <w:highlight w:val="white"/>
          <w:u w:val="none"/>
        </w:rPr>
        <w:t xml:space="preserve">Khu dân cư và dịch vụ thương mại mới phía Đông thị trấn Nam Sách</w:t>
      </w:r>
      <w:r>
        <w:rPr>
          <w:rFonts w:ascii="Times New Roman" w:hAnsi="Times New Roman" w:eastAsia="Times New Roman" w:cs="Times New Roman"/>
          <w:b w:val="0"/>
          <w:bCs w:val="0"/>
          <w:color w:val="000000" w:themeColor="text1"/>
          <w:sz w:val="24"/>
          <w:szCs w:val="24"/>
          <w:highlight w:val="white"/>
          <w:u w:val="none"/>
        </w:rPr>
        <w:t xml:space="preserve"> bên cạnh các dự án hiện hữu như </w:t>
      </w:r>
      <w:hyperlink r:id="rId17" w:tooltip="https://batdongsan.com.vn/du-an-khac-nam-sach-hd/khu-do-thi-tay-nam-sach-pj5501" w:history="1">
        <w:r>
          <w:rPr>
            <w:rStyle w:val="1025"/>
            <w:rFonts w:ascii="Times New Roman" w:hAnsi="Times New Roman" w:eastAsia="Times New Roman" w:cs="Times New Roman"/>
            <w:b w:val="0"/>
            <w:bCs w:val="0"/>
            <w:color w:val="000000" w:themeColor="text1"/>
            <w:sz w:val="24"/>
            <w:szCs w:val="24"/>
            <w:highlight w:val="white"/>
            <w:u w:val="single"/>
          </w:rPr>
          <w:t xml:space="preserve">Khu đô thị Tây Nam Sách</w:t>
        </w:r>
      </w:hyperlink>
      <w:r>
        <w:rPr>
          <w:rFonts w:ascii="Times New Roman" w:hAnsi="Times New Roman" w:eastAsia="Times New Roman" w:cs="Times New Roman"/>
          <w:b w:val="0"/>
          <w:bCs w:val="0"/>
          <w:color w:val="000000" w:themeColor="text1"/>
          <w:sz w:val="24"/>
          <w:szCs w:val="24"/>
          <w:highlight w:val="white"/>
          <w:u w:val="none"/>
        </w:rPr>
        <w:t xml:space="preserve">.</w:t>
      </w:r>
      <w:r>
        <w:rPr>
          <w:rFonts w:ascii="Times New Roman" w:hAnsi="Times New Roman" w:eastAsia="Times New Roman" w:cs="Times New Roman"/>
          <w:b w:val="0"/>
          <w:bCs w:val="0"/>
          <w:color w:val="000000" w:themeColor="text1"/>
          <w:sz w:val="24"/>
          <w:szCs w:val="24"/>
          <w:highlight w:val="white"/>
        </w:rPr>
        <w:t xml:space="preserve"> </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p>
      <w:pPr>
        <w:pBdr>
          <w:top w:val="none" w:color="000000" w:sz="4" w:space="0"/>
          <w:left w:val="none" w:color="000000" w:sz="4" w:space="0"/>
          <w:bottom w:val="none" w:color="000000" w:sz="4" w:space="0"/>
          <w:right w:val="none" w:color="000000" w:sz="4" w:space="0"/>
        </w:pBdr>
        <w:spacing w:after="180" w:before="360"/>
        <w:ind w:right="0" w:firstLine="0" w:left="0"/>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3. Diễn biến các phân khúc chính</w:t>
      </w:r>
      <w:r>
        <w:rPr>
          <w:rFonts w:ascii="Times New Roman" w:hAnsi="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p>
      <w:pPr>
        <w:pStyle w:val="1035"/>
        <w:numPr>
          <w:ilvl w:val="0"/>
          <w:numId w:val="41"/>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u w:val="none"/>
        </w:rPr>
        <w:t xml:space="preserve">Đất nền đấu giá &amp; Đất ven KCN</w:t>
      </w:r>
      <w:r>
        <w:rPr>
          <w:rFonts w:ascii="Times New Roman" w:hAnsi="Times New Roman" w:eastAsia="Times New Roman" w:cs="Times New Roman"/>
          <w:b w:val="0"/>
          <w:bCs w:val="0"/>
          <w:color w:val="000000" w:themeColor="text1"/>
          <w:sz w:val="24"/>
          <w:szCs w:val="24"/>
          <w:highlight w:val="white"/>
          <w:u w:val="none"/>
        </w:rPr>
        <w:t xml:space="preserve">: Phân khúc này tiếp tục là "thỏi nam châm" giữ dòng tiền nhờ tính an toàn pháp lý cao khi chính quyền liên tục công khai các danh mục khu đất đấu giá quyền sử dụng đất. Sức mua dịch chuyển mạnh về các khu vực giáp ranh kết nối giao thông tốt.</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p>
      <w:pPr>
        <w:pStyle w:val="1035"/>
        <w:numPr>
          <w:ilvl w:val="0"/>
          <w:numId w:val="41"/>
        </w:numPr>
        <w:pBdr>
          <w:top w:val="none" w:color="000000" w:sz="4" w:space="0"/>
          <w:left w:val="none" w:color="000000" w:sz="4" w:space="0"/>
          <w:bottom w:val="none" w:color="000000" w:sz="4" w:space="0"/>
          <w:right w:val="none" w:color="000000" w:sz="4" w:space="0"/>
        </w:pBdr>
        <w:spacing w:after="180" w:before="0"/>
        <w:ind w:right="0"/>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u w:val="none"/>
        </w:rPr>
        <w:t xml:space="preserve">Đất thổ cư và Nhà ở thực</w:t>
      </w:r>
      <w:r>
        <w:rPr>
          <w:rFonts w:ascii="Times New Roman" w:hAnsi="Times New Roman" w:eastAsia="Times New Roman" w:cs="Times New Roman"/>
          <w:b w:val="0"/>
          <w:bCs w:val="0"/>
          <w:color w:val="000000" w:themeColor="text1"/>
          <w:sz w:val="24"/>
          <w:szCs w:val="24"/>
          <w:highlight w:val="white"/>
          <w:u w:val="none"/>
        </w:rPr>
        <w:t xml:space="preserve">: Trở thành xu hướng bền vững nhờ mật độ dân số khu vực khá cao. Sự dịch chuyển cơ cấu hành chính thu hút một lượng lớn lao động nhập cư, thúc đẩy nhu cầu mua ở thực tăng trưởng đều.</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p>
      <w:pPr>
        <w:pStyle w:val="1035"/>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141"/>
        <w:gridCol w:w="2229"/>
        <w:gridCol w:w="2178"/>
        <w:gridCol w:w="2579"/>
      </w:tblGrid>
      <w:tr>
        <w:trPr>
          <w:trHeight w:val="185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b/>
                <w:color w:val="000000"/>
                <w:sz w:val="24"/>
                <w:highlight w:val="white"/>
              </w:rPr>
              <w:t xml:space="preserve"> Quyền sử dụng đất tại thửa đất số: 85, tờ bản đồ số: 18, có địa chỉ: Thôn Mỹ Xá, xã Minh Tân, huyện Nam Sách, tỉnh Hải Dương (nay là xã Thái Tân, thành phố Hải Phòng) theo Giấy chứng nhận quyền sử dụng đất, quyền sở hữu nhà ở và tài sản khác gắn liền với </w:t>
            </w:r>
            <w:r>
              <w:rPr>
                <w:rFonts w:ascii="Times New Roman" w:hAnsi="Times New Roman" w:eastAsia="Times New Roman" w:cs="Times New Roman"/>
                <w:b/>
                <w:color w:val="000000"/>
                <w:sz w:val="24"/>
                <w:highlight w:val="white"/>
              </w:rPr>
              <w:t xml:space="preserve">đất số: CQ 638656, Số vào sổ cấp GCN: CH00045 do UBND huyện Nam Sách cấp ngày 27/03/2019; chủ sử dụng đất là Ông Nguyễn Văn Đoàn và Bà Nguyễn Thị Bảo</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1.1</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Thửa đất:</w:t>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Thửa đất số:</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85</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18</w:t>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w:t>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8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Thôn Mỹ Xá, xã Minh Tân, huyện Nam Sách, tỉnh Hải Dương </w:t>
            </w:r>
            <w:r>
              <w:rPr>
                <w:rFonts w:ascii="Times New Roman" w:hAnsi="Times New Roman" w:eastAsia="Times New Roman" w:cs="Times New Roman"/>
                <w:i/>
                <w:color w:val="000000"/>
                <w:sz w:val="24"/>
                <w:highlight w:val="white"/>
              </w:rPr>
              <w:t xml:space="preserve">(nay là xã Thái Tân, thành phố Hải Phòng)</w:t>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(m²):</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4691,20</w:t>
            </w:r>
            <w:r>
              <w:rPr>
                <w:highlight w:val="white"/>
              </w:rPr>
            </w:r>
          </w:p>
        </w:tc>
        <w:tc>
          <w:tcPr>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p>
        </w:tc>
        <w:tc>
          <w:tcPr>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Sử dụng riêng</w:t>
            </w:r>
            <w:r>
              <w:rPr>
                <w:highlight w:val="white"/>
              </w:rPr>
            </w:r>
          </w:p>
        </w:tc>
      </w:tr>
      <w:tr>
        <w:trPr>
          <w:trHeight w:val="1248"/>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p>
        </w:tc>
        <w:tc>
          <w:tcPr>
            <w:tcBorders/>
            <w:tcMar>
              <w:left w:w="0" w:type="dxa"/>
              <w:top w:w="0" w:type="dxa"/>
              <w:right w:w="0" w:type="dxa"/>
              <w:bottom w:w="0" w:type="dxa"/>
            </w:tcMar>
            <w:tcW w:w="2229" w:type="dxa"/>
            <w:vAlign w:val="bottom"/>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Đất ở tại nông thôn: 3434,0 m2</w:t>
              <w:br/>
              <w:t xml:space="preserve">Đất trồng cây lâu năm: 1257,2</w:t>
            </w:r>
            <w:r>
              <w:rPr>
                <w:highlight w:val="white"/>
              </w:rPr>
            </w:r>
          </w:p>
        </w:tc>
        <w:tc>
          <w:tcPr>
            <w:tcBorders>
              <w:left w:val="single" w:color="000000" w:sz="6" w:space="0"/>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p>
        </w:tc>
        <w:tc>
          <w:tcPr>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Đất ở tại nông thôn: Lâu dài;</w:t>
              <w:br/>
              <w:t xml:space="preserve">Đất trồng cây lâu năm: đến năm 2064</w:t>
            </w:r>
            <w:r>
              <w:rPr>
                <w:highlight w:val="white"/>
              </w:rPr>
            </w:r>
          </w:p>
        </w:tc>
      </w:tr>
      <w:tr>
        <w:trPr>
          <w:trHeight w:val="27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Nguồn gốc sử dụng đất:</w:t>
            </w:r>
            <w:r>
              <w:rPr>
                <w:highlight w:val="white"/>
              </w:rP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8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Nhận chuyển nhượng đất được Nhà nước công nhận quyền sử dụng đất</w:t>
            </w:r>
            <w:r>
              <w:rPr>
                <w:highlight w:val="white"/>
              </w:rPr>
            </w:r>
          </w:p>
        </w:tc>
      </w:tr>
      <w:tr>
        <w:trPr>
          <w:trHeight w:val="55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1.2</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Ghi chú: </w:t>
            </w:r>
            <w:r>
              <w:rPr>
                <w:rFonts w:ascii="Times New Roman" w:hAnsi="Times New Roman" w:eastAsia="Times New Roman" w:cs="Times New Roman"/>
                <w:b/>
                <w:i/>
                <w:color w:val="000000"/>
                <w:sz w:val="24"/>
                <w:highlight w:val="white"/>
              </w:rPr>
              <w:t xml:space="preserve">không</w:t>
            </w:r>
            <w:r>
              <w:rPr>
                <w:highlight w:val="white"/>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1.3.</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Thông tin quy hoạch:</w:t>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w:t>
            </w:r>
            <w:r>
              <w:rPr>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Tại thời </w:t>
            </w:r>
            <w:commentRangeStart w:id="0"/>
            <w:r>
              <w:rPr>
                <w:rFonts w:ascii="Times New Roman" w:hAnsi="Times New Roman" w:eastAsia="Times New Roman" w:cs="Times New Roman"/>
                <w:color w:val="000000"/>
                <w:sz w:val="24"/>
                <w:highlight w:val="white"/>
              </w:rPr>
              <w:t xml:space="preserve">điểm</w:t>
            </w:r>
            <w:commentRangeEnd w:id="0"/>
            <w:r>
              <w:commentReference w:id="0"/>
            </w:r>
            <w:r>
              <w:rPr>
                <w:rFonts w:ascii="Times New Roman" w:hAnsi="Times New Roman" w:eastAsia="Times New Roman" w:cs="Times New Roman"/>
                <w:color w:val="000000"/>
                <w:sz w:val="24"/>
                <w:highlight w:val="white"/>
              </w:rPr>
              <w:t xml:space="preserve"> thẩm định giá, qua tham khảo ứng dụng check Quy hoạch Meeymap, thửa đất có quy hoạch là đất ở.</w:t>
            </w:r>
            <w:r>
              <w:rPr>
                <w:highlight w:val="white"/>
              </w:rP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color w:val="000000"/>
                <w:sz w:val="24"/>
                <w:highlight w:val="white"/>
              </w:rPr>
            </w:pPr>
            <w:r>
              <w:rPr>
                <w:rFonts w:ascii="Times New Roman" w:hAnsi="Times New Roman" w:eastAsia="Times New Roman" w:cs="Times New Roman"/>
                <w:b/>
                <w:color w:val="000000"/>
                <w:sz w:val="24"/>
                <w:highlight w:val="white"/>
              </w:rPr>
            </w:r>
            <w:r>
              <w:rPr>
                <w:rFonts w:ascii="Times New Roman" w:hAnsi="Times New Roman" w:eastAsia="Times New Roman" w:cs="Times New Roman"/>
                <w:b/>
                <w:color w:val="000000"/>
                <w:sz w:val="24"/>
                <w:highlight w:val="white"/>
              </w:rP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highlight w:val="white"/>
              </w:rPr>
            </w:pPr>
            <w:r>
              <w:rPr>
                <w:rFonts w:ascii="Times New Roman" w:hAnsi="Times New Roman" w:eastAsia="Times New Roman" w:cs="Times New Roman"/>
                <w:color w:val="000000"/>
                <w:sz w:val="24"/>
                <w:highlight w:val="white"/>
              </w:rPr>
            </w:r>
            <w:r>
              <w:rPr>
                <w:highlight w:val="white"/>
              </w:rPr>
              <mc:AlternateContent>
                <mc:Choice Requires="wpg">
                  <w:drawing>
                    <wp:inline xmlns:wp="http://schemas.openxmlformats.org/drawingml/2006/wordprocessingDrawing" distT="0" distB="0" distL="0" distR="0">
                      <wp:extent cx="6048375" cy="25419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73089" name=""/>
                              <pic:cNvPicPr>
                                <a:picLocks noChangeAspect="1"/>
                              </pic:cNvPicPr>
                              <pic:nvPr/>
                            </pic:nvPicPr>
                            <pic:blipFill rotWithShape="1">
                              <a:blip r:embed="rId18"/>
                              <a:stretch/>
                            </pic:blipFill>
                            <pic:spPr bwMode="auto">
                              <a:xfrm>
                                <a:off x="0" y="0"/>
                                <a:ext cx="6048374" cy="2541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00.1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Về đất:</w:t>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2.1</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Vị trí; Giao thông;</w:t>
            </w:r>
            <w:r>
              <w:rPr>
                <w:highlight w:val="white"/>
              </w:rPr>
            </w:r>
          </w:p>
        </w:tc>
      </w:tr>
      <w:tr>
        <w:trPr>
          <w:trHeight w:val="528"/>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Địa chỉ thực tế: </w:t>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8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Thôn Mỹ Xá, xã Thái Tân, thành phố Hải Phòng</w:t>
            </w:r>
            <w:r>
              <w:rPr>
                <w:highlight w:val="white"/>
              </w:rP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tiếp giáp chính:</w:t>
            </w:r>
            <w:r>
              <w:rPr>
                <w:highlight w:val="white"/>
              </w:rPr>
            </w:r>
          </w:p>
        </w:tc>
        <w:tc>
          <w:tcPr>
            <w:tcBorders>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Tiếp giáp đường Liên thôn</w:t>
            </w:r>
            <w:r>
              <w:rPr>
                <w:highlight w:val="white"/>
              </w:rPr>
            </w:r>
          </w:p>
        </w:tc>
        <w:tc>
          <w:tcPr>
            <w:tcBorders>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Số mặt tiền:</w:t>
            </w:r>
            <w:r>
              <w:rPr>
                <w:highlight w:val="white"/>
              </w:rPr>
            </w:r>
          </w:p>
        </w:tc>
        <w:tc>
          <w:tcPr>
            <w:tcBorders>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Lô góc, 02 mặt tiền</w:t>
            </w:r>
            <w:r>
              <w:rPr>
                <w:highlight w:val="white"/>
              </w:rPr>
            </w:r>
          </w:p>
        </w:tc>
      </w:tr>
      <w:tr>
        <w:trPr>
          <w:trHeight w:val="1470"/>
        </w:trPr>
        <w:tc>
          <w:tcPr>
            <w:tcBorders>
              <w:left w:val="single" w:color="000000" w:sz="6" w:space="0"/>
              <w:bottom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Mặt cắt đường/ngõ nhỏ nhất từ đường chính dẫn đến tài sản thẩm định giá:</w:t>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bê tông rộng 6,5m</w:t>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jc w:val="both"/>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w:t>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Đường bê tông rộng 6,5m</w:t>
            </w:r>
            <w:r>
              <w:rPr>
                <w:highlight w:val="white"/>
              </w:rP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Khoảng cách đến trục đường chính:</w:t>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8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Tiếp giáp đường Liên thôn Mỹ Xá</w:t>
            </w:r>
            <w:r>
              <w:rPr>
                <w:highlight w:val="white"/>
              </w:rP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Các hướng tiếp giáp:</w:t>
            </w:r>
            <w:r>
              <w:rPr>
                <w:highlight w:val="white"/>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86"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Đông Bắc tiếp giáp đường Liên Thôn;</w:t>
              <w:br/>
              <w:t xml:space="preserve">Hướng Đông Nam tiếp giáp ngõ giao thông;</w:t>
              <w:br/>
              <w:t xml:space="preserve">Các hướng còn lại tiếp giáp với thửa đất khác</w:t>
            </w:r>
            <w:r>
              <w:rPr>
                <w:highlight w:val="whit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Vị trí trên bản đồ vệ tinh: </w:t>
            </w:r>
            <w:r>
              <w:rPr>
                <w:rFonts w:ascii="Times New Roman" w:hAnsi="Times New Roman" w:eastAsia="Times New Roman" w:cs="Times New Roman"/>
                <w:color w:val="000000"/>
                <w:sz w:val="24"/>
                <w:highlight w:val="white"/>
              </w:rPr>
              <w:t xml:space="preserve">20.976482730779853, 106.29525278056944</w:t>
            </w:r>
            <w:r>
              <w:rPr>
                <w:rFonts w:ascii="Times New Roman" w:hAnsi="Times New Roman" w:eastAsia="Times New Roman" w:cs="Times New Roman"/>
                <w:color w:val="000000"/>
                <w:sz w:val="24"/>
                <w:highlight w:val="white"/>
              </w:rPr>
            </w:r>
            <w:r>
              <w:rPr>
                <w:highlight w:val="white"/>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 </w:t>
            </w:r>
            <w:r>
              <w:rPr>
                <w:color w:val="000000"/>
                <w:highlight w:val="white"/>
              </w:rPr>
              <mc:AlternateContent>
                <mc:Choice Requires="wpg">
                  <w:drawing>
                    <wp:inline xmlns:wp="http://schemas.openxmlformats.org/drawingml/2006/wordprocessingDrawing" distT="0" distB="0" distL="0" distR="0">
                      <wp:extent cx="5467571"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769363351" name="" descr=""/>
                              <pic:cNvPicPr/>
                              <pic:nvPr/>
                            </pic:nvPicPr>
                            <pic:blipFill rotWithShape="1">
                              <a:blip r:embed="rId19"/>
                              <a:stretch/>
                            </pic:blipFill>
                            <pic:spPr bwMode="auto">
                              <a:xfrm rot="0" flipH="0" flipV="0">
                                <a:off x="0" y="0"/>
                                <a:ext cx="546757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52pt;height:200.00pt;mso-wrap-distance-left:0.00pt;mso-wrap-distance-top:0.00pt;mso-wrap-distance-right:0.00pt;mso-wrap-distance-bottom:0.00pt;rotation:0;z-index:1;" stroked="false">
                      <v:imagedata r:id="rId19" o:title=""/>
                      <o:lock v:ext="edit" rotation="t"/>
                    </v:shape>
                  </w:pict>
                </mc:Fallback>
              </mc:AlternateContent>
            </w:r>
            <w:r>
              <w:rPr>
                <w:rFonts w:ascii="Times New Roman" w:hAnsi="Times New Roman" w:eastAsia="Times New Roman" w:cs="Times New Roman"/>
                <w:color w:val="000000"/>
                <w:sz w:val="24"/>
                <w:highlight w:val="white"/>
              </w:rPr>
            </w:r>
            <w:r>
              <w:rPr>
                <w:highlight w:val="white"/>
              </w:rP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2.2.</w:t>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Diện tích; Kích thước; Hình dáng</w:t>
            </w:r>
            <w:r>
              <w:rPr>
                <w:highlight w:val="white"/>
              </w:rP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riêng thực tế (m²):</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4691,20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Diện tích sử dụng chung thực tế (m²):</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0,00</w:t>
            </w:r>
            <w:r>
              <w:rPr>
                <w:highlight w:val="white"/>
              </w:rP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KT mặt tiền (m):</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38,00</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Chiều sâu (m): </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91,40</w:t>
            </w:r>
            <w:r>
              <w:rPr>
                <w:highlight w:val="white"/>
              </w:rP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Hình dáng</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Đa giác</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Hướng chính</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Đông Bắc</w:t>
            </w:r>
            <w:r>
              <w:rPr>
                <w:highlight w:val="white"/>
              </w:rP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2.3.</w:t>
            </w:r>
            <w:r>
              <w:rPr>
                <w:highlight w:val="white"/>
              </w:rP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p>
        </w:tc>
      </w:tr>
      <w:tr>
        <w:trPr>
          <w:trHeight w:val="498"/>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Mật độ dân cư:</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Thưa thớt</w:t>
            </w:r>
            <w:r>
              <w:rPr>
                <w:highlight w:val="white"/>
              </w:rPr>
            </w:r>
          </w:p>
        </w:tc>
        <w:tc>
          <w:tcPr>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Ổn định</w:t>
            </w:r>
            <w:r>
              <w:rPr>
                <w:highlight w:val="white"/>
              </w:rP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Phù hợp để ở</w:t>
            </w:r>
            <w:r>
              <w:rPr>
                <w:highlight w:val="white"/>
              </w:rPr>
            </w:r>
          </w:p>
        </w:tc>
        <w:tc>
          <w:tcPr>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p>
        </w:tc>
        <w:tc>
          <w:tcPr>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 </w:t>
            </w:r>
            <w:r>
              <w:rPr>
                <w:highlight w:val="white"/>
              </w:rP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Điều kiện cơ sở hạ tầng kỹ thuật:</w:t>
            </w:r>
            <w:r>
              <w:rPr>
                <w:highlight w:val="white"/>
              </w:rPr>
            </w:r>
          </w:p>
        </w:tc>
        <w:tc>
          <w:tcPr>
            <w:tcBorders>
              <w:bottom w:val="single" w:color="000000" w:sz="6" w:space="0"/>
              <w:right w:val="single" w:color="000000" w:sz="6" w:space="0"/>
            </w:tcBorders>
            <w:tcMar>
              <w:left w:w="0" w:type="dxa"/>
              <w:top w:w="0" w:type="dxa"/>
              <w:right w:w="0" w:type="dxa"/>
              <w:bottom w:w="0" w:type="dxa"/>
            </w:tcMar>
            <w:tcW w:w="222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Hạ tầng khu dân cư thông thường: hệ thống cấp điện, cấp thoát nước đầy đủ</w:t>
            </w:r>
            <w:r>
              <w:rPr>
                <w:highlight w:val="white"/>
              </w:rPr>
            </w:r>
          </w:p>
        </w:tc>
        <w:tc>
          <w:tcPr>
            <w:tcBorders>
              <w:bottom w:val="single" w:color="000000" w:sz="6" w:space="0"/>
              <w:right w:val="single" w:color="000000" w:sz="6" w:space="0"/>
            </w:tcBorders>
            <w:tcMar>
              <w:left w:w="0" w:type="dxa"/>
              <w:top w:w="0" w:type="dxa"/>
              <w:right w:w="0" w:type="dxa"/>
              <w:bottom w:w="0" w:type="dxa"/>
            </w:tcMar>
            <w:tcW w:w="2178"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Điều kiện môi trường an ninh:</w:t>
            </w:r>
            <w:r>
              <w:rPr>
                <w:highlight w:val="white"/>
              </w:rPr>
            </w:r>
          </w:p>
        </w:tc>
        <w:tc>
          <w:tcPr>
            <w:tcBorders>
              <w:bottom w:val="single" w:color="000000" w:sz="6" w:space="0"/>
              <w:right w:val="single" w:color="000000" w:sz="6" w:space="0"/>
            </w:tcBorders>
            <w:tcMar>
              <w:left w:w="0" w:type="dxa"/>
              <w:top w:w="0" w:type="dxa"/>
              <w:right w:w="0" w:type="dxa"/>
              <w:bottom w:w="0" w:type="dxa"/>
            </w:tcMar>
            <w:tcW w:w="2579"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Tốt </w:t>
            </w:r>
            <w:r>
              <w:rPr>
                <w:highlight w:val="white"/>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b/>
                <w:color w:val="000000"/>
                <w:sz w:val="24"/>
                <w:highlight w:val="white"/>
              </w:rPr>
              <w:t xml:space="preserve"> Tài sản gắn liền với đất: </w:t>
            </w:r>
            <w:r>
              <w:rPr>
                <w:highlight w:val="white"/>
              </w:rPr>
            </w:r>
          </w:p>
        </w:tc>
      </w:tr>
      <w:tr>
        <w:trPr>
          <w:trHeight w:val="1212"/>
        </w:trPr>
        <w:tc>
          <w:tcPr>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Pr>
                <w:highlight w:val="white"/>
              </w:rPr>
            </w:pPr>
            <w:r>
              <w:rPr>
                <w:rFonts w:ascii="Times New Roman" w:hAnsi="Times New Roman" w:eastAsia="Times New Roman" w:cs="Times New Roman"/>
                <w:color w:val="000000"/>
                <w:sz w:val="24"/>
                <w:highlight w:val="white"/>
              </w:rPr>
              <w:t xml:space="preserve">Tại thời điểm khảo sát, dưới sự hướng dẫn của chủ tài sản, trên đất có CTXD Nhà 01 tầng, diện tích xây dựng khoảng 200m2. </w:t>
            </w: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Công trình chưa công nhận trên GCN QSDĐ số: CQ 638656</w:t>
            </w:r>
            <w:r>
              <w:rPr>
                <w:rFonts w:ascii="Times New Roman" w:hAnsi="Times New Roman" w:eastAsia="Times New Roman" w:cs="Times New Roman"/>
                <w:color w:val="000000"/>
                <w:sz w:val="24"/>
                <w:highlight w:val="white"/>
              </w:rPr>
            </w:r>
            <w:r>
              <w:rPr>
                <w:highlight w:val="white"/>
              </w:rPr>
            </w:r>
          </w:p>
        </w:tc>
      </w:tr>
    </w:tbl>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Style w:val="1035"/>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lang w:val="pt-BR"/>
        </w:rPr>
      </w:r>
    </w:p>
    <w:p>
      <w:pPr>
        <w:pStyle w:val="1035"/>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lang w:val="pt-BR"/>
        </w:rPr>
      </w:r>
    </w:p>
    <w:p>
      <w:pPr>
        <w:pStyle w:val="1035"/>
        <w:numPr>
          <w:ilvl w:val="0"/>
          <w:numId w:val="3"/>
        </w:numPr>
        <w:pBdr/>
        <w:spacing w:after="0" w:before="0" w:line="276" w:lineRule="auto"/>
        <w:ind/>
        <w:jc w:val="both"/>
        <w:rPr>
          <w:highlight w:val="white"/>
        </w:rPr>
      </w:pPr>
      <w:r>
        <w:rPr>
          <w:rFonts w:ascii="Times New Roman" w:hAnsi="Times New Roman" w:eastAsia="Times New Roman" w:cs="Times New Roman"/>
          <w:color w:val="000000"/>
          <w:sz w:val="24"/>
          <w:highlight w:val="white"/>
        </w:rPr>
        <w:t xml:space="preserve">Tại thời điểm khảo sát, dưới sự hướng dẫn của chủ tài sản, trên đất có CTXD Nhà 01 tầng, diện tích xây dựng khoảng 200m2. </w:t>
      </w:r>
      <w:r>
        <w:rPr>
          <w:rFonts w:ascii="Times New Roman" w:hAnsi="Times New Roman" w:eastAsia="Times New Roman" w:cs="Times New Roman"/>
          <w:color w:val="000000"/>
          <w:sz w:val="24"/>
          <w:highlight w:val="white"/>
        </w:rPr>
        <w:t xml:space="preserve">Công trình chưa công nhận trên GCN QSDĐ số: CQ 638656</w:t>
      </w:r>
      <w:r>
        <w:rPr>
          <w:spacing w:val="-2"/>
          <w:highlight w:val="white"/>
          <w:lang w:val="pt-BR"/>
        </w:rPr>
        <w:t xml:space="preserve">, đồng thời Tổ thẩm định cũng không nhận được bất kỳ giấy tờ pháp lý nào liên quan đến CTXD trên. Theo đề nghị của Khách hàng/ Ngân hàng, Tổ thẩm định không xác định giá trị CTXD nhưng vẫn coi đó là phần không thể thiếu của tài sản thẩm định</w:t>
      </w:r>
      <w:r>
        <w:rPr>
          <w:highlight w:val="white"/>
        </w:rPr>
        <w:t xml:space="preserve">.</w:t>
      </w:r>
      <w:r>
        <w:rPr>
          <w:highlight w:val="white"/>
        </w:rPr>
      </w:r>
    </w:p>
    <w:p>
      <w:pPr>
        <w:pStyle w:val="1035"/>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lang w:val="pt-BR"/>
        </w:rPr>
      </w:r>
    </w:p>
    <w:p>
      <w:pPr>
        <w:pBdr/>
        <w:spacing w:after="120" w:before="120" w:line="276" w:lineRule="auto"/>
        <w:ind/>
        <w:rPr>
          <w:b/>
          <w:bCs/>
          <w:highlight w:val="white"/>
        </w:rPr>
      </w:pPr>
      <w:r>
        <w:rPr>
          <w:b/>
          <w:bCs/>
          <w:highlight w:val="white"/>
          <w:lang w:val="pt-BR"/>
        </w:rPr>
      </w:r>
      <w:r>
        <w:rPr>
          <w:b/>
          <w:bCs/>
          <w:highlight w:val="white"/>
          <w:lang w:val="pt-BR"/>
        </w:rPr>
      </w:r>
      <w:r>
        <w:rPr>
          <w:b/>
          <w:bCs/>
          <w:highlight w:val="white"/>
          <w:lang w:val="pt-BR"/>
        </w:rPr>
      </w:r>
    </w:p>
    <w:p>
      <w:pPr>
        <w:pBdr/>
        <w:spacing w:after="120" w:before="120" w:line="276" w:lineRule="auto"/>
        <w:ind/>
        <w:rPr>
          <w:b/>
          <w:bCs/>
          <w:highlight w:val="white"/>
        </w:rPr>
      </w:pPr>
      <w:r>
        <w:rPr>
          <w:b/>
          <w:bCs/>
          <w:highlight w:val="white"/>
          <w:lang w:val="pt-BR"/>
        </w:rPr>
      </w:r>
      <w:r>
        <w:rPr>
          <w:b/>
          <w:bCs/>
          <w:highlight w:val="white"/>
          <w:lang w:val="pt-BR"/>
        </w:rPr>
      </w:r>
      <w:r>
        <w:rPr>
          <w:b/>
          <w:bCs/>
          <w:highlight w:val="white"/>
          <w:lang w:val="pt-BR"/>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lang w:val="pt-BR"/>
        </w:rPr>
      </w:r>
    </w:p>
    <w:p>
      <w:pPr>
        <w:pStyle w:val="1035"/>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lang w:val="pt-BR"/>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lang w:val="pt-BR"/>
        </w:rPr>
      </w:r>
    </w:p>
    <w:p>
      <w:pPr>
        <w:pStyle w:val="1035"/>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lang w:val="pt-BR"/>
        </w:rPr>
      </w:r>
    </w:p>
    <w:p>
      <w:pPr>
        <w:pStyle w:val="103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lang w:val="pt-BR"/>
        </w:rPr>
      </w:r>
    </w:p>
    <w:p>
      <w:pPr>
        <w:pStyle w:val="1035"/>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lang w:val="pt-BR"/>
        </w:rPr>
      </w:r>
    </w:p>
    <w:p>
      <w:pPr>
        <w:pStyle w:val="1035"/>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lang w:val="pt-BR"/>
        </w:rPr>
      </w:r>
    </w:p>
    <w:p>
      <w:pPr>
        <w:pStyle w:val="1035"/>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lang w:val="pt-BR"/>
        </w:rPr>
      </w:r>
    </w:p>
    <w:p>
      <w:pPr>
        <w:pStyle w:val="1035"/>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pPr>
        <w:pStyle w:val="1035"/>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 hỗn hợp</w:t>
      </w:r>
      <w:r>
        <w:rPr>
          <w:b/>
          <w:highlight w:val="white"/>
          <w:lang w:val="pt-BR"/>
        </w:rPr>
        <w:t xml:space="preserve">:</w:t>
      </w:r>
      <w:r>
        <w:rPr>
          <w:b/>
          <w:highlight w:val="white"/>
          <w:lang w:val="pt-BR"/>
        </w:rPr>
      </w:r>
      <w:r>
        <w:rPr>
          <w:b/>
          <w:highlight w:val="white"/>
          <w:lang w:val="pt-BR"/>
        </w:rPr>
      </w:r>
    </w:p>
    <w:p>
      <w:pPr>
        <w:pStyle w:val="1035"/>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lang w:val="pt-BR"/>
        </w:rPr>
      </w:r>
    </w:p>
    <w:p>
      <w:pPr>
        <w:pStyle w:val="1035"/>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Thôn Mỹ Xá, xã Thái Tân,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Thôn Mỹ Xá, xã Thái Tân,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Thôn Mỹ Xá, xã Thái Tân, thành phố Hải Phòng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Thôn Mạc Xá</w:t>
            </w:r>
            <w:r>
              <w:rPr>
                <w:color w:val="000000" w:themeColor="text1"/>
                <w:sz w:val="22"/>
                <w:szCs w:val="22"/>
                <w:highlight w:val="white"/>
              </w:rPr>
              <w:t xml:space="preserve">, xã Thái Tân, thành phố Hải Phòng</w:t>
            </w:r>
            <w:r>
              <w:rPr>
                <w:sz w:val="22"/>
                <w:szCs w:val="22"/>
                <w:highlight w:val="white"/>
              </w:rPr>
            </w:r>
            <w:r>
              <w:rPr>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https://www.facebook.com/groups/1806558599419046/permalink/35232489026399240/?rdid=nvMDTflsxOcpsAEx#</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0962814332</w:t>
            </w:r>
            <w:r>
              <w:rPr>
                <w:sz w:val="22"/>
                <w:szCs w:val="22"/>
                <w:highlight w:val="white"/>
              </w:rPr>
              <w:t xml:space="preserve"> </w:t>
            </w:r>
            <w:r>
              <w:rPr>
                <w:sz w:val="22"/>
                <w:szCs w:val="22"/>
                <w:highlight w:val="white"/>
              </w:rPr>
              <w:br/>
              <w:t xml:space="preserve">(</w:t>
            </w:r>
            <w:r>
              <w:rPr>
                <w:sz w:val="22"/>
                <w:szCs w:val="22"/>
                <w:highlight w:val="white"/>
              </w:rPr>
              <w:t xml:space="preserve">Nguyễn Công Chiến</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0921856555</w:t>
            </w:r>
            <w:r>
              <w:rPr>
                <w:sz w:val="22"/>
                <w:szCs w:val="22"/>
                <w:highlight w:val="white"/>
              </w:rPr>
              <w:br/>
            </w:r>
            <w:r>
              <w:rPr>
                <w:sz w:val="22"/>
                <w:szCs w:val="22"/>
                <w:highlight w:val="white"/>
              </w:rPr>
              <w:t xml:space="preserve">(</w:t>
            </w:r>
            <w:r>
              <w:rPr>
                <w:sz w:val="22"/>
                <w:szCs w:val="22"/>
                <w:highlight w:val="white"/>
              </w:rPr>
              <w:t xml:space="preserve">Tú</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0906011859</w:t>
            </w:r>
            <w:r>
              <w:rPr>
                <w:sz w:val="22"/>
                <w:szCs w:val="22"/>
                <w:highlight w:val="white"/>
              </w:rPr>
              <w:br/>
            </w:r>
            <w:r>
              <w:rPr>
                <w:sz w:val="22"/>
                <w:szCs w:val="22"/>
                <w:highlight w:val="white"/>
              </w:rPr>
              <w:t xml:space="preserve">(</w:t>
            </w:r>
            <w:r>
              <w:rPr>
                <w:sz w:val="22"/>
                <w:szCs w:val="22"/>
                <w:highlight w:val="white"/>
              </w:rPr>
              <w:t xml:space="preserve">Nguyễn Hà</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t xml:space="preserve">Đang giao dịch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t xml:space="preserve">Đang giao dịch</w:t>
            </w: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 (3434m²), Đất trồng cây lâu năm (1257,2m²)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 (100m2),Đất trồng cây lâu năm(100m2)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 (300m2),Đất trồng cây lâu năm (993m2),Đất nuôi trồng thủy sản(113m2)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Lâu dài; đất trồng cây lâu năm: 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Lâu dài; đất trồng cây lâu năm: 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Đất ở: Lâu dài; đất trồng cây lâu năm; đất nuôi trồng thủy sản: có thời hạn</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trục Liên Thôn, khu dân cư thưa thớt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trục Liên Thôn, khu dân cư thưa thớt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trục Liên Thôn, khu dân cư thưa thớt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Khu dân cư Mạc Xá, </w:t>
            </w:r>
            <w:r>
              <w:rPr>
                <w:color w:val="000000" w:themeColor="text1"/>
                <w:sz w:val="22"/>
                <w:szCs w:val="22"/>
                <w:highlight w:val="white"/>
              </w:rPr>
              <w:t xml:space="preserve">xã Thái Tân, thành phố Hải Phòng</w:t>
            </w:r>
            <w:r>
              <w:rPr>
                <w:highlight w:val="white"/>
              </w:rPr>
            </w: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4691,2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1406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727,2</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góc 2 mặt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3 mặt </w:t>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Bất lợi thương mại</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Không có</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Không có</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Tài sản đối diện đình, chùa</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Không có</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16</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Tỷ lệ đất ở/ tổng diện tích(%)</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50%</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21%</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100%</w:t>
            </w:r>
            <w:r>
              <w:rPr>
                <w:color w:val="000000" w:themeColor="text1"/>
                <w:sz w:val="22"/>
                <w:szCs w:val="22"/>
                <w:highlight w:val="white"/>
              </w:rPr>
            </w:r>
            <w:r>
              <w:rPr>
                <w:color w:val="000000" w:themeColor="text1"/>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1.450.000.000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4.500.000.000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1.160.000.000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4.275.000.000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5.520.000.000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1.160.000.000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4.275.000.000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5.520.000.000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7.590.759</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Chiều sâu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Bất lợi thương mại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Tỷ lệ đất ở/ tổng diện tích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lang w:val="de-D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lang w:val="it-IT"/>
        </w:rPr>
      </w:r>
    </w:p>
    <w:p>
      <w:pPr>
        <w:pStyle w:val="1035"/>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1.160.000.000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4.275.000.000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5.520.000.000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7.590.759</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7.645.765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 (3434m²), Đất trồng cây lâu năm (1257,2m²)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 (100m2),Đất trồng cây lâu năm(100m2)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 (300m2),Đất trồng cây lâu năm (993m2),Đất nuôi trồng thủy sản(113m2)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nông thôn</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7.645.765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Lâu dài; đất trồng cây lâu năm: có thời hạn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Lâu dài; đất trồng cây lâu năm: có thời hạn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Đất ở: Lâu dài; đất trồng cây lâu năm; đất nuôi trồng thủy sản: có thời hạn</w:t>
            </w:r>
            <w:r>
              <w:rPr>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7.645.765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trục Liên Thôn, khu dân cư thưa thớt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trục Liên Thôn, khu dân cư thưa thớt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trục Liên Thôn, khu dân cư thưa thớt</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Khu dân cư Mạc Xá, </w:t>
            </w:r>
            <w:r>
              <w:rPr>
                <w:color w:val="000000" w:themeColor="text1"/>
                <w:sz w:val="22"/>
                <w:szCs w:val="22"/>
                <w:highlight w:val="white"/>
              </w:rPr>
              <w:t xml:space="preserve">xã Thái Tân, thành phố Hải Phòng</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7.645.765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7.645.765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227.723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5.800.000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3.344.595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7.818.482</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4691,2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200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1406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727,2</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-2.156.875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-1.897.690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3.643.125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5.920.792</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16,3</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616.250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379.538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4.259.375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6.300.330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góc 2 mặt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3 mặt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184.875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240.000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4.444.250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6,540.330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-616.250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3.828.000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3.040.541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6,540.330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Bất lợi thương mại</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Tài sản nằm đối diện đình, chùa</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Không có</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608.108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3.828.000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3.648.649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6,540.330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Tỷ lệ đất ở/ tổng diện tích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73%</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21%</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616.250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760.135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-2.000.000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4.444.250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4.408.784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4.540.330</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4.444.250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4.408.784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4.540.330</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4.464.455</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-0,45%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4.190.500</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1.976.351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4.744.951</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- 35%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- 25%</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- 25%</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1.355.750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1.368.243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3.050.429</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-1,25</w:t>
      </w:r>
      <w:r>
        <w:rPr>
          <w:highlight w:val="white"/>
        </w:rPr>
        <w:t xml:space="preserve">% đến</w:t>
      </w:r>
      <w:r>
        <w:rPr>
          <w:highlight w:val="white"/>
        </w:rPr>
        <w:t xml:space="preserve"> </w:t>
      </w:r>
      <w:r>
        <w:rPr>
          <w:highlight w:val="white"/>
        </w:rPr>
        <w:t xml:space="preserve"> </w:t>
      </w:r>
      <w:r>
        <w:rPr>
          <w:highlight w:val="white"/>
        </w:rPr>
        <w:t xml:space="preserve">1,7</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bCs/>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4.444.250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1.481.713</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4.408.784</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1.469.448</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4.540.330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1.513.292</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4.464.453</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4.400.000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4.400.000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5"/>
        <w:numPr>
          <w:ilvl w:val="0"/>
          <w:numId w:val="26"/>
        </w:numPr>
        <w:pBdr/>
        <w:spacing w:after="120" w:before="120" w:line="276" w:lineRule="auto"/>
        <w:ind w:hanging="357" w:left="357"/>
        <w:jc w:val="both"/>
        <w:rPr>
          <w:b/>
          <w:bCs/>
          <w:highlight w:val="white"/>
        </w:rPr>
      </w:pPr>
      <w:r>
        <w:rPr>
          <w:b/>
          <w:bCs/>
          <w:highlight w:val="white"/>
        </w:rPr>
        <w:t xml:space="preserve">Xác định đơn giá đất ở và đất trồng cây:</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highlight w:val="white"/>
        </w:rPr>
      </w:pPr>
      <w:r>
        <w:rPr>
          <w:rFonts w:ascii="Times New Roman" w:hAnsi="Times New Roman" w:eastAsia="Times New Roman" w:cs="Times New Roman"/>
          <w:color w:val="000000"/>
          <w:sz w:val="24"/>
          <w:highlight w:val="white"/>
        </w:rPr>
        <w:t xml:space="preserve">Vận dụng </w:t>
      </w:r>
      <w:hyperlink r:id="rId20" w:tooltip="https://thuvienphapluat.vn/chinh-sach-phap-luat-moi/vn/ho-tro-phap-luat/chinh-sach-moi/101037/da-co-nghi-quyet-100-2025-nq-hdnd-ve-bang-gia-dat-quang-ninh-ap-dung-tu-1-1-2026" w:history="1">
        <w:r>
          <w:rPr>
            <w:rStyle w:val="1025"/>
            <w:rFonts w:ascii="Times New Roman" w:hAnsi="Times New Roman" w:eastAsia="Times New Roman" w:cs="Times New Roman"/>
            <w:color w:val="000000"/>
            <w:sz w:val="24"/>
            <w:highlight w:val="white"/>
            <w:u w:val="none"/>
          </w:rPr>
          <w:t xml:space="preserve">Nghị quy</w:t>
        </w:r>
        <w:r>
          <w:rPr>
            <w:rStyle w:val="1025"/>
            <w:rFonts w:ascii="Times New Roman" w:hAnsi="Times New Roman" w:eastAsia="Times New Roman" w:cs="Times New Roman"/>
            <w:color w:val="000000"/>
            <w:sz w:val="24"/>
            <w:szCs w:val="24"/>
            <w:highlight w:val="white"/>
            <w:u w:val="none"/>
          </w:rPr>
          <w:t xml:space="preserve">ết </w:t>
        </w:r>
        <w:r>
          <w:rPr>
            <w:rFonts w:ascii="Times New Roman" w:hAnsi="Times New Roman" w:eastAsia="Times New Roman" w:cs="Times New Roman"/>
            <w:color w:val="000000"/>
            <w:sz w:val="24"/>
            <w:szCs w:val="24"/>
            <w:highlight w:val="white"/>
          </w:rPr>
          <w:t xml:space="preserve">s</w:t>
        </w:r>
        <w:r>
          <w:rPr>
            <w:rFonts w:ascii="Times New Roman" w:hAnsi="Times New Roman" w:eastAsia="Times New Roman" w:cs="Times New Roman"/>
            <w:color w:val="000000"/>
            <w:sz w:val="24"/>
            <w:szCs w:val="24"/>
            <w:highlight w:val="white"/>
          </w:rPr>
          <w:t xml:space="preserve">ố: 85/NQ-HĐND</w:t>
        </w:r>
        <w:r>
          <w:rPr>
            <w:rStyle w:val="1025"/>
            <w:rFonts w:ascii="Times New Roman" w:hAnsi="Times New Roman" w:eastAsia="Times New Roman" w:cs="Times New Roman"/>
            <w:color w:val="000000"/>
            <w:sz w:val="24"/>
            <w:szCs w:val="24"/>
            <w:highlight w:val="white"/>
            <w:u w:val="none"/>
          </w:rPr>
        </w:r>
      </w:hyperlink>
      <w:r>
        <w:rPr>
          <w:rFonts w:ascii="Times New Roman" w:hAnsi="Times New Roman" w:eastAsia="Times New Roman" w:cs="Times New Roman"/>
          <w:color w:val="000000"/>
          <w:sz w:val="24"/>
          <w:szCs w:val="24"/>
          <w:highlight w:val="white"/>
        </w:rPr>
        <w:t xml:space="preserve"> quy</w:t>
      </w:r>
      <w:r>
        <w:rPr>
          <w:rFonts w:ascii="Times New Roman" w:hAnsi="Times New Roman" w:eastAsia="Times New Roman" w:cs="Times New Roman"/>
          <w:color w:val="000000"/>
          <w:sz w:val="24"/>
          <w:highlight w:val="white"/>
        </w:rPr>
        <w:t xml:space="preserve"> định bảng giá đất lần đầu áp dụng từ ngày 01 tháng 01 năm 2026 trên địa bàn tỉnh thành phố Hải Phòng.</w:t>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highlight w:val="white"/>
        </w:rPr>
      </w:pPr>
      <w:r>
        <w:rPr>
          <w:rFonts w:ascii="Times New Roman" w:hAnsi="Times New Roman" w:eastAsia="Times New Roman" w:cs="Times New Roman"/>
          <w:color w:val="000000"/>
          <w:sz w:val="24"/>
          <w:highlight w:val="white"/>
        </w:rPr>
        <w:t xml:space="preserve">+ Đơn giá đất ở tại vị trí Đường trục chính thôn Mỹ Xá (VT1)</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b/>
          <w:color w:val="000000"/>
          <w:sz w:val="24"/>
          <w:highlight w:val="white"/>
        </w:rPr>
        <w:t xml:space="preserve">3.000.000 đồng</w:t>
      </w:r>
      <w:r>
        <w:rPr>
          <w:rFonts w:ascii="Times New Roman" w:hAnsi="Times New Roman" w:eastAsia="Times New Roman" w:cs="Times New Roman"/>
          <w:b/>
          <w:color w:val="000000"/>
          <w:sz w:val="24"/>
          <w:highlight w:val="white"/>
        </w:rPr>
        <w:t xml:space="preserve">/m²</w:t>
      </w:r>
      <w:r>
        <w:rPr>
          <w:rFonts w:ascii="Times New Roman" w:hAnsi="Times New Roman" w:eastAsia="Times New Roman" w:cs="Times New Roman"/>
          <w:b/>
          <w:color w:val="000000"/>
          <w:sz w:val="24"/>
          <w:highlight w:val="white"/>
        </w:rPr>
        <w:t xml:space="preserve">.</w:t>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highlight w:val="white"/>
        </w:rPr>
      </w:pPr>
      <w:r>
        <w:rPr>
          <w:rFonts w:ascii="Times New Roman" w:hAnsi="Times New Roman" w:eastAsia="Times New Roman" w:cs="Times New Roman"/>
          <w:color w:val="000000"/>
          <w:sz w:val="24"/>
          <w:highlight w:val="white"/>
        </w:rPr>
        <w:t xml:space="preserve">+ Đơn giá đất trồng cây lâu năm tại các xã là: </w:t>
      </w:r>
      <w:r>
        <w:rPr>
          <w:rFonts w:ascii="Times New Roman" w:hAnsi="Times New Roman" w:eastAsia="Times New Roman" w:cs="Times New Roman"/>
          <w:b/>
          <w:color w:val="000000"/>
          <w:sz w:val="24"/>
          <w:highlight w:val="white"/>
        </w:rPr>
        <w:t xml:space="preserve">120.000 đồng/m².</w:t>
      </w:r>
      <w:r>
        <w:rPr>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Gọi đơn giá đất ở là X, đơn giá đất trồng cây lâu năm là Y ta có tổng giá trị quyền sử dụng đất là:</w:t>
      </w:r>
      <w:r>
        <w:rPr>
          <w:highlight w:val="white"/>
        </w:rP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highlight w:val="white"/>
        </w:rPr>
      </w:pPr>
      <w:r>
        <w:rPr>
          <w:rFonts w:ascii="Times New Roman" w:hAnsi="Times New Roman" w:eastAsia="Times New Roman" w:cs="Times New Roman"/>
          <w:color w:val="000000"/>
          <w:sz w:val="24"/>
          <w:highlight w:val="white"/>
        </w:rPr>
        <w:tab/>
        <w:tab/>
        <w:t xml:space="preserve">3.434*X + 1257,2*Y = 4.400.000*4691,2 tương đương với 120*X + 754,6*Y = 20.641.280.000 </w:t>
      </w:r>
      <w:r>
        <w:rPr>
          <w:rFonts w:ascii="Times New Roman" w:hAnsi="Times New Roman" w:eastAsia="Times New Roman" w:cs="Times New Roman"/>
          <w:color w:val="000000"/>
          <w:sz w:val="20"/>
          <w:highlight w:val="white"/>
          <w:vertAlign w:val="superscript"/>
        </w:rPr>
        <w:t xml:space="preserve">(1)</w:t>
      </w:r>
      <w:r>
        <w:rPr>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Theo tỷ lệ giá đất ở so với đất trồng cây lâu năm theo giá UBND:</w:t>
      </w:r>
      <w:r>
        <w:rPr>
          <w:highlight w:val="white"/>
        </w:rP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highlight w:val="white"/>
        </w:rPr>
      </w:pPr>
      <w:r>
        <w:rPr>
          <w:rFonts w:ascii="Times New Roman" w:hAnsi="Times New Roman" w:eastAsia="Times New Roman" w:cs="Times New Roman"/>
          <w:color w:val="000000"/>
          <w:sz w:val="24"/>
          <w:highlight w:val="white"/>
        </w:rPr>
        <w:tab/>
        <w:t xml:space="preserve">X /Y = 3.000.000/120.</w:t>
      </w:r>
      <w:r>
        <w:rPr>
          <w:rFonts w:ascii="Times New Roman" w:hAnsi="Times New Roman" w:eastAsia="Times New Roman" w:cs="Times New Roman"/>
          <w:color w:val="000000"/>
          <w:sz w:val="24"/>
          <w:highlight w:val="white"/>
        </w:rPr>
        <w:t xml:space="preserve">000</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 tươ</w:t>
      </w:r>
      <w:r>
        <w:rPr>
          <w:rFonts w:ascii="Times New Roman" w:hAnsi="Times New Roman" w:eastAsia="Times New Roman" w:cs="Times New Roman"/>
          <w:color w:val="000000"/>
          <w:sz w:val="24"/>
          <w:highlight w:val="white"/>
        </w:rPr>
        <w:t xml:space="preserve">ng đương với X /Y = 25 </w:t>
      </w:r>
      <w:r>
        <w:rPr>
          <w:rFonts w:ascii="Times New Roman" w:hAnsi="Times New Roman" w:eastAsia="Times New Roman" w:cs="Times New Roman"/>
          <w:color w:val="000000"/>
          <w:sz w:val="20"/>
          <w:highlight w:val="white"/>
          <w:vertAlign w:val="superscript"/>
        </w:rPr>
        <w:t xml:space="preserve">(2)</w:t>
      </w:r>
      <w:r>
        <w:rPr>
          <w:highlight w:val="white"/>
        </w:rPr>
      </w:r>
    </w:p>
    <w:p>
      <w:pPr>
        <w:pBdr/>
        <w:spacing w:after="40" w:before="40" w:line="288" w:lineRule="auto"/>
        <w:ind/>
        <w:jc w:val="left"/>
        <w:rPr>
          <w:b w:val="0"/>
          <w:bCs w:val="0"/>
          <w:highlight w:val="white"/>
        </w:rPr>
      </w:pPr>
      <w:r>
        <w:rPr>
          <w:rFonts w:ascii="Times New Roman" w:hAnsi="Times New Roman" w:eastAsia="Times New Roman" w:cs="Times New Roman"/>
          <w:b w:val="0"/>
          <w:bCs w:val="0"/>
          <w:color w:val="000000"/>
          <w:sz w:val="24"/>
          <w:highlight w:val="white"/>
        </w:rPr>
        <w:t xml:space="preserve">Từ (1) và (2) suy ra : X = </w:t>
      </w:r>
      <w:r>
        <w:rPr>
          <w:b w:val="0"/>
          <w:bCs w:val="0"/>
          <w:color w:val="000000" w:themeColor="text1"/>
          <w:highlight w:val="white"/>
        </w:rPr>
        <w:t xml:space="preserve">5.924.103</w:t>
      </w:r>
      <w:r>
        <w:rPr>
          <w:rFonts w:ascii="Times New Roman" w:hAnsi="Times New Roman" w:eastAsia="Times New Roman" w:cs="Times New Roman"/>
          <w:b w:val="0"/>
          <w:bCs w:val="0"/>
          <w:color w:val="000000"/>
          <w:sz w:val="24"/>
          <w:highlight w:val="white"/>
        </w:rPr>
        <w:t xml:space="preserve"> đồng/m</w:t>
      </w:r>
      <w:r>
        <w:rPr>
          <w:rFonts w:ascii="Times New Roman" w:hAnsi="Times New Roman" w:eastAsia="Times New Roman" w:cs="Times New Roman"/>
          <w:b w:val="0"/>
          <w:bCs w:val="0"/>
          <w:color w:val="000000"/>
          <w:sz w:val="20"/>
          <w:highlight w:val="white"/>
          <w:vertAlign w:val="superscript"/>
        </w:rPr>
        <w:t xml:space="preserve">2</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và Y =</w:t>
      </w:r>
      <w:r>
        <w:rPr>
          <w:rFonts w:ascii="Times New Roman" w:hAnsi="Times New Roman" w:eastAsia="Times New Roman" w:cs="Times New Roman"/>
          <w:b w:val="0"/>
          <w:bCs w:val="0"/>
          <w:color w:val="000000"/>
          <w:sz w:val="24"/>
          <w:highlight w:val="white"/>
        </w:rPr>
        <w:t xml:space="preserve"> </w:t>
      </w:r>
      <w:r>
        <w:rPr>
          <w:b w:val="0"/>
          <w:bCs w:val="0"/>
          <w:color w:val="000000" w:themeColor="text1"/>
          <w:highlight w:val="white"/>
        </w:rPr>
        <w:t xml:space="preserve">236.964</w:t>
      </w:r>
      <w:r>
        <w:rPr>
          <w:rFonts w:ascii="Times New Roman" w:hAnsi="Times New Roman" w:eastAsia="Times New Roman" w:cs="Times New Roman"/>
          <w:b w:val="0"/>
          <w:bCs w:val="0"/>
          <w:color w:val="000000"/>
          <w:sz w:val="24"/>
          <w:highlight w:val="white"/>
        </w:rPr>
        <w:t xml:space="preserve"> đồng/m</w:t>
      </w:r>
      <w:r>
        <w:rPr>
          <w:rFonts w:ascii="Times New Roman" w:hAnsi="Times New Roman" w:eastAsia="Times New Roman" w:cs="Times New Roman"/>
          <w:b w:val="0"/>
          <w:bCs w:val="0"/>
          <w:color w:val="000000"/>
          <w:sz w:val="20"/>
          <w:highlight w:val="white"/>
          <w:vertAlign w:val="superscript"/>
        </w:rPr>
        <w:t xml:space="preserve">2</w:t>
      </w:r>
      <w:r>
        <w:rPr>
          <w:b w:val="0"/>
          <w:bCs w:val="0"/>
          <w:highlight w:val="white"/>
        </w:rPr>
      </w:r>
      <w:r>
        <w:rPr>
          <w:b w:val="0"/>
          <w:bCs w:val="0"/>
          <w:highlight w:val="white"/>
        </w:rPr>
      </w:r>
    </w:p>
    <w:p>
      <w:pPr>
        <w:pBdr/>
        <w:spacing w:after="40" w:before="40" w:line="288" w:lineRule="auto"/>
        <w:ind/>
        <w:jc w:val="left"/>
        <w:rPr>
          <w:highlight w:val="white"/>
        </w:rPr>
      </w:pPr>
      <w:r>
        <w:rPr>
          <w:b/>
          <w:bCs/>
          <w:highlight w:val="white"/>
        </w:rPr>
        <w:t xml:space="preserve">3.</w:t>
      </w:r>
      <w:r>
        <w:rPr>
          <w:highlight w:val="white"/>
        </w:rPr>
        <w:t xml:space="preserve">   </w:t>
      </w:r>
      <w:r>
        <w:rPr>
          <w:b/>
          <w:highlight w:val="white"/>
          <w:lang w:val="pt-BR"/>
        </w:rPr>
        <w:t xml:space="preserve">Kết quả thẩ</w:t>
      </w:r>
      <w:r>
        <w:rPr>
          <w:b/>
          <w:highlight w:val="white"/>
          <w:lang w:val="pt-BR"/>
        </w:rPr>
        <w:t xml:space="preserve">m định gi</w:t>
      </w:r>
      <w:r>
        <w:rPr>
          <w:b/>
          <w:highlight w:val="white"/>
          <w:lang w:val="pt-BR"/>
        </w:rPr>
        <w:t xml:space="preserve">á:</w:t>
      </w:r>
      <w:r>
        <w:rPr>
          <w:highlight w:val="white"/>
        </w:rPr>
      </w:r>
    </w:p>
    <w:p>
      <w:pPr>
        <w:pStyle w:val="1035"/>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07/2026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97"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81"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89"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467" w:type="pct"/>
            <w:vAlign w:val="center"/>
            <w:textDirection w:val="lrTb"/>
            <w:noWrap w:val="false"/>
          </w:tcPr>
          <w:p>
            <w:pPr>
              <w:pBdr/>
              <w:spacing w:after="40" w:before="40" w:line="288" w:lineRule="auto"/>
              <w:ind/>
              <w:jc w:val="both"/>
              <w:rPr>
                <w:b/>
                <w:bCs/>
                <w:highlight w:val="white"/>
              </w:rPr>
            </w:pPr>
            <w:r>
              <w:rPr>
                <w:color w:val="000000"/>
                <w:highlight w:val="white"/>
              </w:rPr>
              <w:t xml:space="preserve">Quyền sử dụng đất tại thửa đất số: 85, tờ bản đồ số: 18, có địa chỉ: Thôn Mỹ Xá, xã Minh Tân, huyện Nam Sách, tỉnh Hải Dương (nay là xã Thái Tân, th</w:t>
            </w:r>
            <w:r>
              <w:rPr>
                <w:color w:val="000000"/>
                <w:highlight w:val="white"/>
              </w:rPr>
              <w:t xml:space="preserve">ành phố Hải Phòng) theo Giấy chứng nhận quyền sử dụng đất, quyền sở hữu nhà ở và tài sản khác gắn liền với đất số: CQ 638656, Số vào sổ cấp GCN: CH00045 do UBND huyện Nam Sách cấp ngày 27/03/2019; chủ sử dụng đất là Ông Nguyễn Văn Đoàn và Bà Nguyễn Thị Bảo</w:t>
            </w:r>
            <w:r>
              <w:rPr>
                <w:b/>
                <w:bCs/>
                <w:highlight w:val="white"/>
              </w:rPr>
              <w:t xml:space="preserve">.</w:t>
            </w:r>
            <w:r>
              <w:rPr>
                <w:b/>
                <w:bCs/>
                <w:highlight w:val="white"/>
              </w:rPr>
            </w:r>
            <w:r>
              <w:rPr>
                <w:b/>
                <w:bCs/>
                <w:highlight w:val="white"/>
              </w:rPr>
            </w:r>
          </w:p>
        </w:tc>
        <w:tc>
          <w:tcPr>
            <w:shd w:val="clear" w:color="000000" w:fill="ffffff"/>
            <w:tcBorders/>
            <w:tcW w:w="1170"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p>
        </w:tc>
        <w:tc>
          <w:tcPr>
            <w:shd w:val="clear" w:color="000000" w:fill="ffffff"/>
            <w:tcBorders/>
            <w:tcW w:w="1097"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w:t>
            </w:r>
            <w:r>
              <w:rPr>
                <w:b w:val="0"/>
                <w:bCs w:val="0"/>
                <w:highlight w:val="white"/>
              </w:rPr>
            </w:r>
          </w:p>
        </w:tc>
        <w:tc>
          <w:tcPr>
            <w:tcBorders/>
            <w:tcW w:w="981"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3434</w:t>
            </w:r>
            <w:r>
              <w:rPr>
                <w:color w:val="000000"/>
                <w:highlight w:val="white"/>
              </w:rPr>
            </w:r>
            <w:r>
              <w:rPr>
                <w:color w:val="000000"/>
                <w:highlight w:val="white"/>
              </w:rPr>
            </w:r>
          </w:p>
        </w:tc>
        <w:tc>
          <w:tcPr>
            <w:shd w:val="clear" w:color="000000" w:fill="ffffff"/>
            <w:tcBorders/>
            <w:tcW w:w="1389"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5.924.103</w:t>
            </w:r>
            <w:r>
              <w:rPr>
                <w:highlight w:val="white"/>
              </w:rPr>
            </w:r>
          </w:p>
        </w:tc>
        <w:tc>
          <w:tcPr>
            <w:shd w:val="clear" w:color="000000" w:fill="ffffff"/>
            <w:tcBorders/>
            <w:tcW w:w="1170"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20.343.368.723</w:t>
            </w:r>
            <w:r>
              <w:rPr>
                <w:highlight w:val="white"/>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2</w:t>
            </w:r>
            <w:r>
              <w:rPr>
                <w:b w:val="0"/>
                <w:bCs w:val="0"/>
                <w:highlight w:val="white"/>
              </w:rPr>
            </w:r>
          </w:p>
        </w:tc>
        <w:tc>
          <w:tcPr>
            <w:shd w:val="clear" w:color="000000" w:fill="ffffff"/>
            <w:tcBorders/>
            <w:tcW w:w="1097"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trồng cây lâu năm</w:t>
            </w:r>
            <w:r>
              <w:rPr>
                <w:b w:val="0"/>
                <w:bCs w:val="0"/>
                <w:highlight w:val="white"/>
              </w:rPr>
            </w:r>
          </w:p>
        </w:tc>
        <w:tc>
          <w:tcPr>
            <w:tcBorders/>
            <w:tcW w:w="981"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1257,2</w:t>
            </w:r>
            <w:r>
              <w:rPr>
                <w:color w:val="000000"/>
                <w:highlight w:val="white"/>
              </w:rPr>
            </w:r>
            <w:r>
              <w:rPr>
                <w:color w:val="000000"/>
                <w:highlight w:val="white"/>
              </w:rPr>
            </w:r>
          </w:p>
        </w:tc>
        <w:tc>
          <w:tcPr>
            <w:shd w:val="clear" w:color="000000" w:fill="ffffff"/>
            <w:tcBorders/>
            <w:tcW w:w="1389"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236.964</w:t>
            </w:r>
            <w:r>
              <w:rPr>
                <w:highlight w:val="white"/>
              </w:rPr>
            </w:r>
          </w:p>
        </w:tc>
        <w:tc>
          <w:tcPr>
            <w:shd w:val="clear" w:color="000000" w:fill="ffffff"/>
            <w:tcBorders/>
            <w:tcW w:w="1170"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297.911.277</w:t>
            </w:r>
            <w:r>
              <w:rPr>
                <w:highlight w:val="whit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highlight w:val="white"/>
              </w:rPr>
              <w:t xml:space="preserve">20.641.280.000</w:t>
            </w:r>
            <w:r>
              <w:rPr>
                <w:b/>
                <w:bCs/>
                <w:color w:val="000000"/>
                <w:highlight w:val="white"/>
              </w:rPr>
            </w:r>
            <w:r>
              <w:rPr>
                <w:b/>
                <w:bCs/>
                <w:color w:val="000000"/>
                <w:highlight w:val="white"/>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70"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20.641.000.000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Hai mươi tỷ sáu trăm bốn mươi mốt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5"/>
        <w:pBdr/>
        <w:tabs>
          <w:tab w:val="left" w:leader="none" w:pos="993"/>
        </w:tabs>
        <w:spacing w:after="120" w:before="120" w:line="288" w:lineRule="auto"/>
        <w:ind w:left="0"/>
        <w:jc w:val="both"/>
        <w:rPr>
          <w:b/>
          <w:bCs/>
          <w:highlight w:val="white"/>
        </w:rPr>
      </w:pPr>
      <w:r>
        <w:rPr>
          <w:b/>
          <w:bCs/>
          <w:highlight w:val="white"/>
          <w:lang w:val="pt-BR"/>
        </w:rPr>
      </w:r>
      <w:r>
        <w:rPr>
          <w:rFonts w:ascii="Times New Roman" w:hAnsi="Times New Roman" w:eastAsia="Times New Roman" w:cs="Times New Roman"/>
          <w:b/>
          <w:i/>
          <w:color w:val="000000"/>
          <w:sz w:val="24"/>
          <w:highlight w:val="white"/>
          <w:u w:val="single"/>
        </w:rPr>
        <w:t xml:space="preserve">Ghi chú: </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i/>
          <w:color w:val="000000"/>
          <w:sz w:val="24"/>
          <w:highlight w:val="white"/>
        </w:rPr>
        <w:t xml:space="preserve">Trong quá trình sử dụng kết quả chứng thư và báo cáo thẩm định này, giá trị phần đất ở và đất trồng cây lâu năm không được tách rời nhau</w:t>
      </w:r>
      <w:r>
        <w:rPr>
          <w:b/>
          <w:bCs/>
          <w:highlight w:val="white"/>
          <w:lang w:val="pt-BR"/>
        </w:rPr>
        <w:t xml:space="preserve">.</w:t>
      </w:r>
      <w:r>
        <w:rPr>
          <w:b/>
          <w:bCs/>
          <w:highlight w:val="white"/>
          <w:lang w:val="pt-BR"/>
        </w:rPr>
      </w:r>
    </w:p>
    <w:p>
      <w:pPr>
        <w:pStyle w:val="1035"/>
        <w:pBdr/>
        <w:tabs>
          <w:tab w:val="left" w:leader="none" w:pos="993"/>
        </w:tabs>
        <w:spacing w:after="120" w:before="120" w:line="288" w:lineRule="auto"/>
        <w:ind w:left="0"/>
        <w:jc w:val="both"/>
        <w:rPr>
          <w:b/>
          <w:bCs/>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lang w:val="pt-BR"/>
        </w:rPr>
      </w:r>
    </w:p>
    <w:p>
      <w:pPr>
        <w:pStyle w:val="1035"/>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lang w:val="pt-BR"/>
        </w:rPr>
      </w:r>
    </w:p>
    <w:p>
      <w:pPr>
        <w:pStyle w:val="1035"/>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lang w:val="pt-BR"/>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lang w:val="pt-BR"/>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lang w:val="pt-BR"/>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lang w:val="pt-BR"/>
        </w:rPr>
      </w:r>
    </w:p>
    <w:p>
      <w:pPr>
        <w:pStyle w:val="1035"/>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lang w:val="pt-BR"/>
        </w:rPr>
      </w:r>
    </w:p>
    <w:p>
      <w:pPr>
        <w:pStyle w:val="1035"/>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lang w:val="pt-BR"/>
        </w:rPr>
      </w:r>
    </w:p>
    <w:p>
      <w:pPr>
        <w:pStyle w:val="1035"/>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lang w:val="pt-BR"/>
        </w:rPr>
      </w:r>
    </w:p>
    <w:p>
      <w:pPr>
        <w:pStyle w:val="1035"/>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lang w:val="pt-BR"/>
        </w:rPr>
      </w:r>
    </w:p>
    <w:p>
      <w:pPr>
        <w:pStyle w:val="1035"/>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lang w:val="pt-BR"/>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lang w:val="pt-BR"/>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lang w:val="pt-BR"/>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lang w:val="pt-BR"/>
        </w:rPr>
      </w:r>
    </w:p>
    <w:p>
      <w:pPr>
        <w:pStyle w:val="1035"/>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lang w:val="pt-BR"/>
        </w:rPr>
      </w:r>
    </w:p>
    <w:p>
      <w:pPr>
        <w:pStyle w:val="1035"/>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lang w:val="pt-BR"/>
        </w:rPr>
      </w:r>
    </w:p>
    <w:p>
      <w:pPr>
        <w:pStyle w:val="1035"/>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lang w:val="pt-BR"/>
        </w:rPr>
      </w:r>
    </w:p>
    <w:p>
      <w:pPr>
        <w:pStyle w:val="1035"/>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lang w:val="pt-BR"/>
        </w:rPr>
      </w:r>
    </w:p>
    <w:p>
      <w:pPr>
        <w:pStyle w:val="1035"/>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lang w:val="pt-BR"/>
        </w:rPr>
      </w:r>
    </w:p>
    <w:p>
      <w:pPr>
        <w:pStyle w:val="1035"/>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lang w:val="vi-VN"/>
        </w:rPr>
      </w:r>
    </w:p>
    <w:p>
      <w:pPr>
        <w:pStyle w:val="1035"/>
        <w:numPr>
          <w:ilvl w:val="0"/>
          <w:numId w:val="43"/>
        </w:numPr>
        <w:pBdr/>
        <w:spacing w:after="0" w:before="0" w:line="276" w:lineRule="auto"/>
        <w:ind/>
        <w:jc w:val="both"/>
        <w:rPr>
          <w:highlight w:val="white"/>
        </w:rPr>
      </w:pPr>
      <w:r>
        <w:rPr>
          <w:rFonts w:ascii="Times New Roman" w:hAnsi="Times New Roman" w:eastAsia="Times New Roman" w:cs="Times New Roman"/>
          <w:color w:val="000000"/>
          <w:sz w:val="24"/>
          <w:highlight w:val="white"/>
        </w:rPr>
        <w:t xml:space="preserve">Tại thời điểm khảo sát, dưới sự hướng dẫn của chủ tài sản, trên đất có CTXD Nhà 01 tầng, diện tích xây dựng khoảng 200m2. </w:t>
      </w:r>
      <w:r>
        <w:rPr>
          <w:rFonts w:ascii="Times New Roman" w:hAnsi="Times New Roman" w:eastAsia="Times New Roman" w:cs="Times New Roman"/>
          <w:color w:val="000000"/>
          <w:sz w:val="24"/>
          <w:highlight w:val="white"/>
        </w:rPr>
        <w:t xml:space="preserve">Công trình chưa công nhận trên GCN QSDĐ số: CQ 638656</w:t>
      </w:r>
      <w:r>
        <w:rPr>
          <w:spacing w:val="-2"/>
          <w:highlight w:val="white"/>
          <w:lang w:val="pt-BR"/>
        </w:rPr>
        <w:t xml:space="preserve">, đồng thời Tổ thẩm định cũng không nhận được bất kỳ giấy tờ pháp lý nào liên quan đến CTXD trên. Theo đề nghị của Khách hàng/ Ngân hàng, Tổ thẩm định không xác định giá trị CTXD nhưng vẫn coi đó là phần không thể thiếu của tài sản thẩm định</w:t>
      </w:r>
      <w:r>
        <w:rPr>
          <w:highlight w:val="white"/>
        </w:rPr>
        <w:t xml:space="preserve">.</w:t>
      </w:r>
      <w:r>
        <w:rPr>
          <w:bCs/>
          <w:spacing w:val="-2"/>
          <w:highlight w:val="white"/>
          <w:lang w:val="pt-BR"/>
        </w:rPr>
      </w:r>
      <w:r>
        <w:rPr>
          <w:highlight w:val="white"/>
        </w:rPr>
      </w:r>
    </w:p>
    <w:p>
      <w:pPr>
        <w:pStyle w:val="1035"/>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lang w:val="vi-VN"/>
        </w:rPr>
      </w:r>
    </w:p>
    <w:p>
      <w:pPr>
        <w:pStyle w:val="1035"/>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lang w:val="pt-BR"/>
        </w:rPr>
      </w:r>
    </w:p>
    <w:p>
      <w:pPr>
        <w:pStyle w:val="1035"/>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lang w:val="pt-BR"/>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lang w:val="pt-BR"/>
        </w:rPr>
      </w:r>
    </w:p>
    <w:p>
      <w:pPr>
        <w:pStyle w:val="1035"/>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lang w:val="pt-BR"/>
        </w:rPr>
      </w:r>
    </w:p>
    <w:p>
      <w:pPr>
        <w:pStyle w:val="1035"/>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lang w:val="pt-BR"/>
        </w:rPr>
      </w:r>
    </w:p>
    <w:p>
      <w:pPr>
        <w:pBdr/>
        <w:shd w:val="nil" w:color="auto"/>
        <w:spacing/>
        <w:ind/>
        <w:rPr>
          <w:highlight w:val="white"/>
        </w:rPr>
      </w:pPr>
      <w:r>
        <w:rPr>
          <w:highlight w:val="white"/>
          <w:lang w:val="pt-BR"/>
        </w:rPr>
        <w:br w:type="page" w:clear="all"/>
      </w:r>
      <w:r>
        <w:rPr>
          <w:highlight w:val="white"/>
          <w:lang w:val="pt-BR"/>
        </w:rPr>
      </w:r>
      <w:r>
        <w:rPr>
          <w:highlight w:val="white"/>
          <w:lang w:val="pt-BR"/>
        </w:rPr>
      </w:r>
    </w:p>
    <w:p>
      <w:pPr>
        <w:pStyle w:val="1035"/>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275/2026/1017/VFI-CT.44.A</w:t>
      </w:r>
      <w:r>
        <w:rPr>
          <w:color w:val="ff0000"/>
          <w:highlight w:val="white"/>
          <w:lang w:val="vi-VN"/>
        </w:rPr>
        <w:t xml:space="preserve"> </w:t>
      </w:r>
      <w:r>
        <w:rPr>
          <w:color w:val="000000" w:themeColor="text1"/>
          <w:highlight w:val="white"/>
        </w:rPr>
        <w:t xml:space="preserve">ngày 6 tháng 7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lang w:val="vi-VN"/>
        </w:rPr>
      </w:r>
    </w:p>
    <w:p>
      <w:pPr>
        <w:pStyle w:val="1035"/>
        <w:pBdr/>
        <w:tabs>
          <w:tab w:val="left" w:leader="none" w:pos="993"/>
        </w:tabs>
        <w:spacing w:after="120" w:before="120" w:line="288" w:lineRule="auto"/>
        <w:ind w:left="0"/>
        <w:jc w:val="both"/>
        <w:rPr>
          <w:highlight w:val="white"/>
        </w:rPr>
      </w:pPr>
      <w:r>
        <w:rPr>
          <w:highlight w:val="white"/>
          <w:lang w:val="pt-BR"/>
        </w:rPr>
      </w:r>
      <w:r>
        <w:rPr>
          <w:highlight w:val="white"/>
          <w:lang w:val="pt-BR"/>
        </w:rPr>
      </w:r>
      <w:r>
        <w:rPr>
          <w:highlight w:val="white"/>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Lê Đình Duy</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Đỗ Thanh Thảo</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lang w:val="pt-BR"/>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lang w:val="vi-VN"/>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w:t>
      </w:r>
      <w:r>
        <w:rPr>
          <w:b/>
          <w:highlight w:val="white"/>
          <w:lang w:val="vi-VN"/>
        </w:rPr>
        <w:t xml:space="preserve">ỆN TRẠNG</w:t>
      </w:r>
      <w:r>
        <w:rPr>
          <w:b/>
          <w:highlight w:val="white"/>
          <w:lang w:val="pt-BR"/>
        </w:rPr>
        <w:t xml:space="preserve"> </w:t>
      </w:r>
      <w:r>
        <w:rPr>
          <w:b/>
          <w:highlight w:val="white"/>
          <w:lang w:val="pt-BR"/>
        </w:rPr>
        <w:t xml:space="preserve">VÀ PHÁP L</w:t>
      </w:r>
      <w:r>
        <w:rPr>
          <w:b/>
          <w:highlight w:val="white"/>
          <w:lang w:val="pt-BR"/>
        </w:rPr>
        <w:t xml:space="preserve">Ý </w:t>
      </w:r>
      <w:r>
        <w:rPr>
          <w:b/>
          <w:highlight w:val="white"/>
          <w:lang w:val="pt-BR"/>
        </w:rPr>
        <w:t xml:space="preserve">CỦA TÀI SẢN</w:t>
      </w:r>
      <w:r>
        <w:rPr>
          <w:b/>
          <w:highlight w:val="white"/>
          <w:u w:val="single"/>
          <w:lang w:val="vi-VN"/>
        </w:rPr>
      </w:r>
      <w:r>
        <w:rPr>
          <w:b/>
          <w:highlight w:val="white"/>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275/2026/1017/VFI-B</w:t>
      </w:r>
      <w:r>
        <w:rPr>
          <w:i/>
          <w:highlight w:val="white"/>
        </w:rPr>
        <w:t xml:space="preserve">C.44.A</w:t>
      </w:r>
      <w:r>
        <w:rPr>
          <w:i/>
          <w:highlight w:val="white"/>
          <w:lang w:val="pt-BR"/>
        </w:rPr>
        <w:t xml:space="preserve"> ngày </w:t>
      </w:r>
      <w:r>
        <w:rPr>
          <w:i/>
          <w:highlight w:val="white"/>
          <w:lang w:val="pt-BR"/>
        </w:rPr>
        <w:t xml:space="preserve">6 tháng 7 năm 2026</w:t>
      </w:r>
      <w:r>
        <w:rPr>
          <w:i/>
          <w:highlight w:val="white"/>
          <w:lang w:val="pt-BR"/>
        </w:rPr>
        <w:t xml:space="preserve"> </w:t>
      </w:r>
      <w:r>
        <w:rPr>
          <w:i/>
          <w:highlight w:val="white"/>
          <w:lang w:val="pt-BR"/>
        </w:rPr>
        <w:t xml:space="preserve">của</w:t>
      </w:r>
      <w:r>
        <w:rPr>
          <w:i/>
          <w:highlight w:val="white"/>
          <w:lang w:val="pt-BR"/>
        </w:rPr>
        <w:t xml:space="preserve">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287239" cy="278606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659844" name=""/>
                              <pic:cNvPicPr>
                                <a:picLocks noChangeAspect="1"/>
                              </pic:cNvPicPr>
                              <pic:nvPr/>
                            </pic:nvPicPr>
                            <pic:blipFill rotWithShape="1">
                              <a:blip r:embed="rId21"/>
                              <a:stretch/>
                            </pic:blipFill>
                            <pic:spPr bwMode="auto">
                              <a:xfrm flipH="0" flipV="0">
                                <a:off x="0" y="0"/>
                                <a:ext cx="1287239" cy="2786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1.36pt;height:219.37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775688" cy="217358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0329" name=""/>
                              <pic:cNvPicPr>
                                <a:picLocks noChangeAspect="1"/>
                              </pic:cNvPicPr>
                              <pic:nvPr/>
                            </pic:nvPicPr>
                            <pic:blipFill rotWithShape="1">
                              <a:blip r:embed="rId22"/>
                              <a:stretch/>
                            </pic:blipFill>
                            <pic:spPr bwMode="auto">
                              <a:xfrm flipH="0" flipV="0">
                                <a:off x="0" y="0"/>
                                <a:ext cx="3775687" cy="21735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97.30pt;height:171.15pt;mso-wrap-distance-left:0.00pt;mso-wrap-distance-top:0.00pt;mso-wrap-distance-right:0.00pt;mso-wrap-distance-bottom:0.00pt;z-index:1;" stroked="false">
                      <v:imagedata r:id="rId22"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4327888" cy="255224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4830" name=""/>
                              <pic:cNvPicPr>
                                <a:picLocks noChangeAspect="1"/>
                              </pic:cNvPicPr>
                              <pic:nvPr/>
                            </pic:nvPicPr>
                            <pic:blipFill rotWithShape="1">
                              <a:blip r:embed="rId23"/>
                              <a:stretch/>
                            </pic:blipFill>
                            <pic:spPr bwMode="auto">
                              <a:xfrm flipH="0" flipV="0">
                                <a:off x="0" y="0"/>
                                <a:ext cx="4327887" cy="2552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40.78pt;height:200.96pt;mso-wrap-distance-left:0.00pt;mso-wrap-distance-top:0.00pt;mso-wrap-distance-right:0.00pt;mso-wrap-distance-bottom:0.00pt;z-index:1;" stroked="false">
                      <v:imagedata r:id="rId23"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4366165" cy="251894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70631" name=""/>
                              <pic:cNvPicPr>
                                <a:picLocks noChangeAspect="1"/>
                              </pic:cNvPicPr>
                              <pic:nvPr/>
                            </pic:nvPicPr>
                            <pic:blipFill rotWithShape="1">
                              <a:blip r:embed="rId24"/>
                              <a:stretch/>
                            </pic:blipFill>
                            <pic:spPr bwMode="auto">
                              <a:xfrm flipH="0" flipV="0">
                                <a:off x="0" y="0"/>
                                <a:ext cx="4366165" cy="25189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43.79pt;height:198.34pt;mso-wrap-distance-left:0.00pt;mso-wrap-distance-top:0.00pt;mso-wrap-distance-right:0.00pt;mso-wrap-distance-bottom:0.00pt;z-index:1;" stroked="false">
                      <v:imagedata r:id="rId24"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221015" cy="188484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57500" name=""/>
                              <pic:cNvPicPr>
                                <a:picLocks noChangeAspect="1"/>
                              </pic:cNvPicPr>
                              <pic:nvPr/>
                            </pic:nvPicPr>
                            <pic:blipFill rotWithShape="1">
                              <a:blip r:embed="rId25"/>
                              <a:stretch/>
                            </pic:blipFill>
                            <pic:spPr bwMode="auto">
                              <a:xfrm flipH="0" flipV="0">
                                <a:off x="0" y="0"/>
                                <a:ext cx="3221014" cy="18848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3.62pt;height:148.41pt;mso-wrap-distance-left:0.00pt;mso-wrap-distance-top:0.00pt;mso-wrap-distance-right:0.00pt;mso-wrap-distance-bottom:0.00pt;z-index:1;" stroked="false">
                      <v:imagedata r:id="rId25"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3594808" cy="206794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17191" name=""/>
                              <pic:cNvPicPr>
                                <a:picLocks noChangeAspect="1"/>
                              </pic:cNvPicPr>
                              <pic:nvPr/>
                            </pic:nvPicPr>
                            <pic:blipFill rotWithShape="1">
                              <a:blip r:embed="rId26"/>
                              <a:stretch/>
                            </pic:blipFill>
                            <pic:spPr bwMode="auto">
                              <a:xfrm flipH="0" flipV="0">
                                <a:off x="0" y="0"/>
                                <a:ext cx="3594808" cy="2067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83.06pt;height:162.83pt;mso-wrap-distance-left:0.00pt;mso-wrap-distance-top:0.00pt;mso-wrap-distance-right:0.00pt;mso-wrap-distance-bottom:0.00pt;z-index:1;" stroked="false">
                      <v:imagedata r:id="rId26" o:title=""/>
                      <o:lock v:ext="edit" rotation="t"/>
                    </v:shape>
                  </w:pict>
                </mc:Fallback>
              </mc:AlternateContent>
            </w:r>
            <w:r>
              <w:rPr>
                <w:b/>
                <w:bCs/>
                <w:i/>
                <w:highlight w:val="white"/>
                <w:lang w:val="pt-BR"/>
              </w:rPr>
            </w:r>
            <w:r>
              <w:rPr>
                <w:b/>
                <w:bCs/>
                <w:i/>
                <w:highlight w:val="white"/>
                <w:lang w:val="pt-BR"/>
              </w:rPr>
            </w:r>
          </w:p>
        </w:tc>
      </w:tr>
    </w:tbl>
    <w:p>
      <w:pPr>
        <w:pBdr/>
        <w:spacing w:after="200" w:line="276" w:lineRule="auto"/>
        <w:ind/>
        <w:jc w:val="center"/>
        <w:rPr>
          <w:b/>
          <w:bCs/>
          <w:highlight w:val="white"/>
        </w:rPr>
      </w:pPr>
      <w:r>
        <w:rPr>
          <w:b/>
          <w:highlight w:val="white"/>
        </w:rPr>
      </w:r>
      <w:r>
        <w:rPr>
          <w:highlight w:val="white"/>
        </w:rPr>
        <mc:AlternateContent>
          <mc:Choice Requires="wpg">
            <w:drawing>
              <wp:inline xmlns:wp="http://schemas.openxmlformats.org/drawingml/2006/wordprocessingDrawing" distT="0" distB="0" distL="0" distR="0">
                <wp:extent cx="6048375" cy="428924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45295" name=""/>
                        <pic:cNvPicPr>
                          <a:picLocks noChangeAspect="1"/>
                        </pic:cNvPicPr>
                        <pic:nvPr/>
                      </pic:nvPicPr>
                      <pic:blipFill rotWithShape="1">
                        <a:blip r:embed="rId27"/>
                        <a:stretch/>
                      </pic:blipFill>
                      <pic:spPr bwMode="auto">
                        <a:xfrm>
                          <a:off x="0" y="0"/>
                          <a:ext cx="6048374" cy="4289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7.74pt;mso-wrap-distance-left:0.00pt;mso-wrap-distance-top:0.00pt;mso-wrap-distance-right:0.00pt;mso-wrap-distance-bottom:0.00pt;z-index:1;" stroked="false">
                <v:imagedata r:id="rId27" o:title=""/>
                <o:lock v:ext="edit" rotation="t"/>
              </v:shape>
            </w:pict>
          </mc:Fallback>
        </mc:AlternateContent>
      </w:r>
      <w:r>
        <w:rPr>
          <w:b/>
          <w:highlight w:val="white"/>
        </w:rPr>
      </w:r>
      <w:r>
        <w:rPr>
          <w:b/>
          <w:bCs/>
          <w:highlight w:val="white"/>
        </w:rPr>
      </w:r>
    </w:p>
    <w:p>
      <w:pPr>
        <w:pBdr/>
        <w:spacing w:after="200" w:line="276" w:lineRule="auto"/>
        <w:ind/>
        <w:jc w:val="center"/>
        <w:rPr>
          <w:b/>
          <w:bCs/>
          <w:highlight w:val="white"/>
        </w:rPr>
      </w:pPr>
      <w:r>
        <w:rPr>
          <w:b/>
          <w:highlight w:val="white"/>
        </w:rPr>
      </w:r>
      <w:r>
        <w:rPr>
          <w:highlight w:val="white"/>
        </w:rPr>
        <mc:AlternateContent>
          <mc:Choice Requires="wpg">
            <w:drawing>
              <wp:inline xmlns:wp="http://schemas.openxmlformats.org/drawingml/2006/wordprocessingDrawing" distT="0" distB="0" distL="0" distR="0">
                <wp:extent cx="6048375" cy="439830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22981" name=""/>
                        <pic:cNvPicPr>
                          <a:picLocks noChangeAspect="1"/>
                        </pic:cNvPicPr>
                        <pic:nvPr/>
                      </pic:nvPicPr>
                      <pic:blipFill rotWithShape="1">
                        <a:blip r:embed="rId28"/>
                        <a:stretch/>
                      </pic:blipFill>
                      <pic:spPr bwMode="auto">
                        <a:xfrm>
                          <a:off x="0" y="0"/>
                          <a:ext cx="6048374" cy="43983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46.32pt;mso-wrap-distance-left:0.00pt;mso-wrap-distance-top:0.00pt;mso-wrap-distance-right:0.00pt;mso-wrap-distance-bottom:0.00pt;z-index:1;" stroked="false">
                <v:imagedata r:id="rId28" o:title=""/>
                <o:lock v:ext="edit" rotation="t"/>
              </v:shape>
            </w:pict>
          </mc:Fallback>
        </mc:AlternateContent>
      </w:r>
      <w:r>
        <w:rPr>
          <w:b/>
          <w:highlight w:val="white"/>
        </w:rPr>
      </w:r>
      <w:r>
        <w:rPr>
          <w:b/>
          <w:bCs/>
          <w:highlight w:val="white"/>
        </w:rPr>
      </w:r>
    </w:p>
    <w:p>
      <w:pPr>
        <w:pBdr/>
        <w:spacing w:after="200" w:line="276" w:lineRule="auto"/>
        <w:ind/>
        <w:jc w:val="center"/>
        <w:rPr>
          <w:b/>
          <w:bCs/>
          <w:highlight w:val="white"/>
        </w:rPr>
      </w:pPr>
      <w:r>
        <w:rPr>
          <w:b/>
          <w:highlight w:val="white"/>
        </w:rPr>
      </w:r>
      <w:r>
        <w:rPr>
          <w:highlight w:val="white"/>
        </w:rPr>
        <mc:AlternateContent>
          <mc:Choice Requires="wpg">
            <w:drawing>
              <wp:inline xmlns:wp="http://schemas.openxmlformats.org/drawingml/2006/wordprocessingDrawing" distT="0" distB="0" distL="0" distR="0">
                <wp:extent cx="5238750" cy="751522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93442" name=""/>
                        <pic:cNvPicPr>
                          <a:picLocks noChangeAspect="1"/>
                        </pic:cNvPicPr>
                        <pic:nvPr/>
                      </pic:nvPicPr>
                      <pic:blipFill rotWithShape="1">
                        <a:blip r:embed="rId29"/>
                        <a:stretch/>
                      </pic:blipFill>
                      <pic:spPr bwMode="auto">
                        <a:xfrm>
                          <a:off x="0" y="0"/>
                          <a:ext cx="5238749" cy="75152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2.50pt;height:591.75pt;mso-wrap-distance-left:0.00pt;mso-wrap-distance-top:0.00pt;mso-wrap-distance-right:0.00pt;mso-wrap-distance-bottom:0.00pt;z-index:1;" stroked="false">
                <v:imagedata r:id="rId29" o:title=""/>
                <o:lock v:ext="edit" rotation="t"/>
              </v:shape>
            </w:pict>
          </mc:Fallback>
        </mc:AlternateContent>
      </w:r>
      <w:r>
        <w:rPr>
          <w:b/>
          <w:highlight w:val="white"/>
        </w:rPr>
      </w:r>
      <w:r>
        <w:rPr>
          <w:b/>
          <w:bCs/>
          <w:highlight w:val="white"/>
        </w:rPr>
      </w:r>
    </w:p>
    <w:p>
      <w:pPr>
        <w:pBdr/>
        <w:spacing w:after="200" w:line="276" w:lineRule="auto"/>
        <w:ind/>
        <w:jc w:val="center"/>
        <w:rPr>
          <w:b/>
          <w:bCs/>
          <w:highlight w:val="white"/>
        </w:rPr>
      </w:pPr>
      <w:r>
        <w:rPr>
          <w:b/>
          <w:highlight w:val="white"/>
        </w:rPr>
      </w:r>
      <w:r>
        <w:rPr>
          <w:highlight w:val="white"/>
        </w:rPr>
        <mc:AlternateContent>
          <mc:Choice Requires="wpg">
            <w:drawing>
              <wp:inline xmlns:wp="http://schemas.openxmlformats.org/drawingml/2006/wordprocessingDrawing" distT="0" distB="0" distL="0" distR="0">
                <wp:extent cx="5353050" cy="75438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08679" name=""/>
                        <pic:cNvPicPr>
                          <a:picLocks noChangeAspect="1"/>
                        </pic:cNvPicPr>
                        <pic:nvPr/>
                      </pic:nvPicPr>
                      <pic:blipFill rotWithShape="1">
                        <a:blip r:embed="rId30"/>
                        <a:stretch/>
                      </pic:blipFill>
                      <pic:spPr bwMode="auto">
                        <a:xfrm>
                          <a:off x="0" y="0"/>
                          <a:ext cx="5353049" cy="7543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1.50pt;height:594.00pt;mso-wrap-distance-left:0.00pt;mso-wrap-distance-top:0.00pt;mso-wrap-distance-right:0.00pt;mso-wrap-distance-bottom:0.00pt;z-index:1;" stroked="false">
                <v:imagedata r:id="rId30" o:title=""/>
                <o:lock v:ext="edit" rotation="t"/>
              </v:shape>
            </w:pict>
          </mc:Fallback>
        </mc:AlternateContent>
      </w:r>
      <w:r>
        <w:rPr>
          <w:b/>
          <w:highlight w:val="white"/>
        </w:rPr>
      </w:r>
      <w:r>
        <w:rPr>
          <w:b/>
          <w:highlight w:val="white"/>
        </w:rPr>
      </w:r>
    </w:p>
    <w:p>
      <w:pPr>
        <w:pBdr/>
        <w:spacing w:after="200" w:line="276" w:lineRule="auto"/>
        <w:ind/>
        <w:jc w:val="center"/>
        <w:rPr>
          <w:highlight w:val="white"/>
        </w:rPr>
      </w:pPr>
      <w:r>
        <w:rPr>
          <w:b/>
          <w:highlight w:val="white"/>
        </w:rPr>
      </w:r>
      <w:r>
        <w:rPr>
          <w:highlight w:val="white"/>
        </w:rPr>
        <mc:AlternateContent>
          <mc:Choice Requires="wpg">
            <w:drawing>
              <wp:inline xmlns:wp="http://schemas.openxmlformats.org/drawingml/2006/wordprocessingDrawing" distT="0" distB="0" distL="0" distR="0">
                <wp:extent cx="6048375" cy="90482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14048" name=""/>
                        <pic:cNvPicPr>
                          <a:picLocks noChangeAspect="1"/>
                        </pic:cNvPicPr>
                        <pic:nvPr/>
                      </pic:nvPicPr>
                      <pic:blipFill rotWithShape="1">
                        <a:blip r:embed="rId31"/>
                        <a:stretch/>
                      </pic:blipFill>
                      <pic:spPr bwMode="auto">
                        <a:xfrm flipH="0" flipV="0">
                          <a:off x="0" y="0"/>
                          <a:ext cx="6048374" cy="90482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712.46pt;mso-wrap-distance-left:0.00pt;mso-wrap-distance-top:0.00pt;mso-wrap-distance-right:0.00pt;mso-wrap-distance-bottom:0.00pt;z-index:1;" stroked="false">
                <v:imagedata r:id="rId31" o:title=""/>
                <o:lock v:ext="edit" rotation="t"/>
              </v:shape>
            </w:pict>
          </mc:Fallback>
        </mc:AlternateContent>
      </w:r>
      <w:r>
        <w:rPr>
          <w:b/>
          <w:highlight w:val="white"/>
        </w:rPr>
      </w:r>
      <w:r>
        <w:rPr>
          <w:highlight w:val="white"/>
        </w:rPr>
      </w:r>
    </w:p>
    <w:p>
      <w:pPr>
        <w:pBdr/>
        <w:spacing w:after="200" w:line="276" w:lineRule="auto"/>
        <w:ind/>
        <w:jc w:val="center"/>
        <w:rPr>
          <w:b/>
          <w:bCs/>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lang w:val="pt-BR"/>
        </w:rPr>
      </w:r>
      <w:r>
        <w:rPr>
          <w:b/>
          <w:bCs/>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275/2026/1017/VFI</w:t>
      </w:r>
      <w:r>
        <w:rPr>
          <w:i/>
          <w:highlight w:val="white"/>
        </w:rPr>
        <w:t xml:space="preserve">-BC.44.A ngày</w:t>
      </w:r>
      <w:r>
        <w:rPr>
          <w:i/>
          <w:highlight w:val="white"/>
          <w:lang w:val="pt-BR"/>
        </w:rPr>
        <w:t xml:space="preserve"> </w:t>
      </w:r>
      <w:r>
        <w:rPr>
          <w:i/>
          <w:highlight w:val="white"/>
          <w:lang w:val="pt-BR"/>
        </w:rPr>
        <w:t xml:space="preserve">6 tháng 7</w:t>
      </w:r>
      <w:r>
        <w:rPr>
          <w:i/>
          <w:highlight w:val="white"/>
          <w:lang w:val="pt-BR"/>
        </w:rPr>
        <w:t xml:space="preserve">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0962814332</w:t>
            </w:r>
            <w:r>
              <w:rPr>
                <w:sz w:val="22"/>
                <w:szCs w:val="22"/>
                <w:highlight w:val="white"/>
              </w:rPr>
              <w:t xml:space="preserve"> </w:t>
            </w:r>
            <w:r>
              <w:rPr>
                <w:sz w:val="22"/>
                <w:szCs w:val="22"/>
                <w:highlight w:val="white"/>
              </w:rPr>
              <w:br/>
              <w:t xml:space="preserve">(Nguyễn Công Chiến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1.450.000.000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1.160.000.000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(100m²), Đất trồng cây lâu năm (100m²)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trục Liên Thôn, khu dân cư thưa thớt</w:t>
            </w:r>
            <w:r>
              <w:rPr>
                <w:color w:val="000000" w:themeColor="text1"/>
                <w:sz w:val="22"/>
                <w:szCs w:val="22"/>
                <w:highlight w:val="white"/>
              </w:rPr>
              <w:t xml:space="preserve">, độ rộng đường trước mặt tài sản 6,5m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46702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51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highlight w:val="white"/>
              </w:rPr>
            </w:r>
          </w:p>
        </w:tc>
      </w:tr>
    </w:tbl>
    <w:p>
      <w:pPr>
        <w:pBdr/>
        <w:spacing w:after="120"/>
        <w:ind/>
        <w:jc w:val="center"/>
        <w:rPr>
          <w:i/>
          <w:highlight w:val="white"/>
        </w:rPr>
      </w:pPr>
      <w:r>
        <w:rPr>
          <w:i/>
          <w:highlight w:val="white"/>
          <w:lang w:val="pt-BR"/>
        </w:rPr>
      </w:r>
      <w:r>
        <w:rPr>
          <w:i/>
          <w:highlight w:val="white"/>
          <w:lang w:val="pt-BR"/>
        </w:rPr>
      </w:r>
      <w:r>
        <w:rPr>
          <w:i/>
          <w:highlight w:val="white"/>
          <w:lang w:val="pt-BR"/>
        </w:rPr>
      </w:r>
    </w:p>
    <w:p>
      <w:pPr>
        <w:pBdr/>
        <w:spacing w:after="200" w:line="276" w:lineRule="auto"/>
        <w:ind/>
        <w:jc w:val="center"/>
        <w:rPr>
          <w:b/>
          <w:bCs/>
          <w:iCs/>
          <w:highlight w:val="white"/>
        </w:rPr>
      </w:pPr>
      <w:r>
        <w:rPr>
          <w:b/>
          <w:bCs/>
          <w:iCs/>
          <w:highlight w:val="white"/>
          <w:lang w:val="pt-BR"/>
        </w:rPr>
      </w:r>
      <w:r>
        <w:rPr>
          <w:b/>
          <w:bCs/>
          <w:iCs/>
          <w:highlight w:val="white"/>
          <w:lang w:val="pt-BR"/>
        </w:rPr>
        <w:t xml:space="preserve">TSSS2</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0921856555</w:t>
            </w:r>
            <w:r>
              <w:rPr>
                <w:sz w:val="22"/>
                <w:szCs w:val="22"/>
                <w:highlight w:val="white"/>
              </w:rPr>
              <w:t xml:space="preserve"> </w:t>
            </w:r>
            <w:r>
              <w:rPr>
                <w:sz w:val="22"/>
                <w:szCs w:val="22"/>
                <w:highlight w:val="white"/>
              </w:rPr>
              <w:br/>
              <w:t xml:space="preserve">(Tú</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4.500.000.000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4.275.000.000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(300m²), Đất trồng cây lâu năm (993m²), Đất nuôi trồng thủy sản (113m²)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 Đất nuôi trồng thủy sản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r>
            <w:r>
              <w:rPr>
                <w:color w:val="000000" w:themeColor="text1"/>
                <w:sz w:val="22"/>
                <w:szCs w:val="22"/>
                <w:highlight w:val="white"/>
              </w:rPr>
              <w:t xml:space="preserve">iếp giáp trục Liên Thôn, khu dân cư thưa thớt</w:t>
            </w:r>
            <w:r>
              <w:rPr>
                <w:color w:val="000000" w:themeColor="text1"/>
                <w:sz w:val="22"/>
                <w:szCs w:val="22"/>
                <w:highlight w:val="white"/>
              </w:rPr>
              <w:t xml:space="preserve">, độ rộng đường trước mặt tài sản 6,5m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1406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3 mặt đường, phố</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Các </w:t>
            </w:r>
            <w:r>
              <w:rPr>
                <w:color w:val="000000"/>
                <w:sz w:val="22"/>
                <w:szCs w:val="22"/>
                <w:highlight w:val="white"/>
              </w:rPr>
              <w:t xml:space="preserve">bất lợi thương mại </w:t>
            </w:r>
            <w:r>
              <w:rPr>
                <w:color w:val="000000"/>
                <w:sz w:val="22"/>
                <w:szCs w:val="22"/>
                <w:highlight w:val="white"/>
              </w:rPr>
              <w:t xml:space="preserve">của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nằm đối diện đình, chùa</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46702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51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bCs/>
          <w:iCs/>
          <w:highlight w:val="white"/>
        </w:rPr>
      </w:pPr>
      <w:r>
        <w:rPr>
          <w:iCs/>
          <w:highlight w:val="white"/>
          <w:lang w:val="pt-BR"/>
        </w:rPr>
      </w:r>
      <w:r>
        <w:rPr>
          <w:iCs/>
          <w:highlight w:val="white"/>
          <w:lang w:val="pt-BR"/>
        </w:rPr>
      </w:r>
      <w:r>
        <w:rPr>
          <w:iCs/>
          <w:highlight w:val="white"/>
          <w:lang w:val="pt-BR"/>
        </w:rPr>
      </w:r>
    </w:p>
    <w:p>
      <w:pPr>
        <w:pBdr/>
        <w:spacing w:after="200" w:line="276" w:lineRule="auto"/>
        <w:ind/>
        <w:rPr>
          <w:bCs/>
          <w:iCs/>
          <w:highlight w:val="white"/>
        </w:rPr>
      </w:pPr>
      <w:r>
        <w:rPr>
          <w:iCs/>
          <w:highlight w:val="white"/>
          <w:lang w:val="pt-BR"/>
        </w:rPr>
      </w:r>
      <w:r>
        <w:rPr>
          <w:iCs/>
          <w:highlight w:val="white"/>
          <w:lang w:val="pt-BR"/>
        </w:rPr>
      </w:r>
      <w:r>
        <w:rPr>
          <w:iCs/>
          <w:highlight w:val="white"/>
          <w:lang w:val="pt-BR"/>
        </w:rPr>
      </w:r>
    </w:p>
    <w:p>
      <w:pPr>
        <w:pBdr/>
        <w:spacing w:after="200" w:line="276" w:lineRule="auto"/>
        <w:ind/>
        <w:rPr>
          <w:bCs/>
          <w:iCs/>
          <w:highlight w:val="white"/>
        </w:rPr>
      </w:pPr>
      <w:r>
        <w:rPr>
          <w:iCs/>
          <w:highlight w:val="white"/>
          <w:lang w:val="pt-BR"/>
        </w:rPr>
        <w:br w:type="page" w:clear="all"/>
      </w:r>
      <w:r>
        <w:rPr>
          <w:iCs/>
          <w:highlight w:val="white"/>
          <w:lang w:val="pt-BR"/>
        </w:rPr>
      </w:r>
      <w:r>
        <w:rPr>
          <w:iCs/>
          <w:highlight w:val="white"/>
          <w:lang w:val="pt-BR"/>
        </w:rPr>
      </w:r>
    </w:p>
    <w:p>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https://www.facebook.com/groups/1806558599419046/permalink/35232489026399240/?rdid=nvMDTflsxOcpsAEx#</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0906011859</w:t>
            </w:r>
            <w:r>
              <w:rPr>
                <w:sz w:val="22"/>
                <w:szCs w:val="22"/>
                <w:highlight w:val="white"/>
              </w:rPr>
              <w:t xml:space="preserve"> </w:t>
            </w:r>
            <w:r>
              <w:rPr>
                <w:sz w:val="22"/>
                <w:szCs w:val="22"/>
                <w:highlight w:val="white"/>
              </w:rPr>
              <w:br/>
              <w:t xml:space="preserve">(Nguyễn Hà</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6.900.000.000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5.520.000.000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(727,2m²)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Khu dân cư Mạc Xá</w:t>
            </w:r>
            <w:r>
              <w:rPr>
                <w:color w:val="000000" w:themeColor="text1"/>
                <w:sz w:val="22"/>
                <w:szCs w:val="22"/>
                <w:highlight w:val="white"/>
              </w:rPr>
              <w:t xml:space="preserve">, độ rộng đường trước mặt tài sản 5m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727,2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16,3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28625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32862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58.76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46702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5.51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1468438"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14684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63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bCs/>
          <w:iCs/>
          <w:highlight w:val="white"/>
        </w:rPr>
      </w:pPr>
      <w:r>
        <w:rPr>
          <w:iCs/>
          <w:highlight w:val="white"/>
          <w:lang w:val="pt-BR"/>
        </w:rPr>
      </w:r>
      <w:r>
        <w:rPr>
          <w:iCs/>
          <w:highlight w:val="white"/>
          <w:lang w:val="pt-BR"/>
        </w:rPr>
      </w:r>
      <w:r>
        <w:rPr>
          <w:iCs/>
          <w:highlight w:val="white"/>
          <w:lang w:val="pt-BR"/>
        </w:rPr>
      </w:r>
    </w:p>
    <w:p>
      <w:pPr>
        <w:pBdr/>
        <w:spacing w:after="200" w:line="276" w:lineRule="auto"/>
        <w:ind/>
        <w:rPr>
          <w:bCs/>
          <w:iCs/>
          <w:highlight w:val="white"/>
        </w:rPr>
      </w:pPr>
      <w:r>
        <w:rPr>
          <w:iCs/>
          <w:highlight w:val="white"/>
          <w:lang w:val="pt-BR"/>
        </w:rPr>
      </w:r>
      <w:r>
        <w:rPr>
          <w:iCs/>
          <w:highlight w:val="white"/>
          <w:lang w:val="pt-BR"/>
        </w:rPr>
      </w:r>
      <w:r>
        <w:rPr>
          <w:iCs/>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07T08:28:31Z" w:initials="NTTD">
    <w:p w14:paraId="00000001" w14:textId="00000001">
      <w:pPr>
        <w:spacing w:line="240" w:after="0" w:lineRule="auto" w:before="0"/>
        <w:ind w:firstLine="0" w:left="0" w:right="0"/>
        <w:jc w:val="left"/>
      </w:pPr>
      <w:r>
        <w:rPr>
          <w:rFonts w:eastAsia="Arial" w:ascii="Arial" w:hAnsi="Arial" w:cs="Arial"/>
          <w:sz w:val="22"/>
        </w:rPr>
        <w:t xml:space="preserve">Thêm ảnh, mẫu</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F7A08AB" w16cex:dateUtc="2026-07-07T01:28:31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F7A08A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7DDE70D"/>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68DD41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61F6005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5F4636D"/>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tdongsan.com.vn/du-an-khac-nam-sach-hd/khu-do-thi-tay-nam-sach-pj5501"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hyperlink" Target="https://thuvienphapluat.vn/chinh-sach-phap-luat-moi/vn/ho-tro-phap-luat/chinh-sach-moi/101037/da-co-nghi-quyet-100-2025-nq-hdnd-ve-bang-gia-dat-quang-ninh-ap-dung-tu-1-1-2026" TargetMode="External"/><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jp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comments" Target="comments.xml" /><Relationship Id="rId41" Type="http://schemas.microsoft.com/office/2011/relationships/commentsExtended" Target="commentsExtended.xml" /><Relationship Id="rId42" Type="http://schemas.microsoft.com/office/2018/08/relationships/commentsExtensible" Target="commentsExtensible.xml" /><Relationship Id="rId43" Type="http://schemas.microsoft.com/office/2016/09/relationships/commentsIds" Target="commentsIds.xml" /><Relationship Id="rId44"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281</cp:revision>
  <dcterms:created xsi:type="dcterms:W3CDTF">2025-09-15T09:58:00Z</dcterms:created>
  <dcterms:modified xsi:type="dcterms:W3CDTF">2026-07-07T02:44:03Z</dcterms:modified>
</cp:coreProperties>
</file>