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41592"/>
                <wp:effectExtent l="12700" t="12700" r="3175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Thanh Vân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239, tờ bản đồ số 17, có địa chỉ: Tổ 20TKT, phường Thanh Khê, Thành phố Đà Nẵng theo Giấy ch</w:t>
                            </w:r>
                            <w:r>
                              <w:rPr>
                                <w:color w:val="000000"/>
                              </w:rPr>
                              <w:t xml:space="preserve">ứng nhận quyền sử đất, quyền sở hữu tài sản gắn liền với đất số AA 06727987, số vào sổ cấp GCN: VP 29215 do Văn phòng đăng ký đất đai Thành phố Đà Nẵng cấp ngày 16 tháng 01 năm 2026; chủ sử dụng đất là Ông Phạm Nguyễn Đăng Linh và Vợ: Bà Trần Thị Thanh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8.4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Thanh Vân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239, tờ bản đồ số 17, có địa chỉ: Tổ 20TKT, phường Thanh Khê, Thành phố Đà Nẵng theo Giấy ch</w:t>
                      </w:r>
                      <w:r>
                        <w:rPr>
                          <w:color w:val="000000"/>
                        </w:rPr>
                        <w:t xml:space="preserve">ứng nhận quyền sử đất, quyền sở hữu tài sản gắn liền với đất số AA 06727987, số vào sổ cấp GCN: VP 29215 do Văn phòng đăng ký đất đai Thành phố Đà Nẵng cấp ngày 16 tháng 01 năm 2026; chủ sử dụng đất là Ông Phạm Nguyễn Đăng Linh và Vợ: Bà Trần Thị Thanh Vân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170"/>
        <w:gridCol w:w="3260"/>
        <w:gridCol w:w="10984"/>
      </w:tblGrid>
      <w:tr>
        <w:trPr>
          <w:trHeight w:val="1152"/>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09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260"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275/2026/0579/VFI-CT.69.A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984"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Thanh Vân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275/2026/0579/VFI-HĐTĐ.69.A</w:t>
      </w:r>
      <w:r>
        <w:rPr>
          <w:spacing w:val="-4"/>
          <w:lang w:val="vi-VN"/>
        </w:rPr>
        <w:t xml:space="preserve"> ký ngày </w:t>
      </w:r>
      <w:r>
        <w:rPr>
          <w:color w:val="000000" w:themeColor="text1"/>
          <w:spacing w:val="-4"/>
        </w:rPr>
        <w:t xml:space="preserve">11 tháng 4 năm 2026</w:t>
      </w:r>
      <w:r>
        <w:rPr>
          <w:spacing w:val="-4"/>
          <w:lang w:val="vi-VN"/>
        </w:rPr>
        <w:t xml:space="preserve"> </w:t>
      </w:r>
      <w:r>
        <w:rPr>
          <w:spacing w:val="-4"/>
          <w:lang w:val="vi-VN"/>
        </w:rPr>
        <w:t xml:space="preserve">giữa </w:t>
      </w:r>
      <w:r>
        <w:rPr>
          <w:color w:val="000000" w:themeColor="text1"/>
          <w:spacing w:val="-4"/>
        </w:rPr>
        <w:t xml:space="preserve">Bà Trần Thị Thanh Vân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275/2026/0579/VFI-CT.69.A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w:t>
            </w:r>
            <w:r>
              <w:rPr>
                <w:bCs/>
                <w:color w:val="000000" w:themeColor="text1"/>
                <w:lang w:val="pt-BR"/>
              </w:rPr>
              <w:t xml:space="preserve">khách </w:t>
            </w:r>
            <w:r>
              <w:rPr>
                <w:bCs/>
                <w:color w:val="000000" w:themeColor="text1"/>
                <w:lang w:val="pt-BR"/>
              </w:rPr>
              <w:t xml:space="preserve">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w:t>
            </w:r>
            <w:r>
              <w:rPr>
                <w:b/>
                <w:bCs/>
              </w:rPr>
              <w:t xml:space="preserve">T</w:t>
            </w:r>
            <w:r>
              <w:rPr>
                <w:b/>
                <w:bCs/>
              </w:rPr>
              <w:t xml:space="preserve">rần </w:t>
            </w:r>
            <w:r>
              <w:rPr>
                <w:b/>
                <w:bCs/>
              </w:rPr>
              <w:t xml:space="preserve">Thị </w:t>
            </w:r>
            <w:r>
              <w:rPr>
                <w:b/>
                <w:bCs/>
              </w:rPr>
              <w:t xml:space="preserve">Thanh </w:t>
            </w:r>
            <w:r>
              <w:rPr>
                <w:b/>
                <w:bCs/>
              </w:rPr>
              <w:t xml:space="preserve">Vân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0481 7900 2766</w:t>
            </w:r>
            <w:r>
              <w:rPr>
                <w:color w:val="ff0000"/>
                <w:lang w:val="pt-BR"/>
              </w:rPr>
            </w:r>
            <w:r>
              <w:rPr>
                <w:color w:val="ff0000"/>
                <w:lang w:val="pt-BR"/>
              </w:rPr>
            </w:r>
          </w:p>
        </w:tc>
      </w:tr>
      <w:tr>
        <w:trPr>
          <w:trHeight w:val="392"/>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48, </w:t>
            </w:r>
            <w:r>
              <w:rPr>
                <w:color w:val="000000" w:themeColor="text1"/>
                <w:lang w:val="vi-VN"/>
              </w:rPr>
              <w:t xml:space="preserve">Thọ </w:t>
            </w:r>
            <w:r>
              <w:rPr>
                <w:color w:val="000000" w:themeColor="text1"/>
                <w:lang w:val="vi-VN"/>
              </w:rPr>
              <w:t xml:space="preserve">Quang, </w:t>
            </w:r>
            <w:r>
              <w:rPr>
                <w:color w:val="000000" w:themeColor="text1"/>
                <w:lang w:val="vi-VN"/>
              </w:rPr>
              <w:t xml:space="preserve">Sơn </w:t>
            </w:r>
            <w:r>
              <w:rPr>
                <w:color w:val="000000" w:themeColor="text1"/>
                <w:lang w:val="vi-VN"/>
              </w:rPr>
              <w:t xml:space="preserve">Trà, </w:t>
            </w:r>
            <w:r>
              <w:rPr>
                <w:color w:val="000000" w:themeColor="text1"/>
                <w:lang w:val="vi-VN"/>
              </w:rPr>
              <w:t xml:space="preserve">Đà </w:t>
            </w:r>
            <w:r>
              <w:rPr>
                <w:color w:val="000000" w:themeColor="text1"/>
                <w:lang w:val="vi-VN"/>
              </w:rPr>
              <w:t xml:space="preserve">Nẵng </w:t>
            </w:r>
            <w:r>
              <w:rPr>
                <w:i/>
                <w:iCs/>
                <w:color w:val="000000" w:themeColor="text1"/>
                <w:lang w:val="vi-VN"/>
              </w:rPr>
              <w:t xml:space="preserve">(</w:t>
            </w:r>
            <w:r>
              <w:rPr>
                <w:i/>
                <w:iCs/>
                <w:color w:val="000000" w:themeColor="text1"/>
                <w:lang w:val="vi-VN"/>
              </w:rPr>
              <w:t xml:space="preserve">Nay </w:t>
            </w:r>
            <w:r>
              <w:rPr>
                <w:i/>
                <w:iCs/>
                <w:color w:val="000000" w:themeColor="text1"/>
                <w:lang w:val="vi-VN"/>
              </w:rPr>
              <w:t xml:space="preserve">là </w:t>
            </w:r>
            <w:r>
              <w:rPr>
                <w:i/>
                <w:iCs/>
                <w:color w:val="000000" w:themeColor="text1"/>
                <w:lang w:val="vi-VN"/>
              </w:rPr>
              <w:t xml:space="preserve">phường </w:t>
            </w:r>
            <w:r>
              <w:rPr>
                <w:i/>
                <w:iCs/>
                <w:color w:val="000000" w:themeColor="text1"/>
                <w:lang w:val="vi-VN"/>
              </w:rPr>
              <w:t xml:space="preserve">Sơn </w:t>
            </w:r>
            <w:r>
              <w:rPr>
                <w:i/>
                <w:iCs/>
                <w:color w:val="000000" w:themeColor="text1"/>
                <w:lang w:val="vi-VN"/>
              </w:rPr>
              <w:t xml:space="preserve">Trà, </w:t>
            </w:r>
            <w:r>
              <w:rPr>
                <w:i/>
                <w:iCs/>
                <w:color w:val="000000" w:themeColor="text1"/>
                <w:lang w:val="vi-VN"/>
              </w:rPr>
              <w:t xml:space="preserve">Thành </w:t>
            </w:r>
            <w:r>
              <w:rPr>
                <w:i/>
                <w:iCs/>
                <w:color w:val="000000" w:themeColor="text1"/>
                <w:lang w:val="vi-VN"/>
              </w:rPr>
              <w:t xml:space="preserve">phố </w:t>
            </w:r>
            <w:r>
              <w:rPr>
                <w:i/>
                <w:iCs/>
                <w:color w:val="000000" w:themeColor="text1"/>
                <w:lang w:val="vi-VN"/>
              </w:rPr>
              <w:t xml:space="preserve">Đà </w:t>
            </w:r>
            <w:r>
              <w:rPr>
                <w:i/>
                <w:iCs/>
                <w:color w:val="000000" w:themeColor="text1"/>
                <w:lang w:val="vi-VN"/>
              </w:rPr>
              <w:t xml:space="preserve">Nẵng)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239, tờ bản đồ số 17, có địa chỉ: Tổ 20TKT, phường Thanh Khê, Thành phố Đà Nẵng theo Giấy ch</w:t>
      </w:r>
      <w:r>
        <w:rPr>
          <w:color w:val="000000" w:themeColor="text1"/>
        </w:rPr>
        <w:t xml:space="preserve">ứng nhận quyền sử đất, quyền sở hữu tài sản gắn liền với đất số AA 06727987, số vào sổ cấp GCN: VP 29215 do Văn phòng đăng ký đất đai Thành phố Đà Nẵng cấp ngày 16 tháng 01 năm 2026; chủ sử dụng đất là Ông Phạm Nguyễn Đăng Linh và Vợ: Bà Trần Thị Thanh Vân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99"/>
        <w:gridCol w:w="982"/>
        <w:gridCol w:w="940"/>
        <w:gridCol w:w="1198"/>
        <w:gridCol w:w="2089"/>
        <w:gridCol w:w="1758"/>
        <w:gridCol w:w="1758"/>
      </w:tblGrid>
      <w:tr>
        <w:trPr>
          <w:trHeight w:val="20"/>
        </w:trPr>
        <w:tc>
          <w:tcPr>
            <w:shd w:val="clear" w:color="000000" w:fill="ffffff"/>
            <w:tcBorders/>
            <w:tcW w:w="799"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gridSpan w:val="2"/>
            <w:shd w:val="clear" w:color="000000" w:fill="ffffff"/>
            <w:tcBorders/>
            <w:tcW w:w="1922" w:type="dxa"/>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1198" w:type="dxa"/>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1758" w:type="dxa"/>
            <w:vAlign w:val="center"/>
            <w:textDirection w:val="lrTb"/>
            <w:noWrap w:val="false"/>
          </w:tcPr>
          <w:p>
            <w:pPr>
              <w:pBdr/>
              <w:spacing w:line="240" w:lineRule="auto"/>
              <w:ind/>
              <w:jc w:val="center"/>
              <w:rPr>
                <w:b/>
                <w:bCs/>
              </w:rPr>
            </w:pPr>
            <w:r>
              <w:rPr>
                <w:b/>
                <w:bCs/>
              </w:rPr>
              <w:t xml:space="preserve">T</w:t>
            </w:r>
            <w:r>
              <w:rPr>
                <w:b/>
                <w:bCs/>
              </w:rPr>
              <w:t xml:space="preserve">ỷ </w:t>
            </w:r>
            <w:r>
              <w:rPr>
                <w:b/>
                <w:bCs/>
              </w:rPr>
              <w:t xml:space="preserve">lệ </w:t>
            </w:r>
            <w:r>
              <w:rPr>
                <w:b/>
                <w:bCs/>
              </w:rPr>
              <w:t xml:space="preserve">CLCL (%) </w:t>
            </w:r>
            <w:r>
              <w:rPr>
                <w:b/>
                <w:bCs/>
              </w:rPr>
            </w:r>
            <w:r>
              <w:rPr>
                <w:b/>
                <w:bCs/>
              </w:rPr>
            </w:r>
          </w:p>
        </w:tc>
        <w:tc>
          <w:tcPr>
            <w:shd w:val="clear" w:color="000000" w:fill="ffffff"/>
            <w:tcBorders/>
            <w:tcW w:w="1758" w:type="dxa"/>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403"/>
        </w:trPr>
        <w:tc>
          <w:tcPr>
            <w:shd w:val="clear" w:color="000000" w:fill="ffffff"/>
            <w:tcBorders/>
            <w:tcW w:w="799"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40" w:lineRule="auto"/>
              <w:ind/>
              <w:jc w:val="both"/>
              <w:rPr>
                <w:b/>
                <w:bCs/>
              </w:rPr>
            </w:pPr>
            <w:r>
              <w:rPr>
                <w:b/>
                <w:bCs/>
                <w:color w:val="000000"/>
              </w:rPr>
              <w:t xml:space="preserve">Quyền sử dụng đất và công trình xây dựng tại thửa đất số 239, tờ bản đồ số 17, có địa chỉ: Tổ 20TKT, phường Thanh Khê, Thành phố Đà Nẵng theo Giấy ch</w:t>
            </w:r>
            <w:r>
              <w:rPr>
                <w:b/>
                <w:bCs/>
                <w:color w:val="000000"/>
              </w:rPr>
              <w:t xml:space="preserve">ứng nhận quyền sử đất, quyền sở hữu tài sản gắn liền với đất số AA 06727987, số vào sổ cấp GCN: VP 29215 do Văn phòng đăng ký đất đai Thành phố Đà Nẵng cấp ngày 16 tháng 01 năm 2026; chủ sử dụng đất là Ông Phạm Nguyễn Đăng Linh và Vợ: Bà Trần Thị Thanh Vân</w:t>
            </w:r>
            <w:r>
              <w:rPr>
                <w:b/>
                <w:bCs/>
              </w:rPr>
              <w:t xml:space="preserve">.</w:t>
            </w:r>
            <w:r>
              <w:rPr>
                <w:b/>
                <w:bCs/>
              </w:rPr>
            </w:r>
            <w:r>
              <w:rPr>
                <w:b/>
                <w:bCs/>
              </w:rPr>
            </w:r>
          </w:p>
          <w:p>
            <w:pPr>
              <w:pBdr/>
              <w:spacing w:line="240" w:lineRule="auto"/>
              <w:ind/>
              <w:rPr>
                <w:b/>
                <w:bCs/>
              </w:rPr>
            </w:pPr>
            <w:r>
              <w:rPr>
                <w:b/>
                <w:bCs/>
              </w:rPr>
            </w:r>
            <w:r>
              <w:rPr>
                <w:b/>
                <w:bCs/>
              </w:rPr>
            </w:r>
            <w:r>
              <w:rPr>
                <w:b/>
                <w:bCs/>
              </w:rPr>
            </w:r>
          </w:p>
        </w:tc>
        <w:tc>
          <w:tcPr>
            <w:shd w:val="clear" w:color="000000" w:fill="ffffff"/>
            <w:tcBorders/>
            <w:tcW w:w="1758"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799" w:type="dxa"/>
            <w:vAlign w:val="center"/>
            <w:textDirection w:val="lrTb"/>
            <w:noWrap w:val="false"/>
          </w:tcPr>
          <w:p>
            <w:pPr>
              <w:pBdr/>
              <w:spacing w:after="40" w:before="40" w:line="240"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1922" w:type="dxa"/>
            <w:vAlign w:val="center"/>
            <w:textDirection w:val="lrTb"/>
            <w:noWrap w:val="false"/>
          </w:tcPr>
          <w:p>
            <w:pPr>
              <w:pBdr/>
              <w:spacing w:after="40" w:before="40" w:line="240" w:lineRule="auto"/>
              <w:ind/>
              <w:rPr>
                <w:b w:val="0"/>
                <w:bCs w:val="0"/>
              </w:rPr>
            </w:pPr>
            <w:r>
              <w:rPr>
                <w:b w:val="0"/>
                <w:bCs w:val="0"/>
              </w:rPr>
              <w:t xml:space="preserve">Đất ở tại đô thị</w:t>
            </w:r>
            <w:r>
              <w:rPr>
                <w:b w:val="0"/>
                <w:bCs w:val="0"/>
              </w:rPr>
            </w:r>
            <w:r>
              <w:rPr>
                <w:b w:val="0"/>
                <w:bCs w:val="0"/>
              </w:rPr>
            </w:r>
          </w:p>
        </w:tc>
        <w:tc>
          <w:tcPr>
            <w:tcBorders/>
            <w:tcW w:w="1198" w:type="dxa"/>
            <w:vAlign w:val="center"/>
            <w:textDirection w:val="lrTb"/>
            <w:noWrap/>
          </w:tcPr>
          <w:p>
            <w:pPr>
              <w:pBdr/>
              <w:spacing w:after="40" w:before="40" w:line="240" w:lineRule="auto"/>
              <w:ind/>
              <w:jc w:val="center"/>
              <w:rPr>
                <w:color w:val="000000"/>
              </w:rPr>
            </w:pPr>
            <w:r>
              <w:rPr>
                <w:color w:val="000000" w:themeColor="text1"/>
              </w:rPr>
              <w:t xml:space="preserve">60.5</w:t>
            </w:r>
            <w:r>
              <w:rPr>
                <w:color w:val="000000"/>
              </w:rPr>
            </w:r>
            <w:r>
              <w:rPr>
                <w:color w:val="000000"/>
              </w:rPr>
            </w:r>
          </w:p>
        </w:tc>
        <w:tc>
          <w:tcPr>
            <w:shd w:val="clear" w:color="000000" w:fill="ffffff"/>
            <w:tcBorders/>
            <w:tcW w:w="2089" w:type="dxa"/>
            <w:vAlign w:val="center"/>
            <w:textDirection w:val="lrTb"/>
            <w:noWrap w:val="false"/>
          </w:tcPr>
          <w:p>
            <w:pPr>
              <w:pBdr/>
              <w:spacing w:after="40" w:before="40" w:line="240" w:lineRule="auto"/>
              <w:ind/>
              <w:jc w:val="center"/>
              <w:rPr/>
            </w:pPr>
            <w:r>
              <w:rPr>
                <w:color w:val="000000" w:themeColor="text1"/>
              </w:rPr>
              <w:t xml:space="preserve">62.200.000</w:t>
            </w:r>
            <w:r/>
          </w:p>
        </w:tc>
        <w:tc>
          <w:tcPr>
            <w:shd w:val="clear" w:color="000000" w:fill="ffffff"/>
            <w:tcBorders/>
            <w:tcW w:w="1758" w:type="dxa"/>
            <w:vAlign w:val="center"/>
            <w:textDirection w:val="lrTb"/>
            <w:noWrap w:val="false"/>
          </w:tcPr>
          <w:p>
            <w:pPr>
              <w:pBdr/>
              <w:spacing w:line="240"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40" w:lineRule="auto"/>
              <w:ind/>
              <w:jc w:val="right"/>
              <w:rPr/>
            </w:pPr>
            <w:r>
              <w:rPr>
                <w:color w:val="000000" w:themeColor="text1"/>
              </w:rPr>
              <w:t xml:space="preserve">3.763.100.000</w:t>
            </w:r>
            <w:r/>
          </w:p>
        </w:tc>
      </w:tr>
      <w:tr>
        <w:trPr>
          <w:trHeight w:val="20"/>
        </w:trPr>
        <w:tc>
          <w:tcPr>
            <w:shd w:val="clear" w:color="000000" w:fill="ffffff"/>
            <w:tcBorders/>
            <w:tcW w:w="799" w:type="dxa"/>
            <w:vAlign w:val="center"/>
            <w:textDirection w:val="lrTb"/>
            <w:noWrap w:val="false"/>
          </w:tcPr>
          <w:p>
            <w:pPr>
              <w:pBdr/>
              <w:spacing w:after="40" w:before="40" w:line="240" w:lineRule="auto"/>
              <w:ind/>
              <w:jc w:val="center"/>
              <w:rPr>
                <w:b w:val="0"/>
                <w:bCs w:val="0"/>
              </w:rPr>
            </w:pPr>
            <w:r>
              <w:rPr>
                <w:b w:val="0"/>
                <w:bCs w:val="0"/>
              </w:rPr>
              <w:t xml:space="preserve">2</w:t>
            </w:r>
            <w:r>
              <w:rPr>
                <w:b w:val="0"/>
                <w:bCs w:val="0"/>
              </w:rPr>
            </w:r>
            <w:r>
              <w:rPr>
                <w:b w:val="0"/>
                <w:bCs w:val="0"/>
              </w:rPr>
            </w:r>
          </w:p>
        </w:tc>
        <w:tc>
          <w:tcPr>
            <w:gridSpan w:val="2"/>
            <w:shd w:val="clear" w:color="000000" w:fill="ffffff"/>
            <w:tcBorders/>
            <w:tcW w:w="1922" w:type="dxa"/>
            <w:vAlign w:val="center"/>
            <w:textDirection w:val="lrTb"/>
            <w:noWrap w:val="false"/>
          </w:tcPr>
          <w:p>
            <w:pPr>
              <w:pBdr/>
              <w:spacing w:after="40" w:before="40" w:line="240" w:lineRule="auto"/>
              <w:ind/>
              <w:rPr>
                <w:b w:val="0"/>
                <w:bCs w:val="0"/>
              </w:rPr>
            </w:pPr>
            <w:r>
              <w:rPr>
                <w:b w:val="0"/>
                <w:bCs w:val="0"/>
              </w:rPr>
              <w:t xml:space="preserve">Nhà ở độc lập</w:t>
            </w:r>
            <w:r>
              <w:rPr>
                <w:b w:val="0"/>
                <w:bCs w:val="0"/>
              </w:rPr>
            </w:r>
            <w:r>
              <w:rPr>
                <w:b w:val="0"/>
                <w:bCs w:val="0"/>
              </w:rPr>
            </w:r>
          </w:p>
        </w:tc>
        <w:tc>
          <w:tcPr>
            <w:tcBorders/>
            <w:tcW w:w="1198" w:type="dxa"/>
            <w:vAlign w:val="center"/>
            <w:textDirection w:val="lrTb"/>
            <w:noWrap/>
          </w:tcPr>
          <w:p>
            <w:pPr>
              <w:pBdr/>
              <w:spacing w:after="40" w:before="40" w:line="240" w:lineRule="auto"/>
              <w:ind/>
              <w:jc w:val="center"/>
              <w:rPr>
                <w:color w:val="000000"/>
              </w:rPr>
            </w:pPr>
            <w:r>
              <w:rPr>
                <w:color w:val="000000" w:themeColor="text1"/>
              </w:rPr>
              <w:t xml:space="preserve">81,8</w:t>
            </w:r>
            <w:r>
              <w:rPr>
                <w:color w:val="000000"/>
              </w:rPr>
            </w:r>
            <w:r>
              <w:rPr>
                <w:color w:val="000000"/>
              </w:rPr>
            </w:r>
          </w:p>
        </w:tc>
        <w:tc>
          <w:tcPr>
            <w:shd w:val="clear" w:color="000000" w:fill="ffffff"/>
            <w:tcBorders/>
            <w:tcW w:w="2089" w:type="dxa"/>
            <w:vAlign w:val="center"/>
            <w:textDirection w:val="lrTb"/>
            <w:noWrap w:val="false"/>
          </w:tcPr>
          <w:p>
            <w:pPr>
              <w:pBdr/>
              <w:spacing w:after="40" w:before="40" w:line="240" w:lineRule="auto"/>
              <w:ind/>
              <w:jc w:val="center"/>
              <w:rPr/>
            </w:pPr>
            <w:r>
              <w:rPr>
                <w:color w:val="000000" w:themeColor="text1"/>
              </w:rPr>
              <w:t xml:space="preserve">7.852.582</w:t>
            </w:r>
            <w:r/>
          </w:p>
        </w:tc>
        <w:tc>
          <w:tcPr>
            <w:shd w:val="clear" w:color="000000" w:fill="ffffff"/>
            <w:tcBorders/>
            <w:tcW w:w="1758" w:type="dxa"/>
            <w:vAlign w:val="center"/>
            <w:textDirection w:val="lrTb"/>
            <w:noWrap w:val="false"/>
          </w:tcPr>
          <w:p>
            <w:pPr>
              <w:pBdr/>
              <w:spacing w:line="240" w:lineRule="auto"/>
              <w:ind/>
              <w:jc w:val="center"/>
              <w:rPr>
                <w:color w:val="000000" w:themeColor="text1"/>
              </w:rPr>
            </w:pPr>
            <w:r>
              <w:rPr>
                <w:color w:val="000000" w:themeColor="text1"/>
              </w:rPr>
              <w:t xml:space="preserve">96% </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616.647.545</w:t>
            </w:r>
            <w:r/>
          </w:p>
        </w:tc>
      </w:tr>
      <w:tr>
        <w:trPr>
          <w:trHeight w:val="20"/>
        </w:trPr>
        <w:tc>
          <w:tcPr>
            <w:gridSpan w:val="6"/>
            <w:tcBorders/>
            <w:tcW w:w="7767"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75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4.379.747.545</w:t>
            </w:r>
            <w:r/>
          </w:p>
        </w:tc>
      </w:tr>
      <w:tr>
        <w:trPr>
          <w:trHeight w:val="20"/>
        </w:trPr>
        <w:tc>
          <w:tcPr>
            <w:gridSpan w:val="6"/>
            <w:tcBorders/>
            <w:tcW w:w="7767"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75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4.380.000.000</w:t>
            </w:r>
            <w:r/>
          </w:p>
        </w:tc>
      </w:tr>
      <w:tr>
        <w:trPr>
          <w:trHeight w:val="20"/>
        </w:trPr>
        <w:tc>
          <w:tcPr>
            <w:gridSpan w:val="7"/>
            <w:tcBorders/>
            <w:tcW w:w="9525" w:type="dxa"/>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Bốn tỷ ba trăm </w:t>
            </w:r>
            <w:r>
              <w:rPr>
                <w:b/>
                <w:bCs/>
                <w:i/>
                <w:iCs/>
                <w:color w:val="000000"/>
              </w:rPr>
              <w:t xml:space="preserve">tám </w:t>
            </w:r>
            <w:r>
              <w:rPr>
                <w:b/>
                <w:bCs/>
                <w:i/>
                <w:iCs/>
                <w:color w:val="000000"/>
              </w:rPr>
              <w:t xml:space="preserve">mươi </w:t>
            </w:r>
            <w:r>
              <w:rPr>
                <w:b/>
                <w:bCs/>
                <w:i/>
                <w:iCs/>
                <w:color w:val="000000"/>
              </w:rPr>
              <w:t xml:space="preserve">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543"/>
        <w:gridCol w:w="6520"/>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275/2026/0579/VFI-CT.69.A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8"/>
              <w:pBdr/>
              <w:spacing w:after="60"/>
              <w:ind/>
              <w:rPr>
                <w:rStyle w:val="1037"/>
                <w:rFonts w:ascii="Times New Roman" w:hAnsi="Times New Roman"/>
                <w:color w:val="000000" w:themeColor="text1"/>
                <w:lang w:val="pt-BR"/>
              </w:rPr>
            </w:pPr>
            <w:r>
              <w:rPr>
                <w:rStyle w:val="1037"/>
                <w:rFonts w:ascii="Times New Roman" w:hAnsi="Times New Roman"/>
                <w:color w:val="000000" w:themeColor="text1"/>
                <w:lang w:val="pt-BR"/>
              </w:rPr>
            </w:r>
            <w:r>
              <w:rPr>
                <w:rStyle w:val="1037"/>
                <w:rFonts w:ascii="Times New Roman" w:hAnsi="Times New Roman"/>
                <w:color w:val="000000" w:themeColor="text1"/>
                <w:lang w:val="pt-BR"/>
              </w:rPr>
            </w:r>
            <w:r>
              <w:rPr>
                <w:rStyle w:val="1037"/>
                <w:rFonts w:ascii="Times New Roman" w:hAnsi="Times New Roman"/>
                <w:color w:val="000000" w:themeColor="text1"/>
                <w:lang w:val="pt-BR"/>
              </w:rPr>
            </w:r>
          </w:p>
        </w:tc>
        <w:tc>
          <w:tcPr>
            <w:shd w:val="clear" w:color="auto" w:fill="auto"/>
            <w:tcBorders/>
            <w:tcMar>
              <w:left w:w="108" w:type="dxa"/>
              <w:top w:w="0" w:type="dxa"/>
              <w:right w:w="108" w:type="dxa"/>
              <w:bottom w:w="0" w:type="dxa"/>
            </w:tcMar>
            <w:tcW w:w="6520" w:type="dxa"/>
            <w:textDirection w:val="lrTb"/>
            <w:noWrap w:val="false"/>
          </w:tcPr>
          <w:p>
            <w:pPr>
              <w:pStyle w:val="1038"/>
              <w:pBdr/>
              <w:spacing w:after="60"/>
              <w:ind w:right="-56"/>
              <w:rPr>
                <w:rStyle w:val="1037"/>
                <w:rFonts w:ascii="Times New Roman" w:hAnsi="Times New Roman"/>
                <w:i/>
                <w:color w:val="auto"/>
              </w:rPr>
            </w:pPr>
            <w:r>
              <w:rPr>
                <w:rFonts w:ascii="Times New Roman" w:hAnsi="Times New Roman"/>
                <w:i/>
                <w:color w:val="auto"/>
              </w:rPr>
            </w:r>
            <w:r>
              <w:rPr>
                <w:rStyle w:val="1037"/>
                <w:rFonts w:ascii="Times New Roman" w:hAnsi="Times New Roman"/>
                <w:i/>
                <w:color w:val="auto"/>
              </w:rPr>
            </w:r>
            <w:r>
              <w:rPr>
                <w:rStyle w:val="1037"/>
                <w:rFonts w:ascii="Times New Roman" w:hAnsi="Times New Roman"/>
                <w:i/>
                <w:color w:val="auto"/>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275/2026/0579/VFI-CT.69.A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w:t>
            </w:r>
            <w:r>
              <w:rPr>
                <w:b/>
                <w:bCs/>
              </w:rPr>
              <w:t xml:space="preserve">Trần </w:t>
            </w:r>
            <w:r>
              <w:rPr>
                <w:b/>
                <w:bCs/>
              </w:rPr>
              <w:t xml:space="preserve">Thị </w:t>
            </w:r>
            <w:r>
              <w:rPr>
                <w:b/>
                <w:bCs/>
              </w:rPr>
              <w:t xml:space="preserve">Thanh </w:t>
            </w:r>
            <w:r>
              <w:rPr>
                <w:b/>
                <w:bCs/>
              </w:rPr>
              <w:t xml:space="preserve">Vân </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0481 7900 2766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1979</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Tổ 48, </w:t>
            </w:r>
            <w:r>
              <w:rPr>
                <w:color w:val="000000" w:themeColor="text1"/>
                <w:lang w:val="vi-VN"/>
              </w:rPr>
              <w:t xml:space="preserve">Thọ </w:t>
            </w:r>
            <w:r>
              <w:rPr>
                <w:color w:val="000000" w:themeColor="text1"/>
                <w:lang w:val="vi-VN"/>
              </w:rPr>
              <w:t xml:space="preserve">Quang, </w:t>
            </w:r>
            <w:r>
              <w:rPr>
                <w:color w:val="000000" w:themeColor="text1"/>
                <w:lang w:val="vi-VN"/>
              </w:rPr>
              <w:t xml:space="preserve">Sơn </w:t>
            </w:r>
            <w:r>
              <w:rPr>
                <w:color w:val="000000" w:themeColor="text1"/>
                <w:lang w:val="vi-VN"/>
              </w:rPr>
              <w:t xml:space="preserve">Trà, </w:t>
            </w:r>
            <w:r>
              <w:rPr>
                <w:color w:val="000000" w:themeColor="text1"/>
                <w:lang w:val="vi-VN"/>
              </w:rPr>
              <w:t xml:space="preserve">Đà </w:t>
            </w:r>
            <w:r>
              <w:rPr>
                <w:color w:val="000000" w:themeColor="text1"/>
                <w:lang w:val="vi-VN"/>
              </w:rPr>
              <w:t xml:space="preserve">Nẵng </w:t>
            </w:r>
            <w:r>
              <w:rPr>
                <w:i/>
                <w:iCs/>
                <w:color w:val="000000" w:themeColor="text1"/>
                <w:lang w:val="vi-VN"/>
              </w:rPr>
              <w:t xml:space="preserve">(</w:t>
            </w:r>
            <w:r>
              <w:rPr>
                <w:i/>
                <w:iCs/>
                <w:color w:val="000000" w:themeColor="text1"/>
                <w:lang w:val="vi-VN"/>
              </w:rPr>
              <w:t xml:space="preserve">Nay </w:t>
            </w:r>
            <w:r>
              <w:rPr>
                <w:i/>
                <w:iCs/>
                <w:color w:val="000000" w:themeColor="text1"/>
                <w:lang w:val="vi-VN"/>
              </w:rPr>
              <w:t xml:space="preserve">là </w:t>
            </w:r>
            <w:r>
              <w:rPr>
                <w:i/>
                <w:iCs/>
                <w:color w:val="000000" w:themeColor="text1"/>
                <w:lang w:val="vi-VN"/>
              </w:rPr>
              <w:t xml:space="preserve">phường </w:t>
            </w:r>
            <w:r>
              <w:rPr>
                <w:i/>
                <w:iCs/>
                <w:color w:val="000000" w:themeColor="text1"/>
                <w:lang w:val="vi-VN"/>
              </w:rPr>
              <w:t xml:space="preserve">Sơn </w:t>
            </w:r>
            <w:r>
              <w:rPr>
                <w:i/>
                <w:iCs/>
                <w:color w:val="000000" w:themeColor="text1"/>
                <w:lang w:val="vi-VN"/>
              </w:rPr>
              <w:t xml:space="preserve">Trà, </w:t>
            </w:r>
            <w:r>
              <w:rPr>
                <w:i/>
                <w:iCs/>
                <w:color w:val="000000" w:themeColor="text1"/>
                <w:lang w:val="vi-VN"/>
              </w:rPr>
              <w:t xml:space="preserve">thành </w:t>
            </w:r>
            <w:r>
              <w:rPr>
                <w:i/>
                <w:iCs/>
                <w:color w:val="000000" w:themeColor="text1"/>
                <w:lang w:val="vi-VN"/>
              </w:rPr>
              <w:t xml:space="preserve">phố </w:t>
            </w:r>
            <w:r>
              <w:rPr>
                <w:i/>
                <w:iCs/>
                <w:color w:val="000000" w:themeColor="text1"/>
                <w:lang w:val="vi-VN"/>
              </w:rPr>
              <w:t xml:space="preserve">Đà </w:t>
            </w:r>
            <w:r>
              <w:rPr>
                <w:i/>
                <w:iCs/>
                <w:color w:val="000000" w:themeColor="text1"/>
                <w:lang w:val="vi-VN"/>
              </w:rPr>
              <w:t xml:space="preserve">Nẵng) </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239, tờ bản đồ số 17, có địa chỉ: Tổ 20TKT, phường Thanh Khê, Thành phố Đà Nẵng theo Giấy ch</w:t>
            </w:r>
            <w:r>
              <w:rPr>
                <w:bCs/>
                <w:color w:val="000000" w:themeColor="text1"/>
                <w:lang w:val="pt-BR"/>
              </w:rPr>
              <w:t xml:space="preserve">ứng nhận quyền sử đất, quyền sở hữu tài sản gắn liền với đất số AA 06727987, số vào sổ cấp GCN: VP 29215 do Văn phòng đăng ký đất đai Thành phố Đà Nẵng cấp ngày 16 tháng 01 năm 2026; chủ sử dụng đất là Ông Phạm Nguyễn Đăng Linh và Vợ: Bà Trần Thị Thanh Vân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Tổ 20TKT, phường Thanh Khê,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(16.07225, 108.17677777778)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w:t>
      </w:r>
      <w:r>
        <w:rPr>
          <w:bCs/>
          <w:color w:val="000000" w:themeColor="text1"/>
          <w:lang w:val="pt-BR"/>
        </w:rPr>
        <w:t xml:space="preserve">ứng nhận quyền sử đất, quyền sở hữu tài sản gắn liền với đất số AA 06727987, số vào sổ cấp GCN: VP 29215 do Văn phòng đăng ký đất đai Thành phố Đà Nẵng cấp ngày 16 tháng 01 năm 2026; chủ sử dụng đất là Ông Phạm Nguyễn Đăng Linh và Vợ: Bà Trần Thị Thanh Vân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275/2026/0579/VFI-HĐTĐ.69.A ký ngày 14/04/2026 giữa </w:t>
      </w:r>
      <w:r>
        <w:rPr>
          <w:color w:val="000000" w:themeColor="text1"/>
          <w:lang w:val="pt-BR"/>
        </w:rPr>
        <w:t xml:space="preserve">Bà </w:t>
      </w:r>
      <w:r>
        <w:rPr>
          <w:color w:val="000000" w:themeColor="text1"/>
          <w:lang w:val="pt-BR"/>
        </w:rPr>
        <w:t xml:space="preserve">Trần Thị Thanh Vân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b/>
          <w:bCs/>
          <w:shd w:val="clear" w:color="auto" w:fill="ffffff"/>
        </w:rPr>
        <w:t xml:space="preserve">B</w:t>
      </w:r>
      <w:r>
        <w:rPr>
          <w:b/>
          <w:bCs/>
          <w:shd w:val="clear" w:color="auto" w:fill="ffffff"/>
        </w:rPr>
        <w:t xml:space="preserve">ất động sản lõi đô thị Đà Nẵng hút dòng tiền?</w:t>
      </w:r>
      <w:r>
        <w:rPr>
          <w:b/>
          <w:bCs/>
          <w:iCs/>
        </w:rPr>
      </w:r>
      <w:r>
        <w:rPr>
          <w:b/>
          <w:bCs/>
          <w:iCs/>
        </w:rPr>
      </w:r>
    </w:p>
    <w:p>
      <w:pPr>
        <w:pBdr/>
        <w:tabs>
          <w:tab w:val="left" w:leader="none" w:pos="426"/>
        </w:tabs>
        <w:spacing w:after="120" w:before="120" w:line="276" w:lineRule="auto"/>
        <w:ind/>
        <w:jc w:val="both"/>
        <w:rPr/>
      </w:pPr>
      <w:r>
        <w:rPr>
          <w:shd w:val="clear" w:color="auto" w:fill="ffffff"/>
        </w:rPr>
        <w:t xml:space="preserve">Khi du lịch, hàng không và đô thị trung tâm cùng phục hồi, dòng tiền đầu tư có xu hướng tìm về những tài sản nằm ở lõi khai thác thực của thành phố. Trong cấu trúc của một thành phố du lịch, yếu tố quyết định</w:t>
      </w:r>
      <w:r>
        <w:rPr>
          <w:shd w:val="clear" w:color="auto" w:fill="ffffff"/>
        </w:rPr>
        <w:t xml:space="preserve"> sức hấp dẫn của bất động sản không chỉ nằm ở vị trí địa lý, mà còn ở khả năng biến vị trí đó thành lưu lượng khách thực và hoạt động tiêu dùng thực. Đây cũng là lợi thế lớn nhất của Đà Nẵng trong giai đoạn phục hồi hiện nay.</w:t>
      </w:r>
      <w:r/>
    </w:p>
    <w:p>
      <w:pPr>
        <w:pBdr/>
        <w:tabs>
          <w:tab w:val="left" w:leader="none" w:pos="426"/>
        </w:tabs>
        <w:spacing w:after="120" w:before="120" w:line="276" w:lineRule="auto"/>
        <w:ind/>
        <w:jc w:val="center"/>
        <w:rPr>
          <w:b/>
          <w:bCs/>
        </w:rPr>
      </w:pPr>
      <w:r>
        <w:rPr>
          <w:b/>
          <w:bCs/>
          <w:shd w:val="clear" w:color="auto" w:fill="ffffff"/>
        </w:rPr>
        <w:t xml:space="preserve">DÒNG KHÁCH TRỞ LẠI MẠNH MẼ, X</w:t>
      </w:r>
      <w:r>
        <w:rPr>
          <w:b/>
          <w:bCs/>
          <w:shd w:val="clear" w:color="auto" w:fill="ffffff"/>
        </w:rPr>
        <w:t xml:space="preserve">ÁC LẬP NỀN TẢNG KHAI THÁC CỦA TRUNG TÂM ĐÀ NẴN</w:t>
      </w:r>
      <w:r>
        <w:rPr>
          <w:b/>
          <w:bCs/>
          <w:shd w:val="clear" w:color="auto" w:fill="ffffff"/>
        </w:rPr>
        <w:t xml:space="preserve">G</w:t>
      </w:r>
      <w:r>
        <w:rPr>
          <w:b/>
          <w:bCs/>
        </w:rPr>
      </w:r>
      <w:r>
        <w:rPr>
          <w:b/>
          <w:bCs/>
        </w:rPr>
      </w:r>
    </w:p>
    <w:p>
      <w:pPr>
        <w:pBdr/>
        <w:tabs>
          <w:tab w:val="left" w:leader="none" w:pos="426"/>
        </w:tabs>
        <w:spacing w:after="120" w:before="120" w:line="276" w:lineRule="auto"/>
        <w:ind/>
        <w:jc w:val="both"/>
        <w:rPr/>
      </w:pPr>
      <w:r>
        <w:rPr>
          <w:shd w:val="clear" w:color="auto" w:fill="ffffff"/>
        </w:rPr>
      </w:r>
      <w:r>
        <w:rPr>
          <w:shd w:val="clear" w:color="auto" w:fill="ffffff"/>
        </w:rPr>
        <w:t xml:space="preserve">Theo báo cáo của Sở Văn hóa, Thể thao và Du lịch Đà Nẵng, trong hai tháng đầu năm 2026, các cơ sở lưu trú trên địa bàn phục vụ gần 2,5 triệu lượt khách, tăng khoảng 11% so với cùng kỳ năm trước. Trong đó, khá</w:t>
      </w:r>
      <w:r>
        <w:rPr>
          <w:shd w:val="clear" w:color="auto" w:fill="ffffff"/>
        </w:rPr>
        <w:t xml:space="preserve">ch quốc tế ước đạt gần 1,5 triệu lượt, tăng hơn 16%, trong khi khách nội địa đạt hơn 949.000 lượt. </w:t>
      </w:r>
      <w:r/>
    </w:p>
    <w:p>
      <w:pPr>
        <w:pBdr/>
        <w:tabs>
          <w:tab w:val="left" w:leader="none" w:pos="426"/>
        </w:tabs>
        <w:spacing w:after="120" w:before="120" w:line="276" w:lineRule="auto"/>
        <w:ind/>
        <w:jc w:val="both"/>
        <w:rPr/>
      </w:pPr>
      <w:r>
        <w:rPr>
          <w:shd w:val="clear" w:color="auto" w:fill="ffffff"/>
        </w:rPr>
        <w:t xml:space="preserve">Trong năm 2025, thành phố đón hơn 48.000 chuyến bay, trong đó có trên 20.200 chuyến bay quốc tế. Du lịch đường biển đón hơn 43.000 lượt khách từ 36 chuyến t</w:t>
      </w:r>
      <w:r>
        <w:rPr>
          <w:shd w:val="clear" w:color="auto" w:fill="ffffff"/>
        </w:rPr>
        <w:t xml:space="preserve">àu, các tuyến đường sắt và đường thủy nội địa, duy trì đà tăng trưởng ổn định. Cùng với đó, công suất phòng bình quân toàn thành phố đạt khoảng 65–70%, trong khi khối khách sạn 4-5 sao đạt tới khoảng 85%. Tỷ lệ lấp đầy của các khách sạn từ 3 sao trở lên đ</w:t>
      </w:r>
      <w:r>
        <w:rPr>
          <w:shd w:val="clear" w:color="auto" w:fill="ffffff"/>
        </w:rPr>
        <w:t xml:space="preserve">ạt khoảng 78%. Giá phòng bình quân cũng tăng khoảng 9% so với cùng kỳ, đạt gần 2 triệu đồng/phòng/đêm. Những con số này không chỉ cho thấy ngành du lịch phục hồi, mà còn phản ánh một điều quan trọng hơn: Phân khúc dịch vụ cao cấp tại trung tâm thành phố v</w:t>
      </w:r>
      <w:r>
        <w:rPr>
          <w:shd w:val="clear" w:color="auto" w:fill="ffffff"/>
        </w:rPr>
        <w:t xml:space="preserve">ẫn đang hấp thụ lượng cầu rất lớn. </w:t>
      </w:r>
      <w:r/>
    </w:p>
    <w:p>
      <w:pPr>
        <w:pBdr/>
        <w:tabs>
          <w:tab w:val="left" w:leader="none" w:pos="426"/>
        </w:tabs>
        <w:spacing w:after="120" w:before="120" w:line="276" w:lineRule="auto"/>
        <w:ind/>
        <w:jc w:val="both"/>
        <w:rPr/>
      </w:pPr>
      <w:r>
        <w:rPr>
          <w:shd w:val="clear" w:color="auto" w:fill="ffffff"/>
        </w:rPr>
        <w:t xml:space="preserve">Những dữ kiện này có ý nghĩa rất quan trọng khi phân tích bất động sản đô thị. Chúng cho thấy trung tâm Đà Nẵng không chỉ là điểm đến du lịch, mà còn là một hệ sinh thái vận hành với lưu lượng khách ổn định và mức chi ti</w:t>
      </w:r>
      <w:r>
        <w:rPr>
          <w:shd w:val="clear" w:color="auto" w:fill="ffffff"/>
        </w:rPr>
        <w:t xml:space="preserve">êu cao. Trong một thành phố du lịch, chính yếu tố này tạo ra nền tảng cho việc khai thác bất động sản.</w:t>
      </w:r>
      <w:r/>
    </w:p>
    <w:p>
      <w:pPr>
        <w:pBdr/>
        <w:tabs>
          <w:tab w:val="left" w:leader="none" w:pos="426"/>
        </w:tabs>
        <w:spacing w:after="120" w:before="120" w:line="276" w:lineRule="auto"/>
        <w:ind/>
        <w:jc w:val="center"/>
        <w:rPr>
          <w:b/>
          <w:bCs/>
        </w:rPr>
      </w:pPr>
      <w:r>
        <w:rPr>
          <w:b/>
          <w:bCs/>
          <w:shd w:val="clear" w:color="auto" w:fill="ffffff"/>
        </w:rPr>
        <w:t xml:space="preserve">KHI DÒNG KHÁCH TĂNG, DÒNG TIỀN ĐẦU TƯ CÓ XU HƯỚNG TÌM VỀ LÕI ĐÔ TH</w:t>
      </w:r>
      <w:r>
        <w:rPr>
          <w:b/>
          <w:bCs/>
          <w:shd w:val="clear" w:color="auto" w:fill="ffffff"/>
        </w:rPr>
        <w:t xml:space="preserve">Ị</w:t>
      </w:r>
      <w:r>
        <w:rPr>
          <w:b/>
          <w:bCs/>
        </w:rPr>
      </w:r>
      <w:r>
        <w:rPr>
          <w:b/>
          <w:bCs/>
        </w:rPr>
      </w:r>
    </w:p>
    <w:p>
      <w:pPr>
        <w:pBdr/>
        <w:tabs>
          <w:tab w:val="left" w:leader="none" w:pos="426"/>
        </w:tabs>
        <w:spacing w:after="120" w:before="120" w:line="276" w:lineRule="auto"/>
        <w:ind/>
        <w:jc w:val="both"/>
        <w:rPr/>
      </w:pPr>
      <w:r>
        <w:rPr>
          <w:shd w:val="clear" w:color="auto" w:fill="ffffff"/>
        </w:rPr>
      </w:r>
      <w:r>
        <w:rPr>
          <w:shd w:val="clear" w:color="auto" w:fill="ffffff"/>
        </w:rPr>
        <w:t xml:space="preserve">Nếu nhìn từ góc độ đầu tư, bất động sản trong các thành phố du lịch thường vận hành </w:t>
      </w:r>
      <w:r>
        <w:rPr>
          <w:shd w:val="clear" w:color="auto" w:fill="ffffff"/>
        </w:rPr>
        <w:t xml:space="preserve">theo một logic khá rõ: Nơi nào tập trung lưu lượng khách lớn nhất, nơi đó có khả năng tạo ra dòng tiền khai thác ổn định nhất. </w:t>
      </w:r>
      <w:r/>
    </w:p>
    <w:p>
      <w:pPr>
        <w:pBdr/>
        <w:tabs>
          <w:tab w:val="left" w:leader="none" w:pos="426"/>
        </w:tabs>
        <w:spacing w:after="120" w:before="120" w:line="276" w:lineRule="auto"/>
        <w:ind/>
        <w:jc w:val="both"/>
        <w:rPr/>
      </w:pPr>
      <w:r>
        <w:rPr>
          <w:shd w:val="clear" w:color="auto" w:fill="ffffff"/>
        </w:rPr>
        <w:t xml:space="preserve">Điều này lý giải vì sao các khu vực trung tâm của những đô thị du lịch lớn trên thế giới thường tăng trưởng bền vữngqua nhiều</w:t>
      </w:r>
      <w:r>
        <w:rPr>
          <w:shd w:val="clear" w:color="auto" w:fill="ffffff"/>
        </w:rPr>
        <w:t xml:space="preserve"> chu kỳ thị trường. Những tài sản nằm trong lõi đô thị không chỉ tăng giá theo thời gian, mà còn có thể tạo ra dòng tiền từ hoạt động lưu trú, dịch vụ và thương mại.</w:t>
      </w:r>
      <w:r/>
    </w:p>
    <w:p>
      <w:pPr>
        <w:pBdr/>
        <w:tabs>
          <w:tab w:val="left" w:leader="none" w:pos="426"/>
        </w:tabs>
        <w:spacing w:after="120" w:before="120" w:line="276" w:lineRule="auto"/>
        <w:ind/>
        <w:jc w:val="both"/>
        <w:rPr/>
      </w:pPr>
      <w:r>
        <w:rPr>
          <w:shd w:val="clear" w:color="auto" w:fill="ffffff"/>
        </w:rPr>
        <w:t xml:space="preserve">Thị trường bất động sản Đà Nẵng cũng đang phản ánh logic tương tự. Giai đoạn trầm lắng s</w:t>
      </w:r>
      <w:r>
        <w:rPr>
          <w:shd w:val="clear" w:color="auto" w:fill="ffffff"/>
        </w:rPr>
        <w:t xml:space="preserve">au Covid từ năm 2021 đến 2023, thị trường căn hộ của thành phố bắt đầu phục hồi từ năm 2024 và tiếp tục duy trì xu hướng tăng trưởng trong năm 2025.</w:t>
      </w:r>
      <w:r/>
    </w:p>
    <w:p>
      <w:pPr>
        <w:pBdr/>
        <w:tabs>
          <w:tab w:val="left" w:leader="none" w:pos="426"/>
        </w:tabs>
        <w:spacing w:after="120" w:before="120" w:line="276" w:lineRule="auto"/>
        <w:ind/>
        <w:jc w:val="both"/>
        <w:rPr/>
      </w:pPr>
      <w:r>
        <w:rPr>
          <w:shd w:val="clear" w:color="auto" w:fill="ffffff"/>
        </w:rPr>
        <w:t xml:space="preserve">Theo số liệu thống kê, trong năm 2025, nguồn cung bất động sản mới tại Đà Nẵng đạt hơn 13.700 sản phẩm. Tr</w:t>
      </w:r>
      <w:r>
        <w:rPr>
          <w:shd w:val="clear" w:color="auto" w:fill="ffffff"/>
        </w:rPr>
        <w:t xml:space="preserve">ong đó, căn hộ chung cư chiếm 76%, đất nền 20% và bất động sản thấp tầng 4%. Savills dự báo giai đoạn 2025- 2027, thị trường có thể bổ sung thêm khoảng 12.300 căn từ 19 dự án.</w:t>
      </w:r>
      <w:r/>
    </w:p>
    <w:p>
      <w:pPr>
        <w:pBdr/>
        <w:tabs>
          <w:tab w:val="left" w:leader="none" w:pos="426"/>
        </w:tabs>
        <w:spacing w:after="120" w:before="120" w:line="276" w:lineRule="auto"/>
        <w:ind/>
        <w:jc w:val="both"/>
        <w:rPr/>
      </w:pPr>
      <w:r>
        <w:rPr>
          <w:shd w:val="clear" w:color="auto" w:fill="ffffff"/>
        </w:rPr>
        <w:t xml:space="preserve">Điểm đáng chú ý trong báo cáo này không nằm ở việc nguồn cung tăng, mà ở cấu tr</w:t>
      </w:r>
      <w:r>
        <w:rPr>
          <w:shd w:val="clear" w:color="auto" w:fill="ffffff"/>
        </w:rPr>
        <w:t xml:space="preserve">úc của nguồn cung. Phần lớn dự án mới được phát triển ở các vị trí tốt hơn, tiêu chuẩn bàn giao cao hơn và có câu chuyện vận hành rõ ràng hơn. Điều này cho thấy dòng tiền đầu tư không còn chảy đều vào mọi sản phẩm, mà tập trung vào những tài sản có khả năn</w:t>
      </w:r>
      <w:r>
        <w:rPr>
          <w:shd w:val="clear" w:color="auto" w:fill="ffffff"/>
        </w:rPr>
        <w:t xml:space="preserve">g cạnh tranh thực trong đô thị.  </w:t>
      </w:r>
      <w:r/>
    </w:p>
    <w:p>
      <w:pPr>
        <w:pBdr/>
        <w:tabs>
          <w:tab w:val="left" w:leader="none" w:pos="426"/>
        </w:tabs>
        <w:spacing w:after="120" w:before="120" w:line="276" w:lineRule="auto"/>
        <w:ind/>
        <w:jc w:val="both"/>
        <w:rPr/>
      </w:pPr>
      <w:r>
        <w:rPr>
          <w:shd w:val="clear" w:color="auto" w:fill="ffffff"/>
        </w:rPr>
      </w:r>
      <w:r>
        <w:rPr>
          <w:shd w:val="clear" w:color="auto" w:fill="ffffff"/>
        </w:rPr>
        <w:t xml:space="preserve">Trong bức tranh bất động sản Đà Nẵng, khu vực sông Hàn – Cầu Rồng được xem là một trong những vị trí có lợi thế đặc biệt. Đây không chỉ là trục biểu tượng của thành phố, mà còn là khu vực g</w:t>
      </w:r>
      <w:r>
        <w:rPr>
          <w:shd w:val="clear" w:color="auto" w:fill="ffffff"/>
        </w:rPr>
        <w:t xml:space="preserve">ắn trực tiếp với các hoạt động du lịch, ẩm thực, giải trí và trải nghiệm về đêm của Đà Nẵng. </w:t>
      </w:r>
      <w:r/>
    </w:p>
    <w:p>
      <w:pPr>
        <w:pBdr/>
        <w:tabs>
          <w:tab w:val="left" w:leader="none" w:pos="426"/>
        </w:tabs>
        <w:spacing w:after="120" w:before="120" w:line="276" w:lineRule="auto"/>
        <w:ind/>
        <w:jc w:val="both"/>
        <w:rPr/>
      </w:pPr>
      <w:r>
        <w:rPr>
          <w:shd w:val="clear" w:color="auto" w:fill="ffffff"/>
        </w:rPr>
        <w:t xml:space="preserve">Từ góc nhìn của nhà đầu tư chuyên nghiệp, đây là kiểu vị trí thường được gọi là “tài sản có sẵn cầu tự nhiên”. Lưu lượng du khách, mật độ dịch vụ và khả năng kết </w:t>
      </w:r>
      <w:r>
        <w:rPr>
          <w:shd w:val="clear" w:color="auto" w:fill="ffffff"/>
        </w:rPr>
        <w:t xml:space="preserve">nối sân bay giúp khu vực này trở thành nơi tập trung tiêu dùng của du khách khi đến thành phố.</w:t>
      </w:r>
      <w:r/>
    </w:p>
    <w:p>
      <w:pPr>
        <w:pBdr/>
        <w:tabs>
          <w:tab w:val="left" w:leader="none" w:pos="426"/>
        </w:tabs>
        <w:spacing w:after="120" w:before="120" w:line="276" w:lineRule="auto"/>
        <w:ind/>
        <w:jc w:val="both"/>
        <w:rPr/>
      </w:pPr>
      <w:r>
        <w:rPr>
          <w:shd w:val="clear" w:color="auto" w:fill="ffffff"/>
        </w:rPr>
        <w:t xml:space="preserve">Liền kề ngay bên Cầu Rồng, The Legend Danang được nhìn nhận như một dự án vừa có vị trí đẹp hiếm có, vừa là tài sản nằm trong lõi khai thác thực của đô thị. Giá</w:t>
      </w:r>
      <w:r>
        <w:rPr>
          <w:shd w:val="clear" w:color="auto" w:fill="ffffff"/>
        </w:rPr>
        <w:t xml:space="preserve"> trị của dự án vì vậy không chỉ đến từ yếu tố cảnh quan hay biểu tượng kiến trúc, mà còn đến từ khả năng kết nối trực tiếp với dòng tiêu dùng của thành phố. </w:t>
      </w:r>
      <w:r/>
    </w:p>
    <w:p>
      <w:pPr>
        <w:pBdr/>
        <w:tabs>
          <w:tab w:val="left" w:leader="none" w:pos="426"/>
        </w:tabs>
        <w:spacing w:after="120" w:before="120" w:line="276" w:lineRule="auto"/>
        <w:ind/>
        <w:jc w:val="both"/>
        <w:rPr/>
      </w:pPr>
      <w:r>
        <w:rPr>
          <w:shd w:val="clear" w:color="auto" w:fill="ffffff"/>
        </w:rPr>
        <w:t xml:space="preserve">Đó có thể là dòng khách du lịch ngắn ngày, khách công tác, chuyên gia làm việc tại Đà Nẵng, hoặc n</w:t>
      </w:r>
      <w:r>
        <w:rPr>
          <w:shd w:val="clear" w:color="auto" w:fill="ffffff"/>
        </w:rPr>
        <w:t xml:space="preserve">hóm khách tìm kiếm second home chất lượng cao tại một thành phố biển. Khi bất động sản nằm trong khu vực tập trung các dòng khách này, khả năng khai thác và giá trị tài sản thường có nền tảng bền vững hơn.</w:t>
      </w:r>
      <w:r/>
    </w:p>
    <w:p>
      <w:pPr>
        <w:pBdr/>
        <w:tabs>
          <w:tab w:val="left" w:leader="none" w:pos="426"/>
        </w:tabs>
        <w:spacing w:after="120" w:before="120" w:line="276" w:lineRule="auto"/>
        <w:ind/>
        <w:jc w:val="both"/>
        <w:rPr/>
      </w:pPr>
      <w:r>
        <w:rPr>
          <w:shd w:val="clear" w:color="auto" w:fill="ffffff"/>
        </w:rPr>
      </w:r>
      <w:r>
        <w:rPr>
          <w:shd w:val="clear" w:color="auto" w:fill="ffffff"/>
        </w:rPr>
        <w:t xml:space="preserve">Khi thị trường bước vào giai đoạn chọn lọc, dòng vốn có xu hướng tìm về những t</w:t>
      </w:r>
      <w:r>
        <w:rPr>
          <w:shd w:val="clear" w:color="auto" w:fill="ffffff"/>
        </w:rPr>
        <w:t xml:space="preserve">ài sản nằm trong lõi vận hành của thành phố, nơi có thể tạo ra giá trị sử dụng và dòng tiền thực. Với Đà Nẵng, lõi vận hành đó nằm dọc theo trục sông Hàn - Cầu Rồng, nơi tập trung lưu lượng khách du lịch, hoạt động dịch vụ và trải nghiệm đô thị sôi động nh</w:t>
      </w:r>
      <w:r>
        <w:rPr>
          <w:shd w:val="clear" w:color="auto" w:fill="ffffff"/>
        </w:rPr>
        <w:t xml:space="preserve">ất. Và chính trong những khu vực như vậy, bất động sản thường không chỉ là tài sản để sở hữu, mà còn là tài sản có thể tham gia trực tiếp vào dòng chảy kinh tế của thành phố. </w:t>
      </w:r>
      <w:r/>
    </w:p>
    <w:p>
      <w:pPr>
        <w:pBdr/>
        <w:tabs>
          <w:tab w:val="left" w:leader="none" w:pos="426"/>
        </w:tabs>
        <w:spacing w:after="120" w:before="120" w:line="276" w:lineRule="auto"/>
        <w:ind/>
        <w:jc w:val="center"/>
        <w:rPr>
          <w:bCs/>
          <w:i/>
        </w:rPr>
      </w:pPr>
      <w:r>
        <w:rPr>
          <w:i/>
          <w:iCs/>
          <w:shd w:val="clear" w:color="auto" w:fill="ffffff"/>
        </w:rPr>
        <w:t xml:space="preserve">(Nguồn: https://vneconomy.vn/bat-dong-san-loi-do-thi-da-nang-hut-dong-tien.htm)</w:t>
      </w:r>
      <w:r>
        <w:rPr>
          <w:bCs/>
          <w:i/>
        </w:rPr>
      </w:r>
      <w:r>
        <w:rPr>
          <w:bCs/>
          <w:i/>
        </w:rP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239, tờ bản đồ số 17, có địa chỉ: Tổ 20TKT, phường Thanh Khê, Thành phố Đà Nẵng theo Giấy ch</w:t>
            </w:r>
            <w:r>
              <w:rPr>
                <w:b/>
                <w:bCs/>
                <w:color w:val="000000"/>
              </w:rPr>
              <w:t xml:space="preserve">ứng nhận quyền sử đất, quyền sở hữu tài sản gắn liền với đất số AA 06727987, số vào sổ cấp GCN: VP 29215 do Văn phòng đăng ký đất đai Thành phố Đà Nẵng cấp ngày 16 tháng 01 năm 2026; chủ sử dụng đất là Ông Phạm Nguyễn Đăng Linh và Vợ: Bà Trần Thị Thanh Vân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Đường Dũng Sĩ Thanh Khê, Phường Thanh Khê Tây, Quận Thanh Khê,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w:t>
            </w:r>
            <w:r>
              <w:rPr>
                <w:color w:val="000000"/>
              </w:rPr>
              <w:t xml:space="preserve">dụng </w:t>
            </w:r>
            <w:r>
              <w:rPr>
                <w:color w:val="000000"/>
              </w:rPr>
              <w:t xml:space="preserve">chung </w:t>
            </w:r>
            <w:r>
              <w:rPr>
                <w:color w:val="000000"/>
              </w:rPr>
              <w:t xml:space="preserve">của </w:t>
            </w:r>
            <w:r>
              <w:rPr>
                <w:color w:val="000000"/>
              </w:rPr>
              <w:t xml:space="preserve">vợ </w:t>
            </w:r>
            <w:r>
              <w:rPr>
                <w:color w:val="000000"/>
              </w:rPr>
              <w:t xml:space="preserve">và </w:t>
            </w:r>
            <w:r>
              <w:rPr>
                <w:color w:val="000000"/>
              </w:rPr>
              <w:t xml:space="preserve">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Tổ </w:t>
            </w:r>
            <w:r>
              <w:rPr>
                <w:color w:val="000000"/>
              </w:rPr>
              <w:t xml:space="preserve">thẩm </w:t>
            </w:r>
            <w:r>
              <w:rPr>
                <w:color w:val="000000"/>
              </w:rPr>
              <w:t xml:space="preserve">định </w:t>
            </w:r>
            <w:r>
              <w:rPr>
                <w:color w:val="000000"/>
              </w:rPr>
              <w:t xml:space="preserve">tra </w:t>
            </w:r>
            <w:r>
              <w:rPr>
                <w:color w:val="000000"/>
              </w:rPr>
              <w:t xml:space="preserve">cứu </w:t>
            </w:r>
            <w:r>
              <w:rPr>
                <w:color w:val="000000"/>
              </w:rPr>
              <w:t xml:space="preserve">thông </w:t>
            </w:r>
            <w:r>
              <w:rPr>
                <w:color w:val="000000"/>
              </w:rPr>
              <w:t xml:space="preserve">tin </w:t>
            </w:r>
            <w:r>
              <w:rPr>
                <w:color w:val="000000"/>
              </w:rPr>
              <w:t xml:space="preserve">tại </w:t>
            </w:r>
            <w:r>
              <w:rPr>
                <w:color w:val="000000"/>
              </w:rPr>
              <w:t xml:space="preserve">website </w:t>
            </w:r>
            <w:r>
              <w:rPr>
                <w:color w:val="000000"/>
              </w:rPr>
              <w:t xml:space="preserve">quy </w:t>
            </w:r>
            <w:r>
              <w:rPr>
                <w:color w:val="000000"/>
              </w:rPr>
              <w:t xml:space="preserve">ho</w:t>
            </w:r>
            <w:r>
              <w:rPr>
                <w:color w:val="000000"/>
              </w:rPr>
              <w:t xml:space="preserve">ạ</w:t>
            </w:r>
            <w:r>
              <w:rPr>
                <w:color w:val="000000"/>
              </w:rPr>
              <w:t xml:space="preserve">ch </w:t>
            </w:r>
            <w:r>
              <w:rPr>
                <w:color w:val="000000"/>
              </w:rPr>
              <w:t xml:space="preserve">Meeymap </w:t>
            </w:r>
            <w:r>
              <w:rPr>
                <w:color w:val="000000"/>
              </w:rPr>
              <w:t xml:space="preserve">và </w:t>
            </w:r>
            <w:r>
              <w:rPr>
                <w:color w:val="000000"/>
              </w:rPr>
              <w:t xml:space="preserve">nhận </w:t>
            </w:r>
            <w:r>
              <w:rPr>
                <w:color w:val="000000"/>
              </w:rPr>
              <w:t xml:space="preserve">thấ</w:t>
            </w:r>
            <w:r>
              <w:rPr>
                <w:color w:val="000000"/>
              </w:rPr>
              <w:t xml:space="preserve">y </w:t>
            </w:r>
            <w:r>
              <w:rPr>
                <w:color w:val="000000"/>
              </w:rPr>
              <w:t xml:space="preserve">tài </w:t>
            </w:r>
            <w:r>
              <w:rPr>
                <w:color w:val="000000"/>
              </w:rPr>
              <w:t xml:space="preserve">sản </w:t>
            </w:r>
            <w:r>
              <w:rPr>
                <w:color w:val="000000"/>
              </w:rPr>
              <w:t xml:space="preserve">nằm </w:t>
            </w:r>
            <w:r>
              <w:rPr>
                <w:color w:val="000000"/>
              </w:rPr>
              <w:t xml:space="preserve">tron</w:t>
            </w:r>
            <w:r>
              <w:rPr>
                <w:color w:val="000000"/>
              </w:rPr>
              <w:t xml:space="preserve">g </w:t>
            </w:r>
            <w:r>
              <w:rPr>
                <w:color w:val="000000"/>
              </w:rPr>
              <w:t xml:space="preserve">quy </w:t>
            </w:r>
            <w:r>
              <w:rPr>
                <w:color w:val="000000"/>
              </w:rPr>
              <w:t xml:space="preserve">hoạch </w:t>
            </w:r>
            <w:r>
              <w:rPr>
                <w:color w:val="000000"/>
              </w:rPr>
              <w:t xml:space="preserve">đất </w:t>
            </w:r>
            <w:r>
              <w:rPr>
                <w:color w:val="000000"/>
              </w:rPr>
              <w:t xml:space="preserve">ở </w:t>
            </w:r>
            <w:r>
              <w:rPr>
                <w:color w:val="000000"/>
              </w:rPr>
              <w:t xml:space="preserve">tại </w:t>
            </w:r>
            <w:r>
              <w:rPr>
                <w:color w:val="000000"/>
              </w:rPr>
              <w:t xml:space="preserve">đô </w:t>
            </w:r>
            <w:r>
              <w:rPr>
                <w:color w:val="000000"/>
              </w:rPr>
              <w:t xml:space="preserve">thị. </w:t>
            </w:r>
            <w:r>
              <w:rPr>
                <w:color w:val="000000"/>
                <w:highlight w:val="none"/>
              </w:rPr>
            </w:r>
            <w:r>
              <w:rPr>
                <w:color w:val="000000"/>
                <w:highlight w:val="none"/>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3901300" cy="202693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40919" name=""/>
                              <pic:cNvPicPr>
                                <a:picLocks noChangeAspect="1"/>
                              </pic:cNvPicPr>
                              <pic:nvPr/>
                            </pic:nvPicPr>
                            <pic:blipFill rotWithShape="1">
                              <a:blip r:embed="rId17"/>
                              <a:stretch/>
                            </pic:blipFill>
                            <pic:spPr bwMode="auto">
                              <a:xfrm flipH="0" flipV="0">
                                <a:off x="0" y="0"/>
                                <a:ext cx="3901299" cy="20269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7.19pt;height:159.6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Dũng Sĩ Thanh Khê</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đường </w:t>
            </w:r>
            <w:r>
              <w:rPr>
                <w:color w:val="000000" w:themeColor="text1"/>
              </w:rPr>
              <w:t xml:space="preserve">Dũng </w:t>
            </w:r>
            <w:r>
              <w:rPr>
                <w:color w:val="000000" w:themeColor="text1"/>
              </w:rPr>
              <w:t xml:space="preserve">Sĩ </w:t>
            </w:r>
            <w:r>
              <w:rPr>
                <w:color w:val="000000" w:themeColor="text1"/>
              </w:rPr>
              <w:t xml:space="preserve">Thanh </w:t>
            </w:r>
            <w:r>
              <w:rPr>
                <w:color w:val="000000" w:themeColor="text1"/>
              </w:rPr>
              <w:t xml:space="preserve">Khê </w:t>
            </w:r>
            <w:r>
              <w:rPr>
                <w:color w:val="000000" w:themeColor="text1"/>
              </w:rPr>
              <w:t xml:space="preserve">khoảng </w:t>
            </w:r>
            <w:r>
              <w:rPr>
                <w:color w:val="000000" w:themeColor="text1"/>
              </w:rPr>
              <w:t xml:space="preserve">170</w:t>
            </w:r>
            <w:r>
              <w:rPr>
                <w:color w:val="000000" w:themeColor="text1"/>
              </w:rPr>
              <w:t xml:space="preserve">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Style w:val="1039"/>
              <w:numPr>
                <w:ilvl w:val="0"/>
                <w:numId w:val="39"/>
              </w:numPr>
              <w:pBdr/>
              <w:spacing/>
              <w:ind/>
              <w:rPr>
                <w:color w:val="000000" w:themeColor="text1"/>
              </w:rPr>
            </w:pPr>
            <w:r>
              <w:rPr>
                <w:color w:val="000000" w:themeColor="text1"/>
              </w:rPr>
              <w:t xml:space="preserve">Hướng </w:t>
            </w:r>
            <w:r>
              <w:rPr>
                <w:color w:val="000000" w:themeColor="text1"/>
              </w:rPr>
              <w:t xml:space="preserve">Nam: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giao </w:t>
            </w:r>
            <w:r>
              <w:rPr>
                <w:color w:val="000000" w:themeColor="text1"/>
              </w:rPr>
              <w:t xml:space="preserve">thông;</w:t>
            </w:r>
            <w:r>
              <w:rPr>
                <w:color w:val="000000" w:themeColor="text1"/>
              </w:rPr>
            </w:r>
            <w:r>
              <w:rPr>
                <w:color w:val="000000" w:themeColor="text1"/>
              </w:rPr>
            </w:r>
          </w:p>
          <w:p>
            <w:pPr>
              <w:pStyle w:val="1039"/>
              <w:numPr>
                <w:ilvl w:val="0"/>
                <w:numId w:val="39"/>
              </w:numPr>
              <w:pBdr/>
              <w:spacing/>
              <w:ind/>
              <w:rPr>
                <w:color w:val="000000" w:themeColor="text1"/>
              </w:rPr>
            </w:pPr>
            <w:r>
              <w:rPr>
                <w:color w:val="000000" w:themeColor="text1"/>
                <w:highlight w:val="none"/>
              </w:rPr>
              <w:t xml:space="preserve">Các </w:t>
            </w:r>
            <w:r>
              <w:rPr>
                <w:color w:val="000000" w:themeColor="text1"/>
                <w:highlight w:val="none"/>
              </w:rPr>
              <w:t xml:space="preserve">hướng </w:t>
            </w:r>
            <w:r>
              <w:rPr>
                <w:color w:val="000000" w:themeColor="text1"/>
                <w:highlight w:val="none"/>
              </w:rPr>
              <w:t xml:space="preserve">khác: </w:t>
            </w:r>
            <w:r>
              <w:rPr>
                <w:color w:val="000000" w:themeColor="text1"/>
                <w:highlight w:val="none"/>
              </w:rPr>
              <w:t xml:space="preserve">Tiếp </w:t>
            </w:r>
            <w:r>
              <w:rPr>
                <w:color w:val="000000" w:themeColor="text1"/>
                <w:highlight w:val="none"/>
              </w:rPr>
              <w:t xml:space="preserve">giáp </w:t>
            </w:r>
            <w:r>
              <w:rPr>
                <w:color w:val="000000" w:themeColor="text1"/>
                <w:highlight w:val="none"/>
              </w:rPr>
              <w:t xml:space="preserve">thửa </w:t>
            </w:r>
            <w:r>
              <w:rPr>
                <w:color w:val="000000" w:themeColor="text1"/>
                <w:highlight w:val="none"/>
              </w:rPr>
              <w:t xml:space="preserve">đất </w:t>
            </w:r>
            <w:r>
              <w:rPr>
                <w:color w:val="000000" w:themeColor="text1"/>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(16.07225, 108.17677777778)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23395" cy="2802891"/>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23394" cy="28028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04pt;height:220.7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7,3</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khoảng </w:t>
            </w:r>
            <w:r>
              <w:rPr>
                <w:color w:val="000000" w:themeColor="text1"/>
              </w:rPr>
              <w:t xml:space="preserve">11,0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434"/>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w:t>
            </w:r>
            <w:r>
              <w:rPr>
                <w:color w:val="000000"/>
              </w:rPr>
              <w:t xml:space="preserve">k</w:t>
            </w:r>
            <w:r>
              <w:rPr>
                <w:color w:val="000000"/>
              </w:rPr>
              <w:t xml:space="preserve">hách hàng, CTXD gắn liền với đất là </w:t>
            </w:r>
            <w:r>
              <w:rPr>
                <w:color w:val="000000"/>
              </w:rPr>
              <w:t xml:space="preserve">Nhà 01 </w:t>
            </w:r>
            <w:r>
              <w:rPr>
                <w:color w:val="000000"/>
              </w:rPr>
              <w:t xml:space="preserve">tầng + </w:t>
            </w:r>
            <w:r>
              <w:rPr>
                <w:color w:val="000000"/>
              </w:rPr>
              <w:t xml:space="preserve">lửng</w:t>
            </w:r>
            <w:r>
              <w:rPr>
                <w:color w:val="000000"/>
              </w:rPr>
              <w:t xml:space="preserve">, </w:t>
            </w:r>
            <w:r>
              <w:rPr>
                <w:color w:val="000000"/>
              </w:rPr>
              <w:t xml:space="preserve">ngoại </w:t>
            </w:r>
            <w:r>
              <w:rPr>
                <w:color w:val="000000"/>
              </w:rPr>
              <w:t xml:space="preserve">quan </w:t>
            </w:r>
            <w:r>
              <w:rPr>
                <w:color w:val="000000"/>
              </w:rPr>
              <w:t xml:space="preserve">mới,</w:t>
            </w:r>
            <w:r>
              <w:rPr>
                <w:color w:val="000000"/>
              </w:rPr>
              <w:t xml:space="preserve"> diện tích xây dựng 42m², diện tích sàn 81,8m².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w:t>
            </w:r>
            <w:r>
              <w:t xml:space="preserve">ổ 20</w:t>
            </w:r>
            <w:r>
              <w:t xml:space="preserve">TKT, </w:t>
            </w:r>
            <w:r>
              <w:t xml:space="preserve">phường </w:t>
            </w:r>
            <w:r>
              <w:t xml:space="preserve">Thanh </w:t>
            </w:r>
            <w:r>
              <w:t xml:space="preserve">K</w:t>
            </w:r>
            <w:r>
              <w:t xml:space="preserve">hê, </w:t>
            </w:r>
            <w:r>
              <w:t xml:space="preserve">Thành </w:t>
            </w:r>
            <w:r>
              <w:t xml:space="preserve">phố </w:t>
            </w:r>
            <w:r>
              <w:t xml:space="preserve">Đà </w:t>
            </w:r>
            <w:r>
              <w:t xml:space="preserve">Nẵng</w:t>
            </w:r>
            <w:r/>
          </w:p>
        </w:tc>
        <w:tc>
          <w:tcPr>
            <w:tcBorders/>
            <w:tcW w:w="1605" w:type="dxa"/>
            <w:vAlign w:val="center"/>
            <w:textDirection w:val="lrTb"/>
            <w:noWrap w:val="false"/>
          </w:tcPr>
          <w:p>
            <w:pPr>
              <w:pBdr/>
              <w:spacing/>
              <w:ind/>
              <w:jc w:val="center"/>
              <w:rPr/>
            </w:pPr>
            <w:r>
              <w:t xml:space="preserve">T</w:t>
            </w:r>
            <w:r>
              <w:t xml:space="preserve">ổ 20</w:t>
            </w:r>
            <w:r>
              <w:t xml:space="preserve">TKT, </w:t>
            </w:r>
            <w:r>
              <w:t xml:space="preserve">phường </w:t>
            </w:r>
            <w:r>
              <w:t xml:space="preserve">Thanh </w:t>
            </w:r>
            <w:r>
              <w:t xml:space="preserve">K</w:t>
            </w:r>
            <w:r>
              <w:t xml:space="preserve">hê, </w:t>
            </w:r>
            <w:r>
              <w:t xml:space="preserve">Thành </w:t>
            </w:r>
            <w:r>
              <w:t xml:space="preserve">phố </w:t>
            </w:r>
            <w:r>
              <w:t xml:space="preserve">Đà </w:t>
            </w:r>
            <w:r>
              <w:t xml:space="preserve">Nẵng</w:t>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Kiệt</w:t>
            </w:r>
            <w:r>
              <w:t xml:space="preserve"> Dũng Sĩ Thanh Khê, Phường Thanh Khê Tây, Quận Thanh Khê, Thành phố Đà Nẵng</w:t>
            </w:r>
            <w:r/>
          </w:p>
        </w:tc>
        <w:tc>
          <w:tcPr>
            <w:tcBorders/>
            <w:tcW w:w="1605" w:type="dxa"/>
            <w:vAlign w:val="center"/>
            <w:textDirection w:val="lrTb"/>
            <w:noWrap w:val="false"/>
          </w:tcPr>
          <w:p>
            <w:pPr>
              <w:pBdr/>
              <w:spacing/>
              <w:ind/>
              <w:jc w:val="center"/>
              <w:rPr/>
            </w:pPr>
            <w:r>
              <w:t xml:space="preserve">Ki</w:t>
            </w:r>
            <w:r>
              <w:t xml:space="preserve">ệt</w:t>
            </w:r>
            <w:r>
              <w:t xml:space="preserve"> Dũng Sĩ Thanh Khê, Phường Thanh Khê Tây, Quận Thanh Khê, Thành phố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60,5</w:t>
            </w:r>
            <w:r/>
          </w:p>
        </w:tc>
        <w:tc>
          <w:tcPr>
            <w:tcBorders/>
            <w:tcW w:w="1605" w:type="dxa"/>
            <w:vAlign w:val="center"/>
            <w:textDirection w:val="lrTb"/>
            <w:noWrap w:val="false"/>
          </w:tcPr>
          <w:p>
            <w:pPr>
              <w:pBdr/>
              <w:spacing/>
              <w:ind/>
              <w:jc w:val="center"/>
              <w:rPr/>
            </w:pPr>
            <w:r>
              <w:t xml:space="preserve">60</w:t>
            </w: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7,3</w:t>
            </w:r>
            <w:r/>
          </w:p>
        </w:tc>
        <w:tc>
          <w:tcPr>
            <w:tcBorders/>
            <w:tcW w:w="1605" w:type="dxa"/>
            <w:vAlign w:val="center"/>
            <w:textDirection w:val="lrTb"/>
            <w:noWrap w:val="false"/>
          </w:tcPr>
          <w:p>
            <w:pPr>
              <w:pBdr/>
              <w:spacing/>
              <w:ind/>
              <w:jc w:val="center"/>
              <w:rPr/>
            </w:pPr>
            <w:r>
              <w:t xml:space="preserve">7,3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11</w:t>
            </w:r>
            <w:r/>
          </w:p>
        </w:tc>
        <w:tc>
          <w:tcPr>
            <w:tcBorders/>
            <w:tcW w:w="1605" w:type="dxa"/>
            <w:vAlign w:val="center"/>
            <w:textDirection w:val="lrTb"/>
            <w:noWrap w:val="false"/>
          </w:tcPr>
          <w:p>
            <w:pPr>
              <w:pBdr/>
              <w:spacing/>
              <w:ind/>
              <w:jc w:val="center"/>
              <w:rPr/>
            </w:pPr>
            <w:r>
              <w:t xml:space="preserve">11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w:t>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9"/>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9"/>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Dũng Sĩ Thanh Khê, Phường Thanh Khê Tây, Quận Thanh Khê,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Dũng Sĩ Thanh Khê, Phường Thanh Khê Tây, Quận Thanh Khê,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Dũng Sĩ Thanh Khê, Phường Thanh Khê Tây, Quận Thanh Khê,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Dũng Sĩ Thanh Khê, Phường Thanh Khê Tây, Quận Thanh Khê, Thành phố Đà Nẵng</w:t>
            </w:r>
            <w:r>
              <w:rPr>
                <w:sz w:val="22"/>
                <w:szCs w:val="22"/>
              </w:rPr>
            </w:r>
            <w:r>
              <w:rPr>
                <w:sz w:val="22"/>
                <w:szCs w:val="22"/>
              </w:rPr>
            </w:r>
          </w:p>
        </w:tc>
      </w:tr>
      <w:tr>
        <w:trPr>
          <w:trHeight w:val="21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https://guland.vn/post/lam-viec-truc-tiep-gia-tot-ban-nha-kiet-dung-si-thanh-khe-thanh-khe-tay-2163771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https://guland.vn/post/lam-viec-truc-tiep-gia-tot-ban-nha-kiet-dung-si-thanh-khe-thanh-khe-tay-2188663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https://guland.vn/post/lam-viec-truc-tiep-gia-tot-ban-nha-kiet-dung-si-thanh-khe-thanh-khe-tay-2147818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0818.512.467</w:t>
            </w:r>
            <w:r>
              <w:rPr>
                <w:sz w:val="22"/>
                <w:szCs w:val="22"/>
              </w:rPr>
              <w:t xml:space="preserve"> </w:t>
            </w:r>
            <w:r>
              <w:rPr>
                <w:sz w:val="22"/>
                <w:szCs w:val="22"/>
              </w:rPr>
              <w:br/>
              <w:t xml:space="preserve">(</w:t>
            </w:r>
            <w:r>
              <w:rPr>
                <w:sz w:val="22"/>
                <w:szCs w:val="22"/>
              </w:rPr>
              <w:t xml:space="preserve">Vinh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0818.512.467</w:t>
            </w:r>
            <w:r>
              <w:rPr>
                <w:sz w:val="22"/>
                <w:szCs w:val="22"/>
              </w:rPr>
              <w:br/>
            </w:r>
            <w:r>
              <w:rPr>
                <w:sz w:val="22"/>
                <w:szCs w:val="22"/>
              </w:rPr>
              <w:t xml:space="preserve">(</w:t>
            </w:r>
            <w:r>
              <w:rPr>
                <w:sz w:val="22"/>
                <w:szCs w:val="22"/>
              </w:rPr>
              <w:t xml:space="preserve">Vinh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0818512467</w:t>
            </w:r>
            <w:r>
              <w:rPr>
                <w:sz w:val="22"/>
                <w:szCs w:val="22"/>
              </w:rPr>
              <w:br/>
            </w:r>
            <w:r>
              <w:rPr>
                <w:sz w:val="22"/>
                <w:szCs w:val="22"/>
              </w:rPr>
              <w:t xml:space="preserve">(</w:t>
            </w:r>
            <w:r>
              <w:rPr>
                <w:sz w:val="22"/>
                <w:szCs w:val="22"/>
              </w:rPr>
              <w:t xml:space="preserve">Vinh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w:t>
            </w:r>
            <w:r>
              <w:rPr>
                <w:color w:val="000000" w:themeColor="text1"/>
                <w:sz w:val="22"/>
                <w:szCs w:val="22"/>
              </w:rPr>
              <w:t xml:space="preserve"> sản tại: </w:t>
            </w:r>
            <w:r>
              <w:rPr>
                <w:color w:val="000000" w:themeColor="text1"/>
                <w:sz w:val="22"/>
                <w:szCs w:val="22"/>
              </w:rPr>
              <w:t xml:space="preserve">Kiệt</w:t>
            </w:r>
            <w:r>
              <w:rPr>
                <w:color w:val="000000" w:themeColor="text1"/>
                <w:sz w:val="22"/>
                <w:szCs w:val="22"/>
              </w:rPr>
              <w:t xml:space="preserve"> Dũng Sĩ Thanh Khê, Phường Thanh Khê Thành phố Đà Nẵng; </w:t>
            </w:r>
            <w:r>
              <w:rPr>
                <w:color w:val="000000" w:themeColor="text1"/>
                <w:sz w:val="22"/>
                <w:szCs w:val="22"/>
              </w:rPr>
              <w:t xml:space="preserve">cách </w:t>
            </w:r>
            <w:r>
              <w:rPr>
                <w:color w:val="000000" w:themeColor="text1"/>
                <w:sz w:val="22"/>
                <w:szCs w:val="22"/>
              </w:rPr>
              <w:t xml:space="preserve"> Đường Dũng Sĩ Thanh Khê khoảng 166m.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Kiệt</w:t>
            </w:r>
            <w:r>
              <w:rPr>
                <w:color w:val="000000" w:themeColor="text1"/>
                <w:sz w:val="22"/>
                <w:szCs w:val="22"/>
              </w:rPr>
              <w:t xml:space="preserve"> Dũng Sĩ Thanh Khê, Phường Thanh Khê Thành phố Đà Nẵng; </w:t>
            </w:r>
            <w:r>
              <w:rPr>
                <w:color w:val="000000" w:themeColor="text1"/>
                <w:sz w:val="22"/>
                <w:szCs w:val="22"/>
              </w:rPr>
              <w:t xml:space="preserve">cách </w:t>
            </w:r>
            <w:r>
              <w:rPr>
                <w:color w:val="000000" w:themeColor="text1"/>
                <w:sz w:val="22"/>
                <w:szCs w:val="22"/>
              </w:rPr>
              <w:t xml:space="preserve"> Đường Dũng Sĩ Thanh Khê</w:t>
            </w:r>
            <w:r>
              <w:rPr>
                <w:color w:val="000000" w:themeColor="text1"/>
                <w:sz w:val="22"/>
                <w:szCs w:val="22"/>
              </w:rPr>
              <w:t xml:space="preserve"> khoảng 65m.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 </w:t>
            </w:r>
            <w:r>
              <w:rPr>
                <w:color w:val="000000" w:themeColor="text1"/>
                <w:sz w:val="22"/>
                <w:szCs w:val="22"/>
              </w:rPr>
              <w:t xml:space="preserve">Kiệt</w:t>
            </w:r>
            <w:r>
              <w:rPr>
                <w:color w:val="000000" w:themeColor="text1"/>
                <w:sz w:val="22"/>
                <w:szCs w:val="22"/>
              </w:rPr>
              <w:t xml:space="preserve"> Dũng Sĩ Thanh Khê, Phường Thanh Khê Thành phố Đà Nẵng; </w:t>
            </w:r>
            <w:r>
              <w:rPr>
                <w:color w:val="000000" w:themeColor="text1"/>
                <w:sz w:val="22"/>
                <w:szCs w:val="22"/>
              </w:rPr>
              <w:t xml:space="preserve">cách </w:t>
            </w:r>
            <w:r>
              <w:rPr>
                <w:color w:val="000000" w:themeColor="text1"/>
                <w:sz w:val="22"/>
                <w:szCs w:val="22"/>
              </w:rPr>
              <w:t xml:space="preserve"> Đường Dũng Sĩ Thanh Khê</w:t>
            </w:r>
            <w:r>
              <w:rPr>
                <w:color w:val="000000" w:themeColor="text1"/>
                <w:sz w:val="22"/>
                <w:szCs w:val="22"/>
              </w:rPr>
              <w:t xml:space="preserve"> khoảng 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Kiệt</w:t>
            </w:r>
            <w:r>
              <w:rPr>
                <w:color w:val="000000" w:themeColor="text1"/>
                <w:sz w:val="22"/>
                <w:szCs w:val="22"/>
              </w:rPr>
              <w:t xml:space="preserve"> Dũng Sĩ Thanh Khê, Phường Thanh Khê Thành phố Đà Nẵng; </w:t>
            </w:r>
            <w:r>
              <w:rPr>
                <w:color w:val="000000" w:themeColor="text1"/>
                <w:sz w:val="22"/>
                <w:szCs w:val="22"/>
              </w:rPr>
              <w:t xml:space="preserve">cách </w:t>
            </w:r>
            <w:r>
              <w:rPr>
                <w:color w:val="000000" w:themeColor="text1"/>
                <w:sz w:val="22"/>
                <w:szCs w:val="22"/>
              </w:rPr>
              <w:t xml:space="preserve"> Đường Dũng Sĩ Thanh Khê</w:t>
            </w:r>
            <w:r>
              <w:rPr>
                <w:color w:val="000000" w:themeColor="text1"/>
                <w:sz w:val="22"/>
                <w:szCs w:val="22"/>
              </w:rPr>
              <w:t xml:space="preserve"> khoảng 90m.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9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w:t>
            </w:r>
            <w:r>
              <w:rPr>
                <w:color w:val="000000" w:themeColor="text1"/>
                <w:sz w:val="22"/>
                <w:szCs w:val="22"/>
              </w:rPr>
              <w:t xml:space="preserve">à 02 </w:t>
            </w:r>
            <w:r>
              <w:rPr>
                <w:color w:val="000000" w:themeColor="text1"/>
                <w:sz w:val="22"/>
                <w:szCs w:val="22"/>
              </w:rPr>
              <w:t xml:space="preserve">tầng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03 </w:t>
            </w:r>
            <w:r>
              <w:rPr>
                <w:color w:val="000000" w:themeColor="text1"/>
                <w:sz w:val="22"/>
                <w:szCs w:val="22"/>
              </w:rPr>
              <w:t xml:space="preserve">tầng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03 </w:t>
            </w:r>
            <w:r>
              <w:rPr>
                <w:color w:val="000000" w:themeColor="text1"/>
                <w:sz w:val="22"/>
                <w:szCs w:val="22"/>
              </w:rPr>
              <w:t xml:space="preserve">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themeColor="text1"/>
                <w:sz w:val="22"/>
                <w:szCs w:val="22"/>
              </w:rPr>
            </w:pPr>
            <w:r>
              <w:rPr>
                <w:i/>
                <w:iCs/>
                <w:color w:val="000000" w:themeColor="text1"/>
                <w:sz w:val="22"/>
                <w:szCs w:val="22"/>
              </w:rPr>
              <w:t xml:space="preserve">S</w:t>
            </w:r>
            <w:r>
              <w:rPr>
                <w:i/>
                <w:iCs/>
                <w:color w:val="000000" w:themeColor="text1"/>
                <w:sz w:val="22"/>
                <w:szCs w:val="22"/>
              </w:rPr>
              <w:t xml:space="preserve">ố </w:t>
            </w:r>
            <w:r>
              <w:rPr>
                <w:i/>
                <w:iCs/>
                <w:color w:val="000000" w:themeColor="text1"/>
                <w:sz w:val="22"/>
                <w:szCs w:val="22"/>
              </w:rPr>
              <w:t xml:space="preserve">tầng</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02</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03</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03</w:t>
            </w:r>
            <w:r>
              <w:rPr>
                <w:bCs/>
                <w:i/>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themeColor="text1"/>
                <w:sz w:val="22"/>
                <w:szCs w:val="22"/>
              </w:rPr>
            </w:pPr>
            <w:r>
              <w:rPr>
                <w:i/>
                <w:iCs/>
                <w:color w:val="000000" w:themeColor="text1"/>
                <w:sz w:val="22"/>
                <w:szCs w:val="22"/>
              </w:rPr>
              <w:t xml:space="preserve">Diện </w:t>
            </w:r>
            <w:r>
              <w:rPr>
                <w:i/>
                <w:iCs/>
                <w:color w:val="000000" w:themeColor="text1"/>
                <w:sz w:val="22"/>
                <w:szCs w:val="22"/>
              </w:rPr>
              <w:t xml:space="preserve">tích </w:t>
            </w:r>
            <w:r>
              <w:rPr>
                <w:i/>
                <w:iCs/>
                <w:color w:val="000000" w:themeColor="text1"/>
                <w:sz w:val="22"/>
                <w:szCs w:val="22"/>
              </w:rPr>
              <w:t xml:space="preserve">sàn (</w:t>
            </w:r>
            <w:r>
              <w:rPr>
                <w:i/>
                <w:iCs/>
                <w:color w:val="000000"/>
                <w:sz w:val="22"/>
                <w:szCs w:val="22"/>
              </w:rPr>
              <w:t xml:space="preserve">m²</w:t>
            </w:r>
            <w:r>
              <w:rPr>
                <w:i/>
                <w:iCs/>
                <w:color w:val="000000" w:themeColor="text1"/>
                <w:sz w:val="22"/>
                <w:szCs w:val="22"/>
              </w:rPr>
              <w:t xml:space="preserve">) </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82,6</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162,0</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150</w:t>
            </w:r>
            <w:r>
              <w:rPr>
                <w:bCs/>
                <w:i/>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3.567.000.000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4.059.000.000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454.036.291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890.482.799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942.309.840</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7.852.582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7.852.582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7.852.582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3.112.963.709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3.829.517.201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3.116.690.160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61.038.504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70.009.455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58.805.475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3.112.963.709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3.829.517.201</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3.116.690.160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61.038.504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70.009.455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58.805.475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61.038.504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70.009.455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58.805.475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61.038.504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70.009.455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58.805.475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61.038.504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70.009.455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58.805.475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w:t>
            </w:r>
            <w:r>
              <w:rPr>
                <w:color w:val="000000" w:themeColor="text1"/>
                <w:sz w:val="22"/>
                <w:szCs w:val="22"/>
              </w:rPr>
              <w:t xml:space="preserve"> sản tại: </w:t>
            </w:r>
            <w:r>
              <w:rPr>
                <w:color w:val="000000" w:themeColor="text1"/>
                <w:sz w:val="22"/>
                <w:szCs w:val="22"/>
              </w:rPr>
              <w:t xml:space="preserve">Kiệt</w:t>
            </w:r>
            <w:r>
              <w:rPr>
                <w:color w:val="000000" w:themeColor="text1"/>
                <w:sz w:val="22"/>
                <w:szCs w:val="22"/>
              </w:rPr>
              <w:t xml:space="preserve"> Dũng Sĩ Thanh Khê, Phường Thanh Khê Thành phố Đà Nẵng; </w:t>
            </w:r>
            <w:r>
              <w:rPr>
                <w:color w:val="000000" w:themeColor="text1"/>
                <w:sz w:val="22"/>
                <w:szCs w:val="22"/>
              </w:rPr>
              <w:t xml:space="preserve">cách </w:t>
            </w:r>
            <w:r>
              <w:rPr>
                <w:color w:val="000000" w:themeColor="text1"/>
                <w:sz w:val="22"/>
                <w:szCs w:val="22"/>
              </w:rPr>
              <w:t xml:space="preserve"> Đường Dũng Sĩ Thanh Khê khoảng 166m.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Kiệt</w:t>
            </w:r>
            <w:r>
              <w:rPr>
                <w:color w:val="000000" w:themeColor="text1"/>
                <w:sz w:val="22"/>
                <w:szCs w:val="22"/>
              </w:rPr>
              <w:t xml:space="preserve"> Dũng Sĩ Thanh Khê, Phường Thanh Khê Thành phố Đà Nẵng; </w:t>
            </w:r>
            <w:r>
              <w:rPr>
                <w:color w:val="000000" w:themeColor="text1"/>
                <w:sz w:val="22"/>
                <w:szCs w:val="22"/>
              </w:rPr>
              <w:t xml:space="preserve">cách </w:t>
            </w:r>
            <w:r>
              <w:rPr>
                <w:color w:val="000000" w:themeColor="text1"/>
                <w:sz w:val="22"/>
                <w:szCs w:val="22"/>
              </w:rPr>
              <w:t xml:space="preserve"> Đường Dũng Sĩ Thanh Khê</w:t>
            </w:r>
            <w:r>
              <w:rPr>
                <w:color w:val="000000" w:themeColor="text1"/>
                <w:sz w:val="22"/>
                <w:szCs w:val="22"/>
              </w:rPr>
              <w:t xml:space="preserve"> khoảng 65m.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 </w:t>
            </w:r>
            <w:r>
              <w:rPr>
                <w:color w:val="000000" w:themeColor="text1"/>
                <w:sz w:val="22"/>
                <w:szCs w:val="22"/>
              </w:rPr>
              <w:t xml:space="preserve">Kiệt</w:t>
            </w:r>
            <w:r>
              <w:rPr>
                <w:color w:val="000000" w:themeColor="text1"/>
                <w:sz w:val="22"/>
                <w:szCs w:val="22"/>
              </w:rPr>
              <w:t xml:space="preserve"> Dũng Sĩ Thanh Khê, Phường Thanh Khê Thành phố Đà Nẵng; </w:t>
            </w:r>
            <w:r>
              <w:rPr>
                <w:color w:val="000000" w:themeColor="text1"/>
                <w:sz w:val="22"/>
                <w:szCs w:val="22"/>
              </w:rPr>
              <w:t xml:space="preserve">cách </w:t>
            </w:r>
            <w:r>
              <w:rPr>
                <w:color w:val="000000" w:themeColor="text1"/>
                <w:sz w:val="22"/>
                <w:szCs w:val="22"/>
              </w:rPr>
              <w:t xml:space="preserve"> Đường Dũng Sĩ Thanh Khê</w:t>
            </w:r>
            <w:r>
              <w:rPr>
                <w:color w:val="000000" w:themeColor="text1"/>
                <w:sz w:val="22"/>
                <w:szCs w:val="22"/>
              </w:rPr>
              <w:t xml:space="preserve"> khoảng 30m.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Kiệt</w:t>
            </w:r>
            <w:r>
              <w:rPr>
                <w:color w:val="000000" w:themeColor="text1"/>
                <w:sz w:val="22"/>
                <w:szCs w:val="22"/>
              </w:rPr>
              <w:t xml:space="preserve"> Dũng Sĩ Thanh Khê, Phường Thanh Khê Thành phố Đà Nẵng; </w:t>
            </w:r>
            <w:r>
              <w:rPr>
                <w:color w:val="000000" w:themeColor="text1"/>
                <w:sz w:val="22"/>
                <w:szCs w:val="22"/>
              </w:rPr>
              <w:t xml:space="preserve">cách </w:t>
            </w:r>
            <w:r>
              <w:rPr>
                <w:color w:val="000000" w:themeColor="text1"/>
                <w:sz w:val="22"/>
                <w:szCs w:val="22"/>
              </w:rPr>
              <w:t xml:space="preserve"> Đường Dũng Sĩ Thanh Khê</w:t>
            </w:r>
            <w:r>
              <w:rPr>
                <w:color w:val="000000" w:themeColor="text1"/>
                <w:sz w:val="22"/>
                <w:szCs w:val="22"/>
              </w:rPr>
              <w:t xml:space="preserve"> khoảng 90m. </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61.038.504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67.844.455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58.805.475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61.038.504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67.844.455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58.805.475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1.357.241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62.395.745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67.844.455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58.805.475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-1.831.155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-2.100.284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-1.764.164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60.564.590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65.744.171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57.041.311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3.500.473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60.564.590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69.244.644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57.041.311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10,66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60.564.590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69.244.644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57.041.311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60.564.590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69.244.644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57.041.311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60.564.590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69.244.644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57.041.311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60.564.590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69.244.644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57.041.311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62.283.515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-8,42%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3.188.396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7.765.757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1.764.164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473.914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764.811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1.764.164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-8,42</w:t>
      </w:r>
      <w:r>
        <w:t xml:space="preserve">% đến </w:t>
      </w:r>
      <w:r>
        <w:t xml:space="preserve">11,18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60.564.590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20.192.234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69.244.644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23.079.240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57.041.311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19.011.869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62.283.343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62.200.000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62.200.000</w:t>
      </w:r>
      <w:r>
        <w:rPr>
          <w:b/>
          <w:bCs/>
          <w:color w:val="000000" w:themeColor="text1"/>
        </w:rPr>
        <w:t xml:space="preserve"> </w:t>
      </w:r>
      <w:r>
        <w:rPr>
          <w:b/>
          <w:bCs/>
        </w:rPr>
        <w:t xml:space="preserve">đồng/m².</w:t>
      </w:r>
      <w:r>
        <w:rPr>
          <w:b/>
          <w:bCs/>
        </w:rPr>
      </w:r>
      <w:r>
        <w:rPr>
          <w:b/>
          <w:bCs/>
        </w:rPr>
      </w:r>
    </w:p>
    <w:p>
      <w:pPr>
        <w:pStyle w:val="1039"/>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Style w:val="1039"/>
        <w:numPr>
          <w:ilvl w:val="0"/>
          <w:numId w:val="42"/>
        </w:numPr>
        <w:pBdr/>
        <w:spacing w:after="120" w:before="120" w:line="276" w:lineRule="auto"/>
        <w:ind/>
        <w:jc w:val="both"/>
        <w:rPr>
          <w:b/>
          <w:bCs/>
          <w:sz w:val="24"/>
          <w:szCs w:val="24"/>
        </w:rPr>
      </w:pPr>
      <w:r>
        <w:rPr>
          <w:b/>
          <w:bCs/>
          <w:sz w:val="24"/>
          <w:szCs w:val="24"/>
        </w:rPr>
      </w:r>
      <w:r>
        <w:rPr>
          <w:rFonts w:ascii="Times New Roman" w:hAnsi="Times New Roman" w:eastAsia="Times New Roman" w:cs="Times New Roman"/>
          <w:b/>
          <w:color w:val="000000"/>
          <w:sz w:val="24"/>
          <w:szCs w:val="24"/>
        </w:rPr>
        <w:t xml:space="preserve">Xác định đơn giá xây mới của công trình xây dựng:</w:t>
      </w:r>
      <w:r>
        <w:rPr>
          <w:b/>
          <w:bCs/>
          <w:sz w:val="24"/>
          <w:szCs w:val="24"/>
        </w:rPr>
      </w:r>
      <w:r>
        <w:rPr>
          <w:b/>
          <w:bCs/>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pacing w:val="3"/>
          <w:sz w:val="24"/>
          <w:szCs w:val="24"/>
          <w:highlight w:val="white"/>
        </w:rPr>
      </w:pPr>
      <w:r>
        <w:rPr>
          <w:rFonts w:ascii="Times New Roman" w:hAnsi="Times New Roman" w:eastAsia="Times New Roman" w:cs="Times New Roman"/>
          <w:color w:val="000000"/>
          <w:sz w:val="24"/>
          <w:szCs w:val="24"/>
        </w:rPr>
        <w:t xml:space="preserve">Qua tham khảo thị trường về đơn giá xây dựng mới đối với công trình </w:t>
      </w:r>
      <w:r>
        <w:rPr>
          <w:rFonts w:ascii="Times New Roman" w:hAnsi="Times New Roman" w:eastAsia="Times New Roman" w:cs="Times New Roman"/>
          <w:color w:val="000000"/>
          <w:sz w:val="24"/>
          <w:szCs w:val="24"/>
        </w:rPr>
        <w:t xml:space="preserve">xây </w:t>
      </w:r>
      <w:r>
        <w:rPr>
          <w:rFonts w:ascii="Times New Roman" w:hAnsi="Times New Roman" w:eastAsia="Times New Roman" w:cs="Times New Roman"/>
          <w:color w:val="000000"/>
          <w:sz w:val="24"/>
          <w:szCs w:val="24"/>
        </w:rPr>
        <w:t xml:space="preserve">dựng </w:t>
      </w:r>
      <w:r>
        <w:rPr>
          <w:rFonts w:ascii="Times New Roman" w:hAnsi="Times New Roman" w:eastAsia="Times New Roman" w:cs="Times New Roman"/>
          <w:color w:val="000000"/>
          <w:sz w:val="24"/>
          <w:szCs w:val="24"/>
        </w:rPr>
        <w:t xml:space="preserve">là </w:t>
      </w:r>
      <w:r>
        <w:rPr>
          <w:rFonts w:ascii="Times New Roman" w:hAnsi="Times New Roman" w:eastAsia="Times New Roman" w:cs="Times New Roman"/>
          <w:color w:val="000000"/>
          <w:sz w:val="24"/>
          <w:szCs w:val="24"/>
          <w:highlight w:val="white"/>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color w:val="000000"/>
          <w:sz w:val="24"/>
          <w:szCs w:val="24"/>
        </w:rPr>
        <w:t xml:space="preserve">, cân nhắc và xem xét với kết cấu của công trình xây dựng hiện</w:t>
      </w:r>
      <w:r>
        <w:rPr>
          <w:rFonts w:ascii="Times New Roman" w:hAnsi="Times New Roman" w:eastAsia="Times New Roman" w:cs="Times New Roman"/>
          <w:color w:val="000000"/>
          <w:sz w:val="24"/>
          <w:szCs w:val="24"/>
        </w:rPr>
        <w:t xml:space="preserve"> có, tổ thẩm định nhận thấy đơn giá vận dụng theo Quyết định số 425/QĐ-BXD ngày 30 tháng 03 năm 2026 của Bộ Xây dựng về việc công bố suất vốn đầu tư xây dựng và giá xây dựng tổng hợp bộ phận kết cấu công trình năm 2025 là khá phù hợp với thị trường, theo đ</w:t>
      </w:r>
      <w:r>
        <w:rPr>
          <w:rFonts w:ascii="Times New Roman" w:hAnsi="Times New Roman" w:eastAsia="Times New Roman" w:cs="Times New Roman"/>
          <w:color w:val="000000"/>
          <w:sz w:val="24"/>
          <w:szCs w:val="24"/>
        </w:rPr>
        <w:t xml:space="preserve">ó:</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color w:val="000000"/>
          <w:spacing w:val="3"/>
          <w:sz w:val="24"/>
          <w:szCs w:val="24"/>
          <w:highlight w:val="white"/>
        </w:rPr>
      </w:r>
    </w:p>
    <w:p>
      <w:pPr>
        <w:pStyle w:val="1039"/>
        <w:numPr>
          <w:ilvl w:val="0"/>
          <w:numId w:val="41"/>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pacing w:val="-4"/>
          <w:sz w:val="24"/>
          <w:szCs w:val="24"/>
        </w:rPr>
      </w:pP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i/>
          <w:color w:val="000000"/>
          <w:spacing w:val="-4"/>
          <w:sz w:val="24"/>
          <w:szCs w:val="24"/>
        </w:rPr>
        <w:t xml:space="preserve">Suất vốn đầu tư của công trình </w:t>
      </w:r>
      <w:r>
        <w:rPr>
          <w:rFonts w:ascii="Times New Roman" w:hAnsi="Times New Roman" w:eastAsia="Times New Roman" w:cs="Times New Roman"/>
          <w:i/>
          <w:color w:val="000000"/>
          <w:spacing w:val="-4"/>
          <w:sz w:val="24"/>
          <w:szCs w:val="24"/>
        </w:rPr>
        <w:t xml:space="preserve">xây </w:t>
      </w:r>
      <w:r>
        <w:rPr>
          <w:rFonts w:ascii="Times New Roman" w:hAnsi="Times New Roman" w:eastAsia="Times New Roman" w:cs="Times New Roman"/>
          <w:i/>
          <w:color w:val="000000"/>
          <w:spacing w:val="-4"/>
          <w:sz w:val="24"/>
          <w:szCs w:val="24"/>
        </w:rPr>
        <w:t xml:space="preserve">dựng </w:t>
      </w:r>
      <w:r>
        <w:rPr>
          <w:rFonts w:ascii="Times New Roman" w:hAnsi="Times New Roman" w:eastAsia="Times New Roman" w:cs="Times New Roman"/>
          <w:i/>
          <w:color w:val="000000"/>
          <w:spacing w:val="-4"/>
          <w:sz w:val="24"/>
          <w:szCs w:val="24"/>
        </w:rPr>
        <w:t xml:space="preserve">là </w:t>
      </w:r>
      <w:r>
        <w:rPr>
          <w:i/>
          <w:iCs/>
          <w:highlight w:val="none"/>
        </w:rPr>
        <w:t xml:space="preserve">8.370.000</w:t>
      </w:r>
      <w:r>
        <w:rPr>
          <w:rFonts w:ascii="Times New Roman" w:hAnsi="Times New Roman" w:eastAsia="Times New Roman" w:cs="Times New Roman"/>
          <w:i/>
          <w:color w:val="000000"/>
          <w:spacing w:val="-4"/>
          <w:sz w:val="24"/>
          <w:szCs w:val="24"/>
        </w:rPr>
        <w:t xml:space="preserve"> đồng/m²</w:t>
      </w:r>
      <w:r>
        <w:rPr>
          <w:rFonts w:ascii="Times New Roman" w:hAnsi="Times New Roman" w:eastAsia="Times New Roman" w:cs="Times New Roman"/>
          <w:bCs/>
          <w:i/>
          <w:color w:val="000000"/>
          <w:spacing w:val="-4"/>
          <w:sz w:val="24"/>
          <w:szCs w:val="24"/>
        </w:rPr>
      </w:r>
      <w:r>
        <w:rPr>
          <w:rFonts w:ascii="Times New Roman" w:hAnsi="Times New Roman" w:eastAsia="Times New Roman" w:cs="Times New Roman"/>
          <w:bCs/>
          <w:i/>
          <w:color w:val="000000"/>
          <w:spacing w:val="-4"/>
          <w:sz w:val="24"/>
          <w:szCs w:val="24"/>
        </w:rPr>
      </w:r>
    </w:p>
    <w:p>
      <w:pPr>
        <w:pStyle w:val="1039"/>
        <w:numPr>
          <w:ilvl w:val="0"/>
          <w:numId w:val="41"/>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sz w:val="24"/>
          <w:szCs w:val="24"/>
        </w:rPr>
      </w:pPr>
      <w:r>
        <w:rPr>
          <w:rFonts w:ascii="Times New Roman" w:hAnsi="Times New Roman" w:eastAsia="Times New Roman" w:cs="Times New Roman"/>
          <w:i/>
          <w:color w:val="000000"/>
          <w:spacing w:val="-4"/>
          <w:sz w:val="24"/>
          <w:szCs w:val="24"/>
        </w:rPr>
      </w:r>
      <w:r>
        <w:rPr>
          <w:rFonts w:ascii="Times New Roman" w:hAnsi="Times New Roman" w:eastAsia="Times New Roman" w:cs="Times New Roman"/>
          <w:i/>
          <w:color w:val="000000"/>
          <w:sz w:val="24"/>
          <w:szCs w:val="24"/>
        </w:rPr>
        <w:t xml:space="preserve">Hệ số điều chỉnh vùng cho suất vốn đầu tư Vùng 3 – Thành phố </w:t>
      </w:r>
      <w:r>
        <w:rPr>
          <w:rFonts w:ascii="Times New Roman" w:hAnsi="Times New Roman" w:eastAsia="Times New Roman" w:cs="Times New Roman"/>
          <w:i/>
          <w:color w:val="000000"/>
          <w:sz w:val="24"/>
          <w:szCs w:val="24"/>
        </w:rPr>
        <w:t xml:space="preserve">Đà </w:t>
      </w:r>
      <w:r>
        <w:rPr>
          <w:rFonts w:ascii="Times New Roman" w:hAnsi="Times New Roman" w:eastAsia="Times New Roman" w:cs="Times New Roman"/>
          <w:i/>
          <w:color w:val="000000"/>
          <w:sz w:val="24"/>
          <w:szCs w:val="24"/>
        </w:rPr>
        <w:t xml:space="preserve">Nẵng</w:t>
      </w:r>
      <w:r>
        <w:rPr>
          <w:rFonts w:ascii="Times New Roman" w:hAnsi="Times New Roman" w:eastAsia="Times New Roman" w:cs="Times New Roman"/>
          <w:i/>
          <w:color w:val="000000"/>
          <w:sz w:val="24"/>
          <w:szCs w:val="24"/>
        </w:rPr>
        <w:t xml:space="preserve"> là: 1,032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after="0" w:before="0" w:line="240" w:lineRule="auto"/>
        <w:ind/>
        <w:jc w:val="both"/>
        <w:rPr/>
      </w:pPr>
      <w:r>
        <w:rPr>
          <w:rFonts w:ascii="Times New Roman" w:hAnsi="Times New Roman" w:eastAsia="Times New Roman" w:cs="Times New Roman"/>
          <w:color w:val="000000"/>
          <w:sz w:val="24"/>
          <w:szCs w:val="24"/>
        </w:rPr>
        <w:t xml:space="preserve">Như vậy, </w:t>
      </w:r>
      <w:r>
        <w:rPr>
          <w:rFonts w:ascii="Times New Roman" w:hAnsi="Times New Roman" w:eastAsia="Times New Roman" w:cs="Times New Roman"/>
          <w:color w:val="000000"/>
          <w:sz w:val="24"/>
          <w:szCs w:val="24"/>
        </w:rPr>
        <w:t xml:space="preserve">T</w:t>
      </w:r>
      <w:r>
        <w:rPr>
          <w:rFonts w:ascii="Times New Roman" w:hAnsi="Times New Roman" w:eastAsia="Times New Roman" w:cs="Times New Roman"/>
          <w:color w:val="000000"/>
          <w:sz w:val="24"/>
          <w:szCs w:val="24"/>
        </w:rPr>
        <w:t xml:space="preserve">ổ thẩm định ước </w:t>
      </w:r>
      <w:r>
        <w:rPr>
          <w:rFonts w:ascii="Times New Roman" w:hAnsi="Times New Roman" w:eastAsia="Times New Roman" w:cs="Times New Roman"/>
          <w:color w:val="000000"/>
          <w:spacing w:val="3"/>
          <w:sz w:val="24"/>
          <w:szCs w:val="24"/>
        </w:rPr>
        <w:t xml:space="preserve">tính đơn giá xây dựng mới của công trình là</w:t>
      </w:r>
      <w:r>
        <w:t xml:space="preserve">: 8.370.000 </w:t>
      </w:r>
      <w:r>
        <w:t xml:space="preserve">x 1,032/1,1 = </w:t>
      </w:r>
      <w:r>
        <w:rPr>
          <w:rFonts w:ascii="Times New Roman" w:hAnsi="Times New Roman" w:eastAsia="Times New Roman" w:cs="Times New Roman"/>
          <w:b/>
          <w:bCs/>
          <w:color w:val="000000"/>
          <w:sz w:val="24"/>
        </w:rPr>
        <w:t xml:space="preserve">7.852.582</w:t>
      </w:r>
      <w:r>
        <w:rPr>
          <w:rFonts w:ascii="Times New Roman" w:hAnsi="Times New Roman" w:eastAsia="Times New Roman" w:cs="Times New Roman"/>
          <w:b/>
          <w:bCs/>
          <w:color w:val="000000"/>
          <w:spacing w:val="3"/>
          <w:sz w:val="24"/>
          <w:szCs w:val="24"/>
        </w:rPr>
        <w:t xml:space="preserve"> đồng/</w:t>
      </w:r>
      <w:r>
        <w:rPr>
          <w:rFonts w:ascii="Times New Roman" w:hAnsi="Times New Roman" w:eastAsia="Times New Roman" w:cs="Times New Roman"/>
          <w:b/>
          <w:bCs/>
          <w:color w:val="000000"/>
          <w:sz w:val="24"/>
          <w:szCs w:val="24"/>
        </w:rPr>
        <w:t xml:space="preserve">m²</w:t>
      </w:r>
      <w:r>
        <w:rPr>
          <w:rFonts w:ascii="Times New Roman" w:hAnsi="Times New Roman" w:eastAsia="Times New Roman" w:cs="Times New Roman"/>
          <w:b/>
          <w:bCs/>
          <w:color w:val="000000"/>
          <w:spacing w:val="3"/>
          <w:sz w:val="24"/>
          <w:szCs w:val="24"/>
          <w:highlight w:val="none"/>
        </w:rPr>
        <w:t xml:space="preserve">.</w:t>
      </w:r>
      <w:r/>
    </w:p>
    <w:p>
      <w:pPr>
        <w:pStyle w:val="1039"/>
        <w:numPr>
          <w:ilvl w:val="0"/>
          <w:numId w:val="43"/>
        </w:numPr>
        <w:pBdr/>
        <w:spacing w:after="120" w:before="120" w:line="276" w:lineRule="auto"/>
        <w:ind/>
        <w:jc w:val="both"/>
        <w:rPr>
          <w:b/>
          <w:bCs/>
        </w:rPr>
      </w:pPr>
      <w:r>
        <w:rPr>
          <w:b/>
          <w:bCs/>
          <w:highlight w:val="none"/>
        </w:rPr>
        <w:t xml:space="preserve">Xác </w:t>
      </w:r>
      <w:r>
        <w:rPr>
          <w:b/>
          <w:bCs/>
          <w:highlight w:val="none"/>
        </w:rPr>
        <w:t xml:space="preserve">định </w:t>
      </w:r>
      <w:r>
        <w:rPr>
          <w:b/>
          <w:bCs/>
          <w:highlight w:val="none"/>
        </w:rPr>
        <w:t xml:space="preserve">tỷ </w:t>
      </w:r>
      <w:r>
        <w:rPr>
          <w:b/>
          <w:bCs/>
          <w:highlight w:val="none"/>
        </w:rPr>
        <w:t xml:space="preserve">lệ </w:t>
      </w:r>
      <w:r>
        <w:rPr>
          <w:b/>
          <w:bCs/>
          <w:highlight w:val="none"/>
        </w:rPr>
        <w:t xml:space="preserve">h</w:t>
      </w:r>
      <w:r>
        <w:rPr>
          <w:b/>
          <w:bCs/>
          <w:highlight w:val="none"/>
        </w:rPr>
        <w:t xml:space="preserve">ao </w:t>
      </w:r>
      <w:r>
        <w:rPr>
          <w:b/>
          <w:bCs/>
          <w:highlight w:val="none"/>
        </w:rPr>
        <w:t xml:space="preserve">mòn </w:t>
      </w:r>
      <w:r>
        <w:rPr>
          <w:b/>
          <w:bCs/>
          <w:highlight w:val="none"/>
        </w:rPr>
        <w:t xml:space="preserve">của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w:t>
      </w:r>
      <w:r>
        <w:rPr>
          <w:b/>
          <w:bCs/>
        </w:rPr>
      </w:r>
      <w:r>
        <w:rPr>
          <w:b/>
          <w:bCs/>
        </w:rP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Tỷ </w:t>
      </w:r>
      <w:r>
        <w:rPr>
          <w:rFonts w:ascii="Times New Roman" w:hAnsi="Times New Roman" w:eastAsia="Times New Roman" w:cs="Times New Roman"/>
          <w:color w:val="000000"/>
          <w:sz w:val="24"/>
        </w:rPr>
        <w:t xml:space="preserve">lệ </w:t>
      </w:r>
      <w:r>
        <w:rPr>
          <w:rFonts w:ascii="Times New Roman" w:hAnsi="Times New Roman" w:eastAsia="Times New Roman" w:cs="Times New Roman"/>
          <w:color w:val="000000"/>
          <w:sz w:val="24"/>
        </w:rPr>
        <w:t xml:space="preserve">h</w:t>
      </w:r>
      <w:r>
        <w:rPr>
          <w:rFonts w:ascii="Times New Roman" w:hAnsi="Times New Roman" w:eastAsia="Times New Roman" w:cs="Times New Roman"/>
          <w:color w:val="000000"/>
          <w:sz w:val="24"/>
        </w:rPr>
        <w:t xml:space="preserve">ao </w:t>
      </w:r>
      <w:r>
        <w:rPr>
          <w:rFonts w:ascii="Times New Roman" w:hAnsi="Times New Roman" w:eastAsia="Times New Roman" w:cs="Times New Roman"/>
          <w:color w:val="000000"/>
          <w:sz w:val="24"/>
        </w:rPr>
        <w:t xml:space="preserve">mòn </w:t>
      </w:r>
      <w:r>
        <w:rPr>
          <w:rFonts w:ascii="Times New Roman" w:hAnsi="Times New Roman" w:eastAsia="Times New Roman" w:cs="Times New Roman"/>
          <w:color w:val="000000"/>
          <w:sz w:val="24"/>
        </w:rPr>
        <w:t xml:space="preserve">của </w:t>
      </w:r>
      <w:r>
        <w:rPr>
          <w:rFonts w:ascii="Times New Roman" w:hAnsi="Times New Roman" w:eastAsia="Times New Roman" w:cs="Times New Roman"/>
          <w:color w:val="000000"/>
          <w:sz w:val="24"/>
        </w:rPr>
        <w:t xml:space="preserve">công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rình </w:t>
      </w:r>
      <w:r>
        <w:rPr>
          <w:rFonts w:ascii="Times New Roman" w:hAnsi="Times New Roman" w:eastAsia="Times New Roman" w:cs="Times New Roman"/>
          <w:color w:val="000000"/>
          <w:sz w:val="24"/>
        </w:rPr>
        <w:t xml:space="preserve">xây </w:t>
      </w:r>
      <w:r>
        <w:rPr>
          <w:rFonts w:ascii="Times New Roman" w:hAnsi="Times New Roman" w:eastAsia="Times New Roman" w:cs="Times New Roman"/>
          <w:color w:val="000000"/>
          <w:sz w:val="24"/>
        </w:rPr>
        <w:t xml:space="preserve">dựng </w:t>
      </w:r>
      <w:r>
        <w:rPr>
          <w:rFonts w:ascii="Times New Roman" w:hAnsi="Times New Roman" w:eastAsia="Times New Roman" w:cs="Times New Roman"/>
          <w:color w:val="000000"/>
          <w:sz w:val="24"/>
        </w:rPr>
        <w:t xml:space="preserve">đ</w:t>
      </w:r>
      <w:r>
        <w:rPr>
          <w:rFonts w:ascii="Times New Roman" w:hAnsi="Times New Roman" w:eastAsia="Times New Roman" w:cs="Times New Roman"/>
          <w:color w:val="000000"/>
          <w:sz w:val="24"/>
        </w:rPr>
        <w:t xml:space="preserve">ược </w:t>
      </w:r>
      <w:r>
        <w:rPr>
          <w:rFonts w:ascii="Times New Roman" w:hAnsi="Times New Roman" w:eastAsia="Times New Roman" w:cs="Times New Roman"/>
          <w:color w:val="000000"/>
          <w:sz w:val="24"/>
        </w:rPr>
        <w:t xml:space="preserve">xác </w:t>
      </w:r>
      <w:r>
        <w:rPr>
          <w:rFonts w:ascii="Times New Roman" w:hAnsi="Times New Roman" w:eastAsia="Times New Roman" w:cs="Times New Roman"/>
          <w:color w:val="000000"/>
          <w:sz w:val="24"/>
        </w:rPr>
        <w:t xml:space="preserve">định </w:t>
      </w:r>
      <w:r>
        <w:rPr>
          <w:rFonts w:ascii="Times New Roman" w:hAnsi="Times New Roman" w:eastAsia="Times New Roman" w:cs="Times New Roman"/>
          <w:color w:val="000000"/>
          <w:sz w:val="24"/>
        </w:rPr>
        <w:t xml:space="preserve">theo </w:t>
      </w:r>
      <w:r>
        <w:rPr>
          <w:rFonts w:ascii="Times New Roman" w:hAnsi="Times New Roman" w:eastAsia="Times New Roman" w:cs="Times New Roman"/>
          <w:color w:val="000000"/>
          <w:sz w:val="24"/>
        </w:rPr>
        <w:t xml:space="preserve">phương </w:t>
      </w:r>
      <w:r>
        <w:rPr>
          <w:rFonts w:ascii="Times New Roman" w:hAnsi="Times New Roman" w:eastAsia="Times New Roman" w:cs="Times New Roman"/>
          <w:color w:val="000000"/>
          <w:sz w:val="24"/>
        </w:rPr>
        <w:t xml:space="preserve">pháp </w:t>
      </w:r>
      <w:r>
        <w:rPr>
          <w:rFonts w:ascii="Times New Roman" w:hAnsi="Times New Roman" w:eastAsia="Times New Roman" w:cs="Times New Roman"/>
          <w:color w:val="000000"/>
          <w:sz w:val="24"/>
        </w:rPr>
        <w:t xml:space="preserve">chuyên </w:t>
      </w:r>
      <w:r>
        <w:rPr>
          <w:rFonts w:ascii="Times New Roman" w:hAnsi="Times New Roman" w:eastAsia="Times New Roman" w:cs="Times New Roman"/>
          <w:color w:val="000000"/>
          <w:sz w:val="24"/>
        </w:rPr>
        <w:t xml:space="preserve">gia. </w:t>
      </w: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w:t>
      </w:r>
      <w:r/>
    </w:p>
    <w:tbl>
      <w:tblPr>
        <w:tblStyle w:val="1043"/>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657"/>
        <w:gridCol w:w="2581"/>
        <w:gridCol w:w="525"/>
        <w:gridCol w:w="311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1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595"/>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8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0"/>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i/>
          <w:color w:val="000000"/>
          <w:sz w:val="24"/>
        </w:rPr>
        <w:t xml:space="preserve">Trong đó:</w:t>
      </w:r>
      <w:r/>
    </w:p>
    <w:p>
      <w:pPr>
        <w:numPr>
          <w:ilvl w:val="0"/>
          <w:numId w:val="40"/>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i: số thứ tự của kết cấu chính</w:t>
      </w:r>
      <w:r/>
    </w:p>
    <w:p>
      <w:pPr>
        <w:numPr>
          <w:ilvl w:val="0"/>
          <w:numId w:val="40"/>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n: số các kết cấu chính</w:t>
      </w:r>
      <w:r>
        <w:rPr>
          <w:highlight w:val="none"/>
        </w:rPr>
      </w:r>
      <w:r/>
    </w:p>
    <w:tbl>
      <w:tblPr>
        <w:tblStyle w:val="104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1870"/>
        <w:gridCol w:w="1870"/>
        <w:gridCol w:w="1849"/>
        <w:gridCol w:w="1928"/>
        <w:gridCol w:w="1433"/>
      </w:tblGrid>
      <w:tr>
        <w:trPr>
          <w:trHeight w:val="935"/>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3" w:space="0"/>
              <w:bottom w:val="single" w:color="000000" w:sz="3" w:space="0"/>
              <w:right w:val="single" w:color="000000" w:sz="3" w:space="0"/>
            </w:tcBorders>
            <w:tcMar>
              <w:left w:w="0" w:type="dxa"/>
              <w:top w:w="0" w:type="dxa"/>
              <w:right w:w="0" w:type="dxa"/>
              <w:bottom w:w="0" w:type="dxa"/>
            </w:tcMar>
            <w:tcW w:w="18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3" w:space="0"/>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3" w:space="0"/>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96%</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96%</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13%</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96%</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96%</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Tổng cộng (g)</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40"/>
        </w:trPr>
        <w:tc>
          <w:tcPr>
            <w:tcBorders>
              <w:left w:val="single" w:color="000000" w:sz="3" w:space="0"/>
              <w:bottom w:val="single" w:color="000000" w:sz="3" w:space="0"/>
              <w:right w:val="single" w:color="000000" w:sz="3" w:space="0"/>
            </w:tcBorders>
            <w:tcMar>
              <w:left w:w="0" w:type="dxa"/>
              <w:top w:w="0" w:type="dxa"/>
              <w:right w:w="0" w:type="dxa"/>
              <w:bottom w:w="0" w:type="dxa"/>
            </w:tcMar>
            <w:tcW w:w="41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2"/>
            <w:tcBorders>
              <w:top w:val="single" w:color="000000" w:sz="3" w:space="0"/>
              <w:bottom w:val="single" w:color="000000" w:sz="3" w:space="0"/>
              <w:right w:val="single" w:color="000000" w:sz="4" w:space="0"/>
            </w:tcBorders>
            <w:tcMar>
              <w:left w:w="0" w:type="dxa"/>
              <w:top w:w="0" w:type="dxa"/>
              <w:right w:w="0" w:type="dxa"/>
              <w:bottom w:w="0" w:type="dxa"/>
            </w:tcMar>
            <w:tcW w:w="374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Tỷ lệ chất lượng còn lại:</w:t>
            </w:r>
            <w:r/>
          </w:p>
        </w:tc>
        <w:tc>
          <w:tcPr>
            <w:tcBorders>
              <w:bottom w:val="single" w:color="000000" w:sz="3" w:space="0"/>
              <w:right w:val="single" w:color="000000" w:sz="3" w:space="0"/>
            </w:tcBorders>
            <w:tcMar>
              <w:left w:w="0" w:type="dxa"/>
              <w:top w:w="0" w:type="dxa"/>
              <w:right w:w="0" w:type="dxa"/>
              <w:bottom w:w="0" w:type="dxa"/>
            </w:tcMar>
            <w:tcW w:w="18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192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3" w:space="0"/>
              <w:right w:val="single" w:color="000000" w:sz="3" w:space="0"/>
            </w:tcBorders>
            <w:tcMar>
              <w:left w:w="0" w:type="dxa"/>
              <w:top w:w="0" w:type="dxa"/>
              <w:right w:w="0" w:type="dxa"/>
              <w:bottom w:w="0" w:type="dxa"/>
            </w:tcMar>
            <w:tcW w:w="14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96%</w:t>
            </w:r>
            <w:r/>
          </w:p>
        </w:tc>
      </w:tr>
    </w:tbl>
    <w:p>
      <w:pPr>
        <w:pBdr/>
        <w:spacing w:after="120" w:before="120" w:line="276" w:lineRule="auto"/>
        <w:ind w:firstLine="0" w:left="0"/>
        <w:jc w:val="both"/>
        <w:rPr>
          <w:b w:val="0"/>
          <w:bCs w:val="0"/>
        </w:rPr>
      </w:pPr>
      <w:r>
        <w:rPr>
          <w:b w:val="0"/>
          <w:bCs w:val="0"/>
          <w:highlight w:val="none"/>
        </w:rPr>
        <w:t xml:space="preserve">Tổ </w:t>
      </w:r>
      <w:r>
        <w:rPr>
          <w:b w:val="0"/>
          <w:bCs w:val="0"/>
          <w:highlight w:val="none"/>
        </w:rPr>
        <w:t xml:space="preserve">thẩm </w:t>
      </w:r>
      <w:r>
        <w:rPr>
          <w:b w:val="0"/>
          <w:bCs w:val="0"/>
          <w:highlight w:val="none"/>
        </w:rPr>
        <w:t xml:space="preserve">định </w:t>
      </w:r>
      <w:r>
        <w:rPr>
          <w:b w:val="0"/>
          <w:bCs w:val="0"/>
          <w:highlight w:val="none"/>
        </w:rPr>
        <w:t xml:space="preserve">xác </w:t>
      </w:r>
      <w:r>
        <w:rPr>
          <w:b w:val="0"/>
          <w:bCs w:val="0"/>
          <w:highlight w:val="none"/>
        </w:rPr>
        <w:t xml:space="preserve">định </w:t>
      </w:r>
      <w:r>
        <w:rPr>
          <w:b w:val="0"/>
          <w:bCs w:val="0"/>
          <w:highlight w:val="none"/>
        </w:rPr>
        <w:t xml:space="preserve">tỷ </w:t>
      </w:r>
      <w:r>
        <w:rPr>
          <w:b w:val="0"/>
          <w:bCs w:val="0"/>
          <w:highlight w:val="none"/>
        </w:rPr>
        <w:t xml:space="preserve">lệ </w:t>
      </w:r>
      <w:r>
        <w:rPr>
          <w:b w:val="0"/>
          <w:bCs w:val="0"/>
          <w:highlight w:val="none"/>
        </w:rPr>
        <w:t xml:space="preserve">hao </w:t>
      </w:r>
      <w:r>
        <w:rPr>
          <w:b w:val="0"/>
          <w:bCs w:val="0"/>
          <w:highlight w:val="none"/>
        </w:rPr>
        <w:t xml:space="preserve">mòn </w:t>
      </w:r>
      <w:r>
        <w:rPr>
          <w:b w:val="0"/>
          <w:bCs w:val="0"/>
          <w:highlight w:val="none"/>
        </w:rPr>
        <w:t xml:space="preserve">của </w:t>
      </w:r>
      <w:r>
        <w:rPr>
          <w:b w:val="0"/>
          <w:bCs w:val="0"/>
          <w:highlight w:val="none"/>
        </w:rPr>
        <w:t xml:space="preserve">CTXD </w:t>
      </w:r>
      <w:r>
        <w:rPr>
          <w:b w:val="0"/>
          <w:bCs w:val="0"/>
          <w:highlight w:val="none"/>
        </w:rPr>
        <w:t xml:space="preserve">là </w:t>
      </w:r>
      <w:r>
        <w:rPr>
          <w:b/>
          <w:bCs/>
          <w:highlight w:val="none"/>
        </w:rPr>
        <w:t xml:space="preserve">4%</w:t>
      </w:r>
      <w:r>
        <w:rPr>
          <w:b w:val="0"/>
          <w:bCs w:val="0"/>
          <w:highlight w:val="none"/>
        </w:rPr>
        <w:t xml:space="preserve">, </w:t>
      </w:r>
      <w:r>
        <w:rPr>
          <w:b w:val="0"/>
          <w:bCs w:val="0"/>
          <w:highlight w:val="none"/>
        </w:rPr>
        <w:t xml:space="preserve">tương </w:t>
      </w:r>
      <w:r>
        <w:rPr>
          <w:b w:val="0"/>
          <w:bCs w:val="0"/>
          <w:highlight w:val="none"/>
        </w:rPr>
        <w:t xml:space="preserve">đương </w:t>
      </w:r>
      <w:r>
        <w:rPr>
          <w:b w:val="0"/>
          <w:bCs w:val="0"/>
          <w:highlight w:val="none"/>
        </w:rPr>
        <w:t xml:space="preserve">với </w:t>
      </w:r>
      <w:r>
        <w:rPr>
          <w:b w:val="0"/>
          <w:bCs w:val="0"/>
          <w:highlight w:val="none"/>
        </w:rPr>
        <w:t xml:space="preserve">tỷ </w:t>
      </w:r>
      <w:r>
        <w:rPr>
          <w:b w:val="0"/>
          <w:bCs w:val="0"/>
          <w:highlight w:val="none"/>
        </w:rPr>
        <w:t xml:space="preserve">lệ </w:t>
      </w:r>
      <w:r>
        <w:rPr>
          <w:b w:val="0"/>
          <w:bCs w:val="0"/>
          <w:highlight w:val="none"/>
        </w:rPr>
        <w:t xml:space="preserve">chất </w:t>
      </w:r>
      <w:r>
        <w:rPr>
          <w:b w:val="0"/>
          <w:bCs w:val="0"/>
          <w:highlight w:val="none"/>
        </w:rPr>
        <w:t xml:space="preserve">lượng </w:t>
      </w:r>
      <w:r>
        <w:rPr>
          <w:b w:val="0"/>
          <w:bCs w:val="0"/>
          <w:highlight w:val="none"/>
        </w:rPr>
        <w:t xml:space="preserve">còn </w:t>
      </w:r>
      <w:r>
        <w:rPr>
          <w:b w:val="0"/>
          <w:bCs w:val="0"/>
          <w:highlight w:val="none"/>
        </w:rPr>
        <w:t xml:space="preserve">lại </w:t>
      </w:r>
      <w:r>
        <w:rPr>
          <w:b w:val="0"/>
          <w:bCs w:val="0"/>
          <w:highlight w:val="none"/>
        </w:rPr>
        <w:t xml:space="preserve">là </w:t>
      </w:r>
      <w:r>
        <w:rPr>
          <w:b/>
          <w:bCs/>
          <w:highlight w:val="none"/>
        </w:rPr>
        <w:t xml:space="preserve">96%</w:t>
      </w:r>
      <w:r>
        <w:rPr>
          <w:b w:val="0"/>
          <w:bCs w:val="0"/>
          <w:highlight w:val="none"/>
        </w:rPr>
        <w:t xml:space="preserve">. </w:t>
      </w:r>
      <w:r>
        <w:rPr>
          <w:b w:val="0"/>
          <w:bCs w:val="0"/>
          <w:highlight w:val="none"/>
        </w:rPr>
      </w:r>
      <w:r>
        <w:rPr>
          <w:b w:val="0"/>
          <w:bCs w:val="0"/>
          <w:highlight w:val="none"/>
        </w:rPr>
      </w:r>
    </w:p>
    <w:p>
      <w:pPr>
        <w:pStyle w:val="1039"/>
        <w:numPr>
          <w:ilvl w:val="0"/>
          <w:numId w:val="45"/>
        </w:numPr>
        <w:pBdr/>
        <w:spacing w:after="120" w:before="120" w:line="276" w:lineRule="auto"/>
        <w:ind/>
        <w:jc w:val="both"/>
        <w:rPr>
          <w:b/>
          <w:bCs/>
        </w:rPr>
      </w:pPr>
      <w:r>
        <w:rPr>
          <w:b/>
          <w:bCs/>
          <w:highlight w:val="none"/>
        </w:rPr>
      </w:r>
      <w:r>
        <w:rPr>
          <w:b/>
          <w:bCs/>
          <w:highlight w:val="none"/>
        </w:rPr>
        <w:t xml:space="preserve">Xác </w:t>
      </w:r>
      <w:r>
        <w:rPr>
          <w:b/>
          <w:bCs/>
          <w:highlight w:val="none"/>
        </w:rPr>
        <w:t xml:space="preserve">định </w:t>
      </w:r>
      <w:r>
        <w:rPr>
          <w:b/>
          <w:bCs/>
          <w:highlight w:val="none"/>
        </w:rPr>
        <w:t xml:space="preserve">giá </w:t>
      </w:r>
      <w:r>
        <w:rPr>
          <w:b/>
          <w:bCs/>
          <w:highlight w:val="none"/>
        </w:rPr>
        <w:t xml:space="preserve">trị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 </w:t>
      </w:r>
      <w:r>
        <w:rPr>
          <w:b/>
          <w:bCs/>
        </w:rPr>
      </w:r>
      <w:r>
        <w:rPr>
          <w:b/>
          <w:bCs/>
        </w:rPr>
      </w:r>
    </w:p>
    <w:p>
      <w:pPr>
        <w:pBdr/>
        <w:spacing w:after="120" w:before="120" w:line="276" w:lineRule="auto"/>
        <w:ind w:firstLine="0" w:left="0"/>
        <w:jc w:val="both"/>
        <w:rPr>
          <w:b w:val="0"/>
          <w:bCs w:val="0"/>
        </w:rPr>
      </w:pPr>
      <w:r>
        <w:rPr>
          <w:b w:val="0"/>
          <w:bCs w:val="0"/>
          <w:highlight w:val="none"/>
        </w:rPr>
        <w:t xml:space="preserve">Giá </w:t>
      </w:r>
      <w:r>
        <w:rPr>
          <w:b w:val="0"/>
          <w:bCs w:val="0"/>
          <w:highlight w:val="none"/>
        </w:rPr>
        <w:t xml:space="preserve">trị </w:t>
      </w:r>
      <w:r>
        <w:rPr>
          <w:b w:val="0"/>
          <w:bCs w:val="0"/>
          <w:highlight w:val="none"/>
        </w:rPr>
        <w:t xml:space="preserve">công </w:t>
      </w:r>
      <w:r>
        <w:rPr>
          <w:b w:val="0"/>
          <w:bCs w:val="0"/>
          <w:highlight w:val="none"/>
        </w:rPr>
        <w:t xml:space="preserve">trình </w:t>
      </w:r>
      <w:r>
        <w:rPr>
          <w:b w:val="0"/>
          <w:bCs w:val="0"/>
          <w:highlight w:val="none"/>
        </w:rPr>
        <w:t xml:space="preserve">xây </w:t>
      </w:r>
      <w:r>
        <w:rPr>
          <w:b w:val="0"/>
          <w:bCs w:val="0"/>
          <w:highlight w:val="none"/>
        </w:rPr>
        <w:t xml:space="preserve">dựng </w:t>
      </w:r>
      <w:r>
        <w:rPr>
          <w:b w:val="0"/>
          <w:bCs w:val="0"/>
          <w:highlight w:val="none"/>
        </w:rPr>
        <w:t xml:space="preserve">được </w:t>
      </w:r>
      <w:r>
        <w:rPr>
          <w:b w:val="0"/>
          <w:bCs w:val="0"/>
          <w:highlight w:val="none"/>
        </w:rPr>
        <w:t xml:space="preserve">tính </w:t>
      </w:r>
      <w:r>
        <w:rPr>
          <w:b w:val="0"/>
          <w:bCs w:val="0"/>
          <w:highlight w:val="none"/>
        </w:rPr>
        <w:t xml:space="preserve">theo </w:t>
      </w:r>
      <w:r>
        <w:rPr>
          <w:b w:val="0"/>
          <w:bCs w:val="0"/>
          <w:highlight w:val="none"/>
        </w:rPr>
        <w:t xml:space="preserve">công </w:t>
      </w:r>
      <w:r>
        <w:rPr>
          <w:b w:val="0"/>
          <w:bCs w:val="0"/>
          <w:highlight w:val="none"/>
        </w:rPr>
        <w:t xml:space="preserve">thức: </w:t>
      </w:r>
      <w:r>
        <w:rPr>
          <w:b w:val="0"/>
          <w:bCs w:val="0"/>
        </w:rPr>
      </w:r>
      <w:r>
        <w:rPr>
          <w:b w:val="0"/>
          <w:bCs w:val="0"/>
        </w:rPr>
      </w:r>
    </w:p>
    <w:tbl>
      <w:tblPr>
        <w:tblStyle w:val="1043"/>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721"/>
        <w:gridCol w:w="1134"/>
        <w:gridCol w:w="2126"/>
        <w:gridCol w:w="3402"/>
      </w:tblGrid>
      <w:tr>
        <w:trPr>
          <w:trHeight w:val="968"/>
        </w:trPr>
        <w:tc>
          <w:tcPr>
            <w:tcBorders/>
            <w:tcMar>
              <w:left w:w="108" w:type="dxa"/>
              <w:top w:w="0" w:type="dxa"/>
              <w:right w:w="108" w:type="dxa"/>
              <w:bottom w:w="0" w:type="dxa"/>
            </w:tcMar>
            <w:tcW w:w="272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b w:val="0"/>
                <w:bCs w:val="0"/>
              </w:rPr>
            </w:pPr>
            <w:r>
              <w:rPr>
                <w:rFonts w:ascii="Times New Roman" w:hAnsi="Times New Roman" w:eastAsia="Times New Roman" w:cs="Times New Roman"/>
                <w:b w:val="0"/>
                <w:bCs w:val="0"/>
                <w:color w:val="000000"/>
                <w:sz w:val="24"/>
              </w:rPr>
              <w:t xml:space="preserve">Giá </w:t>
            </w:r>
            <w:r>
              <w:rPr>
                <w:rFonts w:ascii="Times New Roman" w:hAnsi="Times New Roman" w:eastAsia="Times New Roman" w:cs="Times New Roman"/>
                <w:b w:val="0"/>
                <w:bCs w:val="0"/>
                <w:color w:val="000000"/>
                <w:sz w:val="24"/>
              </w:rPr>
              <w:t xml:space="preserve">trị </w:t>
            </w:r>
            <w:r>
              <w:rPr>
                <w:rFonts w:ascii="Times New Roman" w:hAnsi="Times New Roman" w:eastAsia="Times New Roman" w:cs="Times New Roman"/>
                <w:b w:val="0"/>
                <w:bCs w:val="0"/>
                <w:color w:val="000000"/>
                <w:sz w:val="24"/>
              </w:rPr>
              <w:t xml:space="preserve">công </w:t>
            </w:r>
            <w:r>
              <w:rPr>
                <w:rFonts w:ascii="Times New Roman" w:hAnsi="Times New Roman" w:eastAsia="Times New Roman" w:cs="Times New Roman"/>
                <w:b w:val="0"/>
                <w:bCs w:val="0"/>
                <w:color w:val="000000"/>
                <w:sz w:val="24"/>
              </w:rPr>
              <w:t xml:space="preserve">trình </w:t>
            </w:r>
            <w:r>
              <w:rPr>
                <w:rFonts w:ascii="Times New Roman" w:hAnsi="Times New Roman" w:eastAsia="Times New Roman" w:cs="Times New Roman"/>
                <w:b w:val="0"/>
                <w:bCs w:val="0"/>
                <w:color w:val="000000"/>
                <w:sz w:val="24"/>
              </w:rPr>
              <w:t xml:space="preserve">xây </w:t>
            </w:r>
            <w:r>
              <w:rPr>
                <w:rFonts w:ascii="Times New Roman" w:hAnsi="Times New Roman" w:eastAsia="Times New Roman" w:cs="Times New Roman"/>
                <w:b w:val="0"/>
                <w:bCs w:val="0"/>
                <w:color w:val="000000"/>
                <w:sz w:val="24"/>
              </w:rPr>
              <w:t xml:space="preserve">dựng</w:t>
            </w:r>
            <w:r>
              <w:rPr>
                <w:b w:val="0"/>
                <w:bCs w:val="0"/>
              </w:rPr>
            </w:r>
            <w:r>
              <w:rPr>
                <w:b w:val="0"/>
                <w:bCs w:val="0"/>
              </w:rPr>
            </w:r>
          </w:p>
        </w:tc>
        <w:tc>
          <w:tcPr>
            <w:tcBorders/>
            <w:tcMar>
              <w:left w:w="108" w:type="dxa"/>
              <w:top w:w="0" w:type="dxa"/>
              <w:right w:w="108" w:type="dxa"/>
              <w:bottom w:w="0" w:type="dxa"/>
            </w:tcMar>
            <w:tcW w:w="11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b w:val="0"/>
                <w:bCs w:val="0"/>
              </w:rPr>
            </w:pPr>
            <w:r>
              <w:rPr>
                <w:rFonts w:ascii="Times New Roman" w:hAnsi="Times New Roman" w:eastAsia="Times New Roman" w:cs="Times New Roman"/>
                <w:b w:val="0"/>
                <w:bCs w:val="0"/>
                <w:color w:val="000000"/>
                <w:sz w:val="24"/>
              </w:rPr>
              <w:t xml:space="preserve">=</w:t>
            </w:r>
            <w:r>
              <w:rPr>
                <w:b w:val="0"/>
                <w:bCs w:val="0"/>
              </w:rPr>
            </w:r>
            <w:r>
              <w:rPr>
                <w:b w:val="0"/>
                <w:bCs w:val="0"/>
              </w:rPr>
            </w:r>
          </w:p>
        </w:tc>
        <w:tc>
          <w:tcPr>
            <w:tcBorders/>
            <w:tcMar>
              <w:left w:w="108" w:type="dxa"/>
              <w:top w:w="0" w:type="dxa"/>
              <w:right w:w="108" w:type="dxa"/>
              <w:bottom w:w="0" w:type="dxa"/>
            </w:tcMar>
            <w:tcW w:w="2126" w:type="dxa"/>
            <w:vAlign w:val="center"/>
            <w:textDirection w:val="lrTb"/>
            <w:noWrap w:val="false"/>
          </w:tcPr>
          <w:p>
            <w:pPr>
              <w:pBdr/>
              <w:spacing/>
              <w:ind/>
              <w:jc w:val="right"/>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val="0"/>
                <w:bCs w:val="0"/>
                <w:color w:val="000000"/>
                <w:sz w:val="24"/>
                <w:szCs w:val="24"/>
              </w:rPr>
              <w:t xml:space="preserve">Chi </w:t>
            </w:r>
            <w:r>
              <w:rPr>
                <w:rFonts w:ascii="Times New Roman" w:hAnsi="Times New Roman" w:eastAsia="Times New Roman" w:cs="Times New Roman"/>
                <w:b w:val="0"/>
                <w:bCs w:val="0"/>
                <w:color w:val="000000"/>
                <w:sz w:val="24"/>
                <w:szCs w:val="24"/>
              </w:rPr>
              <w:t xml:space="preserve">ph</w:t>
            </w:r>
            <w:r>
              <w:rPr>
                <w:rFonts w:ascii="Times New Roman" w:hAnsi="Times New Roman" w:eastAsia="Times New Roman" w:cs="Times New Roman"/>
                <w:b w:val="0"/>
                <w:bCs w:val="0"/>
                <w:color w:val="000000"/>
                <w:sz w:val="24"/>
                <w:szCs w:val="24"/>
              </w:rPr>
              <w:t xml:space="preserve">í </w:t>
            </w:r>
            <w:r>
              <w:rPr>
                <w:rFonts w:ascii="Times New Roman" w:hAnsi="Times New Roman" w:eastAsia="Times New Roman" w:cs="Times New Roman"/>
                <w:b w:val="0"/>
                <w:bCs w:val="0"/>
                <w:color w:val="000000"/>
                <w:sz w:val="24"/>
                <w:szCs w:val="24"/>
              </w:rPr>
              <w:t xml:space="preserve">thay </w:t>
            </w:r>
            <w:r>
              <w:rPr>
                <w:rFonts w:ascii="Times New Roman" w:hAnsi="Times New Roman" w:eastAsia="Times New Roman" w:cs="Times New Roman"/>
                <w:b w:val="0"/>
                <w:bCs w:val="0"/>
                <w:color w:val="000000"/>
                <w:sz w:val="24"/>
                <w:szCs w:val="24"/>
              </w:rPr>
              <w:t xml:space="preserve">thế -</w:t>
            </w:r>
            <w:r>
              <w:rPr>
                <w:rFonts w:ascii="Times New Roman" w:hAnsi="Times New Roman" w:eastAsia="Times New Roman" w:cs="Times New Roman"/>
                <w:b w:val="0"/>
                <w:bCs w:val="0"/>
                <w:color w:val="000000"/>
                <w:sz w:val="24"/>
                <w:szCs w:val="24"/>
              </w:rPr>
            </w:r>
            <w:r>
              <w:rPr>
                <w:rFonts w:ascii="Times New Roman" w:hAnsi="Times New Roman" w:eastAsia="Times New Roman" w:cs="Times New Roman"/>
                <w:b w:val="0"/>
                <w:bCs w:val="0"/>
                <w:color w:val="000000"/>
                <w:sz w:val="24"/>
                <w:szCs w:val="24"/>
              </w:rPr>
            </w:r>
          </w:p>
        </w:tc>
        <w:tc>
          <w:tcPr>
            <w:tcBorders/>
            <w:tcMar>
              <w:left w:w="108" w:type="dxa"/>
              <w:top w:w="0" w:type="dxa"/>
              <w:right w:w="108" w:type="dxa"/>
              <w:bottom w:w="0" w:type="dxa"/>
            </w:tcMar>
            <w:tcW w:w="3402" w:type="dxa"/>
            <w:vAlign w:val="center"/>
            <w:textDirection w:val="lrTb"/>
            <w:noWrap w:val="false"/>
          </w:tcPr>
          <w:p>
            <w:pPr>
              <w:pBdr/>
              <w:spacing/>
              <w:ind/>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val="0"/>
                <w:bCs w:val="0"/>
                <w:color w:val="000000"/>
                <w:sz w:val="24"/>
                <w:szCs w:val="24"/>
              </w:rPr>
              <w:t xml:space="preserve">Giá </w:t>
            </w:r>
            <w:r>
              <w:rPr>
                <w:rFonts w:ascii="Times New Roman" w:hAnsi="Times New Roman" w:eastAsia="Times New Roman" w:cs="Times New Roman"/>
                <w:b w:val="0"/>
                <w:bCs w:val="0"/>
                <w:color w:val="000000"/>
                <w:sz w:val="24"/>
                <w:szCs w:val="24"/>
              </w:rPr>
              <w:t xml:space="preserve">trị </w:t>
            </w:r>
            <w:r>
              <w:rPr>
                <w:rFonts w:ascii="Times New Roman" w:hAnsi="Times New Roman" w:eastAsia="Times New Roman" w:cs="Times New Roman"/>
                <w:b w:val="0"/>
                <w:bCs w:val="0"/>
                <w:color w:val="000000"/>
                <w:sz w:val="24"/>
                <w:szCs w:val="24"/>
              </w:rPr>
              <w:t xml:space="preserve">hao </w:t>
            </w:r>
            <w:r>
              <w:rPr>
                <w:rFonts w:ascii="Times New Roman" w:hAnsi="Times New Roman" w:eastAsia="Times New Roman" w:cs="Times New Roman"/>
                <w:b w:val="0"/>
                <w:bCs w:val="0"/>
                <w:color w:val="000000"/>
                <w:sz w:val="24"/>
                <w:szCs w:val="24"/>
              </w:rPr>
              <w:t xml:space="preserve">mòn </w:t>
            </w:r>
            <w:r>
              <w:rPr>
                <w:rFonts w:ascii="Times New Roman" w:hAnsi="Times New Roman" w:eastAsia="Times New Roman" w:cs="Times New Roman"/>
                <w:b w:val="0"/>
                <w:bCs w:val="0"/>
                <w:color w:val="000000"/>
                <w:sz w:val="24"/>
                <w:szCs w:val="24"/>
              </w:rPr>
            </w:r>
            <w:r>
              <w:rPr>
                <w:rFonts w:ascii="Times New Roman" w:hAnsi="Times New Roman" w:eastAsia="Times New Roman" w:cs="Times New Roman"/>
                <w:b w:val="0"/>
                <w:bCs w:val="0"/>
                <w:color w:val="000000"/>
                <w:sz w:val="24"/>
                <w:szCs w:val="24"/>
              </w:rPr>
            </w:r>
          </w:p>
        </w:tc>
      </w:tr>
    </w:tbl>
    <w:p>
      <w:pPr>
        <w:pBdr/>
        <w:spacing w:after="120" w:before="120" w:line="276" w:lineRule="auto"/>
        <w:ind w:firstLine="0" w:left="0"/>
        <w:jc w:val="center"/>
        <w:rPr>
          <w:b/>
          <w:bCs/>
          <w:highlight w:val="none"/>
        </w:rPr>
      </w:pPr>
      <w:r>
        <w:rPr>
          <w:b/>
          <w:bCs/>
          <w:highlight w:val="none"/>
        </w:rPr>
      </w:r>
      <w:r>
        <w:rPr>
          <w:b/>
          <w:bCs/>
          <w:highlight w:val="none"/>
        </w:rPr>
      </w:r>
      <w:r>
        <w:rPr>
          <w:b/>
          <w:bCs/>
          <w:highlight w:val="none"/>
        </w:rPr>
      </w:r>
    </w:p>
    <w:p>
      <w:pPr>
        <w:pBdr/>
        <w:spacing w:after="120" w:before="120" w:line="276" w:lineRule="auto"/>
        <w:ind w:firstLine="0" w:left="0"/>
        <w:jc w:val="center"/>
        <w:rPr>
          <w:b/>
          <w:bCs/>
          <w:highlight w:val="none"/>
        </w:rPr>
      </w:pPr>
      <w:r>
        <w:rPr>
          <w:b/>
          <w:bCs/>
          <w:highlight w:val="none"/>
        </w:rPr>
      </w:r>
      <w:r>
        <w:rPr>
          <w:b/>
          <w:bCs/>
          <w:highlight w:val="none"/>
        </w:rPr>
      </w:r>
      <w:r>
        <w:rPr>
          <w:b/>
          <w:bCs/>
          <w:highlight w:val="none"/>
        </w:rPr>
      </w:r>
    </w:p>
    <w:p>
      <w:pPr>
        <w:pBdr/>
        <w:spacing w:after="120" w:before="120" w:line="276" w:lineRule="auto"/>
        <w:ind w:firstLine="0" w:left="0"/>
        <w:jc w:val="center"/>
        <w:rPr>
          <w:b/>
          <w:bCs/>
          <w:highlight w:val="none"/>
        </w:rPr>
      </w:pPr>
      <w:r>
        <w:rPr>
          <w:b/>
          <w:bCs/>
          <w:highlight w:val="none"/>
        </w:rPr>
      </w:r>
      <w:r>
        <w:rPr>
          <w:b/>
          <w:bCs/>
          <w:highlight w:val="none"/>
        </w:rPr>
      </w:r>
      <w:r>
        <w:rPr>
          <w:b/>
          <w:bCs/>
          <w:highlight w:val="none"/>
        </w:rPr>
      </w:r>
    </w:p>
    <w:p>
      <w:pPr>
        <w:pBdr/>
        <w:spacing w:after="120" w:before="120" w:line="276" w:lineRule="auto"/>
        <w:ind w:firstLine="0" w:left="0"/>
        <w:jc w:val="center"/>
        <w:rPr>
          <w:b/>
          <w:bCs/>
          <w:highlight w:val="none"/>
        </w:rPr>
      </w:pPr>
      <w:r>
        <w:rPr>
          <w:b/>
          <w:bCs/>
          <w:highlight w:val="none"/>
        </w:rPr>
      </w:r>
      <w:r>
        <w:rPr>
          <w:b/>
          <w:bCs/>
          <w:highlight w:val="none"/>
        </w:rPr>
        <w:t xml:space="preserve">BẢNG </w:t>
      </w:r>
      <w:r>
        <w:rPr>
          <w:b/>
          <w:bCs/>
          <w:highlight w:val="none"/>
        </w:rPr>
        <w:t xml:space="preserve">TÍNH </w:t>
      </w:r>
      <w:r>
        <w:rPr>
          <w:b/>
          <w:bCs/>
          <w:highlight w:val="none"/>
        </w:rPr>
        <w:t xml:space="preserve">GIÁ </w:t>
      </w:r>
      <w:r>
        <w:rPr>
          <w:b/>
          <w:bCs/>
          <w:highlight w:val="none"/>
        </w:rPr>
        <w:t xml:space="preserve">TRỊ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w:t>
      </w:r>
      <w:r>
        <w:rPr>
          <w:b/>
          <w:bCs/>
          <w:highlight w:val="none"/>
        </w:rPr>
      </w:r>
      <w:r>
        <w:rPr>
          <w:b/>
          <w:bCs/>
          <w:highlight w:val="none"/>
        </w:rPr>
      </w:r>
    </w:p>
    <w:tbl>
      <w:tblPr>
        <w:tblStyle w:val="104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304"/>
        <w:gridCol w:w="732"/>
        <w:gridCol w:w="1630"/>
        <w:gridCol w:w="1701"/>
        <w:gridCol w:w="1259"/>
        <w:gridCol w:w="1482"/>
        <w:gridCol w:w="1418"/>
      </w:tblGrid>
      <w:tr>
        <w:trPr>
          <w:trHeight w:val="1360"/>
        </w:trPr>
        <w:tc>
          <w:tcPr>
            <w:shd w:val="clear" w:color="ffffff" w:fill="ffffff"/>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30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Tài sản</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Diện tích sàn</w:t>
              <w:br/>
              <w:t xml:space="preserve"> (m²</w:t>
            </w:r>
            <w:r>
              <w:rPr>
                <w:rFonts w:ascii="Times New Roman" w:hAnsi="Times New Roman" w:eastAsia="Times New Roman" w:cs="Times New Roman"/>
                <w:b/>
                <w:color w:val="000000"/>
                <w:sz w:val="22"/>
                <w:szCs w:val="22"/>
              </w:rPr>
              <w:t xml:space="preserve">)</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Đơn giá xây dựng mới (đồng/m²)</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Chi phí thay thế (đồng)</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2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Tỷ lệ hao mòn (%)</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48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Giá trị hao mòn (đồng)</w:t>
            </w:r>
            <w:r>
              <w:rPr>
                <w:sz w:val="22"/>
                <w:szCs w:val="22"/>
              </w:rPr>
            </w:r>
            <w:r>
              <w:rPr>
                <w:sz w:val="22"/>
                <w:szCs w:val="22"/>
              </w:rPr>
            </w:r>
          </w:p>
        </w:tc>
        <w:tc>
          <w:tcPr>
            <w:shd w:val="clear" w:color="ffffff" w:fill="ffffff"/>
            <w:tcBorders>
              <w:top w:val="single" w:color="000000" w:sz="3" w:space="0"/>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Giá trị thẩm định tại thời điểm thẩm định giá (đồng)</w:t>
            </w:r>
            <w:r>
              <w:rPr>
                <w:sz w:val="22"/>
                <w:szCs w:val="22"/>
              </w:rPr>
            </w:r>
            <w:r>
              <w:rPr>
                <w:sz w:val="22"/>
                <w:szCs w:val="22"/>
              </w:rPr>
            </w:r>
          </w:p>
        </w:tc>
      </w:tr>
      <w:tr>
        <w:trPr>
          <w:trHeight w:val="300"/>
        </w:trPr>
        <w:tc>
          <w:tcPr>
            <w:shd w:val="clear" w:color="ffffff" w:fill="ffffff"/>
            <w:tcBorders>
              <w:left w:val="single" w:color="000000" w:sz="3" w:space="0"/>
              <w:bottom w:val="single" w:color="000000" w:sz="3" w:space="0"/>
              <w:right w:val="single" w:color="000000" w:sz="3" w:space="0"/>
            </w:tcBorders>
            <w:tcMar>
              <w:left w:w="0" w:type="dxa"/>
              <w:top w:w="0" w:type="dxa"/>
              <w:right w:w="0" w:type="dxa"/>
              <w:bottom w:w="0" w:type="dxa"/>
            </w:tcMar>
            <w:tcW w:w="130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63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(4) = (2) * (3)</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2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(5)</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48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(6)=(4)*(5)</w:t>
            </w:r>
            <w:r>
              <w:rPr>
                <w:sz w:val="22"/>
                <w:szCs w:val="22"/>
              </w:rPr>
            </w:r>
            <w:r>
              <w:rPr>
                <w:sz w:val="22"/>
                <w:szCs w:val="22"/>
              </w:rPr>
            </w:r>
          </w:p>
        </w:tc>
        <w:tc>
          <w:tcPr>
            <w:shd w:val="clear" w:color="ffffff" w:fill="ffffff"/>
            <w:tcBorders>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(7) = (4) - (6)</w:t>
            </w:r>
            <w:r>
              <w:rPr>
                <w:sz w:val="22"/>
                <w:szCs w:val="22"/>
              </w:rPr>
            </w:r>
            <w:r>
              <w:rPr>
                <w:sz w:val="22"/>
                <w:szCs w:val="22"/>
              </w:rPr>
            </w:r>
          </w:p>
        </w:tc>
      </w:tr>
      <w:tr>
        <w:trPr>
          <w:trHeight w:val="680"/>
        </w:trPr>
        <w:tc>
          <w:tcPr>
            <w:tcBorders>
              <w:left w:val="single" w:color="000000" w:sz="3" w:space="0"/>
              <w:bottom w:val="single" w:color="000000" w:sz="3" w:space="0"/>
              <w:right w:val="single" w:color="000000" w:sz="3" w:space="0"/>
            </w:tcBorders>
            <w:tcMar>
              <w:left w:w="0" w:type="dxa"/>
              <w:top w:w="0" w:type="dxa"/>
              <w:right w:w="0" w:type="dxa"/>
              <w:bottom w:w="0" w:type="dxa"/>
            </w:tcMar>
            <w:tcW w:w="130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Nhà 01 tầng + lửng</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73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81,8</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63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7.852.582</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642.341.193</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25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48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25.693.648</w:t>
            </w:r>
            <w:r>
              <w:rPr>
                <w:sz w:val="22"/>
                <w:szCs w:val="22"/>
              </w:rPr>
            </w:r>
            <w:r>
              <w:rPr>
                <w:sz w:val="22"/>
                <w:szCs w:val="22"/>
              </w:rPr>
            </w:r>
          </w:p>
        </w:tc>
        <w:tc>
          <w:tcPr>
            <w:tcBorders>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616.647.545</w:t>
            </w:r>
            <w:r>
              <w:rPr>
                <w:sz w:val="22"/>
                <w:szCs w:val="22"/>
              </w:rPr>
            </w:r>
            <w:r>
              <w:rPr>
                <w:sz w:val="22"/>
                <w:szCs w:val="22"/>
              </w:rPr>
            </w:r>
          </w:p>
        </w:tc>
      </w:tr>
    </w:tbl>
    <w:p>
      <w:pPr>
        <w:pStyle w:val="1039"/>
        <w:pBdr/>
        <w:spacing w:after="120" w:before="120" w:line="276" w:lineRule="auto"/>
        <w:ind w:left="0"/>
        <w:jc w:val="both"/>
        <w:rPr>
          <w:b/>
          <w:lang w:val="pt-BR"/>
        </w:rPr>
      </w:pPr>
      <w:r>
        <w:rPr>
          <w:b/>
          <w:lang w:val="pt-BR"/>
        </w:rPr>
      </w:r>
      <w:r>
        <w:rPr>
          <w:b/>
          <w:lang w:val="pt-BR"/>
        </w:rPr>
      </w:r>
      <w:r>
        <w:rPr>
          <w:b/>
          <w:lang w:val="pt-BR"/>
        </w:rPr>
      </w:r>
    </w:p>
    <w:p>
      <w:pPr>
        <w:pStyle w:val="103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99"/>
        <w:gridCol w:w="982"/>
        <w:gridCol w:w="940"/>
        <w:gridCol w:w="1198"/>
        <w:gridCol w:w="2089"/>
        <w:gridCol w:w="1758"/>
        <w:gridCol w:w="1758"/>
      </w:tblGrid>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192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98"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758" w:type="dxa"/>
            <w:vAlign w:val="center"/>
            <w:textDirection w:val="lrTb"/>
            <w:noWrap w:val="false"/>
          </w:tcPr>
          <w:p>
            <w:pPr>
              <w:pBdr/>
              <w:spacing/>
              <w:ind/>
              <w:jc w:val="center"/>
              <w:rPr>
                <w:b/>
                <w:bCs/>
              </w:rPr>
            </w:pPr>
            <w:r>
              <w:rPr>
                <w:b/>
                <w:bCs/>
              </w:rPr>
              <w:t xml:space="preserve">T</w:t>
            </w:r>
            <w:r>
              <w:rPr>
                <w:b/>
                <w:bCs/>
              </w:rPr>
              <w:t xml:space="preserve">ỷ </w:t>
            </w:r>
            <w:r>
              <w:rPr>
                <w:b/>
                <w:bCs/>
              </w:rPr>
              <w:t xml:space="preserve">lệ </w:t>
            </w:r>
            <w:r>
              <w:rPr>
                <w:b/>
                <w:bCs/>
              </w:rPr>
              <w:t xml:space="preserve">CLCL (%) </w:t>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436"/>
        </w:trPr>
        <w:tc>
          <w:tcPr>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b/>
                <w:bCs/>
                <w:color w:val="000000"/>
              </w:rPr>
              <w:t xml:space="preserve">Quyền sử dụng đất và công trình xây dựng tại thửa đất số 239, tờ bản đồ số 17, có địa chỉ: Tổ 20TKT, phường Thanh Khê, Thành phố Đà Nẵng theo Giấy ch</w:t>
            </w:r>
            <w:r>
              <w:rPr>
                <w:b/>
                <w:bCs/>
                <w:color w:val="000000"/>
              </w:rPr>
              <w:t xml:space="preserve">ứng nhận quyền sử đất, quyền sở hữu tài sản gắn liền với đất số AA 06727987, số vào sổ cấp GCN: VP 29215 do Văn phòng đăng ký đất đai Thành phố Đà Nẵng cấp ngày 16 tháng 01 năm 2026; chủ sử dụng đất là Ông Phạm Nguyễn Đăng Linh và Vợ: Bà Trần Thị Thanh Vân</w:t>
            </w:r>
            <w:r>
              <w:rPr>
                <w:b/>
                <w:bCs/>
              </w:rPr>
              <w:t xml:space="preserve">.</w:t>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1922"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198" w:type="dxa"/>
            <w:vAlign w:val="center"/>
            <w:textDirection w:val="lrTb"/>
            <w:noWrap/>
          </w:tcPr>
          <w:p>
            <w:pPr>
              <w:pBdr/>
              <w:spacing w:after="40" w:before="40" w:line="288" w:lineRule="auto"/>
              <w:ind/>
              <w:jc w:val="center"/>
              <w:rPr>
                <w:color w:val="000000"/>
              </w:rPr>
            </w:pPr>
            <w:r>
              <w:rPr>
                <w:color w:val="000000" w:themeColor="text1"/>
              </w:rPr>
              <w:t xml:space="preserve">60.5</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62.200.000</w:t>
            </w:r>
            <w:r/>
          </w:p>
        </w:tc>
        <w:tc>
          <w:tcPr>
            <w:shd w:val="clear" w:color="000000" w:fill="ffffff"/>
            <w:tcBorders/>
            <w:tcW w:w="1758"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right"/>
              <w:rPr/>
            </w:pPr>
            <w:r>
              <w:rPr>
                <w:color w:val="000000" w:themeColor="text1"/>
              </w:rPr>
              <w:t xml:space="preserve">3.763.100.000</w:t>
            </w: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gridSpan w:val="2"/>
            <w:shd w:val="clear" w:color="000000" w:fill="ffffff"/>
            <w:tcBorders/>
            <w:tcW w:w="1922" w:type="dxa"/>
            <w:vAlign w:val="center"/>
            <w:textDirection w:val="lrTb"/>
            <w:noWrap w:val="false"/>
          </w:tcPr>
          <w:p>
            <w:pPr>
              <w:pBdr/>
              <w:spacing w:after="40" w:before="40" w:line="288" w:lineRule="auto"/>
              <w:ind/>
              <w:rPr>
                <w:b w:val="0"/>
                <w:bCs w:val="0"/>
              </w:rPr>
            </w:pPr>
            <w:r>
              <w:rPr>
                <w:b w:val="0"/>
                <w:bCs w:val="0"/>
              </w:rPr>
              <w:t xml:space="preserve">Nhà ở độc lập</w:t>
            </w:r>
            <w:r>
              <w:rPr>
                <w:b w:val="0"/>
                <w:bCs w:val="0"/>
              </w:rPr>
            </w:r>
            <w:r>
              <w:rPr>
                <w:b w:val="0"/>
                <w:bCs w:val="0"/>
              </w:rPr>
            </w:r>
          </w:p>
        </w:tc>
        <w:tc>
          <w:tcPr>
            <w:tcBorders/>
            <w:tcW w:w="1198" w:type="dxa"/>
            <w:vAlign w:val="center"/>
            <w:textDirection w:val="lrTb"/>
            <w:noWrap/>
          </w:tcPr>
          <w:p>
            <w:pPr>
              <w:pBdr/>
              <w:spacing w:after="40" w:before="40" w:line="288" w:lineRule="auto"/>
              <w:ind/>
              <w:jc w:val="center"/>
              <w:rPr>
                <w:color w:val="000000"/>
              </w:rPr>
            </w:pPr>
            <w:r>
              <w:rPr>
                <w:color w:val="000000" w:themeColor="text1"/>
              </w:rPr>
              <w:t xml:space="preserve">81,8</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7.852.582</w:t>
            </w:r>
            <w:r/>
          </w:p>
        </w:tc>
        <w:tc>
          <w:tcPr>
            <w:shd w:val="clear" w:color="000000" w:fill="ffffff"/>
            <w:tcBorders/>
            <w:tcW w:w="1758" w:type="dxa"/>
            <w:vAlign w:val="center"/>
            <w:textDirection w:val="lrTb"/>
            <w:noWrap w:val="false"/>
          </w:tcPr>
          <w:p>
            <w:pPr>
              <w:pBdr/>
              <w:spacing/>
              <w:ind/>
              <w:jc w:val="center"/>
              <w:rPr>
                <w:color w:val="000000" w:themeColor="text1"/>
              </w:rPr>
            </w:pPr>
            <w:r>
              <w:rPr>
                <w:color w:val="000000" w:themeColor="text1"/>
              </w:rPr>
              <w:t xml:space="preserve">96% </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616.647.545</w:t>
            </w: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75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4.379.747.545</w:t>
            </w: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75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4.380.000.000</w:t>
            </w: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ba trăm </w:t>
            </w:r>
            <w:r>
              <w:rPr>
                <w:b/>
                <w:bCs/>
                <w:i/>
                <w:iCs/>
                <w:color w:val="000000"/>
              </w:rPr>
              <w:t xml:space="preserve">tám </w:t>
            </w:r>
            <w:r>
              <w:rPr>
                <w:b/>
                <w:bCs/>
                <w:i/>
                <w:iCs/>
                <w:color w:val="000000"/>
              </w:rPr>
              <w:t xml:space="preserve">mươi </w:t>
            </w:r>
            <w:r>
              <w:rPr>
                <w:b/>
                <w:bCs/>
                <w:i/>
                <w:iCs/>
                <w:color w:val="000000"/>
              </w:rPr>
              <w:t xml:space="preserve">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9"/>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9"/>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9"/>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275/2026/0579/VFI-CT.69.A</w:t>
      </w:r>
      <w:r>
        <w:rPr>
          <w:color w:val="ff0000"/>
          <w:lang w:val="vi-VN"/>
        </w:rPr>
        <w:t xml:space="preserve"> </w:t>
      </w:r>
      <w:r>
        <w:rPr>
          <w:color w:val="000000" w:themeColor="text1"/>
        </w:rPr>
        <w:t xml:space="preserve">ngày 15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275/2026/0579/VFI-CT.69.A</w:t>
      </w:r>
      <w:r>
        <w:rPr>
          <w:i/>
        </w:rPr>
        <w:t xml:space="preserve"> ngày</w:t>
      </w:r>
      <w:r>
        <w:rPr>
          <w:i/>
          <w:lang w:val="pt-BR"/>
        </w:rPr>
        <w:t xml:space="preserve">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24697" cy="180434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95401" name=""/>
                              <pic:cNvPicPr>
                                <a:picLocks noChangeAspect="1"/>
                              </pic:cNvPicPr>
                              <pic:nvPr/>
                            </pic:nvPicPr>
                            <pic:blipFill rotWithShape="1">
                              <a:blip r:embed="rId19"/>
                              <a:stretch/>
                            </pic:blipFill>
                            <pic:spPr bwMode="auto">
                              <a:xfrm flipH="0" flipV="0">
                                <a:off x="0" y="0"/>
                                <a:ext cx="1024696" cy="18043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0.68pt;height:142.07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4214" cy="213804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04334" name=""/>
                              <pic:cNvPicPr>
                                <a:picLocks noChangeAspect="1"/>
                              </pic:cNvPicPr>
                              <pic:nvPr/>
                            </pic:nvPicPr>
                            <pic:blipFill rotWithShape="1">
                              <a:blip r:embed="rId20"/>
                              <a:stretch/>
                            </pic:blipFill>
                            <pic:spPr bwMode="auto">
                              <a:xfrm flipH="0" flipV="0">
                                <a:off x="0" y="0"/>
                                <a:ext cx="2594214" cy="21380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4.27pt;height:168.35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3923" cy="249681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52542" name=""/>
                              <pic:cNvPicPr>
                                <a:picLocks noChangeAspect="1"/>
                              </pic:cNvPicPr>
                              <pic:nvPr/>
                            </pic:nvPicPr>
                            <pic:blipFill rotWithShape="1">
                              <a:blip r:embed="rId21"/>
                              <a:stretch/>
                            </pic:blipFill>
                            <pic:spPr bwMode="auto">
                              <a:xfrm flipH="0" flipV="0">
                                <a:off x="0" y="0"/>
                                <a:ext cx="2813923" cy="24968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57pt;height:196.6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66365" cy="250606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51865" name=""/>
                              <pic:cNvPicPr>
                                <a:picLocks noChangeAspect="1"/>
                              </pic:cNvPicPr>
                              <pic:nvPr/>
                            </pic:nvPicPr>
                            <pic:blipFill rotWithShape="1">
                              <a:blip r:embed="rId22"/>
                              <a:stretch/>
                            </pic:blipFill>
                            <pic:spPr bwMode="auto">
                              <a:xfrm flipH="0" flipV="0">
                                <a:off x="0" y="0"/>
                                <a:ext cx="2666364" cy="2506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9.95pt;height:197.3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2454" cy="236368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33803" name=""/>
                              <pic:cNvPicPr>
                                <a:picLocks noChangeAspect="1"/>
                              </pic:cNvPicPr>
                              <pic:nvPr/>
                            </pic:nvPicPr>
                            <pic:blipFill rotWithShape="1">
                              <a:blip r:embed="rId23"/>
                              <a:stretch/>
                            </pic:blipFill>
                            <pic:spPr bwMode="auto">
                              <a:xfrm flipH="0" flipV="0">
                                <a:off x="0" y="0"/>
                                <a:ext cx="2752454" cy="23636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73pt;height:186.1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42185" cy="245697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02887" name=""/>
                              <pic:cNvPicPr>
                                <a:picLocks noChangeAspect="1"/>
                              </pic:cNvPicPr>
                              <pic:nvPr/>
                            </pic:nvPicPr>
                            <pic:blipFill rotWithShape="1">
                              <a:blip r:embed="rId24"/>
                              <a:stretch/>
                            </pic:blipFill>
                            <pic:spPr bwMode="auto">
                              <a:xfrm flipH="0" flipV="0">
                                <a:off x="0" y="0"/>
                                <a:ext cx="2642184" cy="2456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8.05pt;height:193.4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40052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20256" name=""/>
                        <pic:cNvPicPr>
                          <a:picLocks noChangeAspect="1"/>
                        </pic:cNvPicPr>
                        <pic:nvPr/>
                      </pic:nvPicPr>
                      <pic:blipFill rotWithShape="1">
                        <a:blip r:embed="rId25"/>
                        <a:stretch/>
                      </pic:blipFill>
                      <pic:spPr bwMode="auto">
                        <a:xfrm>
                          <a:off x="0" y="0"/>
                          <a:ext cx="6048374" cy="84005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61.46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5886790" cy="839944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79851" name=""/>
                        <pic:cNvPicPr>
                          <a:picLocks noChangeAspect="1"/>
                        </pic:cNvPicPr>
                        <pic:nvPr/>
                      </pic:nvPicPr>
                      <pic:blipFill rotWithShape="1">
                        <a:blip r:embed="rId26"/>
                        <a:stretch/>
                      </pic:blipFill>
                      <pic:spPr bwMode="auto">
                        <a:xfrm flipH="0" flipV="0">
                          <a:off x="0" y="0"/>
                          <a:ext cx="5886789" cy="83994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3.53pt;height:661.37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rPr/>
      </w:pPr>
      <w:r>
        <w:rPr>
          <w:highlight w:val="none"/>
        </w:rPr>
      </w:r>
      <w:r>
        <w:rPr>
          <w:highlight w:val="none"/>
        </w:rPr>
      </w:r>
      <w:r/>
    </w:p>
    <w:p>
      <w:pPr>
        <w:pBdr/>
        <w:spacing w:after="200" w:line="276" w:lineRule="auto"/>
        <w:ind/>
        <w:jc w:val="center"/>
        <w:rPr>
          <w:bCs/>
          <w:i/>
          <w:lang w:val="pt-BR"/>
        </w:rPr>
      </w:pPr>
      <w:r>
        <w:rPr>
          <w:b/>
          <w:highlight w:val="none"/>
        </w:rPr>
        <mc:AlternateContent>
          <mc:Choice Requires="wpg">
            <w:drawing>
              <wp:inline xmlns:wp="http://schemas.openxmlformats.org/drawingml/2006/wordprocessingDrawing" distT="0" distB="0" distL="0" distR="0">
                <wp:extent cx="6048375" cy="736273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11848" name=""/>
                        <pic:cNvPicPr>
                          <a:picLocks noChangeAspect="1"/>
                        </pic:cNvPicPr>
                        <pic:nvPr/>
                      </pic:nvPicPr>
                      <pic:blipFill rotWithShape="1">
                        <a:blip r:embed="rId27"/>
                        <a:stretch/>
                      </pic:blipFill>
                      <pic:spPr bwMode="auto">
                        <a:xfrm>
                          <a:off x="0" y="0"/>
                          <a:ext cx="6048374" cy="73627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579.74pt;mso-wrap-distance-left:0.00pt;mso-wrap-distance-top:0.00pt;mso-wrap-distance-right:0.00pt;mso-wrap-distance-bottom:0.00pt;z-index:1;" stroked="false">
                <v:imagedata r:id="rId27" o:title=""/>
                <o:lock v:ext="edit" rotation="t"/>
              </v:shape>
            </w:pict>
          </mc:Fallback>
        </mc:AlternateContent>
      </w:r>
      <w:r>
        <w:rPr>
          <w:bCs/>
          <w:i/>
          <w:lang w:val="pt-BR"/>
        </w:rPr>
      </w:r>
      <w:r>
        <w:rPr>
          <w:bCs/>
          <w:i/>
          <w:lang w:val="pt-BR"/>
        </w:rPr>
      </w:r>
    </w:p>
    <w:p>
      <w:pPr>
        <w:pBdr/>
        <w:shd w:val="nil" w:color="auto"/>
        <w:spacing/>
        <w:ind/>
        <w:rPr>
          <w:b/>
          <w:bCs/>
          <w:highlight w:val="none"/>
        </w:rPr>
      </w:pPr>
      <w:r>
        <w:rPr>
          <w:b/>
          <w:highlight w:val="none"/>
        </w:rPr>
        <w:br w:type="page" w:clear="all"/>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275/2026/0579/VFI-CT.69.A</w:t>
      </w:r>
      <w:r>
        <w:rPr>
          <w:i/>
        </w:rPr>
        <w:t xml:space="preserve"> ngày</w:t>
      </w:r>
      <w:r>
        <w:rPr>
          <w:i/>
          <w:lang w:val="pt-BR"/>
        </w:rPr>
        <w:t xml:space="preserve">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https://guland.vn/post/lam-viec-truc-tiep-gia-tot-ban-nha-kiet-dung-si-thanh-khe-thanh-khe-tay-2163771</w:t>
            </w:r>
            <w:r>
              <w:rPr>
                <w:color w:val="000000" w:themeColor="text1"/>
                <w:sz w:val="22"/>
                <w:szCs w:val="22"/>
              </w:rPr>
              <w:br/>
              <w:t xml:space="preserve">0818.512.467</w:t>
            </w:r>
            <w:r>
              <w:rPr>
                <w:sz w:val="22"/>
                <w:szCs w:val="22"/>
              </w:rPr>
              <w:t xml:space="preserve"> </w:t>
            </w:r>
            <w:r>
              <w:rPr>
                <w:sz w:val="22"/>
                <w:szCs w:val="22"/>
              </w:rPr>
              <w:br/>
              <w:t xml:space="preserve">(Vinh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3.567.000.000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w:t>
            </w:r>
            <w:r>
              <w:rPr>
                <w:color w:val="000000" w:themeColor="text1"/>
                <w:sz w:val="22"/>
                <w:szCs w:val="22"/>
              </w:rPr>
              <w:t xml:space="preserve">ờng Dũng Sĩ Thanh Khê, Phường Thanh Khê, Thành phố Đà Nẵng, khoảng cách ra Đường Dũng Sĩ Thanh Khê khoảng 65m.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445465" cy="2822745"/>
                      <wp:effectExtent l="0" t="0" r="0" b="0"/>
                      <wp:docPr id="16" name=""/>
                      <wp:cNvGraphicFramePr/>
                      <a:graphic xmlns:a="http://schemas.openxmlformats.org/drawingml/2006/main">
                        <a:graphicData uri="http://schemas.openxmlformats.org/drawingml/2006/picture">
                          <pic:pic xmlns:pic="http://schemas.openxmlformats.org/drawingml/2006/picture">
                            <pic:nvPicPr>
                              <pic:cNvPr id="853057697" name="" descr=""/>
                              <pic:cNvPicPr/>
                              <pic:nvPr/>
                            </pic:nvPicPr>
                            <pic:blipFill rotWithShape="1">
                              <a:blip r:embed="rId28"/>
                              <a:stretch/>
                            </pic:blipFill>
                            <pic:spPr bwMode="auto">
                              <a:xfrm flipH="0" flipV="0">
                                <a:off x="0" y="0"/>
                                <a:ext cx="5445464" cy="28227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8.78pt;height:222.2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12585" cy="5378790"/>
                      <wp:effectExtent l="0" t="0" r="0" b="0"/>
                      <wp:docPr id="17" name=""/>
                      <wp:cNvGraphicFramePr/>
                      <a:graphic xmlns:a="http://schemas.openxmlformats.org/drawingml/2006/main">
                        <a:graphicData uri="http://schemas.openxmlformats.org/drawingml/2006/picture">
                          <pic:pic xmlns:pic="http://schemas.openxmlformats.org/drawingml/2006/picture">
                            <pic:nvPicPr>
                              <pic:cNvPr id="967560537" name="" descr=""/>
                              <pic:cNvPicPr/>
                              <pic:nvPr/>
                            </pic:nvPicPr>
                            <pic:blipFill rotWithShape="1">
                              <a:blip r:embed="rId29"/>
                              <a:stretch/>
                            </pic:blipFill>
                            <pic:spPr bwMode="auto">
                              <a:xfrm rot="16199969" flipH="0" flipV="0">
                                <a:off x="0" y="0"/>
                                <a:ext cx="3412584" cy="53787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8.71pt;height:423.53pt;mso-wrap-distance-left:0.00pt;mso-wrap-distance-top:0.00pt;mso-wrap-distance-right:0.00pt;mso-wrap-distance-bottom:0.00pt;rotation:269;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12507" cy="310515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01726485" name="" descr=""/>
                              <pic:cNvPicPr/>
                              <pic:nvPr/>
                            </pic:nvPicPr>
                            <pic:blipFill rotWithShape="1">
                              <a:blip r:embed="rId30"/>
                              <a:stretch/>
                            </pic:blipFill>
                            <pic:spPr bwMode="auto">
                              <a:xfrm flipH="0" flipV="0">
                                <a:off x="0" y="0"/>
                                <a:ext cx="4212507" cy="31051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1.69pt;height:244.5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394322" cy="69716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24120" name=""/>
                              <pic:cNvPicPr>
                                <a:picLocks noChangeAspect="1"/>
                              </pic:cNvPicPr>
                              <pic:nvPr/>
                            </pic:nvPicPr>
                            <pic:blipFill rotWithShape="1">
                              <a:blip r:embed="rId31"/>
                              <a:stretch/>
                            </pic:blipFill>
                            <pic:spPr bwMode="auto">
                              <a:xfrm rot="0" flipH="0" flipV="0">
                                <a:off x="0" y="0"/>
                                <a:ext cx="1394321" cy="697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09.79pt;height:54.89pt;mso-wrap-distance-left:0.00pt;mso-wrap-distance-top:0.00pt;mso-wrap-distance-right:0.00pt;mso-wrap-distance-bottom:0.00pt;rotation:0;z-index:1;" stroked="false">
                      <v:imagedata r:id="rId31" o:title=""/>
                      <o:lock v:ext="edit" rotation="t"/>
                    </v:shape>
                  </w:pict>
                </mc:Fallback>
              </mc:AlternateContent>
            </w:r>
            <w:r/>
          </w:p>
          <w:p>
            <w:pPr>
              <w:pBdr/>
              <w:spacing/>
              <w:ind/>
              <w:jc w:val="left"/>
              <w:rPr/>
            </w:pPr>
            <w:r/>
            <w:r/>
          </w:p>
          <w:p>
            <w:pPr>
              <w:pBdr/>
              <w:spacing/>
              <w:ind/>
              <w:jc w:val="center"/>
              <w:rPr/>
            </w:pPr>
            <w:r>
              <w:t xml:space="preserve">Nguyễn Thuỳ Nhật Anh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https://guland.vn/post/lam-viec-truc-tiep-gia-tot-ban-nha-kiet-dung-si-thanh-khe-thanh-khe-tay-2188663</w:t>
            </w:r>
            <w:r>
              <w:rPr>
                <w:color w:val="000000" w:themeColor="text1"/>
                <w:sz w:val="22"/>
                <w:szCs w:val="22"/>
              </w:rPr>
              <w:br/>
              <w:t xml:space="preserve">0818.512.467</w:t>
            </w:r>
            <w:r>
              <w:rPr>
                <w:sz w:val="22"/>
                <w:szCs w:val="22"/>
              </w:rPr>
              <w:t xml:space="preserve"> </w:t>
            </w:r>
            <w:r>
              <w:rPr>
                <w:sz w:val="22"/>
                <w:szCs w:val="22"/>
              </w:rPr>
              <w:br/>
              <w:t xml:space="preserve">(Vinh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w:t>
            </w:r>
            <w:r>
              <w:rPr>
                <w:color w:val="000000" w:themeColor="text1"/>
                <w:sz w:val="22"/>
                <w:szCs w:val="22"/>
              </w:rPr>
              <w:t xml:space="preserve">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(54.7m²)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w:t>
            </w:r>
            <w:r>
              <w:rPr>
                <w:color w:val="000000" w:themeColor="text1"/>
                <w:sz w:val="22"/>
                <w:szCs w:val="22"/>
              </w:rPr>
              <w:t xml:space="preserve"> Đường Dũng Sĩ Thanh Khê, Phường Thanh Khê Thành phố Đà Nẵng, khoảng cách ra Đường Dũng Sĩ Thanh Khê khoảng 30m.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12140" cy="265801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512140" cy="26580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4.03pt;height:209.2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02265" cy="2581815"/>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36111744" name="" descr=""/>
                              <pic:cNvPicPr/>
                              <pic:nvPr/>
                            </pic:nvPicPr>
                            <pic:blipFill rotWithShape="1">
                              <a:blip r:embed="rId33"/>
                              <a:stretch/>
                            </pic:blipFill>
                            <pic:spPr bwMode="auto">
                              <a:xfrm flipH="0" flipV="0">
                                <a:off x="0" y="0"/>
                                <a:ext cx="2702264" cy="25818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2.78pt;height:203.29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0340" cy="2315115"/>
                      <wp:effectExtent l="0" t="0" r="0" b="0"/>
                      <wp:docPr id="22" name=""/>
                      <wp:cNvGraphicFramePr/>
                      <a:graphic xmlns:a="http://schemas.openxmlformats.org/drawingml/2006/main">
                        <a:graphicData uri="http://schemas.openxmlformats.org/drawingml/2006/picture">
                          <pic:pic xmlns:pic="http://schemas.openxmlformats.org/drawingml/2006/picture">
                            <pic:nvPicPr>
                              <pic:cNvPr id="1658012734" name="" descr=""/>
                              <pic:cNvPicPr/>
                              <pic:nvPr/>
                            </pic:nvPicPr>
                            <pic:blipFill rotWithShape="1">
                              <a:blip r:embed="rId34"/>
                              <a:stretch/>
                            </pic:blipFill>
                            <pic:spPr bwMode="auto">
                              <a:xfrm flipH="0" flipV="0">
                                <a:off x="0" y="0"/>
                                <a:ext cx="2540340" cy="23151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0.03pt;height:182.2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394322" cy="69716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24120" name=""/>
                              <pic:cNvPicPr>
                                <a:picLocks noChangeAspect="1"/>
                              </pic:cNvPicPr>
                              <pic:nvPr/>
                            </pic:nvPicPr>
                            <pic:blipFill rotWithShape="1">
                              <a:blip r:embed="rId31"/>
                              <a:stretch/>
                            </pic:blipFill>
                            <pic:spPr bwMode="auto">
                              <a:xfrm rot="0" flipH="0" flipV="0">
                                <a:off x="0" y="0"/>
                                <a:ext cx="1394321" cy="697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09.79pt;height:54.89pt;mso-wrap-distance-left:0.00pt;mso-wrap-distance-top:0.00pt;mso-wrap-distance-right:0.00pt;mso-wrap-distance-bottom:0.00pt;rotation:0;z-index:1;" stroked="false">
                      <v:imagedata r:id="rId31" o:title=""/>
                      <o:lock v:ext="edit" rotation="t"/>
                    </v:shape>
                  </w:pict>
                </mc:Fallback>
              </mc:AlternateContent>
            </w:r>
            <w:r/>
          </w:p>
          <w:p>
            <w:pPr>
              <w:pBdr/>
              <w:spacing/>
              <w:ind/>
              <w:rPr/>
            </w:pPr>
            <w:r/>
            <w:r/>
          </w:p>
          <w:p>
            <w:pPr>
              <w:pBdr/>
              <w:spacing/>
              <w:ind/>
              <w:jc w:val="center"/>
              <w:rPr/>
            </w:pPr>
            <w:r/>
            <w:r/>
          </w:p>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https://guland.vn/post/lam-viec-truc-tiep-gia-tot-ban-nha-kiet-dung-si-thanh-khe-thanh-khe-tay-2147818</w:t>
            </w:r>
            <w:r>
              <w:rPr>
                <w:color w:val="000000" w:themeColor="text1"/>
                <w:sz w:val="22"/>
                <w:szCs w:val="22"/>
              </w:rPr>
              <w:br/>
            </w:r>
            <w:r>
              <w:rPr>
                <w:sz w:val="22"/>
                <w:szCs w:val="22"/>
              </w:rPr>
              <w:t xml:space="preserve">SĐT: </w:t>
            </w:r>
            <w:r>
              <w:rPr>
                <w:color w:val="000000" w:themeColor="text1"/>
                <w:sz w:val="22"/>
                <w:szCs w:val="22"/>
              </w:rPr>
              <w:t xml:space="preserve">0818512467</w:t>
            </w:r>
            <w:r>
              <w:rPr>
                <w:sz w:val="22"/>
                <w:szCs w:val="22"/>
              </w:rPr>
              <w:t xml:space="preserve"> </w:t>
            </w:r>
            <w:r>
              <w:rPr>
                <w:sz w:val="22"/>
                <w:szCs w:val="22"/>
              </w:rPr>
              <w:br/>
              <w:t xml:space="preserve">(Vinh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Kiệt</w:t>
            </w:r>
            <w:r>
              <w:rPr>
                <w:color w:val="000000" w:themeColor="text1"/>
                <w:sz w:val="22"/>
                <w:szCs w:val="22"/>
              </w:rPr>
              <w:t xml:space="preserve"> Dũng Sĩ Thanh Khê, Phường Thanh Khê Thành phố Đà Nẵng, khoảng cách ra Đường Dũng Sĩ Thanh Khê khoảng 90m.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16890" cy="2559947"/>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5416889" cy="255994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26.53pt;height:201.57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224378800" name="" descr=""/>
                              <pic:cNvPicPr/>
                              <pic:nvPr/>
                            </pic:nvPicPr>
                            <pic:blipFill rotWithShape="1">
                              <a:blip r:embed="rId36"/>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11815" cy="2975515"/>
                      <wp:effectExtent l="0" t="0" r="0" b="0"/>
                      <wp:docPr id="26" name=""/>
                      <wp:cNvGraphicFramePr/>
                      <a:graphic xmlns:a="http://schemas.openxmlformats.org/drawingml/2006/main">
                        <a:graphicData uri="http://schemas.openxmlformats.org/drawingml/2006/picture">
                          <pic:pic xmlns:pic="http://schemas.openxmlformats.org/drawingml/2006/picture">
                            <pic:nvPicPr>
                              <pic:cNvPr id="1252641390" name="" descr=""/>
                              <pic:cNvPicPr/>
                              <pic:nvPr/>
                            </pic:nvPicPr>
                            <pic:blipFill rotWithShape="1">
                              <a:blip r:embed="rId37"/>
                              <a:stretch/>
                            </pic:blipFill>
                            <pic:spPr bwMode="auto">
                              <a:xfrm flipH="0" flipV="0">
                                <a:off x="0" y="0"/>
                                <a:ext cx="2911815" cy="2975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9.28pt;height:234.29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394322" cy="697161"/>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05613" name=""/>
                              <pic:cNvPicPr>
                                <a:picLocks noChangeAspect="1"/>
                              </pic:cNvPicPr>
                              <pic:nvPr/>
                            </pic:nvPicPr>
                            <pic:blipFill rotWithShape="1">
                              <a:blip r:embed="rId31"/>
                              <a:stretch/>
                            </pic:blipFill>
                            <pic:spPr bwMode="auto">
                              <a:xfrm flipH="0" flipV="0">
                                <a:off x="0" y="0"/>
                                <a:ext cx="1394322" cy="697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09.79pt;height:54.89pt;mso-wrap-distance-left:0.00pt;mso-wrap-distance-top:0.00pt;mso-wrap-distance-right:0.00pt;mso-wrap-distance-bottom:0.00pt;z-index:1;" stroked="false">
                      <v:imagedata r:id="rId31" o:title=""/>
                      <o:lock v:ext="edit" rotation="t"/>
                    </v:shape>
                  </w:pict>
                </mc:Fallback>
              </mc:AlternateContent>
            </w:r>
            <w:r/>
          </w:p>
          <w:p>
            <w:pPr>
              <w:pBdr/>
              <w:spacing/>
              <w:ind/>
              <w:jc w:val="center"/>
              <w:rPr/>
            </w:pPr>
            <w:r/>
            <w:r/>
          </w:p>
          <w:p>
            <w:pPr>
              <w:pBdr/>
              <w:spacing/>
              <w:ind/>
              <w:jc w:val="center"/>
              <w:rPr/>
            </w:pPr>
            <w:r/>
            <w:r/>
          </w:p>
          <w:p>
            <w:pPr>
              <w:pBdr/>
              <w:spacing/>
              <w:ind/>
              <w:jc w:val="center"/>
              <w:rPr/>
            </w:pPr>
            <w:r>
              <w:t xml:space="preserve">Nguyễn Thuỳ Nhật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C028AD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8566CC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0">
    <w:nsid w:val="3948AE29"/>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1B3BD348"/>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10092F1E"/>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02B422C3"/>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516</cp:revision>
  <dcterms:created xsi:type="dcterms:W3CDTF">2025-09-15T02:01:00Z</dcterms:created>
  <dcterms:modified xsi:type="dcterms:W3CDTF">2026-04-23T02:04:45Z</dcterms:modified>
</cp:coreProperties>
</file>