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ff0000"/>
          <w:sz w:val="24"/>
          <w:szCs w:val="24"/>
          <w:highlight w:val="none"/>
        </w:rPr>
      </w:pP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z w:val="24"/>
          <w:szCs w:val="24"/>
          <w:highlight w:val="none"/>
        </w:rPr>
      </w:r>
      <w:r>
        <w:rPr>
          <w:rFonts w:ascii="Times New Roman" w:hAnsi="Times New Roman" w:eastAsia="Times New Roman" w:cs="Times New Roman"/>
          <w:color w:val="ff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pPr>
      <w:r/>
      <w:r/>
    </w:p>
    <w:p>
      <w:pPr>
        <w:pBdr>
          <w:top w:val="none" w:color="000000" w:sz="4" w:space="0"/>
          <w:left w:val="none" w:color="000000" w:sz="4" w:space="0"/>
          <w:bottom w:val="none" w:color="000000" w:sz="4" w:space="0"/>
          <w:right w:val="none" w:color="000000" w:sz="4" w:space="0"/>
        </w:pBdr>
        <w:spacing/>
        <w:ind w:right="0" w:firstLine="0" w:left="0"/>
        <w:jc w:val="both"/>
        <w:rPr/>
      </w:pPr>
      <w:r/>
      <w:r/>
    </w:p>
    <w:p>
      <w:pPr>
        <w:pBdr>
          <w:top w:val="none" w:color="000000" w:sz="4" w:space="0"/>
          <w:left w:val="none" w:color="000000" w:sz="4" w:space="0"/>
          <w:bottom w:val="none" w:color="000000" w:sz="4" w:space="0"/>
          <w:right w:val="none" w:color="000000" w:sz="4" w:space="0"/>
        </w:pBdr>
        <w:spacing/>
        <w:ind w:right="0" w:firstLine="0" w:left="0"/>
        <w:jc w:val="both"/>
        <w:rPr/>
      </w:pPr>
      <w:r/>
      <w:r/>
    </w:p>
    <w:p>
      <w:pPr>
        <w:pBdr>
          <w:top w:val="none" w:color="000000" w:sz="4" w:space="0"/>
          <w:left w:val="none" w:color="000000" w:sz="4" w:space="0"/>
          <w:bottom w:val="none" w:color="000000" w:sz="4" w:space="0"/>
          <w:right w:val="none" w:color="000000" w:sz="4" w:space="0"/>
        </w:pBdr>
        <w:spacing/>
        <w:ind w:right="0" w:firstLine="0" w:left="0"/>
        <w:jc w:val="both"/>
        <w:rPr/>
      </w:pPr>
      <w:r/>
      <w:r/>
    </w:p>
    <w:p>
      <w:pPr>
        <w:pBdr>
          <w:top w:val="none" w:color="000000" w:sz="4" w:space="0"/>
          <w:left w:val="none" w:color="000000" w:sz="4" w:space="0"/>
          <w:bottom w:val="none" w:color="000000" w:sz="4" w:space="0"/>
          <w:right w:val="none" w:color="000000" w:sz="4" w:space="0"/>
        </w:pBdr>
        <w:spacing/>
        <w:ind w:right="0" w:firstLine="0" w:left="0"/>
        <w:jc w:val="both"/>
        <w:rPr/>
      </w:pPr>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ff0000"/>
          <w:sz w:val="24"/>
          <w:highlight w:val="none"/>
        </w:rPr>
      </w:r>
      <w:r>
        <w:rPr>
          <w:rFonts w:ascii="Times New Roman" w:hAnsi="Times New Roman" w:eastAsia="Times New Roman" w:cs="Times New Roman"/>
          <w:color w:val="ff0000"/>
          <w:sz w:val="24"/>
          <w:highlight w:val="none"/>
        </w:rPr>
      </w: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82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82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275/2026/0589FI-CT.65.A</w:t>
                            </w:r>
                            <w:r>
                              <w:rPr>
                                <w:b/>
                              </w:rPr>
                            </w:r>
                            <w:r>
                              <w:rPr>
                                <w:b/>
                              </w:rPr>
                            </w:r>
                          </w:p>
                          <w:p>
                            <w:pPr>
                              <w:pBdr/>
                              <w:spacing/>
                              <w:ind/>
                              <w:jc w:val="center"/>
                              <w:rPr/>
                            </w:pPr>
                            <w:r>
                              <w:rPr>
                                <w:rFonts w:ascii="Times New Roman Bold" w:hAnsi="Times New Roman Bold"/>
                                <w:b/>
                                <w:lang w:val="pt-BR"/>
                              </w:rPr>
                              <w:t xml:space="preserve">Khách hàng yêu cầu: </w:t>
                            </w:r>
                            <w:r>
                              <w:rPr>
                                <w:rFonts w:ascii="Times New Roman Bold" w:hAnsi="Times New Roman Bold"/>
                                <w:b/>
                                <w:lang w:val="pt-BR"/>
                              </w:rPr>
                              <w:t xml:space="preserve">Ông </w:t>
                            </w:r>
                            <w:r>
                              <w:rPr>
                                <w:b/>
                                <w:bCs/>
                              </w:rPr>
                              <w:t xml:space="preserve">Nguyễn Văn Hạnh</w:t>
                            </w:r>
                            <w:r>
                              <w:rPr>
                                <w:rFonts w:ascii="Times New Roman Bold" w:hAnsi="Times New Roman Bold"/>
                                <w:b/>
                                <w:lang w:val="pt-BR"/>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299, tờ bản đồ số 22 có địa chỉ: Thôn Du Đồng, xã Đại Hùng, huyện Ứng Hòa, TP.Hà Nội (nay là xã</w:t>
                            </w:r>
                            <w:r>
                              <w:rPr>
                                <w:color w:val="000000"/>
                              </w:rPr>
                              <w:t xml:space="preserve"> Ứng Hòa, thành phố Hà Nội)  theo Giấy chứng nhận quyền sử dụng đất quyền sở hữu nhà ở và tài sản khác gắn liền với đất số: BO 371594, số vào sổ cấp GCN: CH00603 do Ủy ban nhân dân huyện Ứng Hòa cấp ngày 06/09/2013; Chủ sử dụng đất là Ông: Nguyễn Văn Hạnh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275/2026/0589FI-CT.65.A</w:t>
                      </w:r>
                      <w:r>
                        <w:rPr>
                          <w:b/>
                        </w:rPr>
                      </w:r>
                      <w:r>
                        <w:rPr>
                          <w:b/>
                        </w:rPr>
                      </w:r>
                    </w:p>
                    <w:p>
                      <w:pPr>
                        <w:pBdr/>
                        <w:spacing/>
                        <w:ind/>
                        <w:jc w:val="center"/>
                        <w:rPr/>
                      </w:pPr>
                      <w:r>
                        <w:rPr>
                          <w:rFonts w:ascii="Times New Roman Bold" w:hAnsi="Times New Roman Bold"/>
                          <w:b/>
                          <w:lang w:val="pt-BR"/>
                        </w:rPr>
                        <w:t xml:space="preserve">Khách hàng yêu cầu: </w:t>
                      </w:r>
                      <w:r>
                        <w:rPr>
                          <w:rFonts w:ascii="Times New Roman Bold" w:hAnsi="Times New Roman Bold"/>
                          <w:b/>
                          <w:lang w:val="pt-BR"/>
                        </w:rPr>
                        <w:t xml:space="preserve">Ông </w:t>
                      </w:r>
                      <w:r>
                        <w:rPr>
                          <w:b/>
                          <w:bCs/>
                        </w:rPr>
                        <w:t xml:space="preserve">Nguyễn Văn Hạnh</w:t>
                      </w:r>
                      <w:r>
                        <w:rPr>
                          <w:rFonts w:ascii="Times New Roman Bold" w:hAnsi="Times New Roman Bold"/>
                          <w:b/>
                          <w:lang w:val="pt-BR"/>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299, tờ bản đồ số 22 có địa chỉ: Thôn Du Đồng, xã Đại Hùng, huyện Ứng Hòa, TP.Hà Nội (nay là xã</w:t>
                      </w:r>
                      <w:r>
                        <w:rPr>
                          <w:color w:val="000000"/>
                        </w:rPr>
                        <w:t xml:space="preserve"> Ứng Hòa, thành phố Hà Nội)  theo Giấy chứng nhận quyền sử dụng đất quyền sở hữu nhà ở và tài sản khác gắn liền với đất số: BO 371594, số vào sổ cấp GCN: CH00603 do Ủy ban nhân dân huyện Ứng Hòa cấp ngày 06/09/2013; Chủ sử dụng đất là Ông: Nguyễn Văn Hạnh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63" w:type="dxa"/>
        <w:tblBorders/>
        <w:tblLayout w:type="fixed"/>
        <w:tblLook w:val="04A0" w:firstRow="1" w:lastRow="0" w:firstColumn="1" w:lastColumn="0" w:noHBand="0" w:noVBand="1"/>
      </w:tblPr>
      <w:tblGrid>
        <w:gridCol w:w="29"/>
        <w:gridCol w:w="1559"/>
        <w:gridCol w:w="2835"/>
        <w:gridCol w:w="5541"/>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44"/>
        </w:trPr>
        <w:tc>
          <w:tcPr>
            <w:gridSpan w:val="2"/>
            <w:shd w:val="clear" w:color="auto" w:fill="auto"/>
            <w:tcBorders/>
            <w:tcMar>
              <w:left w:w="108" w:type="dxa"/>
              <w:top w:w="0" w:type="dxa"/>
              <w:right w:w="108" w:type="dxa"/>
              <w:bottom w:w="0" w:type="dxa"/>
            </w:tcMar>
            <w:tcW w:w="439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275/2026/0589FI-CT.65.A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4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16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highlight w:val="yellow"/>
        </w:rPr>
      </w:pPr>
      <w:r>
        <w:rPr>
          <w:b/>
          <w:u w:val="single"/>
          <w:lang w:val="pt-BR"/>
        </w:rPr>
        <w:t xml:space="preserve">Kính g</w:t>
      </w:r>
      <w:r>
        <w:rPr>
          <w:b/>
          <w:color w:val="000000" w:themeColor="text1"/>
          <w:highlight w:val="white"/>
          <w:u w:val="single"/>
          <w:lang w:val="pt-BR"/>
        </w:rPr>
        <w:t xml:space="preserve">ửi</w:t>
      </w:r>
      <w:r>
        <w:rPr>
          <w:b/>
          <w:color w:val="000000" w:themeColor="text1"/>
          <w:highlight w:val="white"/>
          <w:lang w:val="pt-BR"/>
        </w:rPr>
        <w:t xml:space="preserve">:</w:t>
      </w:r>
      <w:r>
        <w:rPr>
          <w:b/>
          <w:color w:val="000000" w:themeColor="text1"/>
          <w:highlight w:val="white"/>
          <w:lang w:val="pt-BR"/>
        </w:rPr>
        <w:t xml:space="preserve"> </w:t>
      </w:r>
      <w:r>
        <w:rPr>
          <w:rFonts w:ascii="Times New Roman Bold" w:hAnsi="Times New Roman Bold"/>
          <w:b/>
          <w:color w:val="000000" w:themeColor="text1"/>
          <w:highlight w:val="white"/>
          <w:lang w:val="pt-BR"/>
        </w:rPr>
        <w:t xml:space="preserve">Ôn</w:t>
      </w:r>
      <w:r>
        <w:rPr>
          <w:rFonts w:ascii="Times New Roman Bold" w:hAnsi="Times New Roman Bold"/>
          <w:b/>
          <w:lang w:val="pt-BR"/>
        </w:rPr>
        <w:t xml:space="preserve">g </w:t>
      </w:r>
      <w:r>
        <w:rPr>
          <w:b/>
          <w:bCs/>
        </w:rPr>
        <w:t xml:space="preserve">Nguyễn Văn Hạnh</w:t>
      </w:r>
      <w:r>
        <w:rPr>
          <w:rFonts w:ascii="Times New Roman Bold" w:hAnsi="Times New Roman Bold"/>
          <w:b/>
          <w:highlight w:val="yellow"/>
        </w:rPr>
      </w:r>
      <w:r>
        <w:rPr>
          <w:rFonts w:ascii="Times New Roman Bold" w:hAnsi="Times New Roman Bold"/>
          <w:b/>
          <w:highlight w:val="yellow"/>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275/2026/0589/VFI-HĐTĐ.65.A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w:t>
      </w:r>
      <w:r>
        <w:rPr>
          <w:spacing w:val="-4"/>
          <w:highlight w:val="none"/>
          <w:lang w:val="vi-VN"/>
        </w:rPr>
        <w:t xml:space="preserve"> </w:t>
      </w:r>
      <w:r>
        <w:rPr>
          <w:rFonts w:ascii="Times New Roman Bold" w:hAnsi="Times New Roman Bold"/>
          <w:b w:val="0"/>
          <w:bCs w:val="0"/>
          <w:lang w:val="pt-BR"/>
        </w:rPr>
        <w:t xml:space="preserve">Ông </w:t>
      </w:r>
      <w:r>
        <w:rPr>
          <w:b w:val="0"/>
          <w:bCs w:val="0"/>
        </w:rPr>
        <w:t xml:space="preserve">Nguyễn Văn Hạnh</w:t>
      </w:r>
      <w:r>
        <w:rPr>
          <w:b w:val="0"/>
          <w:bCs w:val="0"/>
          <w:spacing w:val="-4"/>
          <w:highlight w:val="none"/>
          <w:lang w:val="vi-VN"/>
        </w:rPr>
        <w:t xml:space="preserve"> </w:t>
      </w:r>
      <w:r>
        <w:rPr>
          <w:b w:val="0"/>
          <w:bCs w:val="0"/>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275/2026/0589/VFI-BC.65.A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Văn Hạnh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001071044597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Du Đồng, Đại Hùng, Ứng Hòa, Hà Nội </w:t>
            </w:r>
            <w:r>
              <w:rPr>
                <w:color w:val="000000"/>
              </w:rPr>
              <w:t xml:space="preserve">(nay là xã</w:t>
            </w:r>
            <w:r>
              <w:rPr>
                <w:color w:val="000000"/>
              </w:rPr>
              <w:t xml:space="preserve"> Ứng Hòa,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299, tờ bản đồ số 22 có địa chỉ: Thôn Du Đồng, xã Đại Hùng, huyện Ứng Hòa, TP.Hà Nội (nay là xã</w:t>
      </w:r>
      <w:r>
        <w:rPr>
          <w:color w:val="000000" w:themeColor="text1"/>
        </w:rPr>
        <w:t xml:space="preserve"> Ứng Hòa, thành phố Hà Nội)  theo Giấy chứng nhận quyền sử dụng đất quyền sở hữu nhà ở và tài sản khác gắn liền với đất  số: BO 371594, số vào sổ cấp GCN: CH00603 do Ủy ban nhân dân huyện Ứng Hòa cấp ngày 06/09/2013; Chủ sử dụng đất là Ông: Nguyễn Văn Hạnh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44"/>
        <w:gridCol w:w="1352"/>
        <w:gridCol w:w="2126"/>
        <w:gridCol w:w="1145"/>
        <w:gridCol w:w="1955"/>
        <w:gridCol w:w="2003"/>
      </w:tblGrid>
      <w:tr>
        <w:trPr>
          <w:trHeight w:val="312"/>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87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578" w:type="dxa"/>
            <w:vAlign w:val="center"/>
            <w:textDirection w:val="lrTb"/>
            <w:noWrap w:val="false"/>
          </w:tcPr>
          <w:p>
            <w:pPr>
              <w:pBdr/>
              <w:spacing w:after="0" w:before="0" w:line="240" w:lineRule="auto"/>
              <w:ind w:right="98" w:firstLine="0" w:left="90"/>
              <w:jc w:val="both"/>
              <w:rPr/>
            </w:pPr>
            <w:r>
              <w:rPr>
                <w:rFonts w:ascii="Times New Roman" w:hAnsi="Times New Roman" w:eastAsia="Times New Roman" w:cs="Times New Roman"/>
                <w:color w:val="000000"/>
                <w:sz w:val="24"/>
              </w:rPr>
              <w:t xml:space="preserve">Quyền sử dụng đất tại thửa đất số: 299, tờ bản đồ số 22 có địa chỉ: Thôn Du Đồng, xã Đại Hùng, huyện Ứng Hòa, TP.Hà Nội (nay là xã Ứng Hòa, thành phố Hà Nội)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O 371594, số vào sổ cấp GCN: CH00603 do Ủy ban nhân dân huyện Ứng Hòa cấp ngày 06/09/2013; Chủ sử dụng đất là Ông: Nguyễn Văn Hạnh</w:t>
            </w:r>
            <w:r>
              <w:rPr>
                <w:rFonts w:ascii="Times New Roman" w:hAnsi="Times New Roman" w:eastAsia="Times New Roman" w:cs="Times New Roman"/>
                <w:b/>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352" w:type="dxa"/>
            <w:vAlign w:val="center"/>
            <w:vMerge w:val="restart"/>
            <w:textDirection w:val="lrTb"/>
            <w:noWrap w:val="false"/>
          </w:tcPr>
          <w:p>
            <w:pPr>
              <w:pBdr/>
              <w:spacing w:after="0" w:before="0" w:line="240" w:lineRule="auto"/>
              <w:ind w:right="0" w:firstLine="0" w:left="90"/>
              <w:rPr/>
            </w:pPr>
            <w:r>
              <w:rPr>
                <w:rFonts w:ascii="Times New Roman" w:hAnsi="Times New Roman" w:eastAsia="Times New Roman" w:cs="Times New Roman"/>
                <w:color w:val="000000"/>
                <w:sz w:val="24"/>
              </w:rPr>
              <w:t xml:space="preserve">Đất ở tại nông thôn</w:t>
            </w: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color w:val="ff0000"/>
                <w:sz w:val="24"/>
              </w:rPr>
              <w:t xml:space="preserve">Đất ở</w:t>
            </w:r>
            <w:r>
              <w:rPr>
                <w:rFonts w:ascii="Times New Roman" w:hAnsi="Times New Roman" w:eastAsia="Times New Roman" w:cs="Times New Roman"/>
                <w:color w:val="000000"/>
                <w:sz w:val="24"/>
              </w:rPr>
              <w:t xml:space="preserve"> không nằm trong HLGT</w:t>
            </w:r>
            <w:r/>
          </w:p>
        </w:tc>
        <w:tc>
          <w:tcPr>
            <w:tcBorders>
              <w:bottom w:val="single" w:color="000000" w:sz="5" w:space="0"/>
              <w:right w:val="single" w:color="000000" w:sz="5" w:space="0"/>
            </w:tcBorders>
            <w:tcMar>
              <w:left w:w="0" w:type="dxa"/>
              <w:top w:w="0" w:type="dxa"/>
              <w:right w:w="0" w:type="dxa"/>
              <w:bottom w:w="0" w:type="dxa"/>
            </w:tcMar>
            <w:tcW w:w="11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322,35</w:t>
            </w:r>
            <w:r/>
          </w:p>
        </w:tc>
        <w:tc>
          <w:tcPr>
            <w:shd w:val="clear" w:color="ffffff" w:fill="ffffff"/>
            <w:tcBorders>
              <w:bottom w:val="single" w:color="000000" w:sz="5" w:space="0"/>
              <w:right w:val="single" w:color="000000" w:sz="5" w:space="0"/>
            </w:tcBorders>
            <w:tcMar>
              <w:left w:w="0" w:type="dxa"/>
              <w:top w:w="0" w:type="dxa"/>
              <w:right w:w="0" w:type="dxa"/>
              <w:bottom w:w="0" w:type="dxa"/>
            </w:tcMar>
            <w:tcW w:w="19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5.157.600.000</w:t>
            </w:r>
            <w:r/>
          </w:p>
        </w:tc>
      </w:tr>
      <w:tr>
        <w:trPr>
          <w:trHeight w:val="624"/>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color w:val="000000"/>
                <w:sz w:val="24"/>
              </w:rPr>
            </w:r>
            <w:r>
              <w:rPr>
                <w:rFonts w:ascii="Times New Roman" w:hAnsi="Times New Roman" w:eastAsia="Times New Roman" w:cs="Times New Roman"/>
                <w:color w:val="ff0000"/>
                <w:sz w:val="24"/>
              </w:rPr>
              <w:t xml:space="preserve">Đất ở</w:t>
            </w:r>
            <w:r/>
            <w:r>
              <w:rPr>
                <w:rFonts w:ascii="Times New Roman" w:hAnsi="Times New Roman" w:eastAsia="Times New Roman" w:cs="Times New Roman"/>
                <w:color w:val="000000"/>
                <w:sz w:val="24"/>
              </w:rPr>
              <w:t xml:space="preserve"> nằm trong HLGT</w:t>
            </w:r>
            <w:r/>
          </w:p>
        </w:tc>
        <w:tc>
          <w:tcPr>
            <w:tcBorders>
              <w:bottom w:val="single" w:color="000000" w:sz="5" w:space="0"/>
              <w:right w:val="single" w:color="000000" w:sz="5" w:space="0"/>
            </w:tcBorders>
            <w:tcMar>
              <w:left w:w="0" w:type="dxa"/>
              <w:top w:w="0" w:type="dxa"/>
              <w:right w:w="0" w:type="dxa"/>
              <w:bottom w:w="0" w:type="dxa"/>
            </w:tcMar>
            <w:tcW w:w="11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21,05</w:t>
            </w:r>
            <w:r/>
          </w:p>
        </w:tc>
        <w:tc>
          <w:tcPr>
            <w:shd w:val="clear" w:color="ffffff" w:fill="ffffff"/>
            <w:tcBorders>
              <w:bottom w:val="single" w:color="000000" w:sz="5" w:space="0"/>
              <w:right w:val="single" w:color="000000" w:sz="5" w:space="0"/>
            </w:tcBorders>
            <w:tcMar>
              <w:left w:w="0" w:type="dxa"/>
              <w:top w:w="0" w:type="dxa"/>
              <w:right w:w="0" w:type="dxa"/>
              <w:bottom w:w="0" w:type="dxa"/>
            </w:tcMar>
            <w:tcW w:w="19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2.068.000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43.531.400</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5.201.131.400</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5.200.000.000</w:t>
            </w:r>
            <w:r/>
          </w:p>
        </w:tc>
      </w:tr>
      <w:tr>
        <w:trPr>
          <w:trHeight w:val="324"/>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tỷ hai trăm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10" w:type="dxa"/>
        <w:tblBorders/>
        <w:tblLayout w:type="fixed"/>
        <w:tblLook w:val="04A0" w:firstRow="1" w:lastRow="0" w:firstColumn="1" w:lastColumn="0" w:noHBand="0" w:noVBand="1"/>
      </w:tblPr>
      <w:tblGrid>
        <w:gridCol w:w="29"/>
        <w:gridCol w:w="1701"/>
        <w:gridCol w:w="2835"/>
        <w:gridCol w:w="5346"/>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8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24"/>
        </w:trPr>
        <w:tc>
          <w:tcPr>
            <w:gridSpan w:val="2"/>
            <w:shd w:val="clear" w:color="auto" w:fill="auto"/>
            <w:tcBorders/>
            <w:tcMar>
              <w:left w:w="108" w:type="dxa"/>
              <w:top w:w="0" w:type="dxa"/>
              <w:right w:w="108" w:type="dxa"/>
              <w:bottom w:w="0" w:type="dxa"/>
            </w:tcMar>
            <w:tcW w:w="453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275/2026/0589FI-BC.65.A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4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16 tháng 4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275/2026/0589FI-CT.65.A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Nguyễn Văn Hạnh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001071044597</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1971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Thôn Du Đồng, Đại Hùng, Ứng Hòa, Hà Nội (nay là xã Ứng Hòa,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299, tờ bản đồ số 22 có địa chỉ: Thôn Du Đồng, xã Đại Hùng, huyện Ứng Hòa, TP.Hà Nội (nay là xã</w:t>
            </w:r>
            <w:r>
              <w:rPr>
                <w:bCs/>
                <w:color w:val="000000" w:themeColor="text1"/>
                <w:lang w:val="pt-BR"/>
              </w:rPr>
              <w:t xml:space="preserve"> Ứng Hòa, thành phố Hà Nội)  theo Giấy chứng nhận quyền sử dụng đất quyền sở hữu nhà ở và tài sản khác gắn liền với đất  số: BO 371594, số vào sổ cấp GCN: CH00603 do Ủy ban nhân dân huyện Ứng Hòa cấp ngày 06/09/2013; Chủ sử dụng đất là Ông: Nguyễn Văn Hạnh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Du Đồng xã Đại Hùng huyện Ứng Hòa TP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20.66479, 105.84670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BO 371594, số vào sổ cấp GCN: CH00603 do Ủy ban nhân dân huyện Ứng Hòa cấp ngày 06/09/2013; Chủ sử dụng đất là Ông: Nguyễn Văn Hạnh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275/2026/0589/VFI-HĐTĐ.65.A ngày 16/04/2026 giữa ông Nguyễn Văn Hạnh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highlight w:val="white"/>
          <w:lang w:val="pt-BR"/>
        </w:rPr>
        <w:tab/>
      </w:r>
      <w:r>
        <w:rPr>
          <w:rFonts w:ascii="Times New Roman" w:hAnsi="Times New Roman" w:eastAsia="Times New Roman" w:cs="Times New Roman"/>
          <w:color w:val="000000" w:themeColor="text1"/>
          <w:sz w:val="22"/>
        </w:rPr>
        <w:t xml:space="preserve">Sau giai đoạn tăng tốc mạnh mẽ, thị trường căn hộ Hà Nội bước vào một chu kỳ mới với thách thức rõ rệt với tình trạng giá đã chạm trần trong khi nguồn cung đang trên đà bùng nổ.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 Theo dự báo của CBRE, giai đoạn 2024 - 2027, Hà Nội mỗi năm sẽ đón trung bình khoảng 30.000 căn hộ mới - mức cao nhất trong lịch sử, trong khi đó Savills cũng đưa ra dự báo riêng giai đoạn 2026 - 2027 sẽ có khoảng 46.600 căn từ hơn 40 dự án ra mắt.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 Dù con số của các đơn vị nghiên cứu thị trường đưa ra có sự khác biệt nhau do cách tổng hợp dữ liệu khác nhau, nhưng tụi trung lại, xu hướng “hàng ra ồ ạt” trong năm 2025 là điều đã được dự báo rõ nét ngay từ thời điểm hiện tại.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 Đặc biệt khi Chính phủ đang quyết tâm đẩy nhanh tiến độ tháo gỡ cho gần 3.000 dự án tồn đọng sau khi Bộ Chính trị cho chủ trương. Trong đó, việc Quốc hội vừa thông qua Nghị quyết tháo gỡ vướng mắc trong thi hành Luật Đất dai 2024 là một trong những bước t</w:t>
      </w:r>
      <w:r>
        <w:rPr>
          <w:rFonts w:ascii="Times New Roman" w:hAnsi="Times New Roman" w:eastAsia="Times New Roman" w:cs="Times New Roman"/>
          <w:color w:val="000000" w:themeColor="text1"/>
          <w:sz w:val="22"/>
        </w:rPr>
        <w:t xml:space="preserve">iến quan trọng để giải quyết triệt để vướng mắc từ các dự án này.</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 Từ cơ chế tài chính mới liên quan đến bảng giá đất, định giá đất và các vấn đề thu hồi đất, mở rộng không gian tiếp cận đất đai,… các quy định mới sẽ giúp giải phóng một dự án lớn thoát khỏi tình trạng “treo” kéo dài. Đó không chỉ là những tòa nhà dở dang</w:t>
      </w:r>
      <w:r>
        <w:rPr>
          <w:rFonts w:ascii="Times New Roman" w:hAnsi="Times New Roman" w:eastAsia="Times New Roman" w:cs="Times New Roman"/>
          <w:color w:val="000000" w:themeColor="text1"/>
          <w:sz w:val="22"/>
        </w:rPr>
        <w:t xml:space="preserve"> hay những khu đất hoang mà là một phần rất lớn tài sản hữu hình của nền kinh tế: nhà xưởng, hạ tầng, khu đô thị, chuỗi dịch vụ, việc làm, thu ngân sách tương lai.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 Một điểm dễ nhận thấy là nhu cầu ở thực vẫn chiếm tỷ trọng lớn, trong khi yếu tố đầu tư dần chọn lọc hơn. Những dự án sở hữu vị trí trung tâm, hạ tầng hoàn thiện, pháp lý minh bạch và chủ đầu tư uy tín tiếp tục ghi nhận thanh khoản ổn định. Ngược lại, các</w:t>
      </w:r>
      <w:r>
        <w:rPr>
          <w:rFonts w:ascii="Times New Roman" w:hAnsi="Times New Roman" w:eastAsia="Times New Roman" w:cs="Times New Roman"/>
          <w:color w:val="000000" w:themeColor="text1"/>
          <w:sz w:val="22"/>
        </w:rPr>
        <w:t xml:space="preserve"> dự án xa trung tâm, thiếu tiện ích hoặc giá bán vượt xa khả năng chi trả của số đông sẽ khó duy trì sức hấp dẫn.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Ứng Hòa nằm ở phía Nam Hà Nội, tiếp giáp với các huyện và tỉnh lân cận như Thanh Oai, Chương Mỹ, Phú Xuyên và Kim Bảng (Hà Nam). Đây là huyện ngoại thành có địa hình tương đối bằng phẳng, với sông Đáy làm ranh giới tự nhiên phía Tây, ngăn cách huyện với kh</w:t>
      </w:r>
      <w:r>
        <w:rPr>
          <w:rFonts w:ascii="Times New Roman" w:hAnsi="Times New Roman" w:eastAsia="Times New Roman" w:cs="Times New Roman"/>
          <w:color w:val="000000" w:themeColor="text1"/>
          <w:sz w:val="22"/>
        </w:rPr>
        <w:t xml:space="preserve">u vực núi đá vôi của Mỹ Đức. Vị trí của huyện khá thuận lợi cho việc giao thương và phát triển kinh tế vùng.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Bất động sản Ứng Hòa, khu vực phía Nam Hà Nội, đang thu hút sự quan tâm của giới đầu tư nhờ vào sự phát triển đồng bộ về hạ tầng giao thông và công nghiệp. Sự xuất hiện của các cụm công nghiệp lớn, như Cầu Bầu và Xà Cầu, cùng việc nâng cấp các tuyến đường </w:t>
      </w:r>
      <w:r>
        <w:rPr>
          <w:rFonts w:ascii="Times New Roman" w:hAnsi="Times New Roman" w:eastAsia="Times New Roman" w:cs="Times New Roman"/>
          <w:color w:val="000000" w:themeColor="text1"/>
          <w:sz w:val="22"/>
        </w:rPr>
        <w:t xml:space="preserve">trọng điểm đã tạo động lực cho thị trường bất động sản nơi đây. Với mức giá còn hấp dẫn và tiềm năng tăng trưởng cao, Ứng Hòa đang dần khẳng định vị thế là điểm đến đầu tư bất động sản đầy hứa hẹn.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center" w:leader="none" w:pos="4762"/>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2"/>
        </w:rPr>
        <w:t xml:space="preserve">Với định hướng phát triển theo mô hình nông nghiệp hóa - công nghệ cao, kết hợp nông nghiệp với công nghiệp và dịch vụ đô thị hiện đại, Ứng Hòa đang thu hút nhiều doanh nghiệp đầu tư vào khu công nghiệp và tiểu thủ công nghiệp. Điều này không chỉ tạo ra cơ</w:t>
      </w:r>
      <w:r>
        <w:rPr>
          <w:rFonts w:ascii="Times New Roman" w:hAnsi="Times New Roman" w:eastAsia="Times New Roman" w:cs="Times New Roman"/>
          <w:color w:val="000000" w:themeColor="text1"/>
          <w:sz w:val="22"/>
        </w:rPr>
        <w:t xml:space="preserve"> hội việc làm mà còn khiến khu vực trở nên đông đúc, kéo theo sự phát triển mạnh mẽ của thị trường bất động sản.</w:t>
      </w:r>
      <w:r>
        <w:rPr>
          <w:color w:val="000000" w:themeColor="text1"/>
        </w:rPr>
        <w:tab/>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 w:val="left" w:leader="none" w:pos="7456"/>
        </w:tabs>
        <w:spacing w:after="120" w:before="120" w:line="276"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rPr>
        <w:t xml:space="preserve">Thị trường bất động sản huyện Ứng Hòa đang trên đà phát triển mạnh mẽ nhờ vào sự đầu tư đồng bộ về hạ tầng, giao thông và sự bùng nổ của các cụm công nghiệp. Với mức giá nhà đất tương đối rẻ và tiềm năng tăng trưởng dài hạn, Ứng Hòa hứa hẹn sẽ là một trong</w:t>
      </w:r>
      <w:r>
        <w:rPr>
          <w:rFonts w:ascii="Times New Roman" w:hAnsi="Times New Roman" w:eastAsia="Times New Roman" w:cs="Times New Roman"/>
          <w:color w:val="000000" w:themeColor="text1"/>
          <w:sz w:val="22"/>
        </w:rPr>
        <w:t xml:space="preserve"> những điểm đến đầu tư bất động sản đầy triển vọng trong thời gian tới.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color w:val="000000"/>
          <w:sz w:val="22"/>
          <w:highlight w:val="white"/>
        </w:rPr>
        <w:t xml:space="preserve">(https://thoibaotaichinhvietnam.vn/phac-hoa-quy-dao-bat-dong-san-ha-noi-2026-188581.html)</w:t>
      </w:r>
      <w:r>
        <w:rPr>
          <w:bCs/>
          <w:i/>
          <w:highlight w:val="white"/>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299, tờ bản đồ số 22 có địa chỉ: Thôn Du Đồng, xã Đại Hùng, huyện Ứng Hòa, TP.Hà Nội (nay là xã</w:t>
            </w:r>
            <w:r>
              <w:rPr>
                <w:b/>
                <w:bCs/>
                <w:color w:val="000000"/>
              </w:rPr>
              <w:t xml:space="preserve"> Ứng Hòa, thành phố Hà Nội)  theo Giấy chứng nhận quyền sử dụng đất quyền sở hữu nhà ở và tài sản khác gắn liền với đất  số: BO 371594, số vào sổ cấp GCN: CH00603 do Ủy ban nhân dân huyện Ứng Hòa cấp ngày 06/09/2013; Chủ sử dụng đất là Ông: Nguyễn Văn Hạnh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Du Đồng, xã Đại Hùng, huyện Ứng Hòa, TP.Hà Nội (nay là xã Ứng Hòa,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343,4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được thông tin quy hoạch thửa đất hiện có 21,05 m² thuộc quy hoạch đất giao thông.</w:t>
            </w:r>
            <w:r/>
          </w:p>
        </w:tc>
      </w:tr>
      <w:tr>
        <w:trPr>
          <w:trHeight w:val="2136"/>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380695" cy="271882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50742" name=""/>
                              <pic:cNvPicPr>
                                <a:picLocks noChangeAspect="1"/>
                              </pic:cNvPicPr>
                              <pic:nvPr/>
                            </pic:nvPicPr>
                            <pic:blipFill rotWithShape="1">
                              <a:blip r:embed="rId17"/>
                              <a:stretch/>
                            </pic:blipFill>
                            <pic:spPr bwMode="auto">
                              <a:xfrm flipH="0" flipV="0">
                                <a:off x="0" y="0"/>
                                <a:ext cx="5380694" cy="2718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68pt;height:214.08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đường ngõ rộng khoảng 2m, cách trục chính thôn khoảng 170m, cách đường TL 426 khoảng 3km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Hướng Tây: tiếp giáp với đường</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highlight w:val="white"/>
              </w:rPr>
            </w:pPr>
            <w:r>
              <w:rPr>
                <w:rFonts w:ascii="Times New Roman" w:hAnsi="Times New Roman" w:eastAsia="Times New Roman" w:cs="Times New Roman"/>
                <w:color w:val="000000"/>
                <w:sz w:val="24"/>
                <w:highlight w:val="white"/>
              </w:rPr>
              <w:t xml:space="preserve">Các hướng khác: Tiếp giáp các thửa đất khác.</w:t>
            </w:r>
            <w:r>
              <w:rPr>
                <w:sz w:val="22"/>
                <w:szCs w:val="22"/>
                <w:highlight w:val="white"/>
              </w:rPr>
            </w:r>
            <w:r>
              <w:rPr>
                <w:sz w:val="22"/>
                <w:szCs w:val="22"/>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20.66479</w:t>
            </w:r>
            <w:r>
              <w:rPr>
                <w:color w:val="000000"/>
              </w:rPr>
              <w:t xml:space="preserve">, </w:t>
            </w:r>
            <w:r>
              <w:rPr>
                <w:color w:val="000000"/>
              </w:rPr>
              <w:t xml:space="preserve">105.84670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66420" cy="3023187"/>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66419" cy="30231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0.43pt;height:238.0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18,62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Tây</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Khu vực tập trung dân cư</w:t>
            </w:r>
            <w:r>
              <w:rPr>
                <w:highlight w:val="yellow"/>
              </w:rPr>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 Tại thời điểm khảo sát, CTXD gắn liền với đất là một nhà cấp bốn diện tích xây dựng khoảng 72m². Công trình trên đất hoàn thành xây dựng năm 2014. CTXD tại thời điểm khảo sát chưa  được chứng nhận trên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BO 371594. Do vậy, theo đề nghị của Ngân hàng/Khách hàng, Tổ thẩm định không xác định giá trị của công trình xây dựng vào tổng giá trị, nhưng vẫn coi đó là phần không thể tách rời của tài sản thẩm định. Kính đề nghị đơn</w:t>
            </w:r>
            <w:r>
              <w:rPr>
                <w:rFonts w:ascii="Times New Roman" w:hAnsi="Times New Roman" w:eastAsia="Times New Roman" w:cs="Times New Roman"/>
                <w:color w:val="000000"/>
                <w:sz w:val="24"/>
              </w:rPr>
              <w:t xml:space="preserve"> vị sử dụng kết quả lưu ý.</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4"/>
          <w:szCs w:val="24"/>
          <w:lang w:val="pt-BR"/>
        </w:rPr>
      </w:r>
      <w:r>
        <w:rPr>
          <w:rFonts w:ascii="Times New Roman" w:hAnsi="Times New Roman" w:eastAsia="Times New Roman" w:cs="Times New Roman"/>
          <w:color w:val="000000" w:themeColor="text1"/>
          <w:sz w:val="24"/>
          <w:szCs w:val="24"/>
        </w:rPr>
        <w:t xml:space="preserve">Tại thời điểm khảo sát, CTXD gắn liền với đất là một nhà cấp bốn diện tích xây dựng khoảng 72m². Công trình trên đất hoàn thành xây dựng năm 2014. CTXD tại thời điểm khảo sát chưa  được chứng nhận trên Giấy chứng nhận quyền sử dụng đất quyền sở hữu nhà ở v</w:t>
      </w:r>
      <w:r>
        <w:rPr>
          <w:rFonts w:ascii="Times New Roman" w:hAnsi="Times New Roman" w:eastAsia="Times New Roman" w:cs="Times New Roman"/>
          <w:color w:val="000000" w:themeColor="text1"/>
          <w:sz w:val="24"/>
          <w:szCs w:val="24"/>
        </w:rPr>
        <w:t xml:space="preserve">à tài sản khác gắn liền với đất số BO 371594. Do vậy, theo đề nghị của Ngân hàng/Khách hàng, Tổ thẩm định không xác định giá trị của công trình xây dựng vào tổng giá trị, nhưng vẫn coi đó là phần không thể tách rời của tài sản thẩm định. Kính đề nghị đơn v</w:t>
      </w:r>
      <w:r>
        <w:rPr>
          <w:rFonts w:ascii="Times New Roman" w:hAnsi="Times New Roman" w:eastAsia="Times New Roman" w:cs="Times New Roman"/>
          <w:color w:val="000000" w:themeColor="text1"/>
          <w:sz w:val="24"/>
          <w:szCs w:val="24"/>
        </w:rPr>
        <w:t xml:space="preserve">ị sử dụng kết quả lưu 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Hùng, Huyện Ứng Hòa, Thành phố Hà Nội </w:t>
            </w:r>
            <w:r>
              <w:rPr>
                <w:rFonts w:ascii="Times New Roman" w:hAnsi="Times New Roman" w:eastAsia="Times New Roman" w:cs="Times New Roman"/>
                <w:color w:val="000000"/>
                <w:sz w:val="24"/>
              </w:rPr>
              <w:t xml:space="preserve">(nay là xã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Đường, Huyện Ứng Hòa, Thành phố Hà Nội </w:t>
            </w:r>
            <w:r>
              <w:rPr>
                <w:rFonts w:ascii="Times New Roman" w:hAnsi="Times New Roman" w:eastAsia="Times New Roman" w:cs="Times New Roman"/>
                <w:color w:val="000000"/>
                <w:sz w:val="24"/>
              </w:rPr>
              <w:t xml:space="preserve">(nay là xã Ứng Hòa,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https://www.facebook.com/groups/448305169750494/permalink/1604967260750940/?sale_post_id=1604967260750940&amp;rdid=Z0IJpHDx53D9mjZE#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https://www.facebook.com/groups/448305169750494/permalink/1568475591066774/?sale_post_id=1568475591066774&amp;rdid=RCvjQE8JOUTvcomB#</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0989263938</w:t>
            </w:r>
            <w:r>
              <w:rPr>
                <w:sz w:val="22"/>
                <w:szCs w:val="22"/>
              </w:rPr>
              <w:t xml:space="preserve"> </w:t>
            </w:r>
            <w:r>
              <w:rPr>
                <w:sz w:val="22"/>
                <w:szCs w:val="22"/>
              </w:rPr>
              <w:br/>
              <w:t xml:space="preserve">(</w:t>
            </w:r>
            <w:r>
              <w:rPr>
                <w:sz w:val="22"/>
                <w:szCs w:val="22"/>
              </w:rPr>
              <w:t xml:space="preserve">Trang Loan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0338087734</w:t>
            </w:r>
            <w:r>
              <w:rPr>
                <w:sz w:val="22"/>
                <w:szCs w:val="22"/>
              </w:rPr>
              <w:br/>
            </w:r>
            <w:r>
              <w:rPr>
                <w:sz w:val="22"/>
                <w:szCs w:val="22"/>
              </w:rPr>
              <w:t xml:space="preserve">(</w:t>
            </w:r>
            <w:r>
              <w:rPr>
                <w:sz w:val="22"/>
                <w:szCs w:val="22"/>
              </w:rPr>
              <w:t xml:space="preserve">Lâm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0964916872</w:t>
            </w:r>
            <w:r>
              <w:rPr>
                <w:sz w:val="22"/>
                <w:szCs w:val="22"/>
              </w:rPr>
              <w:br/>
            </w:r>
            <w:r>
              <w:rPr>
                <w:sz w:val="22"/>
                <w:szCs w:val="22"/>
              </w:rPr>
              <w:t xml:space="preserve">(</w:t>
            </w:r>
            <w:r>
              <w:rPr>
                <w:sz w:val="22"/>
                <w:szCs w:val="22"/>
              </w:rPr>
              <w:t xml:space="preserve">Đinh Văn Sơn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Đại Hùng, Huyện Ứng Hòa, Thành phố Hà Nội </w:t>
            </w:r>
            <w:r>
              <w:rPr>
                <w:rFonts w:ascii="Times New Roman" w:hAnsi="Times New Roman" w:eastAsia="Times New Roman" w:cs="Times New Roman"/>
                <w:color w:val="000000"/>
                <w:sz w:val="24"/>
              </w:rPr>
              <w:t xml:space="preserve">(nay là xã Ứng Hòa, thành phố Hà Nội)</w:t>
            </w:r>
            <w:r>
              <w:rPr>
                <w:color w:val="000000" w:themeColor="text1"/>
                <w:sz w:val="22"/>
                <w:szCs w:val="22"/>
                <w:highlight w:val="white"/>
              </w:rPr>
              <w:t xml:space="preserve">, </w:t>
            </w:r>
            <w:r>
              <w:rPr>
                <w:color w:val="000000" w:themeColor="text1"/>
                <w:sz w:val="22"/>
                <w:szCs w:val="22"/>
                <w:highlight w:val="white"/>
              </w:rPr>
              <w:t xml:space="preserve">cách trục chính thôn khoảng 170m, </w:t>
            </w:r>
            <w:r>
              <w:rPr>
                <w:rFonts w:ascii="Times New Roman" w:hAnsi="Times New Roman" w:eastAsia="Times New Roman" w:cs="Times New Roman"/>
                <w:color w:val="000000"/>
                <w:sz w:val="24"/>
              </w:rPr>
              <w:t xml:space="preserve">cách đường TL 426 khoảng 3km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color w:val="000000" w:themeColor="text1"/>
                <w:sz w:val="22"/>
                <w:szCs w:val="22"/>
                <w:highlight w:val="white"/>
              </w:rPr>
              <w:t xml:space="preserve">, cách đường TL 426 khoảng 100m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color w:val="000000" w:themeColor="text1"/>
                <w:sz w:val="22"/>
                <w:szCs w:val="22"/>
                <w:highlight w:val="white"/>
              </w:rPr>
              <w:t xml:space="preserve">, khoảng cách ra đường chính cách đường TL 428 khoảng 300m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Kim Đường, Huyện Ứng Hòa, Thành phố Hà Nội </w:t>
            </w:r>
            <w:r>
              <w:rPr>
                <w:rFonts w:ascii="Times New Roman" w:hAnsi="Times New Roman" w:eastAsia="Times New Roman" w:cs="Times New Roman"/>
                <w:color w:val="000000"/>
                <w:sz w:val="24"/>
              </w:rPr>
              <w:t xml:space="preserve">(nay là xã Ứng Hòa, thành phố Hà Nội)</w:t>
            </w:r>
            <w:r>
              <w:rPr>
                <w:color w:val="000000" w:themeColor="text1"/>
                <w:sz w:val="22"/>
                <w:szCs w:val="22"/>
                <w:highlight w:val="white"/>
              </w:rPr>
              <w:t xml:space="preserve">, </w:t>
            </w:r>
            <w:r>
              <w:rPr>
                <w:color w:val="000000" w:themeColor="text1"/>
                <w:sz w:val="22"/>
                <w:szCs w:val="22"/>
                <w:highlight w:val="none"/>
              </w:rPr>
              <w:t xml:space="preserve">cách đường TL 428 khoảng 1,5km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30.451.128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25.148.936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25.683.710</w:t>
            </w:r>
            <w:r>
              <w:rPr>
                <w:color w:val="000000"/>
                <w:sz w:val="22"/>
                <w:szCs w:val="22"/>
              </w:rPr>
            </w:r>
            <w:r>
              <w:rPr>
                <w:color w:val="000000"/>
                <w:sz w:val="22"/>
                <w:szCs w:val="22"/>
              </w:rPr>
            </w:r>
          </w:p>
        </w:tc>
      </w:tr>
      <w:tr>
        <w:trPr>
          <w:trHeight w:val="4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w:t>
            </w:r>
            <w:r>
              <w:rPr>
                <w:b/>
                <w:bCs/>
                <w:color w:val="000000"/>
                <w:sz w:val="22"/>
                <w:szCs w:val="22"/>
                <w:highlight w:val="white"/>
              </w:rPr>
              <w:t xml:space="preserve">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1.773.000.000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30.451.128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25.148.936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25.683.710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30.451.128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25.148.936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25.683.710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Đại Hùng,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cách trục chính thôn khoảng 170m, </w:t>
            </w:r>
            <w:r>
              <w:rPr>
                <w:rFonts w:ascii="Times New Roman" w:hAnsi="Times New Roman" w:eastAsia="Times New Roman" w:cs="Times New Roman"/>
                <w:color w:val="000000"/>
                <w:sz w:val="24"/>
              </w:rPr>
              <w:t xml:space="preserve">cách đường TL 426 khoảng 3km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cách đường TL 426 khoảng 100m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khoảng cách ra đường chính cách đường TL 428 khoảng 300m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Kim Đường,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w:t>
            </w:r>
            <w:r>
              <w:rPr>
                <w:rFonts w:ascii="Times New Roman" w:hAnsi="Times New Roman" w:eastAsia="Times New Roman" w:cs="Times New Roman"/>
                <w:color w:val="000000"/>
                <w:sz w:val="22"/>
              </w:rPr>
              <w:t xml:space="preserve">cách đường TL 428 khoảng 1,5km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-1.257.447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-770.511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28.015.038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23.891.489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24.913.199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-770.511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26.492.482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23.891.489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24.142.688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343,4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79,8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70,5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84,1</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-6.090.226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-5.029.787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-5.136.742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20.402.256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18.861.702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19.005.946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18,62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7,43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-1.257.447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-1.284.186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19.793.233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17.604.255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17.721.760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-1.257.447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19.793.233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16.346.808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17.721.760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-2.131.579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-1.760.426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-1.797.860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17.661.654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14.586.382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15.923.900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17.661.654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14.586.382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15.923.900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16.057.312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12.789.474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10.562.554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9.759.810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12.789.474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10.562.554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9.759.810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0,83</w:t>
      </w:r>
      <w:r>
        <w:t xml:space="preserve">% đến</w:t>
      </w:r>
      <w:r>
        <w:t xml:space="preserve"> </w:t>
      </w:r>
      <w:r>
        <w:t xml:space="preserve"> </w:t>
      </w:r>
      <w:r>
        <w:t xml:space="preserve">9,99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17.661.654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5.888.395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14.586.382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4.861.641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15.923.900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5.307.436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16.057.472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Xác định đơn giá đất nằm trong hành lang giao thông:</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rPr>
        <w:t xml:space="preserve">Căn cứ </w:t>
      </w:r>
      <w:r>
        <w:rPr>
          <w:rFonts w:ascii="Times New Roman" w:hAnsi="Times New Roman" w:eastAsia="Times New Roman" w:cs="Times New Roman"/>
          <w:color w:val="141823"/>
          <w:sz w:val="24"/>
          <w:highlight w:val="white"/>
        </w:rPr>
        <w:t xml:space="preserve">Nghị quyết 52/2025/NQ-HĐND do Hội đồng nhân dân thành phố Hà Nội ban hành ngày 16 tháng 11 năm 2025</w:t>
      </w:r>
      <w:r>
        <w:rPr>
          <w:rFonts w:ascii="Times New Roman" w:hAnsi="Times New Roman" w:eastAsia="Times New Roman" w:cs="Times New Roman"/>
          <w:color w:val="141823"/>
          <w:sz w:val="24"/>
        </w:rPr>
        <w:t xml:space="preserve">,</w:t>
      </w:r>
      <w:r>
        <w:rPr>
          <w:rFonts w:ascii="Times New Roman" w:hAnsi="Times New Roman" w:eastAsia="Times New Roman" w:cs="Times New Roman"/>
          <w:color w:val="000000"/>
          <w:sz w:val="24"/>
        </w:rPr>
        <w:t xml:space="preserve"> quy định về bảng giá đất lần đầu để công bố và áp dụng từ ngày 01 tháng 01 năm 2026 trên địa bàn thành phố Hà Nội.</w:t>
      </w:r>
      <w:r/>
    </w:p>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highlight w:val="white"/>
        </w:rPr>
        <w:t xml:space="preserve">Đối với thửa đất tại vị trí 2, vị trí 3 và vị trí 4 tại Phụ lục số 12 (chỉ áp dụng đối với các thửa đất (khu đất) thuộc địa giới hành chính các xã Đoài Phương, Phúc Lộc, Phúc Thọ, Hát Môn) đến Phụ lục số 17 thuộc các khu dân cư cũ (không nằm trong dự án đầ</w:t>
      </w:r>
      <w:r>
        <w:rPr>
          <w:rFonts w:ascii="Times New Roman" w:hAnsi="Times New Roman" w:eastAsia="Times New Roman" w:cs="Times New Roman"/>
          <w:color w:val="000000"/>
          <w:sz w:val="24"/>
          <w:highlight w:val="white"/>
        </w:rPr>
        <w:t xml:space="preserve">u tư xây dựng: khu đô thị mới, khu đấu giá, khu tái định cư, khu nhà ở, điểm công nghiệp, cụm công nghiệp hoặc khu công nghiệp) nếu có khoảng cách theo đường hiện trạng từ mốc giới đầu tiên của thửa đất (khu đất) đến đường có tên trong Bảng giá đất từ 500m</w:t>
      </w:r>
      <w:r>
        <w:rPr>
          <w:rFonts w:ascii="Times New Roman" w:hAnsi="Times New Roman" w:eastAsia="Times New Roman" w:cs="Times New Roman"/>
          <w:color w:val="000000"/>
          <w:sz w:val="24"/>
          <w:highlight w:val="white"/>
        </w:rPr>
        <w:t xml:space="preserve"> trở lên được áp dụng giá đất khu dân cư nông thôn</w:t>
      </w:r>
      <w:r>
        <w:rPr>
          <w:rFonts w:ascii="Calibri" w:hAnsi="Calibri" w:eastAsia="Calibri" w:cs="Calibri"/>
          <w:color w:val="000000"/>
          <w:sz w:val="22"/>
        </w:rPr>
        <w:t xml:space="preserve">.</w:t>
      </w:r>
      <w:r/>
    </w:p>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rPr>
        <w:t xml:space="preserve">Phụ lục số 16: Bảng giá đất khu vực 16: </w:t>
      </w:r>
      <w:r>
        <w:rPr>
          <w:rFonts w:ascii="Times New Roman" w:hAnsi="Times New Roman" w:eastAsia="Times New Roman" w:cs="Times New Roman"/>
          <w:color w:val="000000"/>
          <w:sz w:val="24"/>
          <w:highlight w:val="white"/>
        </w:rPr>
        <w:t xml:space="preserve">Áp dụng đối với các thửa đất (khu đất) thuộc địa giới hành chính các xã: Phúc Sơn, Ứng Thiên, Ứng Hoà, Mỹ Đức, Vân Đình, Hồng Sơn, Hoà Xá, Hương Sơn): Khu dân cư nông thôn, xã Ứng Hòa </w:t>
      </w:r>
      <w:r>
        <w:rPr>
          <w:rFonts w:ascii="Times New Roman" w:hAnsi="Times New Roman" w:eastAsia="Times New Roman" w:cs="Times New Roman"/>
          <w:color w:val="000000"/>
          <w:sz w:val="24"/>
        </w:rPr>
        <w:t xml:space="preserve">là: </w:t>
      </w:r>
      <w:r>
        <w:rPr>
          <w:rFonts w:ascii="Times New Roman" w:hAnsi="Times New Roman" w:eastAsia="Times New Roman" w:cs="Times New Roman"/>
          <w:b/>
          <w:color w:val="000000"/>
          <w:sz w:val="24"/>
        </w:rPr>
        <w:t xml:space="preserve">2.068.000 đồng/m²</w:t>
      </w:r>
      <w:r>
        <w:rPr>
          <w:rFonts w:ascii="Calibri" w:hAnsi="Calibri" w:eastAsia="Calibri" w:cs="Calibri"/>
          <w:sz w:val="22"/>
        </w:rPr>
      </w:r>
      <w:r/>
    </w:p>
    <w:p>
      <w:pPr>
        <w:pStyle w:val="1027"/>
        <w:numPr>
          <w:ilvl w:val="0"/>
          <w:numId w:val="26"/>
        </w:numPr>
        <w:pBdr/>
        <w:spacing w:after="120" w:before="120" w:line="276" w:lineRule="auto"/>
        <w:ind w:hanging="357" w:left="357"/>
        <w:jc w:val="both"/>
        <w:rPr>
          <w:b/>
          <w:bCs/>
          <w:lang w:val="pt-BR"/>
        </w:rPr>
      </w:pPr>
      <w:r>
        <w:rPr>
          <w:b/>
          <w:highlight w:val="none"/>
          <w:lang w:val="pt-BR" w:bidi="pt-BR"/>
        </w:rPr>
        <w:t xml:space="preserve">Kết quả thẩm định giá:</w:t>
      </w:r>
      <w:r>
        <w:rPr>
          <w:b/>
          <w:bCs/>
          <w:lang w:val="pt-BR"/>
        </w:rPr>
      </w:r>
      <w:r>
        <w:rPr>
          <w:b/>
          <w:bCs/>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44"/>
        <w:gridCol w:w="1210"/>
        <w:gridCol w:w="2126"/>
        <w:gridCol w:w="1287"/>
        <w:gridCol w:w="1955"/>
        <w:gridCol w:w="2003"/>
      </w:tblGrid>
      <w:tr>
        <w:trPr>
          <w:trHeight w:val="312"/>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87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578" w:type="dxa"/>
            <w:vAlign w:val="center"/>
            <w:textDirection w:val="lrTb"/>
            <w:noWrap w:val="false"/>
          </w:tcPr>
          <w:p>
            <w:pPr>
              <w:pBdr/>
              <w:spacing w:after="0" w:before="0" w:line="240" w:lineRule="auto"/>
              <w:ind w:right="98" w:firstLine="0" w:left="90"/>
              <w:jc w:val="both"/>
              <w:rPr/>
            </w:pPr>
            <w:r>
              <w:rPr>
                <w:rFonts w:ascii="Times New Roman" w:hAnsi="Times New Roman" w:eastAsia="Times New Roman" w:cs="Times New Roman"/>
                <w:color w:val="000000"/>
                <w:sz w:val="24"/>
              </w:rPr>
              <w:t xml:space="preserve">Quyền sử dụng đất tại thửa đất số: 299, tờ bản đồ số 22 có địa chỉ: Thôn Du Đồng, xã Đại Hùng, huyện Ứng Hòa, TP.Hà Nội (nay là xã Ứng Hòa, thành phố Hà Nội)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O 371594, số vào sổ cấp GCN: CH00603 do Ủy ban nhân dân huyện Ứng Hòa cấp ngày 06/09/2013; Chủ sử dụng đất là Ông: Nguyễn Văn Hạnh</w:t>
            </w:r>
            <w:r>
              <w:rPr>
                <w:rFonts w:ascii="Times New Roman" w:hAnsi="Times New Roman" w:eastAsia="Times New Roman" w:cs="Times New Roman"/>
                <w:b/>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210" w:type="dxa"/>
            <w:vAlign w:val="center"/>
            <w:vMerge w:val="restart"/>
            <w:textDirection w:val="lrTb"/>
            <w:noWrap w:val="false"/>
          </w:tcPr>
          <w:p>
            <w:pPr>
              <w:pBdr/>
              <w:spacing w:after="0" w:before="0" w:line="240" w:lineRule="auto"/>
              <w:ind w:right="0" w:firstLine="0" w:left="77"/>
              <w:rPr/>
            </w:pPr>
            <w:r>
              <w:rPr>
                <w:rFonts w:ascii="Times New Roman" w:hAnsi="Times New Roman" w:eastAsia="Times New Roman" w:cs="Times New Roman"/>
                <w:color w:val="000000"/>
                <w:sz w:val="24"/>
              </w:rPr>
              <w:t xml:space="preserve">Đất ở tại nông thôn</w:t>
            </w: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ff0000"/>
                <w:sz w:val="24"/>
              </w:rPr>
              <w:t xml:space="preserve">Đất ở</w:t>
            </w:r>
            <w:r>
              <w:rPr>
                <w:rFonts w:ascii="Times New Roman" w:hAnsi="Times New Roman" w:eastAsia="Times New Roman" w:cs="Times New Roman"/>
                <w:color w:val="000000"/>
                <w:sz w:val="24"/>
              </w:rPr>
              <w:t xml:space="preserve"> không nằm trong HLGT</w:t>
            </w:r>
            <w:r/>
          </w:p>
        </w:tc>
        <w:tc>
          <w:tcPr>
            <w:tcBorders>
              <w:bottom w:val="single" w:color="000000" w:sz="5" w:space="0"/>
              <w:right w:val="single" w:color="000000" w:sz="5" w:space="0"/>
            </w:tcBorders>
            <w:tcMar>
              <w:left w:w="0" w:type="dxa"/>
              <w:top w:w="0" w:type="dxa"/>
              <w:right w:w="0" w:type="dxa"/>
              <w:bottom w:w="0" w:type="dxa"/>
            </w:tcMar>
            <w:tcW w:w="12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322,35</w:t>
            </w:r>
            <w:r/>
          </w:p>
        </w:tc>
        <w:tc>
          <w:tcPr>
            <w:shd w:val="clear" w:color="ffffff" w:fill="ffffff"/>
            <w:tcBorders>
              <w:bottom w:val="single" w:color="000000" w:sz="5" w:space="0"/>
              <w:right w:val="single" w:color="000000" w:sz="5" w:space="0"/>
            </w:tcBorders>
            <w:tcMar>
              <w:left w:w="0" w:type="dxa"/>
              <w:top w:w="0" w:type="dxa"/>
              <w:right w:w="0" w:type="dxa"/>
              <w:bottom w:w="0" w:type="dxa"/>
            </w:tcMar>
            <w:tcW w:w="19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5.157.600.000</w:t>
            </w:r>
            <w:r/>
          </w:p>
        </w:tc>
      </w:tr>
      <w:tr>
        <w:trPr>
          <w:trHeight w:val="624"/>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r>
            <w:r>
              <w:rPr>
                <w:rFonts w:ascii="Times New Roman" w:hAnsi="Times New Roman" w:eastAsia="Times New Roman" w:cs="Times New Roman"/>
                <w:color w:val="ff0000"/>
                <w:sz w:val="24"/>
              </w:rPr>
              <w:t xml:space="preserve">Đất ở</w:t>
            </w:r>
            <w:r/>
            <w:r>
              <w:rPr>
                <w:rFonts w:ascii="Times New Roman" w:hAnsi="Times New Roman" w:eastAsia="Times New Roman" w:cs="Times New Roman"/>
                <w:color w:val="000000"/>
                <w:sz w:val="24"/>
              </w:rPr>
              <w:t xml:space="preserve"> nằm trong HLGT</w:t>
            </w:r>
            <w:r/>
          </w:p>
        </w:tc>
        <w:tc>
          <w:tcPr>
            <w:tcBorders>
              <w:bottom w:val="single" w:color="000000" w:sz="5" w:space="0"/>
              <w:right w:val="single" w:color="000000" w:sz="5" w:space="0"/>
            </w:tcBorders>
            <w:tcMar>
              <w:left w:w="0" w:type="dxa"/>
              <w:top w:w="0" w:type="dxa"/>
              <w:right w:w="0" w:type="dxa"/>
              <w:bottom w:w="0" w:type="dxa"/>
            </w:tcMar>
            <w:tcW w:w="12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21,05</w:t>
            </w:r>
            <w:r/>
          </w:p>
        </w:tc>
        <w:tc>
          <w:tcPr>
            <w:shd w:val="clear" w:color="ffffff" w:fill="ffffff"/>
            <w:tcBorders>
              <w:bottom w:val="single" w:color="000000" w:sz="5" w:space="0"/>
              <w:right w:val="single" w:color="000000" w:sz="5" w:space="0"/>
            </w:tcBorders>
            <w:tcMar>
              <w:left w:w="0" w:type="dxa"/>
              <w:top w:w="0" w:type="dxa"/>
              <w:right w:w="0" w:type="dxa"/>
              <w:bottom w:w="0" w:type="dxa"/>
            </w:tcMar>
            <w:tcW w:w="19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2.068.000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43.531.400</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5.201.131.400</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0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5.200.000.000</w:t>
            </w:r>
            <w:r/>
          </w:p>
        </w:tc>
      </w:tr>
      <w:tr>
        <w:trPr>
          <w:trHeight w:val="324"/>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tỷ hai trăm triệu đồng./.)</w:t>
            </w: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highlight w:val="whit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27"/>
        <w:numPr>
          <w:ilvl w:val="0"/>
          <w:numId w:val="5"/>
        </w:numPr>
        <w:pBdr>
          <w:top w:val="none" w:color="000000" w:sz="4" w:space="0"/>
          <w:left w:val="none" w:color="000000" w:sz="4" w:space="0"/>
          <w:bottom w:val="none" w:color="000000" w:sz="4" w:space="0"/>
          <w:right w:val="none" w:color="000000" w:sz="4" w:space="0"/>
        </w:pBdr>
        <w:spacing/>
        <w:ind w:right="0"/>
        <w:jc w:val="both"/>
        <w:rPr/>
      </w:pPr>
      <w:r>
        <w:rPr>
          <w:rFonts w:ascii="Times New Roman" w:hAnsi="Times New Roman" w:eastAsia="Times New Roman" w:cs="Times New Roman"/>
          <w:color w:val="000000"/>
          <w:sz w:val="24"/>
        </w:rPr>
        <w:t xml:space="preserve">Tại thời điểm khảo sát, CTXD gắn liền với đất là một nhà cấp bốn diện tích xây dựng khoảng 72m². Công trình trên đất hoàn thành xây dựng năm 2014. CTXD tại thời điểm khảo sát chưa được chứng nhận trên Giấy chứng nhận quyền sử dụng đất quyền sở hữu nhà ở và</w:t>
      </w:r>
      <w:r>
        <w:rPr>
          <w:rFonts w:ascii="Times New Roman" w:hAnsi="Times New Roman" w:eastAsia="Times New Roman" w:cs="Times New Roman"/>
          <w:color w:val="000000"/>
          <w:sz w:val="24"/>
        </w:rPr>
        <w:t xml:space="preserve"> tài sản khác gắn liền với đất số BO 371594.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w:t>
      </w:r>
      <w:r>
        <w:rPr>
          <w:rFonts w:ascii="Times New Roman" w:hAnsi="Times New Roman" w:eastAsia="Times New Roman" w:cs="Times New Roman"/>
          <w:color w:val="000000"/>
          <w:sz w:val="24"/>
        </w:rPr>
        <w:t xml:space="preserve"> sử dụng kết quả lưu ý.</w:t>
      </w:r>
      <w:r>
        <w:rPr>
          <w:sz w:val="22"/>
        </w:rPr>
      </w: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275/2026/0589FI-CT.65.A</w:t>
      </w:r>
      <w:r>
        <w:rPr>
          <w:color w:val="ff0000"/>
          <w:lang w:val="vi-VN"/>
        </w:rPr>
        <w:t xml:space="preserve"> </w:t>
      </w:r>
      <w:r>
        <w:rPr>
          <w:color w:val="000000" w:themeColor="text1"/>
        </w:rPr>
        <w:t xml:space="preserve">ngày 16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275/2026/0589/VFI-BC.65.A</w:t>
      </w:r>
      <w:r>
        <w:rPr>
          <w:i/>
          <w:lang w:val="pt-BR"/>
        </w:rPr>
        <w:t xml:space="preserve"> ngày </w:t>
      </w:r>
      <w:r>
        <w:rPr>
          <w:i/>
          <w:lang w:val="pt-BR"/>
        </w:rPr>
        <w:t xml:space="preserve">16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48333" cy="263128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31595" name=""/>
                              <pic:cNvPicPr>
                                <a:picLocks noChangeAspect="1"/>
                              </pic:cNvPicPr>
                              <pic:nvPr/>
                            </pic:nvPicPr>
                            <pic:blipFill rotWithShape="1">
                              <a:blip r:embed="rId19"/>
                              <a:stretch/>
                            </pic:blipFill>
                            <pic:spPr bwMode="auto">
                              <a:xfrm flipH="0" flipV="0">
                                <a:off x="0" y="0"/>
                                <a:ext cx="1748332" cy="2631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7.66pt;height:207.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33796" cy="265034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48377" name=""/>
                              <pic:cNvPicPr>
                                <a:picLocks noChangeAspect="1"/>
                              </pic:cNvPicPr>
                              <pic:nvPr/>
                            </pic:nvPicPr>
                            <pic:blipFill rotWithShape="1">
                              <a:blip r:embed="rId20"/>
                              <a:stretch/>
                            </pic:blipFill>
                            <pic:spPr bwMode="auto">
                              <a:xfrm flipH="0" flipV="0">
                                <a:off x="0" y="0"/>
                                <a:ext cx="3533796" cy="2650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8.25pt;height:208.6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3796" cy="219284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12524" name=""/>
                              <pic:cNvPicPr>
                                <a:picLocks noChangeAspect="1"/>
                              </pic:cNvPicPr>
                              <pic:nvPr/>
                            </pic:nvPicPr>
                            <pic:blipFill rotWithShape="1">
                              <a:blip r:embed="rId21"/>
                              <a:stretch/>
                            </pic:blipFill>
                            <pic:spPr bwMode="auto">
                              <a:xfrm rot="0" flipH="0" flipV="0">
                                <a:off x="0" y="0"/>
                                <a:ext cx="2923796" cy="2192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22pt;height:172.67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7586" cy="21881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66841" name=""/>
                              <pic:cNvPicPr>
                                <a:picLocks noChangeAspect="1"/>
                              </pic:cNvPicPr>
                              <pic:nvPr/>
                            </pic:nvPicPr>
                            <pic:blipFill rotWithShape="1">
                              <a:blip r:embed="rId22"/>
                              <a:stretch/>
                            </pic:blipFill>
                            <pic:spPr bwMode="auto">
                              <a:xfrm flipH="0" flipV="0">
                                <a:off x="0" y="0"/>
                                <a:ext cx="2917586" cy="2188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73pt;height:172.3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0496" cy="217537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6228" name=""/>
                              <pic:cNvPicPr>
                                <a:picLocks noChangeAspect="1"/>
                              </pic:cNvPicPr>
                              <pic:nvPr/>
                            </pic:nvPicPr>
                            <pic:blipFill rotWithShape="1">
                              <a:blip r:embed="rId23"/>
                              <a:stretch/>
                            </pic:blipFill>
                            <pic:spPr bwMode="auto">
                              <a:xfrm flipH="0" flipV="0">
                                <a:off x="0" y="0"/>
                                <a:ext cx="2900495" cy="21753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39pt;height:171.2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4150" cy="218561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33517" name=""/>
                              <pic:cNvPicPr>
                                <a:picLocks noChangeAspect="1"/>
                              </pic:cNvPicPr>
                              <pic:nvPr/>
                            </pic:nvPicPr>
                            <pic:blipFill rotWithShape="1">
                              <a:blip r:embed="rId24"/>
                              <a:stretch/>
                            </pic:blipFill>
                            <pic:spPr bwMode="auto">
                              <a:xfrm flipH="0" flipV="0">
                                <a:off x="0" y="0"/>
                                <a:ext cx="2914149" cy="2185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46pt;height:172.1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275/2026/0589/VFI-BC.65.A ngày</w:t>
      </w:r>
      <w:r>
        <w:rPr>
          <w:i/>
          <w:lang w:val="pt-BR"/>
        </w:rPr>
        <w:t xml:space="preserve"> </w:t>
      </w:r>
      <w:r>
        <w:rPr>
          <w:i/>
          <w:lang w:val="pt-BR"/>
        </w:rPr>
        <w:t xml:space="preserve">16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0989263938</w:t>
            </w:r>
            <w:r>
              <w:rPr>
                <w:sz w:val="22"/>
                <w:szCs w:val="22"/>
              </w:rPr>
              <w:t xml:space="preserve"> </w:t>
            </w:r>
            <w:r>
              <w:rPr>
                <w:sz w:val="22"/>
                <w:szCs w:val="22"/>
              </w:rPr>
              <w:br/>
              <w:t xml:space="preserve">(Trang 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cách đường TL 426 khoảng 100m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8609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62884688" name="" descr=""/>
                              <pic:cNvPicPr/>
                              <pic:nvPr/>
                            </pic:nvPicPr>
                            <pic:blipFill rotWithShape="1">
                              <a:blip r:embed="rId25"/>
                              <a:stretch/>
                            </pic:blipFill>
                            <pic:spPr bwMode="auto">
                              <a:xfrm rot="0" flipH="0" flipV="0">
                                <a:off x="0" y="0"/>
                                <a:ext cx="468609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8.98pt;height:250.00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3944" cy="3691122"/>
                      <wp:effectExtent l="0" t="0" r="0" b="0"/>
                      <wp:docPr id="14" name=""/>
                      <wp:cNvGraphicFramePr/>
                      <a:graphic xmlns:a="http://schemas.openxmlformats.org/drawingml/2006/main">
                        <a:graphicData uri="http://schemas.openxmlformats.org/drawingml/2006/picture">
                          <pic:pic xmlns:pic="http://schemas.openxmlformats.org/drawingml/2006/picture">
                            <pic:nvPicPr>
                              <pic:cNvPr id="1676749015" name="" descr=""/>
                              <pic:cNvPicPr/>
                              <pic:nvPr/>
                            </pic:nvPicPr>
                            <pic:blipFill rotWithShape="1">
                              <a:blip r:embed="rId26"/>
                              <a:stretch/>
                            </pic:blipFill>
                            <pic:spPr bwMode="auto">
                              <a:xfrm rot="0" flipH="0" flipV="0">
                                <a:off x="0" y="0"/>
                                <a:ext cx="2223943" cy="36911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5.11pt;height:290.64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https://www.facebook.com/groups/448305169750494/permalink/1604967260750940/?sale_post_id=1604967260750940&amp;rdid=Z0IJpHDx53D9mjZE#</w:t>
            </w:r>
            <w:r>
              <w:rPr>
                <w:color w:val="000000" w:themeColor="text1"/>
                <w:sz w:val="22"/>
                <w:szCs w:val="22"/>
              </w:rPr>
              <w:br/>
              <w:t xml:space="preserve">0338087734</w:t>
            </w:r>
            <w:r>
              <w:rPr>
                <w:sz w:val="22"/>
                <w:szCs w:val="22"/>
              </w:rPr>
              <w:t xml:space="preserve"> </w:t>
            </w:r>
            <w:r>
              <w:rPr>
                <w:sz w:val="22"/>
                <w:szCs w:val="22"/>
              </w:rPr>
              <w:br/>
              <w:t xml:space="preserve">(Lâm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1.773.000.000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Trầm Lộng,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khoảng cách ra đường chính cách đường TL 428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29165" cy="2883054"/>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3329164" cy="28830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2.14pt;height:227.0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8227" cy="2833872"/>
                      <wp:effectExtent l="0" t="0" r="0" b="0"/>
                      <wp:docPr id="16" name=""/>
                      <wp:cNvGraphicFramePr/>
                      <a:graphic xmlns:a="http://schemas.openxmlformats.org/drawingml/2006/main">
                        <a:graphicData uri="http://schemas.openxmlformats.org/drawingml/2006/picture">
                          <pic:pic xmlns:pic="http://schemas.openxmlformats.org/drawingml/2006/picture">
                            <pic:nvPicPr>
                              <pic:cNvPr id="781050402" name="" descr=""/>
                              <pic:cNvPicPr/>
                              <pic:nvPr/>
                            </pic:nvPicPr>
                            <pic:blipFill rotWithShape="1">
                              <a:blip r:embed="rId28"/>
                              <a:stretch/>
                            </pic:blipFill>
                            <pic:spPr bwMode="auto">
                              <a:xfrm rot="0" flipH="0" flipV="0">
                                <a:off x="0" y="0"/>
                                <a:ext cx="2178227" cy="2833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1.51pt;height:223.14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5210352" cy="344506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19977874" name="" descr=""/>
                              <pic:cNvPicPr/>
                              <pic:nvPr/>
                            </pic:nvPicPr>
                            <pic:blipFill rotWithShape="1">
                              <a:blip r:embed="rId29"/>
                              <a:stretch/>
                            </pic:blipFill>
                            <pic:spPr bwMode="auto">
                              <a:xfrm flipH="0" flipV="0">
                                <a:off x="0" y="0"/>
                                <a:ext cx="5210352" cy="3445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0.26pt;height:271.2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8"/>
                <w:szCs w:val="8"/>
              </w:rPr>
            </w:pPr>
            <w:r>
              <w:rPr>
                <w:color w:val="000000"/>
                <w:sz w:val="8"/>
                <w:szCs w:val="8"/>
              </w:rPr>
            </w:r>
            <w:r>
              <w:rPr>
                <w:color w:val="000000"/>
                <w:sz w:val="8"/>
                <w:szCs w:val="8"/>
              </w:rPr>
            </w:r>
            <w:r>
              <w:rPr>
                <w:color w:val="000000"/>
                <w:sz w:val="8"/>
                <w:szCs w:val="8"/>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16367" cy="329652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516365" cy="32965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8.14pt;height:259.5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00506" cy="3296521"/>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600505" cy="32965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4.76pt;height:259.57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https://www.facebook.com/groups/448305169750494/permalink/1568475591066774/?sale_post_id=1568475591066774&amp;rdid=RCvjQE8JOUTvcomB#</w:t>
            </w:r>
            <w:r>
              <w:rPr>
                <w:color w:val="000000" w:themeColor="text1"/>
                <w:sz w:val="22"/>
                <w:szCs w:val="22"/>
              </w:rPr>
              <w:br/>
            </w:r>
            <w:r>
              <w:rPr>
                <w:sz w:val="22"/>
                <w:szCs w:val="22"/>
              </w:rPr>
              <w:t xml:space="preserve">SĐT: </w:t>
            </w:r>
            <w:r>
              <w:rPr>
                <w:color w:val="000000" w:themeColor="text1"/>
                <w:sz w:val="22"/>
                <w:szCs w:val="22"/>
              </w:rPr>
              <w:t xml:space="preserve">0964916872</w:t>
            </w:r>
            <w:r>
              <w:rPr>
                <w:sz w:val="22"/>
                <w:szCs w:val="22"/>
              </w:rPr>
              <w:t xml:space="preserve"> </w:t>
            </w:r>
            <w:r>
              <w:rPr>
                <w:sz w:val="22"/>
                <w:szCs w:val="22"/>
              </w:rPr>
              <w:br/>
              <w:t xml:space="preserve">(Đinh Văn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Kim Đường, Huyện Ứng Hòa, Thành phố Hà Nội </w:t>
            </w:r>
            <w:r>
              <w:rPr>
                <w:rFonts w:ascii="Times New Roman" w:hAnsi="Times New Roman" w:eastAsia="Times New Roman" w:cs="Times New Roman"/>
                <w:color w:val="000000"/>
                <w:sz w:val="24"/>
              </w:rPr>
              <w:t xml:space="preserve">(nay là xã Ứng Hòa, thành phố Hà Nội)</w:t>
            </w:r>
            <w:r>
              <w:rPr>
                <w:rFonts w:ascii="Times New Roman" w:hAnsi="Times New Roman" w:eastAsia="Times New Roman" w:cs="Times New Roman"/>
                <w:color w:val="000000"/>
                <w:sz w:val="22"/>
                <w:highlight w:val="white"/>
              </w:rPr>
              <w:t xml:space="preserve">, </w:t>
            </w:r>
            <w:r>
              <w:rPr>
                <w:rFonts w:ascii="Times New Roman" w:hAnsi="Times New Roman" w:eastAsia="Times New Roman" w:cs="Times New Roman"/>
                <w:color w:val="000000"/>
                <w:sz w:val="22"/>
              </w:rPr>
              <w:t xml:space="preserve">cách đường TL 428 khoảng 1,5km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56415" cy="3660929"/>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456414" cy="36609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9.64pt;height:288.2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5381" cy="28100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40827646" name="" descr=""/>
                              <pic:cNvPicPr/>
                              <pic:nvPr/>
                            </pic:nvPicPr>
                            <pic:blipFill rotWithShape="1">
                              <a:blip r:embed="rId33"/>
                              <a:stretch/>
                            </pic:blipFill>
                            <pic:spPr bwMode="auto">
                              <a:xfrm flipH="0" flipV="0">
                                <a:off x="0" y="0"/>
                                <a:ext cx="2235380" cy="2810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6.01pt;height:221.26pt;mso-wrap-distance-left:0.00pt;mso-wrap-distance-top:0.00pt;mso-wrap-distance-right:0.00pt;mso-wrap-distance-bottom:0.00pt;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194227" cy="2468562"/>
                      <wp:effectExtent l="0" t="0" r="0" b="0"/>
                      <wp:docPr id="22" name=""/>
                      <wp:cNvGraphicFramePr/>
                      <a:graphic xmlns:a="http://schemas.openxmlformats.org/drawingml/2006/main">
                        <a:graphicData uri="http://schemas.openxmlformats.org/drawingml/2006/picture">
                          <pic:pic xmlns:pic="http://schemas.openxmlformats.org/drawingml/2006/picture">
                            <pic:nvPicPr>
                              <pic:cNvPr id="761838108" name="" descr=""/>
                              <pic:cNvPicPr/>
                              <pic:nvPr/>
                            </pic:nvPicPr>
                            <pic:blipFill rotWithShape="1">
                              <a:blip r:embed="rId34"/>
                              <a:stretch/>
                            </pic:blipFill>
                            <pic:spPr bwMode="auto">
                              <a:xfrm rot="0" flipH="0" flipV="0">
                                <a:off x="0" y="0"/>
                                <a:ext cx="3194226" cy="24685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51.51pt;height:194.37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left"/>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30E5EDE"/>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286</cp:revision>
  <dcterms:created xsi:type="dcterms:W3CDTF">2025-09-15T09:58:00Z</dcterms:created>
  <dcterms:modified xsi:type="dcterms:W3CDTF">2026-04-18T02:38:49Z</dcterms:modified>
</cp:coreProperties>
</file>