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-33337</wp:posOffset>
                </wp:positionH>
                <wp:positionV relativeFrom="paragraph">
                  <wp:posOffset>182559</wp:posOffset>
                </wp:positionV>
                <wp:extent cx="5467350" cy="3820749"/>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382074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bCs/>
                                <w14:ligatures w14:val="none"/>
                              </w:rPr>
                            </w:pPr>
                            <w:r>
                              <w:rPr>
                                <w:b/>
                                <w:bCs/>
                              </w:rPr>
                              <w:t xml:space="preserve">Số: </w:t>
                            </w:r>
                            <w:r>
                              <w:rPr>
                                <w:b/>
                                <w:bCs/>
                              </w:rPr>
                              <w:t xml:space="preserve">275/2026/0577/VFI-CT.39.A</w:t>
                            </w:r>
                            <w:r>
                              <w:rPr>
                                <w:b/>
                                <w:bCs/>
                                <w14:ligatures w14:val="none"/>
                              </w:rPr>
                            </w:r>
                            <w:r>
                              <w:rPr>
                                <w:b/>
                                <w:bCs/>
                                <w14:ligatures w14:val="none"/>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TRIỀN NÔNG THÔN VIỆT NAM (AGRIBANK) - CHI NHÁNH HÀ TÂY I – PHÒNG GIAO DỊCH LÊ LỢI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themeColor="text1"/>
                              </w:rPr>
                              <w:t xml:space="preserve">Quyền sử dụng đất</w:t>
                            </w:r>
                            <w:r>
                              <w:rPr>
                                <w:color w:val="000000" w:themeColor="text1"/>
                              </w:rPr>
                              <w:t xml:space="preserve"> tại thửa đất số: 22, tờ bản đồ số 41 có địa chỉ: Thôn Bưởi, xã Ba Vì, Thành phố Hà Nội</w:t>
                            </w:r>
                            <w:r>
                              <w:rPr>
                                <w:color w:val="000000" w:themeColor="text1"/>
                              </w:rPr>
                              <w:t xml:space="preserve"> theo Giấy chứng nhận quyền sử dụng đất quyền sở hữu tài sản gắn liền với đất số: AA 06984338, số vào sổ cấp GCN: CN 20908 do Chi nhánh văn phòng đăng</w:t>
                            </w:r>
                            <w:r>
                              <w:rPr>
                                <w:color w:val="000000" w:themeColor="text1"/>
                              </w:rPr>
                              <w:t xml:space="preserve"> kí đất đai Hà Nội huyện Ba Vì cấp ngày 13/3/2026; Chủ sử dụng đất là Ông Phùng Văn Hùng và vợ Vũ Thị Hiền</w:t>
                            </w:r>
                            <w:r>
                              <w:rPr>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2.62pt;mso-position-horizontal:absolute;mso-position-vertical-relative:text;margin-top:14.37pt;mso-position-vertical:absolute;width:430.50pt;height:300.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bCs/>
                          <w14:ligatures w14:val="none"/>
                        </w:rPr>
                      </w:pPr>
                      <w:r>
                        <w:rPr>
                          <w:b/>
                          <w:bCs/>
                        </w:rPr>
                        <w:t xml:space="preserve">Số: </w:t>
                      </w:r>
                      <w:r>
                        <w:rPr>
                          <w:b/>
                          <w:bCs/>
                        </w:rPr>
                        <w:t xml:space="preserve">275/2026/0577/VFI-CT.39.A</w:t>
                      </w:r>
                      <w:r>
                        <w:rPr>
                          <w:b/>
                          <w:bCs/>
                          <w14:ligatures w14:val="none"/>
                        </w:rPr>
                      </w:r>
                      <w:r>
                        <w:rPr>
                          <w:b/>
                          <w:bCs/>
                          <w14:ligatures w14:val="none"/>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TRIỀN NÔNG THÔN VIỆT NAM (AGRIBANK) - CHI NHÁNH HÀ TÂY I – PHÒNG GIAO DỊCH LÊ LỢI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themeColor="text1"/>
                        </w:rPr>
                        <w:t xml:space="preserve">Quyền sử dụng đất</w:t>
                      </w:r>
                      <w:r>
                        <w:rPr>
                          <w:color w:val="000000" w:themeColor="text1"/>
                        </w:rPr>
                        <w:t xml:space="preserve"> tại thửa đất số: 22, tờ bản đồ số 41 có địa chỉ: Thôn Bưởi, xã Ba Vì, Thành phố Hà Nội</w:t>
                      </w:r>
                      <w:r>
                        <w:rPr>
                          <w:color w:val="000000" w:themeColor="text1"/>
                        </w:rPr>
                        <w:t xml:space="preserve"> theo Giấy chứng nhận quyền sử dụng đất quyền sở hữu tài sản gắn liền với đất số: AA 06984338, số vào sổ cấp GCN: CN 20908 do Chi nhánh văn phòng đăng</w:t>
                      </w:r>
                      <w:r>
                        <w:rPr>
                          <w:color w:val="000000" w:themeColor="text1"/>
                        </w:rPr>
                        <w:t xml:space="preserve"> kí đất đai Hà Nội huyện Ba Vì cấp ngày 13/3/2026; Chủ sử dụng đất là Ông Phùng Văn Hùng và vợ Vũ Thị Hiền</w:t>
                      </w:r>
                      <w:r>
                        <w:rPr>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tabs>
          <w:tab w:val="left" w:leader="none" w:pos="3881"/>
        </w:tabs>
        <w:spacing/>
        <w:ind w:right="-1"/>
        <w:jc w:val="left"/>
        <w:rPr>
          <w:b/>
          <w:sz w:val="28"/>
        </w:rPr>
      </w:pPr>
      <w:r>
        <w:rPr>
          <w:b/>
          <w:sz w:val="28"/>
        </w:rPr>
      </w:r>
      <w:r>
        <w:rPr>
          <w:b/>
          <w:sz w:val="28"/>
        </w:rPr>
        <w:tab/>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sz w:val="28"/>
          <w:szCs w:val="28"/>
        </w:rPr>
      </w:pPr>
      <w:r>
        <w:rPr>
          <w:b/>
          <w:sz w:val="28"/>
          <w:highlight w:val="none"/>
        </w:rPr>
      </w:r>
      <w:r>
        <w:rPr>
          <w:sz w:val="28"/>
          <w:szCs w:val="28"/>
        </w:rPr>
      </w:r>
      <w:r>
        <w:rPr>
          <w:sz w:val="28"/>
          <w:szCs w:val="28"/>
        </w:rPr>
      </w:r>
    </w:p>
    <w:p>
      <w:pPr>
        <w:pBdr/>
        <w:spacing/>
        <w:ind w:right="-1"/>
        <w:jc w:val="center"/>
        <w:rPr>
          <w:b/>
          <w:bCs/>
          <w:sz w:val="28"/>
          <w:szCs w:val="28"/>
          <w:highlight w:val="none"/>
        </w:rPr>
      </w:pPr>
      <w:r>
        <w:rPr>
          <w:b/>
          <w:sz w:val="28"/>
        </w:rPr>
        <w:t xml:space="preserve">MỤC LỤC</w:t>
      </w:r>
      <w:r>
        <w:rPr>
          <w:b/>
          <w:bCs/>
          <w:sz w:val="28"/>
          <w:szCs w:val="28"/>
          <w:highlight w:val="none"/>
        </w:rPr>
      </w:r>
      <w:r>
        <w:rPr>
          <w:b/>
          <w:bCs/>
          <w:sz w:val="28"/>
          <w:szCs w:val="28"/>
          <w:highlight w:val="none"/>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99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99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990"/>
        <w:pBdr/>
        <w:tabs>
          <w:tab w:val="left" w:leader="none" w:pos="5103"/>
        </w:tabs>
        <w:spacing w:line="360" w:lineRule="auto"/>
        <w:ind/>
        <w:rPr>
          <w:b/>
          <w:sz w:val="22"/>
          <w:szCs w:val="22"/>
          <w:lang w:val="vi-VN"/>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2"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3" w:tooltip="mailto:ilotus.contact@gmail.com" w:history="1">
              <w:r>
                <w:rPr>
                  <w:rStyle w:val="98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299" w:type="dxa"/>
            <w:textDirection w:val="lrTb"/>
            <w:noWrap w:val="false"/>
          </w:tcPr>
          <w:p>
            <w:pPr>
              <w:pStyle w:val="990"/>
              <w:pBdr/>
              <w:spacing w:after="60"/>
              <w:ind/>
              <w:rPr>
                <w:color w:val="000000" w:themeColor="text1"/>
                <w:sz w:val="24"/>
                <w:szCs w:val="24"/>
              </w:rPr>
            </w:pPr>
            <w:r>
              <w:rPr>
                <w:rStyle w:val="989"/>
                <w:rFonts w:ascii="Times New Roman" w:hAnsi="Times New Roman"/>
                <w:color w:val="000000" w:themeColor="text1"/>
                <w:lang w:val="pt-BR"/>
              </w:rPr>
              <w:t xml:space="preserve">Số: </w:t>
            </w:r>
            <w:r>
              <w:rPr>
                <w:rStyle w:val="989"/>
                <w:rFonts w:ascii="Times New Roman" w:hAnsi="Times New Roman"/>
                <w:color w:val="000000" w:themeColor="text1"/>
                <w:lang w:val="pt-BR"/>
              </w:rPr>
              <w:t xml:space="preserve">275/2026/0577/VFI-CT.39.A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2259" w:type="dxa"/>
            <w:textDirection w:val="lrTb"/>
            <w:noWrap w:val="false"/>
          </w:tcPr>
          <w:p>
            <w:pPr>
              <w:pStyle w:val="990"/>
              <w:pBdr/>
              <w:spacing w:after="60"/>
              <w:ind w:right="-56"/>
              <w:jc w:val="right"/>
              <w:rPr>
                <w:color w:val="000000" w:themeColor="text1"/>
                <w:sz w:val="24"/>
                <w:szCs w:val="24"/>
                <w:lang w:val="vi-VN"/>
              </w:rPr>
            </w:pPr>
            <w:r>
              <w:rPr>
                <w:rStyle w:val="989"/>
                <w:rFonts w:ascii="Times New Roman" w:hAnsi="Times New Roman"/>
                <w:i/>
                <w:color w:val="auto"/>
              </w:rPr>
              <w:t xml:space="preserve">TP. Hà Nội</w:t>
            </w:r>
            <w:r>
              <w:rPr>
                <w:rStyle w:val="989"/>
                <w:rFonts w:ascii="Times New Roman" w:hAnsi="Times New Roman"/>
                <w:i/>
                <w:color w:val="auto"/>
                <w:lang w:val="vi-VN"/>
              </w:rPr>
              <w:t xml:space="preserve">, </w:t>
            </w:r>
            <w:r>
              <w:rPr>
                <w:rStyle w:val="989"/>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990"/>
        <w:pBdr/>
        <w:spacing w:after="120" w:before="200" w:line="288" w:lineRule="auto"/>
        <w:ind/>
        <w:jc w:val="center"/>
        <w:rPr>
          <w:rStyle w:val="989"/>
          <w:rFonts w:ascii="Times New Roman" w:hAnsi="Times New Roman"/>
          <w:b/>
          <w:bCs/>
          <w:color w:val="auto"/>
          <w:sz w:val="30"/>
          <w:szCs w:val="30"/>
          <w:lang w:val="vi-VN"/>
        </w:rPr>
      </w:pPr>
      <w:r>
        <w:rPr>
          <w:rStyle w:val="989"/>
          <w:rFonts w:ascii="Times New Roman" w:hAnsi="Times New Roman"/>
          <w:b/>
          <w:bCs/>
          <w:color w:val="auto"/>
          <w:sz w:val="30"/>
          <w:szCs w:val="30"/>
          <w:lang w:val="vi-VN"/>
        </w:rPr>
        <w:t xml:space="preserve">CHỨNG THƯ THẨM ĐỊNH GIÁ</w:t>
      </w:r>
      <w:r>
        <w:rPr>
          <w:rStyle w:val="989"/>
          <w:rFonts w:ascii="Times New Roman" w:hAnsi="Times New Roman"/>
          <w:b/>
          <w:bCs/>
          <w:color w:val="auto"/>
          <w:sz w:val="30"/>
          <w:szCs w:val="30"/>
          <w:lang w:val="vi-VN"/>
        </w:rPr>
      </w:r>
      <w:r>
        <w:rPr>
          <w:rStyle w:val="98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TRIỀN NÔNG THÔN VIỆT NAM (AGRIBANK) - CHI NHÁNH HÀ TÂY I – PHÒNG GIAO DỊCH LÊ LỢI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275/2026/0577/VFI-HĐTĐ.39.A</w:t>
      </w:r>
      <w:r>
        <w:rPr>
          <w:spacing w:val="-4"/>
          <w:lang w:val="vi-VN"/>
        </w:rPr>
        <w:t xml:space="preserve"> ký ngày </w:t>
      </w:r>
      <w:r>
        <w:rPr>
          <w:color w:val="000000" w:themeColor="text1"/>
          <w:spacing w:val="-4"/>
        </w:rPr>
        <w:t xml:space="preserve">6 tháng 4 năm 2026</w:t>
      </w:r>
      <w:r>
        <w:rPr>
          <w:spacing w:val="-4"/>
          <w:lang w:val="vi-VN"/>
        </w:rPr>
        <w:t xml:space="preserve"> </w:t>
      </w:r>
      <w:r>
        <w:rPr>
          <w:spacing w:val="-4"/>
          <w:lang w:val="vi-VN"/>
        </w:rPr>
        <w:t xml:space="preserve">giữa </w:t>
      </w:r>
      <w:r>
        <w:t xml:space="preserve">Ngân hàng Nông nghiệp và Phát triển Nông thôn Việt Nam (Agribank) – Chỉ nhánh Hà Tây I– Phòng giao dịch Lê Lợi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275/2026/0577/VFI-BC.39.A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NGÂN HÀNG NÔNG NGHIỆP VÀ PHÁT TRIỀN NÔNG THÔN VIỆT NAM (AGRIBANK) - CHI NHÁNH HÀ TÂY I – PHÒNG GIAO DỊCH LÊ LỢI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Địa 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657"/>
              </w:tabs>
              <w:spacing w:after="40" w:before="40" w:line="276" w:lineRule="auto"/>
              <w:ind/>
              <w:jc w:val="both"/>
              <w:rPr>
                <w:color w:val="ff0000"/>
                <w:lang w:val="pt-BR"/>
              </w:rPr>
            </w:pPr>
            <w:r>
              <w:rPr>
                <w:color w:val="000000" w:themeColor="text1"/>
                <w:lang w:val="vi-VN"/>
              </w:rPr>
            </w:r>
            <w:r>
              <w:t xml:space="preserve">Thửa đất số 212-5, Tờ bản đồ số 02, cụm 3, Xã Hát Môn, Thành phố Hà Nội, Việt Nam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Mã số thuế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0100686174-081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tabs>
                <w:tab w:val="center" w:leader="none" w:pos="948"/>
                <w:tab w:val="center" w:leader="none" w:pos="948"/>
              </w:tabs>
              <w:spacing w:after="40" w:before="40" w:line="276" w:lineRule="auto"/>
              <w:ind/>
              <w:jc w:val="both"/>
              <w:rPr>
                <w:bCs/>
                <w:color w:val="000000" w:themeColor="text1"/>
                <w:lang w:val="pt-BR"/>
              </w:rPr>
            </w:pPr>
            <w:r>
              <w:rPr>
                <w:bCs/>
                <w:color w:val="000000" w:themeColor="text1"/>
                <w:lang w:val="pt-BR"/>
              </w:rPr>
            </w:r>
            <w:r>
              <w:t xml:space="preserve">Đại diện</w:t>
            </w:r>
            <w:r>
              <w:rPr>
                <w:bCs/>
                <w:color w:val="000000" w:themeColor="text1"/>
                <w:lang w:val="pt-BR"/>
              </w:rPr>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rPr>
            </w:pPr>
            <w:r>
              <w:rPr>
                <w:color w:val="000000" w:themeColor="text1"/>
                <w:lang w:val="vi-VN"/>
              </w:rPr>
            </w:r>
            <w:r>
              <w:rPr>
                <w:b/>
                <w:bCs/>
              </w:rPr>
              <w:t xml:space="preserve">Ông Nguyễn Hải Việt    </w:t>
            </w:r>
            <w:r>
              <w:t xml:space="preserve">                    Chức vụ: </w:t>
            </w:r>
            <w:r>
              <w:rPr>
                <w:b/>
                <w:bCs/>
              </w:rPr>
              <w:t xml:space="preserve">Giám đốc </w:t>
            </w:r>
            <w:r>
              <w:rPr>
                <w:b/>
                <w:bCs/>
              </w:rPr>
            </w:r>
            <w:r>
              <w:rPr>
                <w:b/>
                <w:bCs/>
              </w:rPr>
            </w:r>
          </w:p>
          <w:p>
            <w:pPr>
              <w:pBdr/>
              <w:spacing w:after="40" w:before="40" w:line="276" w:lineRule="auto"/>
              <w:ind/>
              <w:jc w:val="both"/>
              <w:rPr>
                <w:color w:val="ff0000"/>
                <w:lang w:val="pt-BR"/>
              </w:rPr>
            </w:pPr>
            <w:r>
              <w:t xml:space="preserve">(Theo văn bản ủy quyền số 2664/QĐ-NHNo-PC ngày 01/12/2022 của Người đại diện theo pháp luật Ngân hàng Nông nghiệp và Phát triển Nông thôn Việt Nam và việc “Ủy quyền thực hiện nhiệm vụ, quyền hạn của người đại diện theo</w:t>
            </w:r>
            <w:r>
              <w:t xml:space="preserve"> pháp luật)</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22, tờ bản đồ số 41 có địa chỉ: Thôn Bưởi, xã Ba Vì, Thành phố Hà Nội</w:t>
      </w:r>
      <w:r>
        <w:rPr>
          <w:color w:val="000000" w:themeColor="text1"/>
        </w:rPr>
        <w:t xml:space="preserve"> theo Giấy chứng nhận quyền sử dụng đất quyền sở hữu tài sản gắn liền với đất số: AA 06984338, số vào sổ cấp GCN: CN 20908 do Chi nhánh văn phòng đăng kí đất đai Hà Nội huyện Ba Vì cấp ngày 13/3/2026; Chủ sử dụng đất là Ông Phùng Văn Hùng và vợ Vũ Thị Hiền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Style w:val="99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3510"/>
        <w:gridCol w:w="1429"/>
        <w:gridCol w:w="2351"/>
        <w:gridCol w:w="1735"/>
      </w:tblGrid>
      <w:tr>
        <w:trPr>
          <w:trHeight w:val="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5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3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3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29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22, tờ bản đồ số 41 có địa chỉ: Thôn Bưởi, xã Ba Vì, Thành phố Hà Nội theo Giấy chứng nhận quyền sử dụng đất quyền sở hữu tài sản gắn liền với đất số: AA 06984338, số vào sổ cấp GCN: CN 20908 do Chi nhánh văn phòng đăng k</w:t>
            </w:r>
            <w:r>
              <w:rPr>
                <w:rFonts w:ascii="Times New Roman" w:hAnsi="Times New Roman" w:eastAsia="Times New Roman" w:cs="Times New Roman"/>
                <w:b/>
                <w:color w:val="000000"/>
                <w:sz w:val="24"/>
              </w:rPr>
              <w:t xml:space="preserve">í đất đai Hà Nội huyện Ba Vì cấp ngày 13/3/2026; Chủ sử dụng đất là Ông Phùng Văn Hùng và vợ Vũ Thị Hiền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735"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7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3510"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Quyền sử dụng đất ở (150m2)</w:t>
            </w:r>
            <w:r/>
          </w:p>
        </w:tc>
        <w:tc>
          <w:tcPr>
            <w:shd w:val="clear" w:color="ffffff" w:fill="ffffff"/>
            <w:tcBorders>
              <w:bottom w:val="single" w:color="000000" w:sz="5" w:space="0"/>
              <w:right w:val="single" w:color="000000" w:sz="5" w:space="0"/>
            </w:tcBorders>
            <w:tcMar>
              <w:left w:w="0" w:type="dxa"/>
              <w:top w:w="0" w:type="dxa"/>
              <w:right w:w="0" w:type="dxa"/>
              <w:bottom w:w="0" w:type="dxa"/>
            </w:tcMar>
            <w:tcW w:w="142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150</w:t>
            </w:r>
            <w:r/>
          </w:p>
        </w:tc>
        <w:tc>
          <w:tcPr>
            <w:shd w:val="clear" w:color="ffffff" w:fill="ffffff"/>
            <w:tcBorders>
              <w:bottom w:val="single" w:color="000000" w:sz="5" w:space="0"/>
              <w:right w:val="single" w:color="000000" w:sz="5" w:space="0"/>
            </w:tcBorders>
            <w:tcMar>
              <w:left w:w="0" w:type="dxa"/>
              <w:top w:w="0" w:type="dxa"/>
              <w:right w:w="0" w:type="dxa"/>
              <w:bottom w:w="0" w:type="dxa"/>
            </w:tcMar>
            <w:tcW w:w="23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9.500.000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3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1.425.000.000</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351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cây lâu năm </w:t>
            </w:r>
            <w:r/>
          </w:p>
        </w:tc>
        <w:tc>
          <w:tcPr>
            <w:tcBorders>
              <w:bottom w:val="single" w:color="000000" w:sz="5" w:space="0"/>
              <w:right w:val="single" w:color="000000" w:sz="5" w:space="0"/>
            </w:tcBorders>
            <w:tcMar>
              <w:left w:w="0" w:type="dxa"/>
              <w:top w:w="0" w:type="dxa"/>
              <w:right w:w="0" w:type="dxa"/>
              <w:bottom w:w="0" w:type="dxa"/>
            </w:tcMar>
            <w:tcW w:w="142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302,4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3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78.000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735"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23.587.200</w:t>
            </w: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2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73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1.448.587.200</w:t>
            </w: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82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735"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1.449.000.000</w:t>
            </w:r>
            <w:r/>
          </w:p>
        </w:tc>
      </w:tr>
      <w:tr>
        <w:trPr>
          <w:trHeight w:val="0"/>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61"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bốn trăm bốn mươi chín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208" w:type="pct"/>
        <w:tblBorders/>
        <w:tblLayout w:type="fixed"/>
        <w:tblLook w:val="01E0" w:firstRow="1" w:lastRow="1" w:firstColumn="1" w:lastColumn="1" w:noHBand="0" w:noVBand="0"/>
      </w:tblPr>
      <w:tblGrid>
        <w:gridCol w:w="4677"/>
        <w:gridCol w:w="5244"/>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44"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44"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44"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2"/>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4" w:tooltip="mailto:ilotus.contact@gmail.com" w:history="1">
              <w:r>
                <w:rPr>
                  <w:rStyle w:val="98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990"/>
              <w:pBdr/>
              <w:spacing w:after="60"/>
              <w:ind/>
              <w:rPr>
                <w:color w:val="000000" w:themeColor="text1"/>
                <w:sz w:val="24"/>
                <w:szCs w:val="24"/>
              </w:rPr>
            </w:pPr>
            <w:r>
              <w:rPr>
                <w:rStyle w:val="989"/>
                <w:rFonts w:ascii="Times New Roman" w:hAnsi="Times New Roman"/>
                <w:color w:val="000000" w:themeColor="text1"/>
                <w:lang w:val="pt-BR"/>
              </w:rPr>
              <w:t xml:space="preserve">Số: </w:t>
            </w:r>
            <w:r>
              <w:rPr>
                <w:rStyle w:val="989"/>
                <w:rFonts w:ascii="Times New Roman" w:hAnsi="Times New Roman"/>
                <w:color w:val="000000" w:themeColor="text1"/>
                <w:lang w:val="pt-BR"/>
              </w:rPr>
              <w:t xml:space="preserve">275/2026/0577/VFI-BC.39.A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990"/>
              <w:pBdr/>
              <w:spacing w:after="60"/>
              <w:ind w:right="-56"/>
              <w:jc w:val="right"/>
              <w:rPr>
                <w:color w:val="000000" w:themeColor="text1"/>
                <w:sz w:val="24"/>
                <w:szCs w:val="24"/>
                <w:lang w:val="vi-VN"/>
              </w:rPr>
            </w:pPr>
            <w:r>
              <w:rPr>
                <w:rStyle w:val="989"/>
                <w:rFonts w:ascii="Times New Roman" w:hAnsi="Times New Roman"/>
                <w:i/>
                <w:color w:val="auto"/>
              </w:rPr>
              <w:t xml:space="preserve">TP. Hà Nội</w:t>
            </w:r>
            <w:r>
              <w:rPr>
                <w:rStyle w:val="989"/>
                <w:rFonts w:ascii="Times New Roman" w:hAnsi="Times New Roman"/>
                <w:i/>
                <w:color w:val="auto"/>
                <w:lang w:val="vi-VN"/>
              </w:rPr>
              <w:t xml:space="preserve">, </w:t>
            </w:r>
            <w:r>
              <w:rPr>
                <w:rStyle w:val="989"/>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990"/>
              <w:pBdr/>
              <w:spacing w:after="60"/>
              <w:ind/>
              <w:rPr>
                <w:rStyle w:val="989"/>
                <w:rFonts w:ascii="Times New Roman" w:hAnsi="Times New Roman"/>
                <w:color w:val="000000" w:themeColor="text1"/>
                <w:lang w:val="pt-BR"/>
              </w:rPr>
            </w:pPr>
            <w:r>
              <w:rPr>
                <w:rStyle w:val="989"/>
                <w:rFonts w:ascii="Times New Roman" w:hAnsi="Times New Roman"/>
                <w:color w:val="000000" w:themeColor="text1"/>
                <w:lang w:val="pt-BR"/>
              </w:rPr>
            </w:r>
            <w:r>
              <w:rPr>
                <w:rStyle w:val="989"/>
                <w:rFonts w:ascii="Times New Roman" w:hAnsi="Times New Roman"/>
                <w:color w:val="000000" w:themeColor="text1"/>
                <w:lang w:val="pt-BR"/>
              </w:rPr>
            </w:r>
            <w:r>
              <w:rPr>
                <w:rStyle w:val="98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990"/>
              <w:pBdr/>
              <w:spacing w:after="60"/>
              <w:ind w:right="-56"/>
              <w:rPr>
                <w:rStyle w:val="989"/>
                <w:rFonts w:ascii="Times New Roman" w:hAnsi="Times New Roman"/>
                <w:i/>
                <w:color w:val="auto"/>
              </w:rPr>
            </w:pPr>
            <w:r>
              <w:rPr>
                <w:rFonts w:ascii="Times New Roman" w:hAnsi="Times New Roman"/>
                <w:i/>
                <w:color w:val="auto"/>
              </w:rPr>
            </w:r>
            <w:r>
              <w:rPr>
                <w:rStyle w:val="989"/>
                <w:rFonts w:ascii="Times New Roman" w:hAnsi="Times New Roman"/>
                <w:i/>
                <w:color w:val="auto"/>
              </w:rPr>
            </w:r>
            <w:r>
              <w:rPr>
                <w:rStyle w:val="989"/>
                <w:rFonts w:ascii="Times New Roman" w:hAnsi="Times New Roman"/>
                <w:i/>
                <w:color w:val="auto"/>
              </w:rPr>
            </w:r>
          </w:p>
        </w:tc>
      </w:tr>
    </w:tbl>
    <w:p>
      <w:pPr>
        <w:pStyle w:val="99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97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275/2026/0577/VFI-CT.39.A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97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99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NGÂN HÀNG NÔNG NGHIỆP VÀ PHÁT TRIỀN NÔNG THÔN VIỆT NAM (AGRIBANK) - CHI NHÁNH HÀ TÂY I – PHÒNG GIAO DỊCH LÊ LỢI</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Địa 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657"/>
              </w:tabs>
              <w:spacing w:after="40" w:before="40" w:line="276" w:lineRule="auto"/>
              <w:ind/>
              <w:jc w:val="both"/>
              <w:rPr>
                <w:color w:val="ff0000"/>
                <w:lang w:val="pt-BR"/>
              </w:rPr>
            </w:pPr>
            <w:r>
              <w:rPr>
                <w:color w:val="000000" w:themeColor="text1"/>
                <w:lang w:val="vi-VN"/>
              </w:rPr>
            </w:r>
            <w:r>
              <w:t xml:space="preserve">Thửa đất số 212-5, Tờ bản đồ số 02, cụm 3, Xã Hát Môn, Thành phố Hà Nội, Việt Nam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r>
            <w:r>
              <w:t xml:space="preserve">Mã số thuế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0100686174-081 </w:t>
            </w:r>
            <w:r>
              <w:rPr>
                <w:color w:val="ff0000"/>
                <w:lang w:val="pt-BR"/>
              </w:rPr>
            </w:r>
            <w:r>
              <w:rPr>
                <w:color w:val="ff0000"/>
                <w:lang w:val="pt-BR"/>
              </w:rPr>
            </w:r>
          </w:p>
        </w:tc>
      </w:tr>
      <w:tr>
        <w:trPr>
          <w:trHeight w:val="20"/>
        </w:trPr>
        <w:tc>
          <w:tcPr>
            <w:tcBorders/>
            <w:tcW w:w="2518" w:type="dxa"/>
            <w:vAlign w:val="center"/>
            <w:textDirection w:val="lrTb"/>
            <w:noWrap w:val="false"/>
          </w:tcPr>
          <w:p>
            <w:pPr>
              <w:pBdr/>
              <w:tabs>
                <w:tab w:val="center" w:leader="none" w:pos="948"/>
                <w:tab w:val="center" w:leader="none" w:pos="948"/>
              </w:tabs>
              <w:spacing w:after="40" w:before="40" w:line="276" w:lineRule="auto"/>
              <w:ind/>
              <w:jc w:val="both"/>
              <w:rPr>
                <w:bCs/>
                <w:color w:val="000000" w:themeColor="text1"/>
                <w:lang w:val="pt-BR"/>
              </w:rPr>
            </w:pPr>
            <w:r>
              <w:rPr>
                <w:bCs/>
                <w:color w:val="000000" w:themeColor="text1"/>
                <w:lang w:val="pt-BR"/>
              </w:rPr>
            </w:r>
            <w:r>
              <w:t xml:space="preserve">Đại diện</w:t>
            </w:r>
            <w:r>
              <w:rPr>
                <w:bCs/>
                <w:color w:val="000000" w:themeColor="text1"/>
                <w:lang w:val="pt-BR"/>
              </w:rPr>
              <w:tab/>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rPr>
            </w:pPr>
            <w:r>
              <w:rPr>
                <w:color w:val="000000" w:themeColor="text1"/>
                <w:lang w:val="vi-VN"/>
              </w:rPr>
            </w:r>
            <w:r>
              <w:rPr>
                <w:b/>
                <w:bCs/>
              </w:rPr>
              <w:t xml:space="preserve">Ông Nguyễn Hải Việt    </w:t>
            </w:r>
            <w:r>
              <w:t xml:space="preserve">                    Chức vụ: </w:t>
            </w:r>
            <w:r>
              <w:rPr>
                <w:b/>
                <w:bCs/>
              </w:rPr>
              <w:t xml:space="preserve">Giám đốc </w:t>
            </w:r>
            <w:r>
              <w:rPr>
                <w:b/>
                <w:bCs/>
              </w:rPr>
            </w:r>
            <w:r>
              <w:rPr>
                <w:b/>
                <w:bCs/>
              </w:rPr>
            </w:r>
          </w:p>
          <w:p>
            <w:pPr>
              <w:pBdr/>
              <w:spacing w:after="40" w:before="40" w:line="276" w:lineRule="auto"/>
              <w:ind/>
              <w:jc w:val="both"/>
              <w:rPr>
                <w:color w:val="ff0000"/>
                <w:lang w:val="pt-BR"/>
              </w:rPr>
            </w:pPr>
            <w:r>
              <w:t xml:space="preserve">(Theo văn bản ủy quyền số 2664/QĐ-NHNo-PC ngày 01/12/2022 của Người đại diện theo pháp luật Ngân hàng Nông nghiệp và Phát triển Nông thôn Việt Nam và việc “Ủy quyền thực hiện nhiệm vụ, quyền hạn của người đại diện theo</w:t>
            </w:r>
            <w:r>
              <w:t xml:space="preserve"> pháp luật)</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22, tờ bản đồ số 41 có địa chỉ: Thôn Bưởi, xã Ba Vì, Thành phố Hà Nội</w:t>
            </w:r>
            <w:r>
              <w:rPr>
                <w:bCs/>
                <w:color w:val="000000" w:themeColor="text1"/>
                <w:lang w:val="pt-BR"/>
              </w:rPr>
              <w:t xml:space="preserve"> theo Giấy chứng nhận quyền sử dụng đất quyền sở hữu tài sản gắn liền với đất số: AA 06984338, số vào sổ cấp GCN: CN 20908 do Chi nhánh văn phòng đăng kí đất đai Hà Nội huyện Ba Vì cấp ngày 13/3/2026; Chủ sử dụng đất là Ông Phùng Văn Hùng và vợ Vũ Thị Hiền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Bưởi, xã Ba Vì,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97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21.0261239, 105.3184512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99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99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99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99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99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99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99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99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99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99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99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99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99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99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99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99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06984338, số vào sổ cấp GCN: CN 20908 do Chi nhánh văn phòng đăng kí đất đai Hà Nội huyện Ba Vì cấp ngày 13/3/2026; Chủ sử dụng đất là Ông Phùng Văn Hùng và vợ Vũ Thị Hiền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99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275/2026/0577/VFI-HĐTĐ.39.A ngày 06/04/2026 giữa </w:t>
      </w:r>
      <w:r>
        <w:t xml:space="preserve">Ngân hàng Nông nghiệp và Phát triển Nông thôn Việt Nam (Agribank) – Chỉ nhánh Hà Tây I– Phòng giao dịch Lê Lợi </w:t>
      </w:r>
      <w:r>
        <w:rPr>
          <w:color w:val="000000" w:themeColor="text1"/>
          <w:lang w:val="pt-BR"/>
        </w:rPr>
        <w:t xml:space="preserve"> với Công ty Cổ phần Thẩm định và Đầu tư Tài chính Hoa Sen.</w:t>
      </w:r>
      <w:r>
        <w:rPr>
          <w:b/>
          <w:lang w:val="pt-BR"/>
        </w:rPr>
      </w:r>
      <w:r>
        <w:rPr>
          <w:b/>
          <w:lang w:val="pt-BR"/>
        </w:rPr>
      </w:r>
    </w:p>
    <w:p>
      <w:pPr>
        <w:pStyle w:val="99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w:t>
      </w:r>
      <w:r>
        <w:rPr>
          <w:shd w:val="clear" w:color="auto" w:fill="ffffff"/>
        </w:rPr>
        <w:t xml:space="preserve">rõ nét. Thay vì những cơn “sốt nóng”, thị trường vận động theo hướng chọn lọc, phân hóa mạnh, lấy nhu cầu ở thực, chất lượng dự án và năng lực doanh nghiệp làm trụ cột phát triển bền vững. Trong bối cảnh kinh tế vĩ mô dần ổn định, khuôn khổ pháp lý được ho</w:t>
      </w:r>
      <w:r>
        <w:rPr>
          <w:shd w:val="clear" w:color="auto" w:fill="ffffff"/>
        </w:rPr>
        <w:t xml:space="preserve">àn thiện và đầu tư công tiếp tục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w:t>
      </w:r>
      <w:r>
        <w:rPr>
          <w:shd w:val="clear" w:color="auto" w:fill="ffffff"/>
        </w:rPr>
        <w:t xml:space="preserve">ng trưởng trên nền tảng bền vững, gắn chặt với quy hoạch đô thị, nhu cầu ở thực và năng lực triển khai của doanh nghiệp.</w:t>
        <w:br/>
        <w:t xml:space="preserve">Trong nhiều năm qua, hạ tầng giao thông luôn là yếu tố then chốt định hình không gian phát triển đô thị Hà Nội. Đến năm 2026, vai trò n</w:t>
      </w:r>
      <w:r>
        <w:rPr>
          <w:shd w:val="clear" w:color="auto" w:fill="ffffff"/>
        </w:rPr>
        <w:t xml:space="preserve">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rộng không gian phát tr</w:t>
      </w:r>
      <w:r>
        <w:rPr>
          <w:shd w:val="clear" w:color="auto" w:fill="ffffff"/>
        </w:rPr>
        <w:t xml:space="preserve">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 xml:space="preserve">Cùng với đó, hệ thốn</w:t>
      </w:r>
      <w:r>
        <w:rPr>
          <w:shd w:val="clear" w:color="auto" w:fill="ffffff"/>
        </w:rPr>
        <w:t xml:space="preserve">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giao thông</w:t>
      </w:r>
      <w:r>
        <w:rPr>
          <w:shd w:val="clear" w:color="auto" w:fill="ffffff"/>
        </w:rPr>
        <w:t xml:space="preserve">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bất động sản</w:t>
      </w:r>
      <w:r>
        <w:rPr>
          <w:shd w:val="clear" w:color="auto" w:fill="ffffff"/>
        </w:rPr>
        <w:t xml:space="preserve">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w:t>
      </w:r>
      <w:r>
        <w:rPr>
          <w:shd w:val="clear" w:color="auto" w:fill="ffffff"/>
        </w:rPr>
        <w:t xml:space="preserve">c), đang nổi lên như một cực phát triển mới. Ở phía Đông, hệ thống cầu vượt sông Hồng, cùng quy hoạch chỉnh trang đô thị ven sông, tiếp tục mở ra dư địa cho các dự án nhà ở và đô thị sinh thái.</w:t>
        <w:br/>
        <w:t xml:space="preserve">Nếu như giai đoạn trước, thị trường bất động sản Hà Nội từng c</w:t>
      </w:r>
      <w:r>
        <w:rPr>
          <w:shd w:val="clear" w:color="auto" w:fill="ffffff"/>
        </w:rPr>
        <w:t xml:space="preserve">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định.S</w:t>
      </w:r>
      <w:r>
        <w:rPr>
          <w:shd w:val="clear" w:color="auto" w:fill="ffffff"/>
        </w:rPr>
        <w:t xml:space="preserve">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các</w:t>
      </w:r>
      <w:r>
        <w:rPr>
          <w:shd w:val="clear" w:color="auto" w:fill="ffffff"/>
        </w:rPr>
        <w:t xml:space="preserve"> phân khúc an toàn hơn, hạn chế rủi ro và có tiềm năng tăng trưởng dài hạn.</w:t>
        <w:br/>
        <w:t xml:space="preserve">(nguồn tham khảo: https://thanglong.chinhphu.vn/buc-tranh-thi-truong-bat-dong-san-ha-noi-nam-2026-ha-tang-dan-dat-thi-truong-buoc-vao-chu-ky-tang-truong-moi-103260101181315972.htm)</w:t>
      </w:r>
      <w:r>
        <w:rPr>
          <w:i/>
          <w:iCs/>
          <w:lang w:val="pt-BR"/>
        </w:rPr>
      </w:r>
      <w:r>
        <w:rPr>
          <w:i/>
          <w:iCs/>
          <w:lang w:val="pt-BR"/>
        </w:rPr>
      </w:r>
    </w:p>
    <w:p>
      <w:pPr>
        <w:pStyle w:val="99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22, tờ bản đồ số 41 có địa chỉ: Thôn Bưởi, xã Ba Vì, Thành phố Hà Nội</w:t>
            </w:r>
            <w:r>
              <w:rPr>
                <w:b/>
                <w:bCs/>
                <w:color w:val="000000"/>
              </w:rPr>
              <w:t xml:space="preserve"> theo Giấy chứng nhận quyền sử dụng đất quyền sở hữu tài sản gắn liền với đất số: AA 06984338, số vào sổ cấp GCN: CN 20908 do Chi nhánh văn phòng đăng kí đất đai Hà Nội huyện Ba Vì cấp ngày 13/3/2026; Chủ sử dụng đất là Ông Phùng Văn Hùng và vợ Vũ Thị Hiền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Bưởi xã Ba Vì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452,4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 150m2;  Đất trồng cây lâu năm: 302,4m2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tại nông thôn: Lâu dài;  Đất trồng cây lâu năm: Đến 30/05/2075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Số thửa, số tờ, sơ đồ thửa đất theo bản đồ địa chính đo đạc dự án tổng thể</w:t>
              <w:br/>
              <w:t xml:space="preserve">+ Giấy chứng nhận này được cấp đổi từ Giấy chứng nhận số AA 03987280 đã được Chi nhánh Văn phòng Đăng ký đất đai Hà Nội huyện Ba Vì cấp ngày 24/08/2025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Theo thông tin tại GC</w:t>
            </w:r>
            <w:r>
              <w:rPr>
                <w:b w:val="0"/>
                <w:bCs w:val="0"/>
                <w:color w:val="000000"/>
              </w:rPr>
              <w:t xml:space="preserve">N số </w:t>
            </w:r>
            <w:r>
              <w:rPr>
                <w:b w:val="0"/>
                <w:bCs w:val="0"/>
                <w:color w:val="000000"/>
              </w:rPr>
              <w:t xml:space="preserve">AA 06984338 thửa đất có 289,5m2 thuộc hành lang giao th</w:t>
            </w:r>
            <w:r>
              <w:rPr>
                <w:b w:val="0"/>
                <w:bCs w:val="0"/>
                <w:color w:val="000000"/>
              </w:rPr>
              <w:t xml:space="preserve">ông đường TL 415. Ngoài ra không có thêm bất kì thông tin gì liên qua đến quy hoạch của thửa đất. Theo đề nghị của khách hàng, tổ thẩm định sử dụng thông tin quy hoạch trên GCN để xác định giá trị của thửa đất, kính đề nghị các đơn vị sử dụng kết quả lưu ý</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DT415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tại mặt tiền đường tỉnh DT415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Nam: Tiếp giáp với đường DT415</w:t>
            </w:r>
            <w:r>
              <w:rPr>
                <w:highlight w:val="none"/>
              </w:rPr>
            </w:r>
            <w:r>
              <w:rPr>
                <w:highlight w:val="none"/>
              </w:rPr>
            </w:r>
          </w:p>
          <w:p>
            <w:pPr>
              <w:pBdr/>
              <w:spacing/>
              <w:ind/>
              <w:rPr>
                <w:highlight w:val="none"/>
              </w:rPr>
            </w:pPr>
            <w:r>
              <w:rPr>
                <w:highlight w:val="none"/>
              </w:rPr>
              <w:t xml:space="preserve">Các hướng khác: Tiếp giáp với các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21.0261239</w:t>
            </w:r>
            <w:r>
              <w:rPr>
                <w:color w:val="000000"/>
              </w:rPr>
              <w:t xml:space="preserve">, </w:t>
            </w:r>
            <w:r>
              <w:rPr>
                <w:color w:val="000000"/>
              </w:rPr>
              <w:t xml:space="preserve">105.3184512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9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425,4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20,18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16,29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highlight w:val="none"/>
              </w:rPr>
            </w:pPr>
            <w:r>
              <w:rPr>
                <w:color w:val="000000"/>
              </w:rPr>
              <w:t xml:space="preserve">Tại thời điểm khảo sát, CTXD gắn liền với đất là nhà 2 tầng, diện tích xây dựng khoảng 100m2; xây dựng năm 2023; lán lợp tôn phía ngoài đường</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Các CTXD chưa được chứng nhận trên GCN, ngoài ra tổ thẩm định không thu thập được bất kì thông tin nào liên quan đế CTXD nêu trên. </w:t>
            </w:r>
            <w:r>
              <w:rPr>
                <w:color w:val="000000"/>
                <w:highlight w:val="none"/>
              </w:rPr>
            </w:r>
            <w:r>
              <w:rPr>
                <w:color w:val="000000"/>
                <w:highlight w:val="none"/>
              </w:rPr>
            </w:r>
          </w:p>
          <w:p>
            <w:pPr>
              <w:pBdr/>
              <w:spacing/>
              <w:ind/>
              <w:jc w:val="both"/>
              <w:rPr>
                <w:color w:val="000000"/>
              </w:rPr>
            </w:pPr>
            <w:r>
              <w:rPr>
                <w:color w:val="000000"/>
                <w:highlight w:val="none"/>
              </w:rPr>
              <w:t xml:space="preserve">Do đó </w:t>
            </w:r>
            <w:r>
              <w:rPr>
                <w:color w:val="000000"/>
                <w:highlight w:val="none"/>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99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thôn Bưởi xã Ba Vì thành phố Hà Nội </w:t>
            </w:r>
            <w:r/>
          </w:p>
        </w:tc>
        <w:tc>
          <w:tcPr>
            <w:tcBorders/>
            <w:tcW w:w="1605" w:type="dxa"/>
            <w:vAlign w:val="center"/>
            <w:textDirection w:val="lrTb"/>
            <w:noWrap w:val="false"/>
          </w:tcPr>
          <w:p>
            <w:pPr>
              <w:pBdr/>
              <w:spacing/>
              <w:ind/>
              <w:rPr/>
            </w:pPr>
            <w:r>
              <w:t xml:space="preserve">thôn Bưởi xã Ba Vì thành phố Hà Nội ✔</w:t>
            </w:r>
            <w:r/>
          </w:p>
        </w:tc>
        <w:tc>
          <w:tcPr>
            <w:tcBorders/>
            <w:tcW w:w="1371" w:type="dxa"/>
            <w:vAlign w:val="center"/>
            <w:textDirection w:val="lrTb"/>
            <w:noWrap w:val="false"/>
          </w:tcPr>
          <w:p>
            <w:pPr>
              <w:pBdr/>
              <w:spacing/>
              <w:ind/>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trồng cây lâu năm ✔</w:t>
            </w:r>
            <w:r/>
          </w:p>
        </w:tc>
        <w:tc>
          <w:tcPr>
            <w:tcBorders/>
            <w:tcW w:w="1605" w:type="dxa"/>
            <w:vAlign w:val="center"/>
            <w:textDirection w:val="lrTb"/>
            <w:noWrap w:val="false"/>
          </w:tcPr>
          <w:p>
            <w:pPr>
              <w:pBdr/>
              <w:spacing/>
              <w:ind/>
              <w:jc w:val="center"/>
              <w:rPr/>
            </w:pPr>
            <w:r>
              <w:t xml:space="preserve">Đất ở nông thôn, Đất trồng cây lâu năm</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 </w:t>
              <w:br/>
              <w:t xml:space="preserve">Đất trồng cây lâu năm: Đến 30/05/2075</w:t>
            </w:r>
            <w:r/>
          </w:p>
        </w:tc>
        <w:tc>
          <w:tcPr>
            <w:tcBorders/>
            <w:tcW w:w="16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 </w:t>
              <w:br/>
              <w:t xml:space="preserve">Đất trồng cây lâu năm: Đến 30/05/2075</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425,4</w:t>
            </w:r>
            <w:r/>
          </w:p>
        </w:tc>
        <w:tc>
          <w:tcPr>
            <w:tcBorders/>
            <w:tcW w:w="1605" w:type="dxa"/>
            <w:vAlign w:val="center"/>
            <w:textDirection w:val="lrTb"/>
            <w:noWrap w:val="false"/>
          </w:tcPr>
          <w:p>
            <w:pPr>
              <w:pBdr/>
              <w:spacing/>
              <w:ind/>
              <w:jc w:val="center"/>
              <w:rPr/>
            </w:pPr>
            <w:r>
              <w:t xml:space="preserve">425,4</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20,18</w:t>
            </w:r>
            <w:r/>
          </w:p>
        </w:tc>
        <w:tc>
          <w:tcPr>
            <w:tcBorders/>
            <w:tcW w:w="1605" w:type="dxa"/>
            <w:vAlign w:val="center"/>
            <w:textDirection w:val="lrTb"/>
            <w:noWrap w:val="false"/>
          </w:tcPr>
          <w:p>
            <w:pPr>
              <w:pBdr/>
              <w:spacing/>
              <w:ind/>
              <w:jc w:val="center"/>
              <w:rPr/>
            </w:pPr>
            <w:r>
              <w:t xml:space="preserve">20,18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36,37</w:t>
            </w:r>
            <w:r>
              <w:t xml:space="preserve"> ✔</w:t>
            </w:r>
            <w:r/>
          </w:p>
        </w:tc>
        <w:tc>
          <w:tcPr>
            <w:tcBorders/>
            <w:tcW w:w="1605" w:type="dxa"/>
            <w:vAlign w:val="center"/>
            <w:textDirection w:val="lrTb"/>
            <w:noWrap w:val="false"/>
          </w:tcPr>
          <w:p>
            <w:pPr>
              <w:pBdr/>
              <w:spacing/>
              <w:ind/>
              <w:jc w:val="center"/>
              <w:rPr/>
            </w:pPr>
            <w:r>
              <w:t xml:space="preserve">36,37</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382"/>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 Nam</w:t>
            </w:r>
            <w:r/>
          </w:p>
        </w:tc>
        <w:tc>
          <w:tcPr>
            <w:tcBorders/>
            <w:tcW w:w="1605"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99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99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991"/>
        <w:numPr>
          <w:ilvl w:val="0"/>
          <w:numId w:val="3"/>
        </w:numPr>
        <w:pBdr/>
        <w:tabs>
          <w:tab w:val="left" w:leader="none" w:pos="993"/>
        </w:tabs>
        <w:spacing w:after="120" w:before="120" w:line="264" w:lineRule="auto"/>
        <w:ind/>
        <w:jc w:val="both"/>
        <w:rPr>
          <w:spacing w:val="-2"/>
          <w:lang w:val="pt-BR" w:bidi="pt-BR"/>
          <w14:ligatures w14:val="none"/>
        </w:rPr>
      </w:pPr>
      <w:r>
        <w:rPr>
          <w:spacing w:val="-2"/>
          <w:lang w:val="pt-BR" w:bidi="pt-BR"/>
        </w:rPr>
      </w:r>
      <w:r>
        <w:rPr>
          <w:spacing w:val="-2"/>
          <w:lang w:val="pt-BR"/>
        </w:rPr>
        <w:t xml:space="preserve">Tại thời điểm thẩm định, theo cung cấp của Khách hàng/Ngân hàng, tổ thẩm định nhận thấy diện tích thửa đất GCN số: </w:t>
      </w:r>
      <w:r>
        <w:rPr>
          <w:spacing w:val="-2"/>
          <w:lang w:val="pt-BR"/>
        </w:rPr>
        <w:t xml:space="preserve">AA 06984338</w:t>
      </w:r>
      <w:r>
        <w:rPr>
          <w:spacing w:val="-2"/>
          <w:lang w:val="pt-BR"/>
        </w:rPr>
        <w:t xml:space="preserve"> là 289m² nằm trong quy hoạch đất giao thông</w:t>
      </w:r>
      <w:r>
        <w:rPr>
          <w:spacing w:val="-2"/>
          <w:lang w:val="pt-BR"/>
        </w:rPr>
        <w:t xml:space="preserve">. Hiện nay chưa có thông báo thu hồi đất/quyết định thu hồi đất/phương án giải tỏa bồi thường. Tổ thẩm định xác định giá trị tài sản theo thông tin quy hoạch nêu trên. </w:t>
      </w:r>
      <w:r>
        <w:rPr>
          <w:rFonts w:ascii="Times New Roman" w:hAnsi="Times New Roman" w:eastAsia="Times New Roman" w:cs="Times New Roman"/>
          <w:color w:val="000000"/>
          <w:spacing w:val="-2"/>
          <w:sz w:val="24"/>
        </w:rPr>
        <w:t xml:space="preserve">Sơ đồ thửa đất tại trang 3 GCN không thể hiện vị trí đất ở và đất trồng cây lâu năm, do vậy, theo nguyên tắc sử dụng tốt nhất và hiệu quả nhất, Tổ thẩm định giả định phần đất nằm trong quy hoạch có mục đích sử dụng là đất cây lâu năm. </w:t>
      </w:r>
      <w:r>
        <w:rPr>
          <w:spacing w:val="-2"/>
          <w:lang w:val="pt-BR"/>
        </w:rPr>
        <w:t xml:space="preserve">Đối với diện tích đất ở tại nông thôn tổ thẩm định đánh giá theo </w:t>
      </w:r>
      <w:r>
        <w:rPr>
          <w:spacing w:val="-2"/>
          <w:lang w:val="pt-BR"/>
        </w:rPr>
        <w:t xml:space="preserve">giá trị thị trường, đối </w:t>
      </w:r>
      <w:r>
        <w:rPr>
          <w:spacing w:val="-2"/>
          <w:lang w:val="pt-BR"/>
        </w:rPr>
        <w:t xml:space="preserve">với phần nằm trong quy hoạch và phần đất CLN còn lại tổ thẩm định đánh giá theo giá UBND từng thời kỳ, giá trị đền bù thực tế còn phụ thuộc vào thỏa thuận các bên tại thời điểm Nhà nước giải phóng mặt bằng thực hiện quy hoạch. Đề nghị đơn vị sử dụng kết qu</w:t>
      </w:r>
      <w:r>
        <w:rPr>
          <w:spacing w:val="-2"/>
          <w:lang w:val="pt-BR"/>
        </w:rPr>
        <w:t xml:space="preserve">ả lưu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w:t>
      </w:r>
      <w:r>
        <w:rPr>
          <w:spacing w:val="-2"/>
          <w:lang w:val="pt-BR"/>
        </w:rPr>
        <w:t xml:space="preserve">ét, điều chỉnh phù hợp, chúng tôi bảo lưu quyền xem xét lại kết quả thẩm định giá</w:t>
      </w:r>
      <w:r>
        <w:rPr>
          <w:spacing w:val="-2"/>
          <w:lang w:val="pt-BR" w:bidi="pt-BR"/>
        </w:rPr>
        <w:t xml:space="preserve">.</w:t>
      </w:r>
      <w:r>
        <w:rPr>
          <w:spacing w:val="-2"/>
          <w:lang w:val="pt-BR" w:bidi="pt-BR"/>
          <w14:ligatures w14:val="none"/>
        </w:rPr>
      </w:r>
      <w:r>
        <w:rPr>
          <w:spacing w:val="-2"/>
          <w:lang w:val="pt-BR" w:bidi="pt-BR"/>
          <w14:ligatures w14:val="none"/>
        </w:rPr>
      </w:r>
    </w:p>
    <w:p>
      <w:pPr>
        <w:pStyle w:val="991"/>
        <w:numPr>
          <w:ilvl w:val="0"/>
          <w:numId w:val="3"/>
        </w:numPr>
        <w:pBdr/>
        <w:tabs>
          <w:tab w:val="left" w:leader="none" w:pos="993"/>
        </w:tabs>
        <w:spacing w:after="120" w:before="120" w:line="264" w:lineRule="auto"/>
        <w:ind/>
        <w:jc w:val="both"/>
        <w:rPr>
          <w:spacing w:val="-2"/>
          <w:lang w:val="pt-BR"/>
          <w14:ligatures w14:val="none"/>
        </w:rPr>
      </w:pPr>
      <w:r>
        <w:rPr>
          <w:spacing w:val="-2"/>
          <w:lang w:val="pt-BR" w:bidi="pt-BR"/>
        </w:rPr>
      </w:r>
      <w:r>
        <w:rPr>
          <w:color w:val="000000"/>
        </w:rPr>
        <w:t xml:space="preserve">Tại thời điểm khảo sát, CTXD gắn liền với đất là nhà 2 tầng, diện tích xây dựng khoảng 100m2; xây dựng năm 2023; và lán lợp tôn phía ngoài đường. </w:t>
      </w:r>
      <w:r>
        <w:rPr>
          <w:color w:val="000000"/>
          <w:highlight w:val="none"/>
        </w:rPr>
        <w:t xml:space="preserve">Các CTXD chưa được chứng nhận trên GCN, ngoài ra tổ thẩm định không thu thập được bất kì thông tin nào liên quan đế CTXD nêu trên. </w:t>
      </w:r>
      <w:r>
        <w:rPr>
          <w:color w:val="000000"/>
          <w:highlight w:val="none"/>
        </w:rPr>
        <w:t xml:space="preserve">Do đó </w:t>
      </w:r>
      <w:r>
        <w:rPr>
          <w:color w:val="000000"/>
          <w:highlight w:val="none"/>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14:ligatures w14:val="none"/>
        </w:rPr>
      </w:r>
      <w:r>
        <w:rPr>
          <w:spacing w:val="-2"/>
          <w:lang w:val="pt-BR"/>
          <w14:ligatures w14:val="none"/>
        </w:rPr>
      </w:r>
    </w:p>
    <w:p>
      <w:pPr>
        <w:pStyle w:val="99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99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99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99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99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99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99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99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99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 tại nông thôn (150m2)</w:t>
      </w:r>
      <w:r>
        <w:rPr>
          <w:b/>
          <w:lang w:val="pt-BR"/>
        </w:rPr>
        <w:t xml:space="preserve">:</w:t>
      </w:r>
      <w:r>
        <w:rPr>
          <w:b/>
          <w:lang w:val="pt-BR"/>
        </w:rPr>
      </w:r>
      <w:r>
        <w:rPr>
          <w:b/>
          <w:lang w:val="pt-BR"/>
        </w:rPr>
      </w:r>
    </w:p>
    <w:p>
      <w:pPr>
        <w:pStyle w:val="99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99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Bưởi, xã Ba Vì,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Ba Vì,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Ba Vì,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Ba Vì, thành phố Hà Nội</w:t>
            </w:r>
            <w:r>
              <w:rPr>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https://www.facebook.com/groups/2853174424911007/permalink/4405906792971088/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https://www.facebook.com/groups/1308569172686507/permalink/3128673770676029/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https://www.facebook.com/groups/1308569172686507/permalink/3130016783875061/</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0984.623.825</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0967159867</w:t>
            </w:r>
            <w:r>
              <w:rPr>
                <w:sz w:val="22"/>
                <w:szCs w:val="22"/>
              </w:rPr>
              <w:br/>
            </w:r>
            <w:r>
              <w:rPr>
                <w:sz w:val="22"/>
                <w:szCs w:val="22"/>
              </w:rPr>
              <w:t xml:space="preserve">(</w:t>
            </w:r>
            <w:r>
              <w:rPr>
                <w:sz w:val="22"/>
                <w:szCs w:val="22"/>
              </w:rPr>
              <w:t xml:space="preserve">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0369929798</w:t>
            </w:r>
            <w:r>
              <w:rPr>
                <w:sz w:val="22"/>
                <w:szCs w:val="22"/>
              </w:rPr>
              <w:br/>
            </w:r>
            <w:r>
              <w:rPr>
                <w:sz w:val="22"/>
                <w:szCs w:val="22"/>
              </w:rPr>
              <w:t xml:space="preserve">(</w:t>
            </w:r>
            <w:r>
              <w:rPr>
                <w:sz w:val="22"/>
                <w:szCs w:val="22"/>
              </w:rPr>
              <w:t xml:space="preserve">Hồng Hạnh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(150m²)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trồng cây lâu năm,Đất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13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Ba Vì, Thành phố Hà Nội, mặt tiền đường đường DT415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Ba Vì, Thành phố Hà Nội, </w:t>
            </w:r>
            <w:r>
              <w:rPr>
                <w:color w:val="000000" w:themeColor="text1"/>
                <w:sz w:val="22"/>
                <w:szCs w:val="22"/>
              </w:rPr>
              <w:t xml:space="preserve">; cách đường DT415 khoảng 500mm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Ba Vì, Thành phố Hà Nội, mặt  tiền đường DT 415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Ba Vì, Thành phố Hà Nội, mặt tiền Đường tỉnh 415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6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104,01 (QH: 75,99)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274,1 (QH: 177,1)</w:t>
            </w:r>
            <w:r>
              <w:rPr>
                <w:color w:val="000000"/>
                <w:sz w:val="22"/>
                <w:szCs w:val="22"/>
              </w:rPr>
            </w:r>
            <w:r>
              <w:rPr>
                <w:color w:val="000000"/>
                <w:sz w:val="22"/>
                <w:szCs w:val="22"/>
              </w:rPr>
            </w:r>
          </w:p>
        </w:tc>
      </w:tr>
      <w:tr>
        <w:trPr>
          <w:trHeight w:val="60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nằm trong quy hoạch (m2)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75,99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177,1</w:t>
            </w:r>
            <w:r>
              <w:rPr>
                <w:color w:val="000000" w:themeColor="text1"/>
                <w:sz w:val="22"/>
                <w:szCs w:val="22"/>
              </w:rPr>
            </w:r>
            <w:r>
              <w:rPr>
                <w:color w:val="000000" w:themeColor="text1"/>
                <w:sz w:val="22"/>
                <w:szCs w:val="22"/>
              </w:rPr>
            </w:r>
          </w:p>
        </w:tc>
      </w:tr>
      <w:tr>
        <w:trPr>
          <w:trHeight w:val="608"/>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Đơn giá UBDN của đất cây lâu năm nằm trong quy hoạch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78.000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78.000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23,23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Đất trồng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Đất trồng</w:t>
            </w:r>
            <w:r>
              <w:rPr>
                <w:color w:val="000000" w:themeColor="text1"/>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990</w:t>
            </w:r>
            <w:r>
              <w:rPr>
                <w:color w:val="000000" w:themeColor="text1"/>
                <w:sz w:val="22"/>
                <w:szCs w:val="22"/>
              </w:rPr>
              <w:t xml:space="preserve">.000.000</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r>
            <w:r>
              <w:rPr>
                <w:b/>
                <w:bCs/>
                <w:color w:val="000000"/>
                <w:sz w:val="22"/>
                <w:szCs w:val="22"/>
              </w:rPr>
              <w:t xml:space="preserve">Giá trị đất nằm trong quy hoạch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sz w:val="22"/>
                <w:szCs w:val="22"/>
              </w:rPr>
            </w:r>
            <w:r>
              <w:rPr>
                <w:color w:val="000000" w:themeColor="text1"/>
                <w:sz w:val="22"/>
                <w:szCs w:val="22"/>
              </w:rPr>
              <w:t xml:space="preserve">5.927.220</w:t>
            </w:r>
            <w:r>
              <w:rPr>
                <w:color w:val="000000" w:themeColor="text1"/>
                <w:sz w:val="22"/>
                <w:szCs w:val="22"/>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sz w:val="22"/>
                <w:szCs w:val="22"/>
              </w:rPr>
            </w:r>
            <w:r>
              <w:rPr>
                <w:color w:val="000000" w:themeColor="text1"/>
                <w:sz w:val="22"/>
                <w:szCs w:val="22"/>
              </w:rPr>
              <w:t xml:space="preserve">13.813.800</w:t>
            </w:r>
            <w:r>
              <w:rPr>
                <w:color w:val="000000" w:themeColor="text1"/>
                <w:sz w:val="22"/>
                <w:szCs w:val="22"/>
              </w:rPr>
            </w:r>
            <w:r>
              <w:rPr>
                <w:color w:val="000000" w:themeColor="text1"/>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nằm ngoài quy hoạch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984.072.780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2.686.187.200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8.439.716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9.453.149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9.800.026</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99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99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4"/>
        <w:gridCol w:w="1874"/>
        <w:gridCol w:w="918"/>
        <w:gridCol w:w="2213"/>
        <w:gridCol w:w="2222"/>
        <w:gridCol w:w="2219"/>
        <w:gridCol w:w="2223"/>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2.380.000.000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990.000.000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2.700.000.000</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8.439.716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9.453.149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9.800.026</w:t>
            </w:r>
            <w:r>
              <w:rPr>
                <w:color w:val="000000" w:themeColor="text1"/>
              </w:rPr>
            </w:r>
            <w:r>
              <w:rPr>
                <w:color w:val="000000" w:themeColor="text1"/>
              </w:rP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8.439.716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9.453.149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9.800.026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 (150m²)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trồng cây lâu năm,Đất ở tại nông thôn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thôn,Đất trồng cây lâu năm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Đất ở tại nông thôn,Đất trồng cây lâu năm</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8.439.716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9.453.149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9.800.026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Ba Vì, Thành phố Hà Nội, mặt tiền đường đường DT415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Ba Vì, Thành phố Hà Nội, ; cách đường DT415 khoảng 500mm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Ba Vì, Thành phố Hà Nội, mặt  tiền đường DT 415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Ba Vì, Thành phố Hà Nội, mặt tiền Đường tỉnh 415</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253.191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8.692.908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9.453.149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9.800.026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421.986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9.114.894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9.453.149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9.800.026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104,1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274,1</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421.986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-472.657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490.001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9.536.879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8.980.491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10.290.028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20,18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11,8</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506.383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945.315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588.002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10.043.262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9.925.806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10.878.029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Chiều sâu (m)</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16,29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34,39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23.23</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253.191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283.594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294.001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10.296.454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10.209.401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11.172.030 </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góc 1 mặt đường, phố + 1 mặt ngõ</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-843.972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9.452.482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10.209.401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11.172.030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Đa giác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-1.265.957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-1.417.972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-1.470.004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8.186.525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8.791.428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9.702.026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Các thông tin khác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Tỉ lệ đất ở/ Tổng diện tích: 100%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Tỉ lệ đất ở/ Tổng diện tích: 35%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Tỉ lệ đất ở/ Tổng diện tích: 96%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Tỉ lệ đất ở/ Tổng diện tích: 27%</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843.972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980.003 </w:t>
            </w:r>
            <w:r>
              <w:rPr>
                <w:color w:val="000000" w:themeColor="text1"/>
              </w:rPr>
            </w:r>
            <w:r>
              <w:rPr>
                <w:color w:val="000000" w:themeColor="text1"/>
              </w:rP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9.030.496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8.791.428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10.682.029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9.030.496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8.791.428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10.682.029 </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66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9.501.318 </w:t>
            </w:r>
            <w:r>
              <w:rPr>
                <w:color w:val="000000" w:themeColor="text1"/>
              </w:rPr>
            </w:r>
            <w:r>
              <w:rPr>
                <w:color w:val="000000" w:themeColor="text1"/>
              </w:rP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12,4%</w:t>
            </w:r>
            <w:r>
              <w:rPr>
                <w:color w:val="000000" w:themeColor="text1"/>
              </w:rPr>
            </w:r>
            <w:r>
              <w:rPr>
                <w:color w:val="000000" w:themeColor="text1"/>
              </w:rP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4.810.638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3.119.539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3.822.010 </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w:t>
            </w:r>
            <w:r>
              <w:rPr>
                <w:color w:val="000000" w:themeColor="text1"/>
              </w:rPr>
            </w:r>
            <w:r>
              <w:rPr>
                <w:color w:val="000000" w:themeColor="text1"/>
              </w:rP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- 15%</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- 15%</w:t>
            </w:r>
            <w:r>
              <w:rPr>
                <w:color w:val="000000" w:themeColor="text1"/>
              </w:rPr>
            </w:r>
            <w:r>
              <w:rPr>
                <w:color w:val="000000" w:themeColor="text1"/>
              </w:rP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74"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590.780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661.720 </w:t>
            </w:r>
            <w:r>
              <w:rPr>
                <w:color w:val="000000" w:themeColor="text1"/>
              </w:rPr>
            </w:r>
            <w:r>
              <w:rPr>
                <w:color w:val="000000" w:themeColor="text1"/>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882.002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-7,5</w:t>
      </w:r>
      <w:r>
        <w:t xml:space="preserve">% đến</w:t>
      </w:r>
      <w:r>
        <w:t xml:space="preserve"> </w:t>
      </w:r>
      <w:r>
        <w:t xml:space="preserve"> </w:t>
      </w:r>
      <w:r>
        <w:t xml:space="preserve">12,4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99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13"/>
        <w:gridCol w:w="2219"/>
        <w:gridCol w:w="2227"/>
        <w:gridCol w:w="2223"/>
        <w:gridCol w:w="2226"/>
      </w:tblGrid>
      <w:tr>
        <w:trPr>
          <w:trHeight w:val="936"/>
        </w:trPr>
        <w:tc>
          <w:tcPr>
            <w:shd w:val="clear" w:color="ffffff" w:themeColor="background1" w:fill="ffffff" w:themeFill="background1"/>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themeColor="background1" w:fill="ffffff" w:themeFill="background1"/>
            <w:tcBorders>
              <w:top w:val="single" w:color="000000" w:sz="5" w:space="0"/>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themeColor="background1" w:fill="ffffff" w:themeFill="background1"/>
            <w:tcBorders>
              <w:top w:val="single" w:color="000000" w:sz="5" w:space="0"/>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themeColor="background1" w:fill="ffffff" w:themeFill="background1"/>
            <w:tcBorders>
              <w:top w:val="single" w:color="000000" w:sz="5" w:space="0"/>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themeColor="background1" w:fill="ffffff" w:themeFill="background1"/>
            <w:tcBorders>
              <w:top w:val="single" w:color="000000" w:sz="5" w:space="0"/>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themeColor="background1" w:fill="ffffff" w:themeFill="background1"/>
            <w:tcBorders>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9.030.496</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3.009.864</w:t>
            </w:r>
            <w:r/>
          </w:p>
        </w:tc>
      </w:tr>
      <w:tr>
        <w:trPr>
          <w:trHeight w:val="312"/>
        </w:trPr>
        <w:tc>
          <w:tcPr>
            <w:shd w:val="clear" w:color="ffffff" w:themeColor="background1" w:fill="ffffff" w:themeFill="background1"/>
            <w:tcBorders>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8.791.428</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2.930.183</w:t>
            </w:r>
            <w:r/>
          </w:p>
        </w:tc>
      </w:tr>
      <w:tr>
        <w:trPr>
          <w:trHeight w:val="312"/>
        </w:trPr>
        <w:tc>
          <w:tcPr>
            <w:shd w:val="clear" w:color="ffffff" w:themeColor="background1" w:fill="ffffff" w:themeFill="background1"/>
            <w:tcBorders>
              <w:left w:val="single" w:color="000000" w:sz="5" w:space="0"/>
              <w:bottom w:val="single" w:color="000000" w:sz="5" w:space="0"/>
              <w:right w:val="single" w:color="000000" w:sz="5" w:space="0"/>
            </w:tcBorders>
            <w:tcMar>
              <w:left w:w="0" w:type="dxa"/>
              <w:top w:w="0" w:type="dxa"/>
              <w:right w:w="0" w:type="dxa"/>
              <w:bottom w:w="0" w:type="dxa"/>
            </w:tcMar>
            <w:tcW w:w="91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10.682.029</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3.561.388</w:t>
            </w:r>
            <w:r/>
          </w:p>
        </w:tc>
      </w:tr>
      <w:tr>
        <w:trPr>
          <w:trHeight w:val="312"/>
        </w:trPr>
        <w:tc>
          <w:tcPr>
            <w:gridSpan w:val="4"/>
            <w:shd w:val="clear" w:color="ffffff" w:themeColor="background1" w:fill="ffffff" w:themeFill="background1"/>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9.501.436</w:t>
            </w:r>
            <w:r/>
          </w:p>
        </w:tc>
      </w:tr>
      <w:tr>
        <w:trPr>
          <w:trHeight w:val="312"/>
        </w:trPr>
        <w:tc>
          <w:tcPr>
            <w:gridSpan w:val="4"/>
            <w:shd w:val="clear" w:color="ffffff" w:themeColor="background1" w:fill="ffffff" w:themeFill="background1"/>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8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themeColor="background1" w:fill="ffffff" w:themeFill="background1"/>
            <w:tcBorders>
              <w:bottom w:val="single" w:color="000000" w:sz="5" w:space="0"/>
              <w:right w:val="single" w:color="000000" w:sz="5" w:space="0"/>
            </w:tcBorders>
            <w:tcMar>
              <w:left w:w="0" w:type="dxa"/>
              <w:top w:w="0" w:type="dxa"/>
              <w:right w:w="0" w:type="dxa"/>
              <w:bottom w:w="0" w:type="dxa"/>
            </w:tcMar>
            <w:tcW w:w="22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9.500.000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9.500.000</w:t>
      </w:r>
      <w:r>
        <w:rPr>
          <w:b/>
          <w:bCs/>
          <w:color w:val="000000" w:themeColor="text1"/>
        </w:rPr>
        <w:t xml:space="preserve"> </w:t>
      </w:r>
      <w:r>
        <w:rPr>
          <w:b/>
          <w:bCs/>
        </w:rPr>
        <w:t xml:space="preserve">đồng/m².</w:t>
      </w:r>
      <w:r>
        <w:rPr>
          <w:b/>
          <w:bCs/>
        </w:rPr>
      </w:r>
      <w:r>
        <w:rPr>
          <w:b/>
          <w:bCs/>
        </w:rPr>
      </w:r>
    </w:p>
    <w:p>
      <w:pPr>
        <w:pStyle w:val="991"/>
        <w:numPr>
          <w:ilvl w:val="0"/>
          <w:numId w:val="39"/>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trồng cây lâu năm (302,4m2)</w:t>
      </w:r>
      <w:r>
        <w:rPr>
          <w:b/>
          <w:bCs/>
        </w:rPr>
        <w:t xml:space="preserve">: </w:t>
      </w:r>
      <w:r>
        <w:rPr>
          <w:b/>
          <w:lang w:val="pt-BR"/>
        </w:rPr>
      </w:r>
      <w:r>
        <w:rPr>
          <w:b/>
          <w:lang w:val="pt-BR"/>
        </w:rPr>
      </w:r>
    </w:p>
    <w:p>
      <w:pPr>
        <w:pStyle w:val="991"/>
        <w:pBdr/>
        <w:spacing w:after="120" w:before="120" w:line="276" w:lineRule="auto"/>
        <w:ind w:left="357"/>
        <w:jc w:val="both"/>
        <w:rPr>
          <w:b w:val="0"/>
          <w:bCs w:val="0"/>
          <w:highlight w:val="none"/>
          <w:lang w:val="pt-BR"/>
        </w:rPr>
      </w:pPr>
      <w:r>
        <w:rPr>
          <w:b w:val="0"/>
          <w:bCs w:val="0"/>
          <w:lang w:val="pt-BR"/>
        </w:rPr>
        <w:t xml:space="preserve">Tại thời điểm thẩm định</w:t>
      </w:r>
      <w:r>
        <w:rPr>
          <w:b w:val="0"/>
          <w:bCs w:val="0"/>
          <w:lang w:val="pt-BR"/>
        </w:rPr>
        <w:t xml:space="preserve"> giá, thị trường hạn chế những giao dịch của các thửa đất trồng cây lâu năm riêng lẻ, có một phần đất nằm trong quy hoạch. Do đó theo đề nghị của khách hàng, ngân hàng, tổ thẩm định xác định đơn giá toàn bộ diện tích đất cây lâu năm theo đơn giá của UBND. </w:t>
      </w:r>
      <w:r>
        <w:rPr>
          <w:b w:val="0"/>
          <w:bCs w:val="0"/>
          <w:highlight w:val="none"/>
          <w:lang w:val="pt-BR"/>
        </w:rPr>
      </w:r>
      <w:r>
        <w:rPr>
          <w:b w:val="0"/>
          <w:bCs w:val="0"/>
          <w:highlight w:val="none"/>
          <w:lang w:val="pt-BR"/>
        </w:rPr>
      </w:r>
    </w:p>
    <w:p>
      <w:pPr>
        <w:pStyle w:val="991"/>
        <w:pBdr/>
        <w:spacing w:after="120" w:before="120" w:line="276" w:lineRule="auto"/>
        <w:ind w:left="357"/>
        <w:jc w:val="both"/>
        <w:rPr>
          <w:b w:val="0"/>
          <w:bCs w:val="0"/>
          <w:highlight w:val="none"/>
          <w:lang w:val="pt-BR"/>
          <w14:ligatures w14:val="none"/>
        </w:rPr>
      </w:pPr>
      <w:r>
        <w:rPr>
          <w:b w:val="0"/>
          <w:bCs w:val="0"/>
          <w:highlight w:val="none"/>
          <w:lang w:val="pt-BR"/>
        </w:rPr>
        <w:t xml:space="preserve">Căn cứ Nghị quyết s</w:t>
      </w:r>
      <w:r>
        <w:rPr>
          <w:b w:val="0"/>
          <w:bCs w:val="0"/>
          <w:highlight w:val="none"/>
          <w:lang w:val="pt-BR"/>
        </w:rPr>
        <w:t xml:space="preserve">ố 52/</w:t>
      </w:r>
      <w:r>
        <w:rPr>
          <w:b w:val="0"/>
          <w:bCs w:val="0"/>
          <w:highlight w:val="none"/>
          <w:lang w:val="pt-BR"/>
        </w:rPr>
        <w:t xml:space="preserve">2025/NQ-HĐND</w:t>
      </w:r>
      <w:r>
        <w:rPr>
          <w:b w:val="0"/>
          <w:bCs w:val="0"/>
          <w:highlight w:val="none"/>
          <w:lang w:val="pt-BR"/>
        </w:rPr>
        <w:t xml:space="preserve"> của Hội đồng nhân dân Thành phố Hà Nội ngày </w:t>
      </w:r>
      <w:r>
        <w:rPr>
          <w:b w:val="0"/>
          <w:bCs w:val="0"/>
          <w:highlight w:val="none"/>
          <w:lang w:val="pt-BR"/>
        </w:rPr>
        <w:t xml:space="preserve">26 tháng 11 năm 2025</w:t>
      </w:r>
      <w:r>
        <w:rPr>
          <w:b w:val="0"/>
          <w:bCs w:val="0"/>
          <w:highlight w:val="none"/>
          <w:lang w:val="pt-BR"/>
        </w:rPr>
        <w:t xml:space="preserve"> ban hành </w:t>
      </w:r>
      <w:r>
        <w:rPr>
          <w:b w:val="0"/>
          <w:bCs w:val="0"/>
          <w:highlight w:val="none"/>
          <w:lang w:val="pt-BR"/>
        </w:rPr>
        <w:t xml:space="preserve">quy định về bảng giá đất lần đầu để công bố và áp dụng  từ ngày 01 tháng 01 năm 2026 trên địa bàn thành phố Hà Nội</w:t>
      </w:r>
      <w:r>
        <w:rPr>
          <w:b w:val="0"/>
          <w:bCs w:val="0"/>
          <w:highlight w:val="none"/>
          <w:lang w:val="pt-BR" w:bidi="pt-BR"/>
        </w:rPr>
        <w:t xml:space="preserve">. Đơn giá đất trồng cây lâu năm tại địa bàn thôn Bưởi, xã Ba Vì, Thành phố Hà Nội (trước thuộc xã Khánh Thượng, huyện Ba Vì) thuộc các xã miền núi có đơn giá là </w:t>
      </w:r>
      <w:r>
        <w:rPr>
          <w:b/>
          <w:bCs/>
          <w:highlight w:val="none"/>
          <w:lang w:val="pt-BR" w:bidi="pt-BR"/>
        </w:rPr>
        <w:t xml:space="preserve">78.000 đồng/m2</w:t>
      </w:r>
      <w:r>
        <w:rPr>
          <w:b w:val="0"/>
          <w:bCs w:val="0"/>
          <w:highlight w:val="none"/>
          <w:lang w:val="pt-BR"/>
        </w:rPr>
        <w:t xml:space="preserve">.</w:t>
      </w:r>
      <w:r>
        <w:rPr>
          <w:b w:val="0"/>
          <w:bCs w:val="0"/>
          <w:highlight w:val="none"/>
          <w:lang w:val="pt-BR"/>
          <w14:ligatures w14:val="none"/>
        </w:rPr>
      </w:r>
      <w:r>
        <w:rPr>
          <w:b w:val="0"/>
          <w:bCs w:val="0"/>
          <w:highlight w:val="none"/>
          <w:lang w:val="pt-BR"/>
          <w14:ligatures w14:val="none"/>
        </w:rPr>
      </w:r>
    </w:p>
    <w:p>
      <w:pPr>
        <w:pStyle w:val="99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99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Style w:val="99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823"/>
        <w:gridCol w:w="1571"/>
        <w:gridCol w:w="2551"/>
        <w:gridCol w:w="1984"/>
      </w:tblGrid>
      <w:tr>
        <w:trPr>
          <w:trHeight w:val="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7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9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5" w:type="dxa"/>
            <w:vAlign w:val="center"/>
            <w:textDirection w:val="lrTb"/>
            <w:noWrap w:val="false"/>
          </w:tcPr>
          <w:p>
            <w:pPr>
              <w:pBdr/>
              <w:spacing w:after="0" w:before="0" w:line="240" w:lineRule="auto"/>
              <w:ind w:right="201" w:firstLine="0" w:left="0"/>
              <w:jc w:val="both"/>
              <w:rPr/>
            </w:pPr>
            <w:r>
              <w:rPr>
                <w:rFonts w:ascii="Times New Roman" w:hAnsi="Times New Roman" w:eastAsia="Times New Roman" w:cs="Times New Roman"/>
                <w:b/>
                <w:color w:val="000000"/>
                <w:sz w:val="24"/>
              </w:rPr>
              <w:t xml:space="preserve">Quyền sử dụng đất tại thửa đất số: 22, tờ bản đồ số 41 có địa chỉ: Thôn Bưởi, xã Ba Vì, Thành phố Hà Nội theo Giấy chứng nhận quyền sử dụng đất quyền sở hữu tài sản gắn liền với đất số: AA 06984338, số vào sổ cấp GCN: CN 20908 do Chi nhánh văn phòng đăng k</w:t>
            </w:r>
            <w:r>
              <w:rPr>
                <w:rFonts w:ascii="Times New Roman" w:hAnsi="Times New Roman" w:eastAsia="Times New Roman" w:cs="Times New Roman"/>
                <w:b/>
                <w:color w:val="000000"/>
                <w:sz w:val="24"/>
              </w:rPr>
              <w:t xml:space="preserve">í đất đai Hà Nội huyện Ba Vì cấp ngày 13/3/2026; Chủ sử dụng đất là Ông Phùng Văn Hùng và vợ Vũ Thị Hiền.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5" w:space="0"/>
              <w:right w:val="single" w:color="000000" w:sz="5" w:space="0"/>
            </w:tcBorders>
            <w:tcMar>
              <w:left w:w="0" w:type="dxa"/>
              <w:top w:w="0" w:type="dxa"/>
              <w:right w:w="0" w:type="dxa"/>
              <w:bottom w:w="0" w:type="dxa"/>
            </w:tcMar>
            <w:tcW w:w="282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Quyền sử dụng đất ở (150m2)</w:t>
            </w:r>
            <w:r/>
          </w:p>
        </w:tc>
        <w:tc>
          <w:tcPr>
            <w:shd w:val="clear" w:color="ffffff" w:fill="ffffff"/>
            <w:tcBorders>
              <w:bottom w:val="single" w:color="000000" w:sz="5" w:space="0"/>
              <w:right w:val="single" w:color="000000" w:sz="5" w:space="0"/>
            </w:tcBorders>
            <w:tcMar>
              <w:left w:w="0" w:type="dxa"/>
              <w:top w:w="0" w:type="dxa"/>
              <w:right w:w="0" w:type="dxa"/>
              <w:bottom w:w="0" w:type="dxa"/>
            </w:tcMar>
            <w:tcW w:w="157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150</w:t>
            </w: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9.500.000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1.425.000.000</w:t>
            </w:r>
            <w:r/>
          </w:p>
        </w:tc>
      </w:tr>
      <w:tr>
        <w:trPr>
          <w:trHeight w:val="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5" w:space="0"/>
              <w:right w:val="single" w:color="000000" w:sz="5" w:space="0"/>
            </w:tcBorders>
            <w:tcMar>
              <w:left w:w="0" w:type="dxa"/>
              <w:top w:w="0" w:type="dxa"/>
              <w:right w:w="0" w:type="dxa"/>
              <w:bottom w:w="0" w:type="dxa"/>
            </w:tcMar>
            <w:tcW w:w="282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cây lâu năm </w:t>
            </w:r>
            <w:r/>
          </w:p>
        </w:tc>
        <w:tc>
          <w:tcPr>
            <w:tcBorders>
              <w:bottom w:val="single" w:color="000000" w:sz="5" w:space="0"/>
              <w:right w:val="single" w:color="000000" w:sz="5" w:space="0"/>
            </w:tcBorders>
            <w:tcMar>
              <w:left w:w="0" w:type="dxa"/>
              <w:top w:w="0" w:type="dxa"/>
              <w:right w:w="0" w:type="dxa"/>
              <w:bottom w:w="0" w:type="dxa"/>
            </w:tcMar>
            <w:tcW w:w="1571"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         302,4 </w:t>
            </w:r>
            <w:r/>
          </w:p>
        </w:tc>
        <w:tc>
          <w:tcPr>
            <w:shd w:val="clear" w:color="ffffff" w:fill="ffffff"/>
            <w:tcBorders>
              <w:bottom w:val="single" w:color="000000" w:sz="5" w:space="0"/>
              <w:right w:val="single" w:color="000000" w:sz="5" w:space="0"/>
            </w:tcBorders>
            <w:tcMar>
              <w:left w:w="0" w:type="dxa"/>
              <w:top w:w="0" w:type="dxa"/>
              <w:right w:w="0" w:type="dxa"/>
              <w:bottom w:w="0" w:type="dxa"/>
            </w:tcMar>
            <w:tcW w:w="255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78.000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23.587.200</w:t>
            </w: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1.448.587.200</w:t>
            </w:r>
            <w:r/>
          </w:p>
        </w:tc>
      </w:tr>
      <w:tr>
        <w:trPr>
          <w:trHeight w:val="0"/>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54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1.449.000.000</w:t>
            </w:r>
            <w:r/>
          </w:p>
        </w:tc>
      </w:tr>
      <w:tr>
        <w:trPr>
          <w:trHeight w:val="0"/>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Một tỷ bốn trăm bốn mươi chín triệu đồng chẵn ./.)</w:t>
            </w:r>
            <w:r/>
          </w:p>
        </w:tc>
      </w:tr>
    </w:tbl>
    <w:p>
      <w:pPr>
        <w:pStyle w:val="99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99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99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99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99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99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99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99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99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99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99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99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99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99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99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99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99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99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99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99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991"/>
        <w:numPr>
          <w:ilvl w:val="0"/>
          <w:numId w:val="40"/>
        </w:numPr>
        <w:pBdr/>
        <w:tabs>
          <w:tab w:val="left" w:leader="none" w:pos="993"/>
        </w:tabs>
        <w:spacing w:after="120" w:before="120" w:line="264" w:lineRule="auto"/>
        <w:ind/>
        <w:jc w:val="both"/>
        <w:rPr>
          <w:spacing w:val="-2"/>
          <w:lang w:val="pt-BR" w:bidi="pt-BR"/>
          <w14:ligatures w14:val="none"/>
        </w:rPr>
      </w:pPr>
      <w:r>
        <w:rPr>
          <w:spacing w:val="-2"/>
          <w:lang w:val="pt-BR" w:bidi="pt-BR"/>
        </w:rPr>
      </w:r>
      <w:r>
        <w:rPr>
          <w:spacing w:val="-2"/>
          <w:lang w:val="pt-BR"/>
        </w:rPr>
        <w:t xml:space="preserve">Tại thời điểm thẩm định, theo cung cấp của Khách hàng/Ngân hàng, tổ thẩm định nhận thấy diện tích thửa đất GCN số: </w:t>
      </w:r>
      <w:r>
        <w:rPr>
          <w:spacing w:val="-2"/>
          <w:lang w:val="pt-BR"/>
        </w:rPr>
        <w:t xml:space="preserve">AA 06984338</w:t>
      </w:r>
      <w:r>
        <w:rPr>
          <w:spacing w:val="-2"/>
          <w:lang w:val="pt-BR"/>
        </w:rPr>
        <w:t xml:space="preserve"> là 289m² nằm trong quy hoạch đất giao thông</w:t>
      </w:r>
      <w:r>
        <w:rPr>
          <w:spacing w:val="-2"/>
          <w:lang w:val="pt-BR"/>
        </w:rPr>
        <w:t xml:space="preserve">. Hiện nay chưa có thông báo thu hồi đất/quyết định thu hồi đất/phương án giải tỏa bồi thường. Tổ thẩm định xác định giá trị tài sản theo thông tin quy hoạch nêu trên. </w:t>
      </w:r>
      <w:r>
        <w:rPr>
          <w:rFonts w:ascii="Times New Roman" w:hAnsi="Times New Roman" w:eastAsia="Times New Roman" w:cs="Times New Roman"/>
          <w:color w:val="000000"/>
          <w:spacing w:val="-2"/>
          <w:sz w:val="24"/>
        </w:rPr>
        <w:t xml:space="preserve">Sơ đồ thửa đất tại trang 3 GCN không thể hiện vị trí đất ở và đất trồng cây lâu năm, do vậy, theo nguyên tắc sử dụng tốt nhất và hiệu quả nhất, Tổ thẩm định giả định phần đất nằm trong quy hoạch có mục đích sử dụng là đất cây lâu năm. </w:t>
      </w:r>
      <w:r>
        <w:rPr>
          <w:spacing w:val="-2"/>
          <w:lang w:val="pt-BR"/>
        </w:rPr>
        <w:t xml:space="preserve">Đối với diện tích đất ở tại nông thôn tổ thẩm định đánh giá theo </w:t>
      </w:r>
      <w:r>
        <w:rPr>
          <w:spacing w:val="-2"/>
          <w:lang w:val="pt-BR"/>
        </w:rPr>
        <w:t xml:space="preserve">giá trị thị trường, đối </w:t>
      </w:r>
      <w:r>
        <w:rPr>
          <w:spacing w:val="-2"/>
          <w:lang w:val="pt-BR"/>
        </w:rPr>
        <w:t xml:space="preserve">với phần nằm trong quy hoạch và phần đất CLN còn lại tổ thẩm định đánh giá theo giá UBND từng thời kỳ, giá trị đền bù thực tế còn phụ thuộc vào thỏa thuận các bên tại thời điểm Nhà nước giải phóng mặt bằng thực hiện quy hoạch. Đề nghị đơn vị sử dụng kết qu</w:t>
      </w:r>
      <w:r>
        <w:rPr>
          <w:spacing w:val="-2"/>
          <w:lang w:val="pt-BR"/>
        </w:rPr>
        <w:t xml:space="preserve">ả lưu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w:t>
      </w:r>
      <w:r>
        <w:rPr>
          <w:spacing w:val="-2"/>
          <w:lang w:val="pt-BR"/>
        </w:rPr>
        <w:t xml:space="preserve">ét, điều chỉnh phù hợp, chúng tôi bảo lưu quyền xem xét lại kết quả thẩm định giá</w:t>
      </w:r>
      <w:r>
        <w:rPr>
          <w:spacing w:val="-2"/>
          <w:lang w:val="pt-BR" w:bidi="pt-BR"/>
        </w:rPr>
        <w:t xml:space="preserve">.</w:t>
      </w:r>
      <w:r>
        <w:rPr>
          <w:spacing w:val="-2"/>
          <w:lang w:val="pt-BR" w:bidi="pt-BR"/>
          <w14:ligatures w14:val="none"/>
        </w:rPr>
      </w:r>
      <w:r>
        <w:rPr>
          <w:spacing w:val="-2"/>
          <w:lang w:val="pt-BR" w:bidi="pt-BR"/>
          <w14:ligatures w14:val="none"/>
        </w:rPr>
      </w:r>
    </w:p>
    <w:p>
      <w:pPr>
        <w:pStyle w:val="991"/>
        <w:numPr>
          <w:ilvl w:val="0"/>
          <w:numId w:val="40"/>
        </w:numPr>
        <w:pBdr/>
        <w:tabs>
          <w:tab w:val="left" w:leader="none" w:pos="993"/>
        </w:tabs>
        <w:spacing w:after="120" w:before="120" w:line="264" w:lineRule="auto"/>
        <w:ind/>
        <w:jc w:val="both"/>
        <w:rPr>
          <w:spacing w:val="-2"/>
          <w:lang w:val="pt-BR"/>
          <w14:ligatures w14:val="none"/>
        </w:rPr>
      </w:pPr>
      <w:r>
        <w:rPr>
          <w:spacing w:val="-2"/>
          <w:lang w:val="pt-BR" w:bidi="pt-BR"/>
        </w:rPr>
      </w:r>
      <w:r>
        <w:rPr>
          <w:color w:val="000000"/>
        </w:rPr>
        <w:t xml:space="preserve">Tại thời điểm khảo sát, CTXD gắn liền với đất là nhà 2 tầng, diện tích xây dựng khoảng 100m2; xây dựng năm 2023; và lán lợp tôn phía ngoài đường. </w:t>
      </w:r>
      <w:r>
        <w:rPr>
          <w:color w:val="000000"/>
          <w:highlight w:val="none"/>
        </w:rPr>
        <w:t xml:space="preserve">Các CTXD chưa được chứng nhận trên GCN, ngoài ra tổ thẩm định không thu thập được bất kì thông tin nào liên quan đế CTXD nêu trên. </w:t>
      </w:r>
      <w:r>
        <w:rPr>
          <w:color w:val="000000"/>
          <w:highlight w:val="none"/>
        </w:rPr>
        <w:t xml:space="preserve">Do đó </w:t>
      </w:r>
      <w:r>
        <w:rPr>
          <w:color w:val="000000"/>
          <w:highlight w:val="none"/>
        </w:rPr>
        <w:t xml:space="preserve">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14:ligatures w14:val="none"/>
        </w:rPr>
      </w:r>
      <w:r>
        <w:rPr>
          <w:spacing w:val="-2"/>
          <w:lang w:val="pt-BR"/>
          <w14:ligatures w14:val="none"/>
        </w:rPr>
      </w:r>
    </w:p>
    <w:p>
      <w:pPr>
        <w:pStyle w:val="99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99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99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99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99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99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275/2026/0577/VFI-CT.39.A</w:t>
      </w:r>
      <w:r>
        <w:rPr>
          <w:color w:val="ff0000"/>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275/2026/0577/VFI-BC.39.A</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99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124854" cy="244135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24573" name=""/>
                              <pic:cNvPicPr>
                                <a:picLocks noChangeAspect="1"/>
                              </pic:cNvPicPr>
                              <pic:nvPr/>
                            </pic:nvPicPr>
                            <pic:blipFill rotWithShape="1">
                              <a:blip r:embed="rId16"/>
                              <a:stretch/>
                            </pic:blipFill>
                            <pic:spPr bwMode="auto">
                              <a:xfrm flipH="0" flipV="0">
                                <a:off x="0" y="0"/>
                                <a:ext cx="1124854" cy="24413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88.57pt;height:192.23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5596" cy="204419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96079" name=""/>
                              <pic:cNvPicPr>
                                <a:picLocks noChangeAspect="1"/>
                              </pic:cNvPicPr>
                              <pic:nvPr/>
                            </pic:nvPicPr>
                            <pic:blipFill rotWithShape="1">
                              <a:blip r:embed="rId17"/>
                              <a:stretch/>
                            </pic:blipFill>
                            <pic:spPr bwMode="auto">
                              <a:xfrm flipH="0" flipV="0">
                                <a:off x="0" y="0"/>
                                <a:ext cx="2725596" cy="20441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4.61pt;height:160.96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10414" cy="195781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934" name=""/>
                              <pic:cNvPicPr>
                                <a:picLocks noChangeAspect="1"/>
                              </pic:cNvPicPr>
                              <pic:nvPr/>
                            </pic:nvPicPr>
                            <pic:blipFill rotWithShape="1">
                              <a:blip r:embed="rId18"/>
                              <a:stretch/>
                            </pic:blipFill>
                            <pic:spPr bwMode="auto">
                              <a:xfrm flipH="0" flipV="0">
                                <a:off x="0" y="0"/>
                                <a:ext cx="2610414" cy="19578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5.54pt;height:154.16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09041" cy="18067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58899" name=""/>
                              <pic:cNvPicPr>
                                <a:picLocks noChangeAspect="1"/>
                              </pic:cNvPicPr>
                              <pic:nvPr/>
                            </pic:nvPicPr>
                            <pic:blipFill rotWithShape="1">
                              <a:blip r:embed="rId19"/>
                              <a:stretch/>
                            </pic:blipFill>
                            <pic:spPr bwMode="auto">
                              <a:xfrm flipH="0" flipV="0">
                                <a:off x="0" y="0"/>
                                <a:ext cx="2409041" cy="18067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9.69pt;height:142.2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951185" cy="221338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12379" name=""/>
                              <pic:cNvPicPr>
                                <a:picLocks noChangeAspect="1"/>
                              </pic:cNvPicPr>
                              <pic:nvPr/>
                            </pic:nvPicPr>
                            <pic:blipFill rotWithShape="1">
                              <a:blip r:embed="rId20"/>
                              <a:stretch/>
                            </pic:blipFill>
                            <pic:spPr bwMode="auto">
                              <a:xfrm flipH="0" flipV="0">
                                <a:off x="0" y="0"/>
                                <a:ext cx="2951184" cy="2213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38pt;height:174.2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774529" cy="208089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73319" name=""/>
                              <pic:cNvPicPr>
                                <a:picLocks noChangeAspect="1"/>
                              </pic:cNvPicPr>
                              <pic:nvPr/>
                            </pic:nvPicPr>
                            <pic:blipFill rotWithShape="1">
                              <a:blip r:embed="rId21"/>
                              <a:stretch/>
                            </pic:blipFill>
                            <pic:spPr bwMode="auto">
                              <a:xfrm flipH="0" flipV="0">
                                <a:off x="0" y="0"/>
                                <a:ext cx="2774529" cy="2080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47pt;height:163.85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275/2026/0577/VFI-BC.39.A</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https://www.facebook.com/groups/2853174424911007/permalink/4405906792971088/</w:t>
            </w:r>
            <w:r>
              <w:rPr>
                <w:color w:val="000000" w:themeColor="text1"/>
                <w:sz w:val="22"/>
                <w:szCs w:val="22"/>
              </w:rPr>
              <w:br/>
              <w:t xml:space="preserve">0984.623.825</w:t>
            </w:r>
            <w:r>
              <w:rPr>
                <w:sz w:val="22"/>
                <w:szCs w:val="22"/>
              </w:rPr>
              <w:t xml:space="preserve"> </w:t>
            </w:r>
            <w:r>
              <w:rPr>
                <w:sz w:val="22"/>
                <w:szCs w:val="22"/>
              </w:rPr>
              <w:br/>
              <w:t xml:space="preserve">(Phương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trồng cây lâu năm (182m²), Đất ở nông thôn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trồng cây lâu năm – Có thời hạn, 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Thành phố Hà Nội, kh</w:t>
            </w:r>
            <w:r>
              <w:rPr>
                <w:color w:val="000000" w:themeColor="text1"/>
                <w:sz w:val="22"/>
                <w:szCs w:val="22"/>
              </w:rPr>
              <w:t xml:space="preserve">oảng cách ra đường chính Minh Quang, xã Ba Vì, thành phố Hà Nội; cách đường DT422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671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5567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58.8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3571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5357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57.14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https://www.facebook.com/groups/1308569172686507/permalink/3128673770676029/</w:t>
            </w:r>
            <w:r>
              <w:rPr>
                <w:color w:val="000000" w:themeColor="text1"/>
                <w:sz w:val="22"/>
                <w:szCs w:val="22"/>
              </w:rPr>
              <w:br/>
              <w:t xml:space="preserve">0967159867</w:t>
            </w:r>
            <w:r>
              <w:rPr>
                <w:sz w:val="22"/>
                <w:szCs w:val="22"/>
              </w:rPr>
              <w:t xml:space="preserve"> </w:t>
            </w:r>
            <w:r>
              <w:rPr>
                <w:sz w:val="22"/>
                <w:szCs w:val="22"/>
              </w:rPr>
              <w:br/>
              <w:t xml:space="preserve">(Ngọc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(4,01m², QH: 75,99m²)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Minh Quang, Huyện Ba Vì, Thành phố Hà Nội, đường DT 4151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5389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1538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9.6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83624" cy="2498467"/>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183624" cy="24984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0.68pt;height:196.73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60943" cy="210766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57299718" name="" descr=""/>
                              <pic:cNvPicPr/>
                              <pic:nvPr/>
                            </pic:nvPicPr>
                            <pic:blipFill rotWithShape="1">
                              <a:blip r:embed="rId26"/>
                              <a:stretch/>
                            </pic:blipFill>
                            <pic:spPr bwMode="auto">
                              <a:xfrm flipH="0" flipV="0">
                                <a:off x="0" y="0"/>
                                <a:ext cx="2260943" cy="2107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8.03pt;height:165.96pt;mso-wrap-distance-left:0.00pt;mso-wrap-distance-top:0.00pt;mso-wrap-distance-right:0.00pt;mso-wrap-distance-bottom:0.00pt;z-index:1;" stroked="false">
                      <v:imagedata r:id="rId26"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936878" cy="20193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298080377" name="" descr=""/>
                              <pic:cNvPicPr/>
                              <pic:nvPr/>
                            </pic:nvPicPr>
                            <pic:blipFill rotWithShape="1">
                              <a:blip r:embed="rId27"/>
                              <a:stretch/>
                            </pic:blipFill>
                            <pic:spPr bwMode="auto">
                              <a:xfrm flipH="0" flipV="0">
                                <a:off x="0" y="0"/>
                                <a:ext cx="2936878" cy="20192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1.25pt;height:159.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88240" cy="22098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530246445" name="" descr=""/>
                              <pic:cNvPicPr/>
                              <pic:nvPr/>
                            </pic:nvPicPr>
                            <pic:blipFill rotWithShape="1">
                              <a:blip r:embed="rId28"/>
                              <a:stretch/>
                            </pic:blipFill>
                            <pic:spPr bwMode="auto">
                              <a:xfrm flipH="0" flipV="0">
                                <a:off x="0" y="0"/>
                                <a:ext cx="4788239" cy="22097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77.03pt;height:174.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https://www.facebook.com/groups/1308569172686507/permalink/3130016783875061/</w:t>
            </w:r>
            <w:r>
              <w:rPr>
                <w:color w:val="000000" w:themeColor="text1"/>
                <w:sz w:val="22"/>
                <w:szCs w:val="22"/>
              </w:rPr>
              <w:br/>
            </w:r>
            <w:r>
              <w:rPr>
                <w:sz w:val="22"/>
                <w:szCs w:val="22"/>
              </w:rPr>
              <w:t xml:space="preserve">SĐT: </w:t>
            </w:r>
            <w:r>
              <w:rPr>
                <w:color w:val="000000" w:themeColor="text1"/>
                <w:sz w:val="22"/>
                <w:szCs w:val="22"/>
              </w:rPr>
              <w:t xml:space="preserve">0369929798</w:t>
            </w:r>
            <w:r>
              <w:rPr>
                <w:sz w:val="22"/>
                <w:szCs w:val="22"/>
              </w:rPr>
              <w:t xml:space="preserve"> </w:t>
            </w:r>
            <w:r>
              <w:rPr>
                <w:sz w:val="22"/>
                <w:szCs w:val="22"/>
              </w:rPr>
              <w:br/>
              <w:t xml:space="preserve">(Hồng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(75m²), Đất trồng cây lâu năm (199.1m², QH: 177,1m²)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Minh Quang, Huyện Ba Vì, Thành phố Hà Nội, đường Đường tỉnh 415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68965" cy="2133858"/>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968965" cy="21338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3.78pt;height:168.0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0815" cy="20505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530814" cy="20505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9.28pt;height:161.4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92865" cy="198383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3692864" cy="1983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0.78pt;height:156.2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073865" cy="242887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4073864" cy="242887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20.78pt;height:191.25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lang w:val="pt-BR"/>
        </w:rPr>
      </w:pPr>
      <w:r>
        <w:rPr>
          <w:iCs/>
          <w:lang w:val="pt-BR"/>
        </w:rP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46518"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3" o:title=""/>
                <o:lock v:ext="edit" rotation="t"/>
              </v:shape>
            </w:pict>
          </mc:Fallback>
        </mc:AlternateContent>
      </w:r>
      <w:r>
        <w:rPr>
          <w:iCs/>
          <w:lang w:val="pt-BR"/>
        </w:rPr>
      </w:r>
      <w:r>
        <w:rPr>
          <w:iCs/>
          <w:lang w:val="pt-BR"/>
        </w:rP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031"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4" o:title=""/>
                <o:lock v:ext="edit" rotation="t"/>
              </v:shape>
            </w:pict>
          </mc:Fallback>
        </mc:AlternateContent>
      </w:r>
      <w:r/>
    </w:p>
    <w:p>
      <w:pPr>
        <w:pBdr/>
        <w:spacing/>
        <w:ind/>
        <w:rPr/>
      </w:pPr>
      <w:r/>
      <w:r/>
    </w:p>
    <w:p>
      <w:pPr>
        <w:pBdr/>
        <w:spacing/>
        <w:ind w:firstLine="0"/>
        <w:rPr/>
      </w:pPr>
      <w:r/>
      <w:r/>
      <w:r/>
    </w:p>
    <w:p>
      <w:pPr>
        <w:pBdr/>
        <w:spacing/>
        <w:ind w:firstLine="0"/>
        <w:rPr/>
      </w:pPr>
      <w:r/>
      <w:r/>
      <w:r/>
    </w:p>
    <w:p>
      <w:pPr>
        <w:pBdr/>
        <w:spacing/>
        <w:ind w:firstLine="0"/>
        <w:rPr/>
      </w:pPr>
      <w:r/>
      <w:r/>
      <w:r/>
    </w:p>
    <w:p>
      <w:pPr>
        <w:pBdr/>
        <w:spacing/>
        <w:ind w:firstLine="0"/>
        <w:rPr/>
      </w:pPr>
      <w:r/>
      <w:r/>
      <w:r/>
    </w:p>
    <w:p>
      <w:pPr>
        <w:pBdr/>
        <w:spacing/>
        <w:ind w:firstLine="0"/>
        <w:rPr/>
      </w:pPr>
      <w:r/>
      <w:r/>
      <w:r/>
    </w:p>
    <w:p>
      <w:pPr>
        <w:pBdr/>
        <w:spacing/>
        <w:ind w:firstLine="0"/>
        <w:rPr/>
      </w:p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563801"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5" o:title=""/>
                <o:lock v:ext="edit" rotation="t"/>
              </v:shape>
            </w:pict>
          </mc:Fallback>
        </mc:AlternateContent>
      </w:r>
      <w: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28A20D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3">
    <w:name w:val="Table Grid Light"/>
    <w:basedOn w:val="9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Plain Table 1"/>
    <w:basedOn w:val="97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Plain Table 2"/>
    <w:basedOn w:val="97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3"/>
    <w:basedOn w:val="9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4"/>
    <w:basedOn w:val="9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5"/>
    <w:basedOn w:val="97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w:basedOn w:val="97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 Accent 1"/>
    <w:basedOn w:val="9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 Accent 2"/>
    <w:basedOn w:val="9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3"/>
    <w:basedOn w:val="9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4"/>
    <w:basedOn w:val="9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5"/>
    <w:basedOn w:val="9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6"/>
    <w:basedOn w:val="9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w:basedOn w:val="9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 Accent 1"/>
    <w:basedOn w:val="9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 Accent 2"/>
    <w:basedOn w:val="9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3"/>
    <w:basedOn w:val="9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4"/>
    <w:basedOn w:val="9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5"/>
    <w:basedOn w:val="9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6"/>
    <w:basedOn w:val="9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w:basedOn w:val="97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 Accent 1"/>
    <w:basedOn w:val="97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 Accent 2"/>
    <w:basedOn w:val="97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3"/>
    <w:basedOn w:val="97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4"/>
    <w:basedOn w:val="97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5"/>
    <w:basedOn w:val="97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6"/>
    <w:basedOn w:val="97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w:basedOn w:val="97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 Accent 1"/>
    <w:basedOn w:val="97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 Accent 2"/>
    <w:basedOn w:val="97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3"/>
    <w:basedOn w:val="97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4"/>
    <w:basedOn w:val="97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5"/>
    <w:basedOn w:val="97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6"/>
    <w:basedOn w:val="97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Accent 1"/>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 Accent 2"/>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 Accent 3"/>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Accent 4"/>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5"/>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 Accent 6"/>
    <w:basedOn w:val="97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6 Colorful"/>
    <w:basedOn w:val="97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5">
    <w:name w:val="Grid Table 6 Colorful - Accent 1"/>
    <w:basedOn w:val="97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6">
    <w:name w:val="Grid Table 6 Colorful - Accent 2"/>
    <w:basedOn w:val="9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7">
    <w:name w:val="Grid Table 6 Colorful - Accent 3"/>
    <w:basedOn w:val="97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8">
    <w:name w:val="Grid Table 6 Colorful - Accent 4"/>
    <w:basedOn w:val="9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9">
    <w:name w:val="Grid Table 6 Colorful - Accent 5"/>
    <w:basedOn w:val="97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0">
    <w:name w:val="Grid Table 6 Colorful - Accent 6"/>
    <w:basedOn w:val="97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1">
    <w:name w:val="Grid Table 7 Colorful"/>
    <w:basedOn w:val="97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7 Colorful - Accent 1"/>
    <w:basedOn w:val="97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7 Colorful - Accent 2"/>
    <w:basedOn w:val="97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3"/>
    <w:basedOn w:val="97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4"/>
    <w:basedOn w:val="97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5"/>
    <w:basedOn w:val="97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6"/>
    <w:basedOn w:val="97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 Accent 1"/>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 Accent 2"/>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3"/>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4"/>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5"/>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6"/>
    <w:basedOn w:val="97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w:basedOn w:val="97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 Accent 1"/>
    <w:basedOn w:val="97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 Accent 2"/>
    <w:basedOn w:val="97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3"/>
    <w:basedOn w:val="97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4"/>
    <w:basedOn w:val="97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5"/>
    <w:basedOn w:val="97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6"/>
    <w:basedOn w:val="97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w:basedOn w:val="9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 Accent 1"/>
    <w:basedOn w:val="97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 Accent 2"/>
    <w:basedOn w:val="97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3"/>
    <w:basedOn w:val="97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4"/>
    <w:basedOn w:val="97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5"/>
    <w:basedOn w:val="97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6"/>
    <w:basedOn w:val="97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w:basedOn w:val="97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 Accent 1"/>
    <w:basedOn w:val="97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 Accent 2"/>
    <w:basedOn w:val="97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3"/>
    <w:basedOn w:val="97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4"/>
    <w:basedOn w:val="97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5"/>
    <w:basedOn w:val="97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6"/>
    <w:basedOn w:val="97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5 Dark"/>
    <w:basedOn w:val="97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7">
    <w:name w:val="List Table 5 Dark - Accent 1"/>
    <w:basedOn w:val="97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8">
    <w:name w:val="List Table 5 Dark - Accent 2"/>
    <w:basedOn w:val="97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3"/>
    <w:basedOn w:val="97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4"/>
    <w:basedOn w:val="97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5"/>
    <w:basedOn w:val="97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6"/>
    <w:basedOn w:val="97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6 Colorful"/>
    <w:basedOn w:val="97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6 Colorful - Accent 1"/>
    <w:basedOn w:val="97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6 Colorful - Accent 2"/>
    <w:basedOn w:val="97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3"/>
    <w:basedOn w:val="97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4"/>
    <w:basedOn w:val="97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5"/>
    <w:basedOn w:val="97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6"/>
    <w:basedOn w:val="97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7 Colorful"/>
    <w:basedOn w:val="97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1">
    <w:name w:val="List Table 7 Colorful - Accent 1"/>
    <w:basedOn w:val="97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02">
    <w:name w:val="List Table 7 Colorful - Accent 2"/>
    <w:basedOn w:val="97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3">
    <w:name w:val="List Table 7 Colorful - Accent 3"/>
    <w:basedOn w:val="97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4">
    <w:name w:val="List Table 7 Colorful - Accent 4"/>
    <w:basedOn w:val="97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5">
    <w:name w:val="List Table 7 Colorful - Accent 5"/>
    <w:basedOn w:val="97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6">
    <w:name w:val="List Table 7 Colorful - Accent 6"/>
    <w:basedOn w:val="97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7">
    <w:name w:val="Lined - Accent"/>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ned - Accent 1"/>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ned - Accent 2"/>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3"/>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4"/>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5"/>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6"/>
    <w:basedOn w:val="97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w:basedOn w:val="97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1"/>
    <w:basedOn w:val="97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2"/>
    <w:basedOn w:val="97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3"/>
    <w:basedOn w:val="97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4"/>
    <w:basedOn w:val="97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5"/>
    <w:basedOn w:val="97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6"/>
    <w:basedOn w:val="97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w:basedOn w:val="97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 Accent 1"/>
    <w:basedOn w:val="97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 Accent 2"/>
    <w:basedOn w:val="97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3"/>
    <w:basedOn w:val="97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4"/>
    <w:basedOn w:val="97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5"/>
    <w:basedOn w:val="97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6"/>
    <w:basedOn w:val="97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8">
    <w:name w:val="Heading 5"/>
    <w:basedOn w:val="969"/>
    <w:next w:val="969"/>
    <w:link w:val="93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9">
    <w:name w:val="Heading 6"/>
    <w:basedOn w:val="969"/>
    <w:next w:val="969"/>
    <w:link w:val="93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0">
    <w:name w:val="Heading 7"/>
    <w:basedOn w:val="969"/>
    <w:next w:val="969"/>
    <w:link w:val="93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1">
    <w:name w:val="Heading 8"/>
    <w:basedOn w:val="969"/>
    <w:next w:val="969"/>
    <w:link w:val="93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2">
    <w:name w:val="Heading 9"/>
    <w:basedOn w:val="969"/>
    <w:next w:val="969"/>
    <w:link w:val="93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3">
    <w:name w:val="Heading 5 Char"/>
    <w:basedOn w:val="974"/>
    <w:link w:val="928"/>
    <w:uiPriority w:val="9"/>
    <w:pPr>
      <w:pBdr/>
      <w:spacing/>
      <w:ind/>
    </w:pPr>
    <w:rPr>
      <w:rFonts w:ascii="Arial" w:hAnsi="Arial" w:eastAsia="Arial" w:cs="Arial"/>
      <w:color w:val="0f4761" w:themeColor="accent1" w:themeShade="BF"/>
    </w:rPr>
  </w:style>
  <w:style w:type="character" w:styleId="934">
    <w:name w:val="Heading 6 Char"/>
    <w:basedOn w:val="974"/>
    <w:link w:val="929"/>
    <w:uiPriority w:val="9"/>
    <w:pPr>
      <w:pBdr/>
      <w:spacing/>
      <w:ind/>
    </w:pPr>
    <w:rPr>
      <w:rFonts w:ascii="Arial" w:hAnsi="Arial" w:eastAsia="Arial" w:cs="Arial"/>
      <w:i/>
      <w:iCs/>
      <w:color w:val="595959" w:themeColor="text1" w:themeTint="A6"/>
    </w:rPr>
  </w:style>
  <w:style w:type="character" w:styleId="935">
    <w:name w:val="Heading 7 Char"/>
    <w:basedOn w:val="974"/>
    <w:link w:val="930"/>
    <w:uiPriority w:val="9"/>
    <w:pPr>
      <w:pBdr/>
      <w:spacing/>
      <w:ind/>
    </w:pPr>
    <w:rPr>
      <w:rFonts w:ascii="Arial" w:hAnsi="Arial" w:eastAsia="Arial" w:cs="Arial"/>
      <w:color w:val="595959" w:themeColor="text1" w:themeTint="A6"/>
    </w:rPr>
  </w:style>
  <w:style w:type="character" w:styleId="936">
    <w:name w:val="Heading 8 Char"/>
    <w:basedOn w:val="974"/>
    <w:link w:val="931"/>
    <w:uiPriority w:val="9"/>
    <w:pPr>
      <w:pBdr/>
      <w:spacing/>
      <w:ind/>
    </w:pPr>
    <w:rPr>
      <w:rFonts w:ascii="Arial" w:hAnsi="Arial" w:eastAsia="Arial" w:cs="Arial"/>
      <w:i/>
      <w:iCs/>
      <w:color w:val="272727" w:themeColor="text1" w:themeTint="D8"/>
    </w:rPr>
  </w:style>
  <w:style w:type="character" w:styleId="937">
    <w:name w:val="Heading 9 Char"/>
    <w:basedOn w:val="974"/>
    <w:link w:val="932"/>
    <w:uiPriority w:val="9"/>
    <w:pPr>
      <w:pBdr/>
      <w:spacing/>
      <w:ind/>
    </w:pPr>
    <w:rPr>
      <w:rFonts w:ascii="Arial" w:hAnsi="Arial" w:eastAsia="Arial" w:cs="Arial"/>
      <w:i/>
      <w:iCs/>
      <w:color w:val="272727" w:themeColor="text1" w:themeTint="D8"/>
    </w:rPr>
  </w:style>
  <w:style w:type="paragraph" w:styleId="938">
    <w:name w:val="Subtitle"/>
    <w:basedOn w:val="969"/>
    <w:next w:val="969"/>
    <w:link w:val="939"/>
    <w:uiPriority w:val="11"/>
    <w:qFormat/>
    <w:pPr>
      <w:numPr>
        <w:ilvl w:val="1"/>
      </w:numPr>
      <w:pBdr/>
      <w:spacing/>
      <w:ind/>
    </w:pPr>
    <w:rPr>
      <w:color w:val="595959" w:themeColor="text1" w:themeTint="A6"/>
      <w:spacing w:val="15"/>
      <w:sz w:val="28"/>
      <w:szCs w:val="28"/>
    </w:rPr>
  </w:style>
  <w:style w:type="character" w:styleId="939">
    <w:name w:val="Subtitle Char"/>
    <w:basedOn w:val="974"/>
    <w:link w:val="938"/>
    <w:uiPriority w:val="11"/>
    <w:pPr>
      <w:pBdr/>
      <w:spacing/>
      <w:ind/>
    </w:pPr>
    <w:rPr>
      <w:color w:val="595959" w:themeColor="text1" w:themeTint="A6"/>
      <w:spacing w:val="15"/>
      <w:sz w:val="28"/>
      <w:szCs w:val="28"/>
    </w:rPr>
  </w:style>
  <w:style w:type="paragraph" w:styleId="940">
    <w:name w:val="Quote"/>
    <w:basedOn w:val="969"/>
    <w:next w:val="969"/>
    <w:link w:val="941"/>
    <w:uiPriority w:val="29"/>
    <w:qFormat/>
    <w:pPr>
      <w:pBdr/>
      <w:spacing w:before="160"/>
      <w:ind/>
      <w:jc w:val="center"/>
    </w:pPr>
    <w:rPr>
      <w:i/>
      <w:iCs/>
      <w:color w:val="404040" w:themeColor="text1" w:themeTint="BF"/>
    </w:rPr>
  </w:style>
  <w:style w:type="character" w:styleId="941">
    <w:name w:val="Quote Char"/>
    <w:basedOn w:val="974"/>
    <w:link w:val="940"/>
    <w:uiPriority w:val="29"/>
    <w:pPr>
      <w:pBdr/>
      <w:spacing/>
      <w:ind/>
    </w:pPr>
    <w:rPr>
      <w:i/>
      <w:iCs/>
      <w:color w:val="404040" w:themeColor="text1" w:themeTint="BF"/>
    </w:rPr>
  </w:style>
  <w:style w:type="character" w:styleId="942">
    <w:name w:val="Intense Emphasis"/>
    <w:basedOn w:val="974"/>
    <w:uiPriority w:val="21"/>
    <w:qFormat/>
    <w:pPr>
      <w:pBdr/>
      <w:spacing/>
      <w:ind/>
    </w:pPr>
    <w:rPr>
      <w:i/>
      <w:iCs/>
      <w:color w:val="0f4761" w:themeColor="accent1" w:themeShade="BF"/>
    </w:rPr>
  </w:style>
  <w:style w:type="paragraph" w:styleId="943">
    <w:name w:val="Intense Quote"/>
    <w:basedOn w:val="969"/>
    <w:next w:val="969"/>
    <w:link w:val="94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4">
    <w:name w:val="Intense Quote Char"/>
    <w:basedOn w:val="974"/>
    <w:link w:val="943"/>
    <w:uiPriority w:val="30"/>
    <w:pPr>
      <w:pBdr/>
      <w:spacing/>
      <w:ind/>
    </w:pPr>
    <w:rPr>
      <w:i/>
      <w:iCs/>
      <w:color w:val="0f4761" w:themeColor="accent1" w:themeShade="BF"/>
    </w:rPr>
  </w:style>
  <w:style w:type="character" w:styleId="945">
    <w:name w:val="Intense Reference"/>
    <w:basedOn w:val="974"/>
    <w:uiPriority w:val="32"/>
    <w:qFormat/>
    <w:pPr>
      <w:pBdr/>
      <w:spacing/>
      <w:ind/>
    </w:pPr>
    <w:rPr>
      <w:b/>
      <w:bCs/>
      <w:smallCaps/>
      <w:color w:val="0f4761" w:themeColor="accent1" w:themeShade="BF"/>
      <w:spacing w:val="5"/>
    </w:rPr>
  </w:style>
  <w:style w:type="paragraph" w:styleId="946">
    <w:name w:val="No Spacing"/>
    <w:basedOn w:val="969"/>
    <w:uiPriority w:val="1"/>
    <w:qFormat/>
    <w:pPr>
      <w:pBdr/>
      <w:spacing w:after="0" w:line="240" w:lineRule="auto"/>
      <w:ind/>
    </w:pPr>
  </w:style>
  <w:style w:type="character" w:styleId="947">
    <w:name w:val="Subtle Emphasis"/>
    <w:basedOn w:val="974"/>
    <w:uiPriority w:val="19"/>
    <w:qFormat/>
    <w:pPr>
      <w:pBdr/>
      <w:spacing/>
      <w:ind/>
    </w:pPr>
    <w:rPr>
      <w:i/>
      <w:iCs/>
      <w:color w:val="404040" w:themeColor="text1" w:themeTint="BF"/>
    </w:rPr>
  </w:style>
  <w:style w:type="character" w:styleId="948">
    <w:name w:val="Subtle Reference"/>
    <w:basedOn w:val="974"/>
    <w:uiPriority w:val="31"/>
    <w:qFormat/>
    <w:pPr>
      <w:pBdr/>
      <w:spacing/>
      <w:ind/>
    </w:pPr>
    <w:rPr>
      <w:smallCaps/>
      <w:color w:val="5a5a5a" w:themeColor="text1" w:themeTint="A5"/>
    </w:rPr>
  </w:style>
  <w:style w:type="character" w:styleId="949">
    <w:name w:val="Book Title"/>
    <w:basedOn w:val="974"/>
    <w:uiPriority w:val="33"/>
    <w:qFormat/>
    <w:pPr>
      <w:pBdr/>
      <w:spacing/>
      <w:ind/>
    </w:pPr>
    <w:rPr>
      <w:b/>
      <w:bCs/>
      <w:i/>
      <w:iCs/>
      <w:spacing w:val="5"/>
    </w:rPr>
  </w:style>
  <w:style w:type="paragraph" w:styleId="950">
    <w:name w:val="Caption"/>
    <w:basedOn w:val="969"/>
    <w:next w:val="969"/>
    <w:uiPriority w:val="35"/>
    <w:unhideWhenUsed/>
    <w:qFormat/>
    <w:pPr>
      <w:pBdr/>
      <w:spacing w:after="200" w:line="240" w:lineRule="auto"/>
      <w:ind/>
    </w:pPr>
    <w:rPr>
      <w:i/>
      <w:iCs/>
      <w:color w:val="0e2841" w:themeColor="text2"/>
      <w:sz w:val="18"/>
      <w:szCs w:val="18"/>
    </w:rPr>
  </w:style>
  <w:style w:type="paragraph" w:styleId="951">
    <w:name w:val="footnote text"/>
    <w:basedOn w:val="969"/>
    <w:link w:val="952"/>
    <w:uiPriority w:val="99"/>
    <w:semiHidden/>
    <w:unhideWhenUsed/>
    <w:pPr>
      <w:pBdr/>
      <w:spacing w:after="0" w:line="240" w:lineRule="auto"/>
      <w:ind/>
    </w:pPr>
    <w:rPr>
      <w:sz w:val="20"/>
      <w:szCs w:val="20"/>
    </w:rPr>
  </w:style>
  <w:style w:type="character" w:styleId="952">
    <w:name w:val="Footnote Text Char"/>
    <w:basedOn w:val="974"/>
    <w:link w:val="951"/>
    <w:uiPriority w:val="99"/>
    <w:semiHidden/>
    <w:pPr>
      <w:pBdr/>
      <w:spacing/>
      <w:ind/>
    </w:pPr>
    <w:rPr>
      <w:sz w:val="20"/>
      <w:szCs w:val="20"/>
    </w:rPr>
  </w:style>
  <w:style w:type="character" w:styleId="953">
    <w:name w:val="footnote reference"/>
    <w:basedOn w:val="974"/>
    <w:uiPriority w:val="99"/>
    <w:semiHidden/>
    <w:unhideWhenUsed/>
    <w:pPr>
      <w:pBdr/>
      <w:spacing/>
      <w:ind/>
    </w:pPr>
    <w:rPr>
      <w:vertAlign w:val="superscript"/>
    </w:rPr>
  </w:style>
  <w:style w:type="paragraph" w:styleId="954">
    <w:name w:val="endnote text"/>
    <w:basedOn w:val="969"/>
    <w:link w:val="955"/>
    <w:uiPriority w:val="99"/>
    <w:semiHidden/>
    <w:unhideWhenUsed/>
    <w:pPr>
      <w:pBdr/>
      <w:spacing w:after="0" w:line="240" w:lineRule="auto"/>
      <w:ind/>
    </w:pPr>
    <w:rPr>
      <w:sz w:val="20"/>
      <w:szCs w:val="20"/>
    </w:rPr>
  </w:style>
  <w:style w:type="character" w:styleId="955">
    <w:name w:val="Endnote Text Char"/>
    <w:basedOn w:val="974"/>
    <w:link w:val="954"/>
    <w:uiPriority w:val="99"/>
    <w:semiHidden/>
    <w:pPr>
      <w:pBdr/>
      <w:spacing/>
      <w:ind/>
    </w:pPr>
    <w:rPr>
      <w:sz w:val="20"/>
      <w:szCs w:val="20"/>
    </w:rPr>
  </w:style>
  <w:style w:type="character" w:styleId="956">
    <w:name w:val="endnote reference"/>
    <w:basedOn w:val="974"/>
    <w:uiPriority w:val="99"/>
    <w:semiHidden/>
    <w:unhideWhenUsed/>
    <w:pPr>
      <w:pBdr/>
      <w:spacing/>
      <w:ind/>
    </w:pPr>
    <w:rPr>
      <w:vertAlign w:val="superscript"/>
    </w:rPr>
  </w:style>
  <w:style w:type="paragraph" w:styleId="957">
    <w:name w:val="toc 1"/>
    <w:basedOn w:val="969"/>
    <w:next w:val="969"/>
    <w:uiPriority w:val="39"/>
    <w:unhideWhenUsed/>
    <w:pPr>
      <w:pBdr/>
      <w:spacing w:after="100"/>
      <w:ind/>
    </w:pPr>
  </w:style>
  <w:style w:type="paragraph" w:styleId="958">
    <w:name w:val="toc 2"/>
    <w:basedOn w:val="969"/>
    <w:next w:val="969"/>
    <w:uiPriority w:val="39"/>
    <w:unhideWhenUsed/>
    <w:pPr>
      <w:pBdr/>
      <w:spacing w:after="100"/>
      <w:ind w:left="220"/>
    </w:pPr>
  </w:style>
  <w:style w:type="paragraph" w:styleId="959">
    <w:name w:val="toc 3"/>
    <w:basedOn w:val="969"/>
    <w:next w:val="969"/>
    <w:uiPriority w:val="39"/>
    <w:unhideWhenUsed/>
    <w:pPr>
      <w:pBdr/>
      <w:spacing w:after="100"/>
      <w:ind w:left="440"/>
    </w:pPr>
  </w:style>
  <w:style w:type="paragraph" w:styleId="960">
    <w:name w:val="toc 4"/>
    <w:basedOn w:val="969"/>
    <w:next w:val="969"/>
    <w:uiPriority w:val="39"/>
    <w:unhideWhenUsed/>
    <w:pPr>
      <w:pBdr/>
      <w:spacing w:after="100"/>
      <w:ind w:left="660"/>
    </w:pPr>
  </w:style>
  <w:style w:type="paragraph" w:styleId="961">
    <w:name w:val="toc 5"/>
    <w:basedOn w:val="969"/>
    <w:next w:val="969"/>
    <w:uiPriority w:val="39"/>
    <w:unhideWhenUsed/>
    <w:pPr>
      <w:pBdr/>
      <w:spacing w:after="100"/>
      <w:ind w:left="880"/>
    </w:pPr>
  </w:style>
  <w:style w:type="paragraph" w:styleId="962">
    <w:name w:val="toc 6"/>
    <w:basedOn w:val="969"/>
    <w:next w:val="969"/>
    <w:uiPriority w:val="39"/>
    <w:unhideWhenUsed/>
    <w:pPr>
      <w:pBdr/>
      <w:spacing w:after="100"/>
      <w:ind w:left="1100"/>
    </w:pPr>
  </w:style>
  <w:style w:type="paragraph" w:styleId="963">
    <w:name w:val="toc 7"/>
    <w:basedOn w:val="969"/>
    <w:next w:val="969"/>
    <w:uiPriority w:val="39"/>
    <w:unhideWhenUsed/>
    <w:pPr>
      <w:pBdr/>
      <w:spacing w:after="100"/>
      <w:ind w:left="1320"/>
    </w:pPr>
  </w:style>
  <w:style w:type="paragraph" w:styleId="964">
    <w:name w:val="toc 8"/>
    <w:basedOn w:val="969"/>
    <w:next w:val="969"/>
    <w:uiPriority w:val="39"/>
    <w:unhideWhenUsed/>
    <w:pPr>
      <w:pBdr/>
      <w:spacing w:after="100"/>
      <w:ind w:left="1540"/>
    </w:pPr>
  </w:style>
  <w:style w:type="paragraph" w:styleId="965">
    <w:name w:val="toc 9"/>
    <w:basedOn w:val="969"/>
    <w:next w:val="969"/>
    <w:uiPriority w:val="39"/>
    <w:unhideWhenUsed/>
    <w:pPr>
      <w:pBdr/>
      <w:spacing w:after="100"/>
      <w:ind w:left="1760"/>
    </w:pPr>
  </w:style>
  <w:style w:type="character" w:styleId="966">
    <w:name w:val="Placeholder Text"/>
    <w:basedOn w:val="974"/>
    <w:uiPriority w:val="99"/>
    <w:semiHidden/>
    <w:pPr>
      <w:pBdr/>
      <w:spacing/>
      <w:ind/>
    </w:pPr>
    <w:rPr>
      <w:color w:val="666666"/>
    </w:rPr>
  </w:style>
  <w:style w:type="paragraph" w:styleId="967">
    <w:name w:val="TOC Heading"/>
    <w:uiPriority w:val="39"/>
    <w:unhideWhenUsed/>
    <w:pPr>
      <w:pBdr/>
      <w:spacing/>
      <w:ind/>
    </w:pPr>
  </w:style>
  <w:style w:type="paragraph" w:styleId="968">
    <w:name w:val="table of figures"/>
    <w:basedOn w:val="969"/>
    <w:next w:val="969"/>
    <w:uiPriority w:val="99"/>
    <w:unhideWhenUsed/>
    <w:pPr>
      <w:pBdr/>
      <w:spacing w:after="0" w:afterAutospacing="0"/>
      <w:ind/>
    </w:pPr>
  </w:style>
  <w:style w:type="paragraph" w:styleId="969" w:default="1">
    <w:name w:val="Normal"/>
    <w:qFormat/>
    <w:pPr>
      <w:pBdr/>
      <w:spacing w:after="0" w:line="240" w:lineRule="auto"/>
      <w:ind/>
    </w:pPr>
    <w:rPr>
      <w:rFonts w:ascii="Times New Roman" w:hAnsi="Times New Roman" w:eastAsia="Times New Roman" w:cs="Times New Roman"/>
      <w:sz w:val="24"/>
      <w:szCs w:val="24"/>
    </w:rPr>
  </w:style>
  <w:style w:type="paragraph" w:styleId="970">
    <w:name w:val="Heading 1"/>
    <w:basedOn w:val="969"/>
    <w:next w:val="969"/>
    <w:link w:val="977"/>
    <w:qFormat/>
    <w:pPr>
      <w:keepNext w:val="true"/>
      <w:pBdr/>
      <w:spacing w:after="120" w:before="120"/>
      <w:ind/>
      <w:jc w:val="center"/>
      <w:outlineLvl w:val="0"/>
    </w:pPr>
    <w:rPr>
      <w:b/>
      <w:bCs/>
      <w:sz w:val="27"/>
      <w:szCs w:val="27"/>
    </w:rPr>
  </w:style>
  <w:style w:type="paragraph" w:styleId="971">
    <w:name w:val="Heading 2"/>
    <w:basedOn w:val="969"/>
    <w:next w:val="969"/>
    <w:link w:val="97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72">
    <w:name w:val="Heading 3"/>
    <w:basedOn w:val="969"/>
    <w:next w:val="969"/>
    <w:link w:val="979"/>
    <w:qFormat/>
    <w:pPr>
      <w:keepNext w:val="true"/>
      <w:pBdr/>
      <w:spacing w:before="60"/>
      <w:ind/>
      <w:outlineLvl w:val="2"/>
    </w:pPr>
    <w:rPr>
      <w:sz w:val="28"/>
      <w:szCs w:val="28"/>
    </w:rPr>
  </w:style>
  <w:style w:type="paragraph" w:styleId="973">
    <w:name w:val="Heading 4"/>
    <w:basedOn w:val="969"/>
    <w:next w:val="969"/>
    <w:link w:val="980"/>
    <w:qFormat/>
    <w:pPr>
      <w:keepNext w:val="true"/>
      <w:pBdr/>
      <w:spacing/>
      <w:ind/>
      <w:jc w:val="center"/>
      <w:outlineLvl w:val="3"/>
    </w:pPr>
    <w:rPr>
      <w:b/>
      <w:bCs/>
    </w:rPr>
  </w:style>
  <w:style w:type="character" w:styleId="974" w:default="1">
    <w:name w:val="Default Paragraph Font"/>
    <w:uiPriority w:val="1"/>
    <w:semiHidden/>
    <w:unhideWhenUsed/>
    <w:pPr>
      <w:pBdr/>
      <w:spacing/>
      <w:ind/>
    </w:pPr>
  </w:style>
  <w:style w:type="table" w:styleId="97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6" w:default="1">
    <w:name w:val="No List"/>
    <w:uiPriority w:val="99"/>
    <w:semiHidden/>
    <w:unhideWhenUsed/>
    <w:pPr>
      <w:pBdr/>
      <w:spacing/>
      <w:ind/>
    </w:pPr>
  </w:style>
  <w:style w:type="character" w:styleId="977" w:customStyle="1">
    <w:name w:val="Heading 1 Char"/>
    <w:basedOn w:val="974"/>
    <w:link w:val="970"/>
    <w:pPr>
      <w:pBdr/>
      <w:spacing/>
      <w:ind/>
    </w:pPr>
    <w:rPr>
      <w:rFonts w:ascii="Times New Roman" w:hAnsi="Times New Roman" w:eastAsia="Times New Roman" w:cs="Times New Roman"/>
      <w:b/>
      <w:bCs/>
      <w:sz w:val="27"/>
      <w:szCs w:val="27"/>
    </w:rPr>
  </w:style>
  <w:style w:type="character" w:styleId="978" w:customStyle="1">
    <w:name w:val="Heading 2 Char"/>
    <w:basedOn w:val="974"/>
    <w:link w:val="971"/>
    <w:uiPriority w:val="9"/>
    <w:pPr>
      <w:pBdr/>
      <w:spacing/>
      <w:ind/>
    </w:pPr>
    <w:rPr>
      <w:rFonts w:asciiTheme="majorHAnsi" w:hAnsiTheme="majorHAnsi" w:eastAsiaTheme="majorEastAsia" w:cstheme="majorBidi"/>
      <w:color w:val="365f91" w:themeColor="accent1" w:themeShade="BF"/>
      <w:sz w:val="26"/>
      <w:szCs w:val="26"/>
    </w:rPr>
  </w:style>
  <w:style w:type="character" w:styleId="979" w:customStyle="1">
    <w:name w:val="Heading 3 Char"/>
    <w:basedOn w:val="974"/>
    <w:link w:val="972"/>
    <w:pPr>
      <w:pBdr/>
      <w:spacing/>
      <w:ind/>
    </w:pPr>
    <w:rPr>
      <w:rFonts w:ascii="Times New Roman" w:hAnsi="Times New Roman" w:eastAsia="Times New Roman" w:cs="Times New Roman"/>
      <w:sz w:val="28"/>
      <w:szCs w:val="28"/>
    </w:rPr>
  </w:style>
  <w:style w:type="character" w:styleId="980" w:customStyle="1">
    <w:name w:val="Heading 4 Char"/>
    <w:basedOn w:val="974"/>
    <w:link w:val="973"/>
    <w:pPr>
      <w:pBdr/>
      <w:spacing/>
      <w:ind/>
    </w:pPr>
    <w:rPr>
      <w:rFonts w:ascii="Times New Roman" w:hAnsi="Times New Roman" w:eastAsia="Times New Roman" w:cs="Times New Roman"/>
      <w:b/>
      <w:bCs/>
      <w:sz w:val="24"/>
      <w:szCs w:val="24"/>
    </w:rPr>
  </w:style>
  <w:style w:type="character" w:styleId="981">
    <w:name w:val="Hyperlink"/>
    <w:uiPriority w:val="99"/>
    <w:pPr>
      <w:pBdr/>
      <w:spacing/>
      <w:ind/>
    </w:pPr>
    <w:rPr>
      <w:color w:val="000000"/>
      <w:u w:val="single"/>
    </w:rPr>
  </w:style>
  <w:style w:type="character" w:styleId="982">
    <w:name w:val="Strong"/>
    <w:uiPriority w:val="22"/>
    <w:qFormat/>
    <w:pPr>
      <w:pBdr/>
      <w:spacing/>
      <w:ind/>
    </w:pPr>
    <w:rPr>
      <w:b/>
      <w:bCs/>
    </w:rPr>
  </w:style>
  <w:style w:type="paragraph" w:styleId="983">
    <w:name w:val="Balloon Text"/>
    <w:basedOn w:val="969"/>
    <w:link w:val="984"/>
    <w:uiPriority w:val="99"/>
    <w:semiHidden/>
    <w:unhideWhenUsed/>
    <w:pPr>
      <w:pBdr/>
      <w:spacing/>
      <w:ind/>
    </w:pPr>
    <w:rPr>
      <w:rFonts w:ascii="Tahoma" w:hAnsi="Tahoma" w:cs="Tahoma"/>
      <w:sz w:val="16"/>
      <w:szCs w:val="16"/>
    </w:rPr>
  </w:style>
  <w:style w:type="character" w:styleId="984" w:customStyle="1">
    <w:name w:val="Balloon Text Char"/>
    <w:basedOn w:val="974"/>
    <w:link w:val="983"/>
    <w:uiPriority w:val="99"/>
    <w:semiHidden/>
    <w:pPr>
      <w:pBdr/>
      <w:spacing/>
      <w:ind/>
    </w:pPr>
    <w:rPr>
      <w:rFonts w:ascii="Tahoma" w:hAnsi="Tahoma" w:eastAsia="Times New Roman" w:cs="Tahoma"/>
      <w:sz w:val="16"/>
      <w:szCs w:val="16"/>
    </w:rPr>
  </w:style>
  <w:style w:type="paragraph" w:styleId="985">
    <w:name w:val="Header"/>
    <w:basedOn w:val="969"/>
    <w:link w:val="986"/>
    <w:unhideWhenUsed/>
    <w:pPr>
      <w:pBdr/>
      <w:tabs>
        <w:tab w:val="center" w:leader="none" w:pos="4680"/>
        <w:tab w:val="right" w:leader="none" w:pos="9360"/>
      </w:tabs>
      <w:spacing/>
      <w:ind/>
    </w:pPr>
  </w:style>
  <w:style w:type="character" w:styleId="986" w:customStyle="1">
    <w:name w:val="Header Char"/>
    <w:basedOn w:val="974"/>
    <w:link w:val="985"/>
    <w:pPr>
      <w:pBdr/>
      <w:spacing/>
      <w:ind/>
    </w:pPr>
    <w:rPr>
      <w:rFonts w:ascii="Times New Roman" w:hAnsi="Times New Roman" w:eastAsia="Times New Roman" w:cs="Times New Roman"/>
      <w:sz w:val="24"/>
      <w:szCs w:val="24"/>
    </w:rPr>
  </w:style>
  <w:style w:type="paragraph" w:styleId="987">
    <w:name w:val="Footer"/>
    <w:basedOn w:val="969"/>
    <w:link w:val="988"/>
    <w:uiPriority w:val="99"/>
    <w:unhideWhenUsed/>
    <w:pPr>
      <w:pBdr/>
      <w:tabs>
        <w:tab w:val="center" w:leader="none" w:pos="4680"/>
        <w:tab w:val="right" w:leader="none" w:pos="9360"/>
      </w:tabs>
      <w:spacing/>
      <w:ind/>
    </w:pPr>
  </w:style>
  <w:style w:type="character" w:styleId="988" w:customStyle="1">
    <w:name w:val="Footer Char"/>
    <w:basedOn w:val="974"/>
    <w:link w:val="987"/>
    <w:uiPriority w:val="99"/>
    <w:pPr>
      <w:pBdr/>
      <w:spacing/>
      <w:ind/>
    </w:pPr>
    <w:rPr>
      <w:rFonts w:ascii="Times New Roman" w:hAnsi="Times New Roman" w:eastAsia="Times New Roman" w:cs="Times New Roman"/>
      <w:sz w:val="24"/>
      <w:szCs w:val="24"/>
    </w:rPr>
  </w:style>
  <w:style w:type="character" w:styleId="989" w:customStyle="1">
    <w:name w:val="normal-h1"/>
    <w:pPr>
      <w:pBdr/>
      <w:spacing/>
      <w:ind/>
    </w:pPr>
    <w:rPr>
      <w:rFonts w:hint="default" w:ascii=".VnTime" w:hAnsi=".VnTime"/>
      <w:color w:val="0000ff"/>
      <w:sz w:val="24"/>
      <w:szCs w:val="24"/>
    </w:rPr>
  </w:style>
  <w:style w:type="paragraph" w:styleId="990" w:customStyle="1">
    <w:name w:val="normal-p"/>
    <w:basedOn w:val="969"/>
    <w:pPr>
      <w:pBdr/>
      <w:spacing/>
      <w:ind/>
      <w:jc w:val="both"/>
    </w:pPr>
    <w:rPr>
      <w:sz w:val="20"/>
      <w:szCs w:val="20"/>
    </w:rPr>
  </w:style>
  <w:style w:type="paragraph" w:styleId="991">
    <w:name w:val="List Paragraph"/>
    <w:basedOn w:val="969"/>
    <w:link w:val="1078"/>
    <w:uiPriority w:val="34"/>
    <w:qFormat/>
    <w:pPr>
      <w:pBdr/>
      <w:spacing/>
      <w:ind w:left="720"/>
    </w:pPr>
  </w:style>
  <w:style w:type="paragraph" w:styleId="992">
    <w:name w:val="Normal (Web)"/>
    <w:basedOn w:val="969"/>
    <w:uiPriority w:val="99"/>
    <w:pPr>
      <w:pBdr/>
      <w:spacing w:after="100" w:afterAutospacing="1" w:before="100" w:beforeAutospacing="1"/>
      <w:ind/>
    </w:pPr>
  </w:style>
  <w:style w:type="paragraph" w:styleId="993">
    <w:name w:val="Body Text"/>
    <w:basedOn w:val="969"/>
    <w:link w:val="994"/>
    <w:pPr>
      <w:pBdr/>
      <w:spacing w:after="120"/>
      <w:ind/>
      <w:jc w:val="both"/>
    </w:pPr>
  </w:style>
  <w:style w:type="character" w:styleId="994" w:customStyle="1">
    <w:name w:val="Body Text Char"/>
    <w:basedOn w:val="974"/>
    <w:link w:val="993"/>
    <w:pPr>
      <w:pBdr/>
      <w:spacing/>
      <w:ind/>
    </w:pPr>
    <w:rPr>
      <w:rFonts w:ascii="Times New Roman" w:hAnsi="Times New Roman" w:eastAsia="Times New Roman" w:cs="Times New Roman"/>
      <w:sz w:val="24"/>
      <w:szCs w:val="24"/>
    </w:rPr>
  </w:style>
  <w:style w:type="table" w:styleId="995">
    <w:name w:val="Table Grid"/>
    <w:basedOn w:val="97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7">
    <w:name w:val="annotation reference"/>
    <w:basedOn w:val="974"/>
    <w:uiPriority w:val="99"/>
    <w:semiHidden/>
    <w:unhideWhenUsed/>
    <w:pPr>
      <w:pBdr/>
      <w:spacing/>
      <w:ind/>
    </w:pPr>
    <w:rPr>
      <w:sz w:val="16"/>
      <w:szCs w:val="16"/>
    </w:rPr>
  </w:style>
  <w:style w:type="paragraph" w:styleId="998">
    <w:name w:val="annotation text"/>
    <w:basedOn w:val="969"/>
    <w:link w:val="999"/>
    <w:uiPriority w:val="99"/>
    <w:unhideWhenUsed/>
    <w:pPr>
      <w:pBdr/>
      <w:spacing/>
      <w:ind/>
    </w:pPr>
    <w:rPr>
      <w:sz w:val="20"/>
      <w:szCs w:val="20"/>
    </w:rPr>
  </w:style>
  <w:style w:type="character" w:styleId="999" w:customStyle="1">
    <w:name w:val="Comment Text Char"/>
    <w:basedOn w:val="974"/>
    <w:link w:val="998"/>
    <w:uiPriority w:val="99"/>
    <w:pPr>
      <w:pBdr/>
      <w:spacing/>
      <w:ind/>
    </w:pPr>
    <w:rPr>
      <w:rFonts w:ascii="Times New Roman" w:hAnsi="Times New Roman" w:eastAsia="Times New Roman" w:cs="Times New Roman"/>
      <w:sz w:val="20"/>
      <w:szCs w:val="20"/>
    </w:rPr>
  </w:style>
  <w:style w:type="paragraph" w:styleId="1000">
    <w:name w:val="annotation subject"/>
    <w:basedOn w:val="998"/>
    <w:next w:val="998"/>
    <w:link w:val="1001"/>
    <w:uiPriority w:val="99"/>
    <w:semiHidden/>
    <w:unhideWhenUsed/>
    <w:pPr>
      <w:pBdr/>
      <w:spacing/>
      <w:ind/>
    </w:pPr>
    <w:rPr>
      <w:b/>
      <w:bCs/>
    </w:rPr>
  </w:style>
  <w:style w:type="character" w:styleId="1001" w:customStyle="1">
    <w:name w:val="Comment Subject Char"/>
    <w:basedOn w:val="999"/>
    <w:link w:val="1000"/>
    <w:uiPriority w:val="99"/>
    <w:semiHidden/>
    <w:pPr>
      <w:pBdr/>
      <w:spacing/>
      <w:ind/>
    </w:pPr>
    <w:rPr>
      <w:rFonts w:ascii="Times New Roman" w:hAnsi="Times New Roman" w:eastAsia="Times New Roman" w:cs="Times New Roman"/>
      <w:b/>
      <w:bCs/>
      <w:sz w:val="20"/>
      <w:szCs w:val="20"/>
    </w:rPr>
  </w:style>
  <w:style w:type="paragraph" w:styleId="1002" w:customStyle="1">
    <w:name w:val="font5"/>
    <w:basedOn w:val="969"/>
    <w:pPr>
      <w:pBdr/>
      <w:spacing w:after="100" w:afterAutospacing="1" w:before="100" w:beforeAutospacing="1"/>
      <w:ind/>
    </w:pPr>
    <w:rPr>
      <w:rFonts w:ascii="Tahoma" w:hAnsi="Tahoma" w:cs="Tahoma"/>
      <w:color w:val="000000"/>
      <w:sz w:val="18"/>
      <w:szCs w:val="18"/>
    </w:rPr>
  </w:style>
  <w:style w:type="paragraph" w:styleId="1003" w:customStyle="1">
    <w:name w:val="font6"/>
    <w:basedOn w:val="969"/>
    <w:pPr>
      <w:pBdr/>
      <w:spacing w:after="100" w:afterAutospacing="1" w:before="100" w:beforeAutospacing="1"/>
      <w:ind/>
    </w:pPr>
    <w:rPr>
      <w:rFonts w:ascii="Tahoma" w:hAnsi="Tahoma" w:cs="Tahoma"/>
      <w:b/>
      <w:bCs/>
      <w:color w:val="000000"/>
      <w:sz w:val="18"/>
      <w:szCs w:val="18"/>
    </w:rPr>
  </w:style>
  <w:style w:type="paragraph" w:styleId="1004" w:customStyle="1">
    <w:name w:val="xl233"/>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5" w:customStyle="1">
    <w:name w:val="xl234"/>
    <w:basedOn w:val="969"/>
    <w:pPr>
      <w:pBdr/>
      <w:spacing w:after="100" w:afterAutospacing="1" w:before="100" w:beforeAutospacing="1"/>
      <w:ind/>
      <w:jc w:val="center"/>
    </w:pPr>
  </w:style>
  <w:style w:type="paragraph" w:styleId="1006" w:customStyle="1">
    <w:name w:val="xl235"/>
    <w:basedOn w:val="969"/>
    <w:pPr>
      <w:pBdr/>
      <w:spacing w:after="100" w:afterAutospacing="1" w:before="100" w:beforeAutospacing="1"/>
      <w:ind/>
      <w:jc w:val="center"/>
    </w:pPr>
    <w:rPr>
      <w:b/>
      <w:bCs/>
    </w:rPr>
  </w:style>
  <w:style w:type="paragraph" w:styleId="1007" w:customStyle="1">
    <w:name w:val="xl236"/>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8" w:customStyle="1">
    <w:name w:val="xl237"/>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9" w:customStyle="1">
    <w:name w:val="xl238"/>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0" w:customStyle="1">
    <w:name w:val="xl239"/>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11" w:customStyle="1">
    <w:name w:val="xl240"/>
    <w:basedOn w:val="969"/>
    <w:pPr>
      <w:pBdr/>
      <w:spacing w:after="100" w:afterAutospacing="1" w:before="100" w:beforeAutospacing="1"/>
      <w:ind/>
    </w:pPr>
  </w:style>
  <w:style w:type="paragraph" w:styleId="1012" w:customStyle="1">
    <w:name w:val="xl241"/>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3" w:customStyle="1">
    <w:name w:val="xl242"/>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4" w:customStyle="1">
    <w:name w:val="xl243"/>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5" w:customStyle="1">
    <w:name w:val="xl244"/>
    <w:basedOn w:val="969"/>
    <w:pPr>
      <w:pBdr/>
      <w:spacing w:after="100" w:afterAutospacing="1" w:before="100" w:beforeAutospacing="1"/>
      <w:ind/>
    </w:pPr>
    <w:rPr>
      <w:b/>
      <w:bCs/>
    </w:rPr>
  </w:style>
  <w:style w:type="paragraph" w:styleId="1016" w:customStyle="1">
    <w:name w:val="xl245"/>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7" w:customStyle="1">
    <w:name w:val="xl246"/>
    <w:basedOn w:val="96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8" w:customStyle="1">
    <w:name w:val="xl247"/>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9" w:customStyle="1">
    <w:name w:val="xl248"/>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20" w:customStyle="1">
    <w:name w:val="xl249"/>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1" w:customStyle="1">
    <w:name w:val="xl250"/>
    <w:basedOn w:val="96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22" w:customStyle="1">
    <w:name w:val="xl251"/>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23" w:customStyle="1">
    <w:name w:val="xl252"/>
    <w:basedOn w:val="96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4" w:customStyle="1">
    <w:name w:val="xl253"/>
    <w:basedOn w:val="96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5" w:customStyle="1">
    <w:name w:val="xl254"/>
    <w:basedOn w:val="96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6" w:customStyle="1">
    <w:name w:val="xl255"/>
    <w:basedOn w:val="96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7" w:customStyle="1">
    <w:name w:val="xl256"/>
    <w:basedOn w:val="96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8" w:customStyle="1">
    <w:name w:val="xl257"/>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9" w:customStyle="1">
    <w:name w:val="xl258"/>
    <w:basedOn w:val="96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0" w:customStyle="1">
    <w:name w:val="xl259"/>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1" w:customStyle="1">
    <w:name w:val="xl260"/>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2" w:customStyle="1">
    <w:name w:val="xl261"/>
    <w:basedOn w:val="96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3" w:customStyle="1">
    <w:name w:val="xl262"/>
    <w:basedOn w:val="96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4" w:customStyle="1">
    <w:name w:val="xl263"/>
    <w:basedOn w:val="969"/>
    <w:pPr>
      <w:pBdr/>
      <w:shd w:val="clear" w:color="000000" w:fill="ffffff"/>
      <w:spacing w:after="100" w:afterAutospacing="1" w:before="100" w:beforeAutospacing="1"/>
      <w:ind/>
    </w:pPr>
  </w:style>
  <w:style w:type="paragraph" w:styleId="1035" w:customStyle="1">
    <w:name w:val="xl264"/>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6" w:customStyle="1">
    <w:name w:val="xl265"/>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7" w:customStyle="1">
    <w:name w:val="xl266"/>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8" w:customStyle="1">
    <w:name w:val="xl267"/>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9" w:customStyle="1">
    <w:name w:val="xl268"/>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0" w:customStyle="1">
    <w:name w:val="xl269"/>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1" w:customStyle="1">
    <w:name w:val="xl270"/>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2" w:customStyle="1">
    <w:name w:val="xl271"/>
    <w:basedOn w:val="96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43" w:customStyle="1">
    <w:name w:val="xl272"/>
    <w:basedOn w:val="96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73"/>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74"/>
    <w:basedOn w:val="96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6" w:customStyle="1">
    <w:name w:val="xl275"/>
    <w:basedOn w:val="969"/>
    <w:pPr>
      <w:pBdr/>
      <w:spacing w:after="100" w:afterAutospacing="1" w:before="100" w:beforeAutospacing="1"/>
      <w:ind/>
    </w:pPr>
  </w:style>
  <w:style w:type="paragraph" w:styleId="1047" w:customStyle="1">
    <w:name w:val="xl276"/>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8" w:customStyle="1">
    <w:name w:val="xl277"/>
    <w:basedOn w:val="96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9" w:customStyle="1">
    <w:name w:val="xl278"/>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79"/>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80"/>
    <w:basedOn w:val="96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81"/>
    <w:basedOn w:val="96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82"/>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83"/>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84"/>
    <w:basedOn w:val="969"/>
    <w:pPr>
      <w:pBdr>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85"/>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86"/>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87"/>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88"/>
    <w:basedOn w:val="969"/>
    <w:pPr>
      <w:pBdr>
        <w:top w:val="single" w:color="000000" w:sz="4" w:space="0"/>
        <w:left w:val="single" w:color="000000" w:sz="4" w:space="0"/>
        <w:right w:val="single" w:color="000000" w:sz="4" w:space="0"/>
      </w:pBdr>
      <w:spacing w:after="100" w:afterAutospacing="1" w:before="100" w:beforeAutospacing="1"/>
      <w:ind/>
    </w:pPr>
  </w:style>
  <w:style w:type="paragraph" w:styleId="1060" w:customStyle="1">
    <w:name w:val="xl289"/>
    <w:basedOn w:val="969"/>
    <w:pPr>
      <w:pBdr>
        <w:left w:val="single" w:color="000000" w:sz="4" w:space="0"/>
        <w:right w:val="single" w:color="000000" w:sz="4" w:space="0"/>
      </w:pBdr>
      <w:spacing w:after="100" w:afterAutospacing="1" w:before="100" w:beforeAutospacing="1"/>
      <w:ind/>
    </w:pPr>
    <w:rPr>
      <w:b/>
      <w:bCs/>
    </w:rPr>
  </w:style>
  <w:style w:type="paragraph" w:styleId="1061" w:customStyle="1">
    <w:name w:val="xl290"/>
    <w:basedOn w:val="96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91"/>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3" w:customStyle="1">
    <w:name w:val="xl292"/>
    <w:basedOn w:val="969"/>
    <w:pPr>
      <w:pBdr>
        <w:top w:val="single" w:color="000000" w:sz="4" w:space="0"/>
        <w:left w:val="single" w:color="000000" w:sz="4" w:space="0"/>
        <w:right w:val="single" w:color="000000" w:sz="4" w:space="0"/>
      </w:pBdr>
      <w:spacing w:after="100" w:afterAutospacing="1" w:before="100" w:beforeAutospacing="1"/>
      <w:ind/>
    </w:pPr>
  </w:style>
  <w:style w:type="paragraph" w:styleId="1064" w:customStyle="1">
    <w:name w:val="xl293"/>
    <w:basedOn w:val="969"/>
    <w:pPr>
      <w:pBdr>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94"/>
    <w:basedOn w:val="96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6">
    <w:name w:val="Title"/>
    <w:basedOn w:val="969"/>
    <w:link w:val="1067"/>
    <w:qFormat/>
    <w:pPr>
      <w:pBdr/>
      <w:spacing/>
      <w:ind/>
      <w:jc w:val="center"/>
    </w:pPr>
    <w:rPr>
      <w:b/>
      <w:bCs/>
      <w:sz w:val="32"/>
      <w:szCs w:val="26"/>
    </w:rPr>
  </w:style>
  <w:style w:type="character" w:styleId="1067" w:customStyle="1">
    <w:name w:val="Title Char"/>
    <w:basedOn w:val="974"/>
    <w:link w:val="1066"/>
    <w:pPr>
      <w:pBdr/>
      <w:spacing/>
      <w:ind/>
    </w:pPr>
    <w:rPr>
      <w:rFonts w:ascii="Times New Roman" w:hAnsi="Times New Roman" w:eastAsia="Times New Roman" w:cs="Times New Roman"/>
      <w:b/>
      <w:bCs/>
      <w:sz w:val="32"/>
      <w:szCs w:val="26"/>
    </w:rPr>
  </w:style>
  <w:style w:type="character" w:styleId="1068" w:customStyle="1">
    <w:name w:val="Unresolved Mention1"/>
    <w:basedOn w:val="974"/>
    <w:uiPriority w:val="99"/>
    <w:semiHidden/>
    <w:unhideWhenUsed/>
    <w:pPr>
      <w:pBdr/>
      <w:spacing/>
      <w:ind/>
    </w:pPr>
    <w:rPr>
      <w:color w:val="605e5c"/>
      <w:shd w:val="clear" w:color="auto" w:fill="e1dfdd"/>
    </w:rPr>
  </w:style>
  <w:style w:type="character" w:styleId="1069" w:customStyle="1">
    <w:name w:val="Body text (3)_"/>
    <w:link w:val="1070"/>
    <w:pPr>
      <w:pBdr/>
      <w:spacing/>
      <w:ind/>
    </w:pPr>
    <w:rPr>
      <w:rFonts w:ascii="Times New Roman" w:hAnsi="Times New Roman" w:cs="Times New Roman"/>
      <w:i/>
      <w:iCs/>
      <w:spacing w:val="4"/>
      <w:shd w:val="clear" w:color="auto" w:fill="ffffff"/>
    </w:rPr>
  </w:style>
  <w:style w:type="paragraph" w:styleId="1070" w:customStyle="1">
    <w:name w:val="Body text (3)1"/>
    <w:basedOn w:val="969"/>
    <w:link w:val="106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71" w:customStyle="1">
    <w:name w:val="t-j"/>
    <w:basedOn w:val="969"/>
    <w:pPr>
      <w:pBdr/>
      <w:spacing w:after="100" w:afterAutospacing="1" w:before="100" w:beforeAutospacing="1"/>
      <w:ind/>
    </w:pPr>
  </w:style>
  <w:style w:type="character" w:styleId="1072" w:customStyle="1">
    <w:name w:val="Unresolved Mention2"/>
    <w:basedOn w:val="974"/>
    <w:uiPriority w:val="99"/>
    <w:semiHidden/>
    <w:unhideWhenUsed/>
    <w:pPr>
      <w:pBdr/>
      <w:spacing/>
      <w:ind/>
    </w:pPr>
    <w:rPr>
      <w:color w:val="605e5c"/>
      <w:shd w:val="clear" w:color="auto" w:fill="e1dfdd"/>
    </w:rPr>
  </w:style>
  <w:style w:type="character" w:styleId="1073">
    <w:name w:val="FollowedHyperlink"/>
    <w:basedOn w:val="974"/>
    <w:uiPriority w:val="99"/>
    <w:semiHidden/>
    <w:unhideWhenUsed/>
    <w:pPr>
      <w:pBdr/>
      <w:spacing/>
      <w:ind/>
    </w:pPr>
    <w:rPr>
      <w:color w:val="800080" w:themeColor="followedHyperlink"/>
      <w:u w:val="single"/>
    </w:rPr>
  </w:style>
  <w:style w:type="character" w:styleId="1074" w:customStyle="1">
    <w:name w:val="text"/>
    <w:basedOn w:val="974"/>
    <w:pPr>
      <w:pBdr/>
      <w:spacing/>
      <w:ind/>
    </w:pPr>
  </w:style>
  <w:style w:type="character" w:styleId="1075" w:customStyle="1">
    <w:name w:val="card-send-time__sendtime"/>
    <w:basedOn w:val="974"/>
    <w:pPr>
      <w:pBdr/>
      <w:spacing/>
      <w:ind/>
    </w:pPr>
  </w:style>
  <w:style w:type="character" w:styleId="1076" w:customStyle="1">
    <w:name w:val="Đề cập Chưa giải quyết1"/>
    <w:basedOn w:val="974"/>
    <w:uiPriority w:val="99"/>
    <w:semiHidden/>
    <w:unhideWhenUsed/>
    <w:pPr>
      <w:pBdr/>
      <w:spacing/>
      <w:ind/>
    </w:pPr>
    <w:rPr>
      <w:color w:val="605e5c"/>
      <w:shd w:val="clear" w:color="auto" w:fill="e1dfdd"/>
    </w:rPr>
  </w:style>
  <w:style w:type="paragraph" w:styleId="1077" w:customStyle="1">
    <w:name w:val="nqtitle"/>
    <w:basedOn w:val="969"/>
    <w:pPr>
      <w:pBdr/>
      <w:spacing w:after="100" w:afterAutospacing="1" w:before="100" w:beforeAutospacing="1"/>
      <w:ind/>
    </w:pPr>
    <w:rPr>
      <w:lang w:val="vi-VN" w:eastAsia="vi-VN"/>
    </w:rPr>
  </w:style>
  <w:style w:type="character" w:styleId="1078" w:customStyle="1">
    <w:name w:val="List Paragraph Char"/>
    <w:link w:val="991"/>
    <w:uiPriority w:val="34"/>
    <w:qFormat/>
    <w:pPr>
      <w:pBdr/>
      <w:spacing/>
      <w:ind/>
    </w:pPr>
    <w:rPr>
      <w:rFonts w:ascii="Times New Roman" w:hAnsi="Times New Roman" w:eastAsia="Times New Roman" w:cs="Times New Roman"/>
      <w:sz w:val="24"/>
      <w:szCs w:val="24"/>
    </w:rPr>
  </w:style>
  <w:style w:type="character" w:styleId="1079" w:customStyle="1">
    <w:name w:val="Đề cập Chưa giải quyết2"/>
    <w:basedOn w:val="974"/>
    <w:uiPriority w:val="99"/>
    <w:semiHidden/>
    <w:unhideWhenUsed/>
    <w:pPr>
      <w:pBdr/>
      <w:spacing/>
      <w:ind/>
    </w:pPr>
    <w:rPr>
      <w:color w:val="605e5c"/>
      <w:shd w:val="clear" w:color="auto" w:fill="e1dfdd"/>
    </w:rPr>
  </w:style>
  <w:style w:type="character" w:styleId="1080" w:customStyle="1">
    <w:name w:val="Unresolved Mention3"/>
    <w:basedOn w:val="974"/>
    <w:uiPriority w:val="99"/>
    <w:semiHidden/>
    <w:unhideWhenUsed/>
    <w:pPr>
      <w:pBdr/>
      <w:spacing/>
      <w:ind/>
    </w:pPr>
    <w:rPr>
      <w:color w:val="605e5c"/>
      <w:shd w:val="clear" w:color="auto" w:fill="e1dfdd"/>
    </w:rPr>
  </w:style>
  <w:style w:type="character" w:styleId="1081" w:customStyle="1">
    <w:name w:val="copy"/>
    <w:basedOn w:val="974"/>
    <w:pPr>
      <w:pBdr/>
      <w:spacing/>
      <w:ind/>
    </w:pPr>
  </w:style>
  <w:style w:type="paragraph" w:styleId="1082" w:customStyle="1">
    <w:name w:val="align-justify"/>
    <w:basedOn w:val="969"/>
    <w:pPr>
      <w:pBdr/>
      <w:spacing w:after="100" w:afterAutospacing="1" w:before="100" w:beforeAutospacing="1"/>
      <w:ind/>
    </w:pPr>
  </w:style>
  <w:style w:type="character" w:styleId="1083" w:customStyle="1">
    <w:name w:val="btn"/>
    <w:basedOn w:val="974"/>
    <w:pPr>
      <w:pBdr/>
      <w:spacing/>
      <w:ind/>
    </w:pPr>
  </w:style>
  <w:style w:type="character" w:styleId="1084" w:customStyle="1">
    <w:name w:val="hide_mobile"/>
    <w:basedOn w:val="974"/>
    <w:pPr>
      <w:pBdr/>
      <w:spacing/>
      <w:ind/>
    </w:pPr>
  </w:style>
  <w:style w:type="character" w:styleId="1085">
    <w:name w:val="Emphasis"/>
    <w:basedOn w:val="974"/>
    <w:uiPriority w:val="20"/>
    <w:qFormat/>
    <w:pPr>
      <w:pBdr/>
      <w:spacing/>
      <w:ind/>
    </w:pPr>
    <w:rPr>
      <w:i/>
      <w:iCs/>
    </w:rPr>
  </w:style>
  <w:style w:type="character" w:styleId="1086" w:customStyle="1">
    <w:name w:val="t1"/>
    <w:basedOn w:val="974"/>
    <w:pPr>
      <w:pBdr/>
      <w:spacing/>
      <w:ind/>
    </w:pPr>
  </w:style>
  <w:style w:type="character" w:styleId="1087" w:customStyle="1">
    <w:name w:val="Unresolved Mention4"/>
    <w:basedOn w:val="974"/>
    <w:uiPriority w:val="99"/>
    <w:semiHidden/>
    <w:unhideWhenUsed/>
    <w:pPr>
      <w:pBdr/>
      <w:spacing/>
      <w:ind/>
    </w:pPr>
    <w:rPr>
      <w:color w:val="605e5c"/>
      <w:shd w:val="clear" w:color="auto" w:fill="e1dfdd"/>
    </w:rPr>
  </w:style>
  <w:style w:type="character" w:styleId="1088">
    <w:name w:val="Unresolved Mention"/>
    <w:basedOn w:val="97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image" Target="media/image2.png"/><Relationship Id="rId16" Type="http://schemas.openxmlformats.org/officeDocument/2006/relationships/image" Target="media/image3.jp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jp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jpg"/><Relationship Id="rId34" Type="http://schemas.openxmlformats.org/officeDocument/2006/relationships/image" Target="media/image21.jpg"/><Relationship Id="rId35"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282</cp:revision>
  <dcterms:created xsi:type="dcterms:W3CDTF">2025-09-15T09:58:00Z</dcterms:created>
  <dcterms:modified xsi:type="dcterms:W3CDTF">2026-04-18T01:57:59Z</dcterms:modified>
</cp:coreProperties>
</file>