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78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78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275/2026/0574/VFI-CT.53.A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BÁ THIỆN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63, tờ bản đồ số: 288 có địa chỉ: Khu Yên Hợp, phường Mạo</w:t>
                            </w:r>
                            <w:r>
                              <w:rPr>
                                <w:color w:val="000000"/>
                              </w:rPr>
                              <w:t xml:space="preserve"> Khê, tỉnh Quảng Ninh theo Giấy chứng nhận quyền sử dụng đất, quyền sở hữu tài sản gắn liền với đất số: AA 01458828, số vào sổ cấp GCN: CN 8716 do Chi nhánh Văn phòng Đăng ký đất đai số 1 cấp ngày 20/10/2025 cho Ông Nguyễn Bá Thiện và Đồng Thị Thu Phương</w:t>
                            </w:r>
                            <w:r>
                              <w:rPr>
                                <w:bCs/>
                                <w:i/>
                                <w:iCs/>
                              </w:rPr>
                              <w:t xml:space="preserve">.</w:t>
                            </w:r>
                            <w:r>
                              <w:rPr>
                                <w:bCs/>
                                <w:i/>
                                <w:iCs/>
                              </w:rPr>
                            </w:r>
                            <w:r>
                              <w:rPr>
                                <w:bCs/>
                                <w:i/>
                                <w:iCs/>
                              </w:rPr>
                            </w:r>
                            <w:r>
                              <w:rPr>
                                <w:highlight w:val="none"/>
                                <w:lang w:val="pt-BR"/>
                              </w:rPr>
                            </w:r>
                            <w:r>
                              <w:rPr>
                                <w:bCs/>
                                <w:i/>
                              </w:rPr>
                            </w:r>
                            <w:r>
                              <w:rPr>
                                <w:bCs/>
                                <w:i/>
                              </w:rPr>
                            </w:r>
                            <w:r>
                              <w:rPr>
                                <w:bCs/>
                                <w:i/>
                                <w:iCs/>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4/2026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4.5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275/2026/0574/VFI-CT.53.A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BÁ THIỆN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63, tờ bản đồ số: 288 có địa chỉ: Khu Yên Hợp, phường Mạo</w:t>
                      </w:r>
                      <w:r>
                        <w:rPr>
                          <w:color w:val="000000"/>
                        </w:rPr>
                        <w:t xml:space="preserve"> Khê, tỉnh Quảng Ninh theo Giấy chứng nhận quyền sử dụng đất, quyền sở hữu tài sản gắn liền với đất số: AA 01458828, số vào sổ cấp GCN: CN 8716 do Chi nhánh Văn phòng Đăng ký đất đai số 1 cấp ngày 20/10/2025 cho Ông Nguyễn Bá Thiện và Đồng Thị Thu Phương</w:t>
                      </w:r>
                      <w:r>
                        <w:rPr>
                          <w:bCs/>
                          <w:i/>
                          <w:iCs/>
                        </w:rPr>
                        <w:t xml:space="preserve">.</w:t>
                      </w:r>
                      <w:r>
                        <w:rPr>
                          <w:bCs/>
                          <w:i/>
                          <w:iCs/>
                        </w:rPr>
                      </w:r>
                      <w:r>
                        <w:rPr>
                          <w:bCs/>
                          <w:i/>
                          <w:iCs/>
                        </w:rPr>
                      </w:r>
                      <w:r>
                        <w:rPr>
                          <w:highlight w:val="none"/>
                          <w:lang w:val="pt-BR"/>
                        </w:rPr>
                      </w:r>
                      <w:r>
                        <w:rPr>
                          <w:bCs/>
                          <w:i/>
                        </w:rPr>
                      </w:r>
                      <w:r>
                        <w:rPr>
                          <w:bCs/>
                          <w:i/>
                        </w:rPr>
                      </w:r>
                      <w:r>
                        <w:rPr>
                          <w:bCs/>
                          <w:i/>
                          <w:iCs/>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4/2026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tabs>
                <w:tab w:val="center" w:leader="none" w:pos="6671"/>
                <w:tab w:val="left" w:leader="none" w:pos="8359"/>
              </w:tabs>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275/2026/0574/VFI-CT.53.A</w:t>
            </w:r>
            <w:r>
              <w:rPr>
                <w:color w:val="000000" w:themeColor="text1"/>
                <w:sz w:val="24"/>
                <w:szCs w:val="24"/>
              </w:rPr>
            </w:r>
            <w:r>
              <w:rPr>
                <w:color w:val="000000" w:themeColor="text1"/>
                <w:sz w:val="24"/>
                <w:szCs w:val="24"/>
              </w:rPr>
              <w:tab/>
            </w:r>
            <w:r>
              <w:rPr>
                <w:color w:val="000000" w:themeColor="text1"/>
                <w:sz w:val="24"/>
                <w:szCs w:val="24"/>
              </w:rPr>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14 tháng 4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BÁ THIỆN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275/2026/0574/VFI-HĐTĐ.53.A</w:t>
      </w:r>
      <w:r>
        <w:rPr>
          <w:spacing w:val="-4"/>
          <w:lang w:val="vi-VN"/>
        </w:rPr>
        <w:t xml:space="preserve"> ký ngày </w:t>
      </w:r>
      <w:r>
        <w:rPr>
          <w:color w:val="000000" w:themeColor="text1"/>
          <w:spacing w:val="-4"/>
        </w:rPr>
        <w:t xml:space="preserve">13 tháng 4 năm 2026</w:t>
      </w:r>
      <w:r>
        <w:rPr>
          <w:spacing w:val="-4"/>
          <w:lang w:val="vi-VN"/>
        </w:rPr>
        <w:t xml:space="preserve"> </w:t>
      </w:r>
      <w:r>
        <w:rPr>
          <w:spacing w:val="-4"/>
          <w:lang w:val="vi-VN"/>
        </w:rPr>
        <w:t xml:space="preserve">giữa </w:t>
      </w:r>
      <w:r>
        <w:rPr>
          <w:bCs/>
        </w:rPr>
        <w:t xml:space="preserve">Ông Nguyễn Bá Thiện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275/2026/0574/VFI-BC.53.A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14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BÁ THIỆN </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022079003271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Yên Hợp, Phường Mạo Khê, tỉnh Quảng Ninh</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63, tờ bản đồ số: 288 có địa chỉ: Khu Yên Hợp, phường Mạo</w:t>
      </w:r>
      <w:r>
        <w:rPr>
          <w:color w:val="000000" w:themeColor="text1"/>
        </w:rPr>
        <w:t xml:space="preserve"> Khê, tỉnh Quảng Ninh theo Giấy chứng nhận quyền sử dụng đất, quyền sở hữu tài sản gắn liền với đất số: AA 01458828, số vào sổ cấp GCN: CN 8716 do Chi nhánh Văn phòng Đăng ký đất đai số 1 cấp ngày 20/10/2025 cho Ông Nguyễn Bá Thiện và Đồng Thị Thu Phương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33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3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3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3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36"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3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3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3328"/>
        <w:gridCol w:w="1276"/>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328"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76"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348" w:lineRule="auto"/>
              <w:ind/>
              <w:jc w:val="both"/>
              <w:rPr>
                <w:b/>
                <w:bCs/>
              </w:rPr>
            </w:pPr>
            <w:r>
              <w:rPr>
                <w:b/>
                <w:bCs/>
                <w:color w:val="000000"/>
              </w:rPr>
              <w:t xml:space="preserve">Quyền sử dụng đất tại thửa đất số: 63, tờ bản đồ số: 288 có địa chỉ: Khu Yên Hợp, phường Mạo</w:t>
            </w:r>
            <w:r>
              <w:rPr>
                <w:b/>
                <w:bCs/>
                <w:color w:val="000000"/>
              </w:rPr>
              <w:t xml:space="preserve"> Khê, tỉnh Quảng Ninh theo Giấy chứng nhận quyền sử dụng đất, quyền sở hữu tài sản gắn liền với đất số: AA 01458828, số vào sổ cấp GCN: CN 8716 do Chi nhánh Văn phòng Đăng ký đất đai số 1 cấp ngày 20/10/2025 cho Ông Nguyễn Bá Thiện và Đồng Thị Thu Phương</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3328"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1276" w:type="dxa"/>
            <w:vAlign w:val="center"/>
            <w:textDirection w:val="lrTb"/>
            <w:noWrap/>
          </w:tcPr>
          <w:p>
            <w:pPr>
              <w:pBdr/>
              <w:spacing w:after="40" w:before="40" w:line="288" w:lineRule="auto"/>
              <w:ind/>
              <w:jc w:val="center"/>
              <w:rPr>
                <w:color w:val="000000"/>
              </w:rPr>
            </w:pPr>
            <w:r>
              <w:rPr>
                <w:color w:val="000000" w:themeColor="text1"/>
              </w:rPr>
              <w:t xml:space="preserve">2.187,5</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3.000.000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6.562.500.000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6.562.500.000</w:t>
            </w:r>
            <w:r>
              <w:rPr>
                <w:b/>
                <w:bCs/>
                <w:color w:val="000000"/>
              </w:rPr>
            </w:r>
            <w:r>
              <w:rPr>
                <w:b/>
                <w:bCs/>
                <w:color w:val="000000"/>
              </w:rPr>
            </w:r>
          </w:p>
        </w:tc>
      </w:tr>
      <w:tr>
        <w:trPr>
          <w:trHeight w:val="20"/>
        </w:trPr>
        <w:tc>
          <w:tcPr>
            <w:gridSpan w:val="4"/>
            <w:tcBorders/>
            <w:tcW w:w="7361"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2164" w:type="dxa"/>
            <w:vAlign w:val="center"/>
            <w:vMerge w:val="restart"/>
            <w:textDirection w:val="lrTb"/>
            <w:noWrap/>
          </w:tcPr>
          <w:p>
            <w:pPr>
              <w:pBdr/>
              <w:spacing w:after="40" w:before="40" w:line="288" w:lineRule="auto"/>
              <w:ind/>
              <w:jc w:val="center"/>
              <w:rPr>
                <w:b/>
                <w:bCs/>
              </w:rPr>
            </w:pPr>
            <w:r>
              <w:rPr>
                <w:b/>
                <w:bCs/>
              </w:rPr>
              <w:t xml:space="preserve">6.563.000.000</w:t>
            </w:r>
            <w:r>
              <w:rPr>
                <w:b/>
                <w:bCs/>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năm trăm sáu mươi ba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016"/>
        <w:gridCol w:w="1254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4"/>
              <w:pBdr/>
              <w:tabs>
                <w:tab w:val="center" w:leader="none" w:pos="6673"/>
              </w:tabs>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275/2026/0574/VFI-BC.53.A</w:t>
            </w:r>
            <w:r>
              <w:rPr>
                <w:color w:val="000000" w:themeColor="text1"/>
                <w:sz w:val="24"/>
                <w:szCs w:val="24"/>
              </w:rPr>
              <w:tab/>
            </w:r>
            <w:r>
              <w:rPr>
                <w:color w:val="000000" w:themeColor="text1"/>
                <w:sz w:val="24"/>
                <w:szCs w:val="24"/>
              </w:rPr>
            </w: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14 tháng 4 năm 2026</w:t>
            </w:r>
            <w:r>
              <w:rPr>
                <w:color w:val="000000" w:themeColor="text1"/>
                <w:sz w:val="24"/>
                <w:szCs w:val="24"/>
                <w:lang w:val="vi-VN"/>
              </w:rPr>
            </w:r>
            <w:r>
              <w:rPr>
                <w:color w:val="000000" w:themeColor="text1"/>
                <w:sz w:val="24"/>
                <w:szCs w:val="24"/>
                <w:lang w:val="vi-VN"/>
              </w:rPr>
            </w:r>
            <w:r>
              <w:rPr>
                <w:color w:val="000000" w:themeColor="text1"/>
                <w:sz w:val="24"/>
                <w:szCs w:val="24"/>
              </w:rPr>
            </w:r>
          </w:p>
        </w:tc>
      </w:tr>
      <w:tr>
        <w:trPr>
          <w:gridBefore w:val="1"/>
          <w:trHeight w:val="84"/>
        </w:trPr>
        <w:tc>
          <w:tcPr>
            <w:shd w:val="clear" w:color="auto" w:fill="auto"/>
            <w:tcBorders/>
            <w:tcMar>
              <w:left w:w="108" w:type="dxa"/>
              <w:top w:w="0" w:type="dxa"/>
              <w:right w:w="108" w:type="dxa"/>
              <w:bottom w:w="0" w:type="dxa"/>
            </w:tcMar>
            <w:tcW w:w="1016"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546"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275/2026/0574/VFI-CT.53.A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BÁ THIỆN </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022079003271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Khu Yên Hợp, Phường Mạo Khê, tỉnh Quảng Ninh</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63, tờ bản đồ số: 288 có địa chỉ: Khu Yên Hợp, phường Mạo</w:t>
            </w:r>
            <w:r>
              <w:rPr>
                <w:bCs/>
                <w:color w:val="000000" w:themeColor="text1"/>
                <w:lang w:val="pt-BR"/>
              </w:rPr>
              <w:t xml:space="preserve"> Khê, tỉnh Quảng Ninh theo Giấy chứng nhận quyền sử dụng đất, quyền sở hữu tài sản gắn liền với đất số: AA 01458828, số vào sổ cấp GCN: CN 8716 do Chi nhánh Văn phòng Đăng ký đất đai số 1 cấp ngày 20/10/2025 cho Ông Nguyễn Bá Thiện và Đồng Thị Thu Phương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Khu Yên Hợp, phường Mạo Khê, tỉnh Quảng Ninh.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highlight w:val="yellow"/>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highlight w:val="yellow"/>
              </w:rPr>
              <w:t xml:space="preserve">21.057166666667, 106.61386111111</w:t>
            </w:r>
            <w:r>
              <w:rPr>
                <w:rFonts w:ascii="Times New Roman" w:hAnsi="Times New Roman" w:cs="Times New Roman"/>
                <w:color w:val="auto"/>
                <w:sz w:val="24"/>
                <w:szCs w:val="24"/>
                <w:highlight w:val="yellow"/>
              </w:rPr>
              <w:t xml:space="preserve">)</w:t>
            </w:r>
            <w:r>
              <w:rPr>
                <w:rFonts w:ascii="Times New Roman" w:hAnsi="Times New Roman" w:cs="Times New Roman"/>
                <w:color w:val="auto"/>
                <w:sz w:val="24"/>
                <w:szCs w:val="24"/>
                <w:highlight w:val="yellow"/>
              </w:rPr>
            </w:r>
            <w:r>
              <w:rPr>
                <w:rFonts w:ascii="Times New Roman" w:hAnsi="Times New Roman" w:cs="Times New Roman"/>
                <w:color w:val="auto"/>
                <w:sz w:val="24"/>
                <w:szCs w:val="24"/>
                <w:highlight w:val="yellow"/>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01458828, số vào sổ cấp GCN: CN 8716 do Chi nhánh Văn phòng Đăng ký đất đai số 1 cấp ngày 20/10/2025 cho Ông Nguyễn Bá Thiện và Đồng Thị Thu Phương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275/2026/0574/VFI-HĐTĐ.53.A ngày 13/4/2026 giữa Ông Nguyễn Bá Thiện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283" w:left="0"/>
        <w:jc w:val="both"/>
        <w:rPr>
          <w:rFonts w:ascii="Times New Roman" w:hAnsi="Times New Roman" w:cs="Times New Roman"/>
          <w:iCs/>
          <w:color w:val="000000" w:themeColor="text1"/>
          <w:sz w:val="24"/>
          <w:szCs w:val="24"/>
          <w:highlight w:val="none"/>
        </w:rPr>
      </w:pPr>
      <w:r>
        <w:rPr>
          <w:rFonts w:ascii="Times New Roman" w:hAnsi="Times New Roman" w:eastAsia="Times New Roman" w:cs="Times New Roman"/>
          <w:color w:val="000000" w:themeColor="text1"/>
          <w:sz w:val="24"/>
          <w:szCs w:val="24"/>
        </w:rPr>
        <w:t xml:space="preserve">Quảng Ninh, với tiềm năng phát triển vượt trội về kinh tế và du lịch, đang trở thành một trong những điểm đến hấp dẫn đối với các nhà đầu tư bất động sản. Trong những năm gần đây, thị trường đất nền Quảng Ninh ghi nhận nhiều chuyển biến tích cực với sự gia</w:t>
      </w:r>
      <w:r>
        <w:rPr>
          <w:rFonts w:ascii="Times New Roman" w:hAnsi="Times New Roman" w:eastAsia="Times New Roman" w:cs="Times New Roman"/>
          <w:color w:val="000000" w:themeColor="text1"/>
          <w:sz w:val="24"/>
          <w:szCs w:val="24"/>
        </w:rPr>
        <w:t xml:space="preserve"> tăng đáng kể về dự án hạ tầng lớn như cao tốc, sân bay và cảng biển. Bài viết sau sẽ cung cấp cái nhìn tổng quan về tình hình thị trường đất nền Quảng Ninh hiện nay, giúp nhà đầu tư nắm bắt được cơ hội và xu hướng mới nhất.</w:t>
      </w:r>
      <w:r>
        <w:rPr>
          <w:rFonts w:ascii="Times New Roman" w:hAnsi="Times New Roman" w:cs="Times New Roman"/>
          <w:iCs/>
          <w:color w:val="000000" w:themeColor="text1"/>
          <w:sz w:val="24"/>
          <w:szCs w:val="24"/>
          <w:highlight w:val="none"/>
        </w:rPr>
      </w:r>
      <w:r>
        <w:rPr>
          <w:rFonts w:ascii="Times New Roman" w:hAnsi="Times New Roman" w:cs="Times New Roman"/>
          <w:iCs/>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Nhìn chung, giá đất tại các khu vực trọng điểm của Quảng Ninh không có nhiều biến động lớn trong năm 2024 nhưng thanh khoản giảm mạnh so với các năm trước, phản ánh sự chuyển dịch trong chiến lược đầu tư.</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Loại hình đất nền được đánh giá cao tại Quảng Ninh là đất nền ở các khu vực phát triển du lịch và công nghiệp như Hạ Long, Cẩm Phả và Quảng Yên. Đây là những khu vực có hạ tầng giao thông phát triển, với sự xuất hiện của các dự án đô thị và nghỉ dưỡng lớn,</w:t>
      </w:r>
      <w:r>
        <w:rPr>
          <w:rFonts w:ascii="Times New Roman" w:hAnsi="Times New Roman" w:eastAsia="Times New Roman" w:cs="Times New Roman"/>
          <w:color w:val="000000" w:themeColor="text1"/>
          <w:sz w:val="24"/>
          <w:szCs w:val="24"/>
        </w:rPr>
        <w:t xml:space="preserve"> tạo điều kiện thuận lợi cho sự phát triển đất nền trong dài hạn. Tuy nhiên, với sự gia tăng của các dự án bất động sản mới, phân khúc này đang cạnh tranh gay gắt với các loại hình khác như chung cư và shophouse.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Mặc dù thị trường bất động sản tại các thành phố lớn như Hạ Long, Cẩm Phả, Móng Cái và Uông Bí đã có sự phát triển mạnh mẽ và tăng giá trong thời gian dài, nhưng sức hấp dẫn đối với các nhà đầu tư vẫn không hề giảm. Đầu năm 2023, khi nhiều khu vực khác tro</w:t>
      </w:r>
      <w:r>
        <w:rPr>
          <w:rFonts w:ascii="Times New Roman" w:hAnsi="Times New Roman" w:eastAsia="Times New Roman" w:cs="Times New Roman"/>
          <w:color w:val="000000" w:themeColor="text1"/>
          <w:sz w:val="24"/>
          <w:szCs w:val="24"/>
        </w:rPr>
        <w:t xml:space="preserve">ng cả nước gặp khó khăn về giao dịch, Quảng Ninh vẫn ghi nhận những điểm sáng tích cực trong thị trường bất động sản.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Một phần lý do là nhờ sự đầu tư mạnh vào hạ tầng và các dự án lớn trong tỉnh. Đặc biệt là kế hoạch vốn đầu tư công của Quảng Ninh cho năm 2024 sau khi bổ sung đã lên đến 14.606 tỷ đồng. Điều này hứa hẹn sẽ tiếp tục thúc đẩy sự phát triển của thị trường bất</w:t>
      </w:r>
      <w:r>
        <w:rPr>
          <w:rFonts w:ascii="Times New Roman" w:hAnsi="Times New Roman" w:eastAsia="Times New Roman" w:cs="Times New Roman"/>
          <w:color w:val="000000" w:themeColor="text1"/>
          <w:sz w:val="24"/>
          <w:szCs w:val="24"/>
        </w:rPr>
        <w:t xml:space="preserve"> động sản tại đây, tạo thêm động lực cho các nhà đầu tư tìm kiếm cơ hội.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Theo nhận định của các chuyên gia, xu hướng “săn” đất nền tại các khu vực ven đô thị lớn, nơi hạ tầng giao thông được cải thiện và tốc độ đô thị hóa cao, sẽ tiếp tục là tâm điểm của giới đầu tư. Với mức giá hiện tại còn tương đối hợp lý so với tiềm năng tă</w:t>
      </w:r>
      <w:r>
        <w:rPr>
          <w:rFonts w:ascii="Times New Roman" w:hAnsi="Times New Roman" w:eastAsia="Times New Roman" w:cs="Times New Roman"/>
          <w:color w:val="000000" w:themeColor="text1"/>
          <w:sz w:val="24"/>
          <w:szCs w:val="24"/>
        </w:rPr>
        <w:t xml:space="preserve">ng trưởng trong tương lai, Quảng Ninh có khả năng trở thành một trong những thị trường đất nền sôi động nhất miền Bắc.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Những năm tới, Quảng Ninh sẽ tiếp tục là thị trường tiềm năng cho các nhà đầu tư bất động sản, đặc biệt ở phân khúc đất nền. Tuy nhiên, để tối ưu hóa lợi nhuận, các nhà đầu tư nên cân nhắc kỹ về vị trí và tiềm năng phát triển của từng khu vực. Đặc biệt, sự</w:t>
      </w:r>
      <w:r>
        <w:rPr>
          <w:rFonts w:ascii="Times New Roman" w:hAnsi="Times New Roman" w:eastAsia="Times New Roman" w:cs="Times New Roman"/>
          <w:color w:val="000000" w:themeColor="text1"/>
          <w:sz w:val="24"/>
          <w:szCs w:val="24"/>
        </w:rPr>
        <w:t xml:space="preserve"> tham gia của các "ông lớn" trong lĩnh vực bất động sản sẽ giúp Quảng Ninh thu hút ngày càng nhiều nhà đầu tư, tạo ra một môi trường cạnh tranh lành mạnh và hứa hẹn đem lại lợi nhuận ổn định.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both"/>
        <w:rPr>
          <w:rFonts w:ascii="Times New Roman" w:hAnsi="Times New Roman" w:eastAsia="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thể thấy, thị trường đất nền Quảng Ninh vẫn còn nhiều tiềm năng phát triển. Tuy nhiên, để tận dụng được những cơ hội này, nhà đầu tư cần trang bị cho mình những kiến thức cần thiết và lựa chọn những dự án phù hợp. Với sự phát triển bền vững và sự quan t</w:t>
      </w:r>
      <w:r>
        <w:rPr>
          <w:rFonts w:ascii="Times New Roman" w:hAnsi="Times New Roman" w:eastAsia="Times New Roman" w:cs="Times New Roman"/>
          <w:color w:val="000000" w:themeColor="text1"/>
          <w:sz w:val="24"/>
          <w:szCs w:val="24"/>
        </w:rPr>
        <w:t xml:space="preserve">âm từ phía chính quyền, thị trường đất nền Quảng Ninh hứa hẹn sẽ tiếp tục là điểm đến lý tưởng cho các nhà đầu tư trong tương lai.</w:t>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283" w:left="0"/>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i/>
          <w:iCs/>
          <w:color w:val="000000" w:themeColor="text1"/>
          <w:highlight w:val="none"/>
          <w:u w:val="single"/>
          <w:shd w:val="clear" w:color="auto" w:fill="ffffff"/>
          <w:lang w:val="pt-BR" w:bidi="pt-BR"/>
        </w:rPr>
        <w:t xml:space="preserve">(Nguồn tham khảo: </w:t>
      </w:r>
      <w:r>
        <w:rPr>
          <w:i/>
          <w:iCs/>
          <w:color w:val="000000" w:themeColor="text1"/>
          <w:highlight w:val="none"/>
          <w:u w:val="single"/>
          <w:shd w:val="clear" w:color="auto" w:fill="ffffff"/>
          <w:lang w:val="pt-BR" w:bidi="pt-BR"/>
        </w:rPr>
        <w:t xml:space="preserve">https://onehousing.vn/blog/tong-quan-tinh-hinh-thi-truong-dat-nen-quang-ninh-cap-nhat-moi-nhat-n17t</w:t>
      </w:r>
      <w:r>
        <w:rPr>
          <w:i/>
          <w:iCs/>
          <w:color w:val="000000" w:themeColor="text1"/>
          <w:highlight w:val="none"/>
          <w:u w:val="single"/>
          <w:shd w:val="clear" w:color="auto" w:fill="ffffff"/>
          <w:lang w:val="pt-BR" w:bidi="pt-BR"/>
        </w:rPr>
        <w:t xml:space="preserve">)</w:t>
      </w:r>
      <w:r>
        <w:rPr>
          <w:rFonts w:ascii="Times New Roman" w:hAnsi="Times New Roman" w:cs="Times New Roman"/>
          <w:color w:val="000000" w:themeColor="text1"/>
          <w:sz w:val="24"/>
          <w:szCs w:val="24"/>
        </w:rPr>
      </w: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7"/>
        <w:gridCol w:w="2344"/>
        <w:gridCol w:w="2048"/>
        <w:gridCol w:w="2541"/>
        <w:gridCol w:w="2794"/>
      </w:tblGrid>
      <w:tr>
        <w:trPr>
          <w:trHeight w:val="147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jc w:val="both"/>
              <w:rPr/>
            </w:pPr>
            <w:r>
              <w:rPr>
                <w:rFonts w:ascii="Times New Roman" w:hAnsi="Times New Roman" w:eastAsia="Times New Roman" w:cs="Times New Roman"/>
                <w:b/>
                <w:color w:val="000000"/>
                <w:sz w:val="24"/>
              </w:rPr>
              <w:t xml:space="preserve">Quyền sử dụng đất tại thửa đất số: 63, tờ bản đồ số: 288 có địa chỉ: Khu Yên Hợp, phường Mạo Khê, tỉnh Quảng Ninh theo Giấy chứng nhận quyền sử dụng đất, quyền sở hữu tài sản gắn liền với đất số: AA 01458828, số vào sổ cấp GCN: CN 8716 do Chi nhánh Văn p</w:t>
            </w:r>
            <w:r>
              <w:rPr>
                <w:rFonts w:ascii="Times New Roman" w:hAnsi="Times New Roman" w:eastAsia="Times New Roman" w:cs="Times New Roman"/>
                <w:b/>
                <w:color w:val="000000"/>
                <w:sz w:val="24"/>
              </w:rPr>
              <w:t xml:space="preserve">hòng Đăng ký đất đai số 1 cấp ngày 20/10/2025 cho Ông Nguyễn Bá Thiện và Đồng Thị Thu Phương.</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b/>
                <w:color w:val="000000"/>
                <w:sz w:val="24"/>
              </w:rPr>
              <w:t xml:space="preserve">Thửa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63</w:t>
            </w:r>
            <w:r/>
          </w:p>
        </w:tc>
        <w:tc>
          <w:tcPr>
            <w:tcBorders>
              <w:bottom w:val="single" w:color="000000" w:sz="5" w:space="0"/>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794"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288</w:t>
            </w:r>
            <w:r/>
          </w:p>
        </w:tc>
      </w:tr>
      <w:tr>
        <w:trPr>
          <w:trHeight w:val="28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3"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Khu Yên Hợp, phường Mạo Khê, tỉnh Quảng Ninh.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 2.187,5 </w:t>
            </w:r>
            <w:r/>
          </w:p>
        </w:tc>
        <w:tc>
          <w:tcPr>
            <w:tcBorders>
              <w:bottom w:val="single" w:color="000000" w:sz="5" w:space="0"/>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794"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Sử dụng chung của vợ và chồng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794"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Lâu dài </w:t>
            </w:r>
            <w:r/>
          </w:p>
        </w:tc>
      </w:tr>
      <w:tr>
        <w:trPr>
          <w:trHeight w:val="30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b/>
                <w:color w:val="000000"/>
                <w:sz w:val="24"/>
              </w:rPr>
              <w:t xml:space="preserve">Về đất: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b/>
                <w:color w:val="000000"/>
                <w:sz w:val="24"/>
              </w:rPr>
              <w:t xml:space="preserve">Vị trí; Giao thông:</w:t>
            </w:r>
            <w:r/>
          </w:p>
        </w:tc>
      </w:tr>
      <w:tr>
        <w:trPr>
          <w:trHeight w:val="37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7383"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Khu Yên Hợp, phường Mạo Khê, tỉnh Quảng Ninh.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Đường bê tông </w:t>
            </w:r>
            <w:r/>
          </w:p>
        </w:tc>
        <w:tc>
          <w:tcPr>
            <w:tcBorders>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794" w:type="dxa"/>
            <w:vAlign w:val="center"/>
            <w:textDirection w:val="lrTb"/>
            <w:noWrap/>
          </w:tcPr>
          <w:p>
            <w:pPr>
              <w:pBdr/>
              <w:spacing w:after="0" w:before="0" w:line="240" w:lineRule="auto"/>
              <w:ind w:right="134" w:firstLine="0" w:left="142"/>
              <w:rPr/>
            </w:pPr>
            <w:r>
              <w:rPr>
                <w:rFonts w:ascii="Times New Roman" w:hAnsi="Times New Roman" w:eastAsia="Times New Roman" w:cs="Times New Roman"/>
                <w:color w:val="000000"/>
                <w:sz w:val="24"/>
              </w:rPr>
              <w:t xml:space="preserve">01 mặt tiền</w:t>
            </w:r>
            <w:r/>
          </w:p>
        </w:tc>
      </w:tr>
      <w:tr>
        <w:trPr>
          <w:trHeight w:val="112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5</w:t>
            </w:r>
            <w:r/>
          </w:p>
        </w:tc>
        <w:tc>
          <w:tcPr>
            <w:tcBorders>
              <w:top w:val="single" w:color="000000" w:sz="5" w:space="0"/>
              <w:bottom w:val="single" w:color="000000" w:sz="5" w:space="0"/>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794"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5</w:t>
            </w:r>
            <w:r/>
          </w:p>
        </w:tc>
      </w:tr>
      <w:tr>
        <w:trPr>
          <w:trHeight w:val="42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Vị trí:</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3"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Tài sản nằm tiếp giáp đường bê tông rộng khoảng 5m. </w:t>
            </w:r>
            <w:r/>
          </w:p>
        </w:tc>
      </w:tr>
      <w:tr>
        <w:trPr>
          <w:trHeight w:val="66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Giao thông: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3" w:type="dxa"/>
            <w:vAlign w:val="center"/>
            <w:textDirection w:val="lrTb"/>
            <w:noWrap w:val="false"/>
          </w:tcPr>
          <w:p>
            <w:pPr>
              <w:pBdr/>
              <w:spacing w:after="0" w:before="0" w:line="240" w:lineRule="auto"/>
              <w:ind w:right="134" w:firstLine="0" w:left="142"/>
              <w:jc w:val="both"/>
              <w:rPr/>
            </w:pPr>
            <w:r>
              <w:rPr>
                <w:rFonts w:ascii="Times New Roman" w:hAnsi="Times New Roman" w:eastAsia="Times New Roman" w:cs="Times New Roman"/>
                <w:color w:val="000000"/>
                <w:sz w:val="24"/>
              </w:rPr>
              <w:t xml:space="preserve">Tài sản nằm tiếp giáp đương nội xóm, cách chợ Yên Hợp khoảng 350m, cách đường QL18 khoảng 700m.</w:t>
            </w:r>
            <w:r/>
          </w:p>
        </w:tc>
      </w:tr>
      <w:tr>
        <w:trPr>
          <w:trHeight w:val="603"/>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3"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 Hướng Tây: Tiếp giáp đường bê tông rộng khoảng 5m;              </w:t>
              <w:br/>
              <w:t xml:space="preserve">+ Các hướng khác: Tiếp giáp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rPr>
                <w:highlight w:val="yellow"/>
              </w:rPr>
            </w:pPr>
            <w:r>
              <w:rPr>
                <w:rFonts w:ascii="Times New Roman" w:hAnsi="Times New Roman" w:eastAsia="Times New Roman" w:cs="Times New Roman"/>
                <w:color w:val="000000"/>
                <w:sz w:val="24"/>
              </w:rPr>
              <w:t xml:space="preserve">Vị trí trên </w:t>
            </w:r>
            <w:r>
              <w:rPr>
                <w:rFonts w:ascii="Times New Roman" w:hAnsi="Times New Roman" w:eastAsia="Times New Roman" w:cs="Times New Roman"/>
                <w:color w:val="000000"/>
                <w:sz w:val="24"/>
                <w:highlight w:val="yellow"/>
              </w:rPr>
              <w:t xml:space="preserve">bản đồ vệ tinh: (21.057166666667, 106.61386111</w:t>
            </w:r>
            <w:r>
              <w:rPr>
                <w:rFonts w:ascii="Times New Roman" w:hAnsi="Times New Roman" w:eastAsia="Times New Roman" w:cs="Times New Roman"/>
                <w:color w:val="000000"/>
                <w:sz w:val="24"/>
              </w:rPr>
              <w:t xml:space="preserve">11</w:t>
            </w:r>
            <w:r>
              <w:rPr>
                <w:rFonts w:ascii="Times New Roman" w:hAnsi="Times New Roman" w:eastAsia="Times New Roman" w:cs="Times New Roman"/>
                <w:color w:val="000000"/>
                <w:sz w:val="24"/>
                <w:highlight w:val="yellow"/>
              </w:rPr>
              <w:t xml:space="preserve">1) sai vị trí</w:t>
            </w:r>
            <w:r>
              <w:rPr>
                <w:highlight w:val="yellow"/>
              </w:rPr>
            </w:r>
          </w:p>
        </w:tc>
      </w:tr>
      <w:tr>
        <w:trPr>
          <w:trHeight w:val="2688"/>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 </w:t>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b/>
                <w:color w:val="000000"/>
                <w:sz w:val="24"/>
              </w:rPr>
              <w:t xml:space="preserve">Diện tích; Kích thước; Hình dáng</w:t>
            </w:r>
            <w:r/>
          </w:p>
        </w:tc>
      </w:tr>
      <w:tr>
        <w:trPr>
          <w:trHeight w:val="780"/>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 2.187,5 </w:t>
            </w:r>
            <w:r/>
          </w:p>
        </w:tc>
        <w:tc>
          <w:tcPr>
            <w:tcBorders>
              <w:bottom w:val="single" w:color="000000" w:sz="5" w:space="0"/>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794"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KT mặt tiền (m):</w:t>
            </w:r>
            <w:r/>
          </w:p>
        </w:tc>
        <w:tc>
          <w:tcPr>
            <w:tcBorders>
              <w:bottom w:val="single" w:color="000000" w:sz="5" w:space="0"/>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5,02</w:t>
            </w:r>
            <w:r/>
          </w:p>
        </w:tc>
        <w:tc>
          <w:tcPr>
            <w:tcBorders>
              <w:bottom w:val="single" w:color="000000" w:sz="5" w:space="0"/>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Chiều sâu (m):</w:t>
            </w:r>
            <w:r/>
          </w:p>
        </w:tc>
        <w:tc>
          <w:tcPr>
            <w:tcBorders>
              <w:bottom w:val="single" w:color="000000" w:sz="5" w:space="0"/>
              <w:right w:val="single" w:color="000000" w:sz="5" w:space="0"/>
            </w:tcBorders>
            <w:tcMar>
              <w:left w:w="0" w:type="dxa"/>
              <w:top w:w="0" w:type="dxa"/>
              <w:right w:w="0" w:type="dxa"/>
              <w:bottom w:w="0" w:type="dxa"/>
            </w:tcMar>
            <w:tcW w:w="2794"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13~53,71</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KT mặt hậu (m):</w:t>
            </w:r>
            <w:r/>
          </w:p>
        </w:tc>
        <w:tc>
          <w:tcPr>
            <w:tcBorders>
              <w:bottom w:val="single" w:color="000000" w:sz="5" w:space="0"/>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66,82</w:t>
            </w:r>
            <w:r/>
          </w:p>
        </w:tc>
        <w:tc>
          <w:tcPr>
            <w:tcBorders>
              <w:bottom w:val="single" w:color="000000" w:sz="5" w:space="0"/>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794"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Hình đa giác</w:t>
            </w:r>
            <w:r/>
          </w:p>
        </w:tc>
      </w:tr>
      <w:tr>
        <w:trPr>
          <w:trHeight w:val="49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Hướng mặt tiền chính: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7383"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Tây</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35"/>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3"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Cấp điện, cấp nước sạch, mạng internet,…hoàn thiện</w:t>
            </w:r>
            <w:r/>
          </w:p>
        </w:tc>
      </w:tr>
      <w:tr>
        <w:trPr>
          <w:trHeight w:val="55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7383"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Môi trường trong lành, an ninh đảm bảo, dân trí tốt</w:t>
            </w:r>
            <w:r/>
          </w:p>
        </w:tc>
      </w:tr>
      <w:tr>
        <w:trPr>
          <w:trHeight w:val="498"/>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rPr>
                <w:highlight w:val="yellow"/>
              </w:rPr>
            </w:pPr>
            <w:r>
              <w:rPr>
                <w:rFonts w:ascii="Times New Roman" w:hAnsi="Times New Roman" w:eastAsia="Times New Roman" w:cs="Times New Roman"/>
                <w:color w:val="000000"/>
                <w:sz w:val="24"/>
                <w:highlight w:val="yellow"/>
              </w:rPr>
              <w:t xml:space="preserve">Đông đúc</w:t>
            </w:r>
            <w:r>
              <w:rPr>
                <w:highlight w:val="yellow"/>
              </w:rPr>
            </w:r>
          </w:p>
        </w:tc>
        <w:tc>
          <w:tcPr>
            <w:tcBorders>
              <w:bottom w:val="single" w:color="000000" w:sz="5" w:space="0"/>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794"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Ổn định</w:t>
            </w:r>
            <w:r/>
          </w:p>
        </w:tc>
      </w:tr>
      <w:tr>
        <w:trPr>
          <w:trHeight w:val="444"/>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44"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48"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Thích hợp để ở</w:t>
            </w:r>
            <w:r/>
          </w:p>
        </w:tc>
        <w:tc>
          <w:tcPr>
            <w:tcBorders>
              <w:bottom w:val="single" w:color="000000" w:sz="5" w:space="0"/>
              <w:right w:val="single" w:color="000000" w:sz="5" w:space="0"/>
            </w:tcBorders>
            <w:tcMar>
              <w:left w:w="0" w:type="dxa"/>
              <w:top w:w="0" w:type="dxa"/>
              <w:right w:w="0" w:type="dxa"/>
              <w:bottom w:w="0" w:type="dxa"/>
            </w:tcMar>
            <w:tcW w:w="2541"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794" w:type="dxa"/>
            <w:vAlign w:val="center"/>
            <w:textDirection w:val="lrTb"/>
            <w:noWrap w:val="false"/>
          </w:tcPr>
          <w:p>
            <w:pPr>
              <w:pBdr/>
              <w:spacing w:after="0" w:before="0" w:line="240" w:lineRule="auto"/>
              <w:ind w:right="134" w:firstLine="0" w:left="142"/>
              <w:jc w:val="center"/>
              <w:rPr/>
            </w:pPr>
            <w:r>
              <w:rPr>
                <w:rFonts w:ascii="Times New Roman" w:hAnsi="Times New Roman" w:eastAsia="Times New Roman" w:cs="Times New Roman"/>
                <w:color w:val="000000"/>
                <w:sz w:val="24"/>
              </w:rPr>
              <w:t xml:space="preserve">Tốt </w:t>
            </w:r>
            <w:r/>
          </w:p>
        </w:tc>
      </w:tr>
      <w:tr>
        <w:trPr>
          <w:trHeight w:val="432"/>
        </w:trPr>
        <w:tc>
          <w:tcPr>
            <w:tcBorders>
              <w:left w:val="single" w:color="000000" w:sz="5" w:space="0"/>
              <w:bottom w:val="single" w:color="000000" w:sz="5" w:space="0"/>
              <w:right w:val="single" w:color="000000" w:sz="5" w:space="0"/>
            </w:tcBorders>
            <w:tcMar>
              <w:left w:w="0" w:type="dxa"/>
              <w:top w:w="0" w:type="dxa"/>
              <w:right w:w="0" w:type="dxa"/>
              <w:bottom w:w="0" w:type="dxa"/>
            </w:tcMar>
            <w:tcW w:w="65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727" w:type="dxa"/>
            <w:vAlign w:val="center"/>
            <w:textDirection w:val="lrTb"/>
            <w:noWrap w:val="false"/>
          </w:tcPr>
          <w:p>
            <w:pPr>
              <w:pBdr/>
              <w:spacing w:after="0" w:before="0" w:line="240" w:lineRule="auto"/>
              <w:ind w:right="134" w:firstLine="0" w:left="142"/>
              <w:rPr/>
            </w:pPr>
            <w:r>
              <w:rPr>
                <w:rFonts w:ascii="Times New Roman" w:hAnsi="Times New Roman" w:eastAsia="Times New Roman" w:cs="Times New Roman"/>
                <w:b/>
                <w:color w:val="000000"/>
                <w:sz w:val="24"/>
              </w:rPr>
              <w:t xml:space="preserve"> Tài sản gắn liền với đất: Đất trống.</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42"/>
        <w:gridCol w:w="1895"/>
        <w:gridCol w:w="1772"/>
        <w:gridCol w:w="1772"/>
        <w:gridCol w:w="1772"/>
        <w:gridCol w:w="1772"/>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4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895" w:type="dxa"/>
            <w:vAlign w:val="top"/>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895" w:type="dxa"/>
            <w:vAlign w:val="top"/>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992"/>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Mạo Khê, Huyện Đông Triều, Tỉnh Quảng Ninh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Yên Thọ, Huyện Đông Triều, Tỉnh Quảng Ninh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Yên Thọ, Huyện Đông Triều, Tỉnh Quảng Ninh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Thị trấn Đông Triều, Huyện Đông Triều, Tỉnh Quảng Ninh</w:t>
            </w:r>
            <w:r/>
          </w:p>
        </w:tc>
      </w:tr>
      <w:tr>
        <w:trPr>
          <w:trHeight w:val="393"/>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rPr/>
            </w:pPr>
            <w:r>
              <w:rPr>
                <w:rFonts w:ascii="Arial" w:hAnsi="Arial" w:eastAsia="Arial" w:cs="Arial"/>
                <w:color w:val="0000ff"/>
                <w:sz w:val="22"/>
                <w:u w:val="single"/>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Lên hệ trực tiếp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630"/>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Duy Anh: 0394.950.328</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Mạnh: 0393.886.195</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Mạnh: 0393.886.195</w:t>
            </w:r>
            <w:r/>
          </w:p>
        </w:tc>
      </w:tr>
      <w:tr>
        <w:trPr>
          <w:trHeight w:val="337"/>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413"/>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924"/>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sz w:val="22"/>
                <w:szCs w:val="22"/>
              </w:rPr>
            </w:pPr>
            <w:r>
              <w:rPr>
                <w:rFonts w:ascii="Times New Roman" w:hAnsi="Times New Roman" w:eastAsia="Times New Roman" w:cs="Times New Roman"/>
                <w:color w:val="000000"/>
                <w:sz w:val="22"/>
                <w:szCs w:val="22"/>
              </w:rPr>
              <w:t xml:space="preserve">Đất ODT: 2.187,5m2</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ODT: 82,8m²; Đất CLN: 21,3m²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ODT: 90,5m²</w:t>
            </w:r>
            <w:r>
              <w:rPr>
                <w:sz w:val="22"/>
                <w:szCs w:val="22"/>
              </w:rPr>
            </w:r>
            <w:r>
              <w:rPr>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Đất ODT: 440,2m²;  Đất CLN: 73m²</w:t>
            </w:r>
            <w:r>
              <w:rPr>
                <w:sz w:val="22"/>
                <w:szCs w:val="22"/>
              </w:rPr>
            </w:r>
            <w:r>
              <w:rPr>
                <w:sz w:val="22"/>
                <w:szCs w:val="22"/>
              </w:rPr>
            </w:r>
          </w:p>
        </w:tc>
      </w:tr>
      <w:tr>
        <w:trPr>
          <w:trHeight w:val="58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jc w:val="left"/>
              <w:rPr/>
            </w:pPr>
            <w:r>
              <w:rPr>
                <w:rFonts w:ascii="Times New Roman" w:hAnsi="Times New Roman" w:eastAsia="Times New Roman" w:cs="Times New Roman"/>
                <w:color w:val="000000"/>
                <w:sz w:val="22"/>
              </w:rPr>
              <w:t xml:space="preserve">Thời hạn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ODT: Lâu dài; Đất CLN: Có thời hạn</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ODT: Lâu dài; Đất CLN: Có thời hạn</w:t>
            </w:r>
            <w:r/>
            <w:r/>
          </w:p>
        </w:tc>
      </w:tr>
      <w:tr>
        <w:trPr>
          <w:trHeight w:val="1719"/>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Phường Mạo Khê, tỉnh Quảng Ninh, cách chợ Yên Hợp khoảng 650m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Yên Thọ, Tỉnh Quảng Ninh,  cách QL18 khoảng 850m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Yên Thọ, Tỉnh Quảng Ninh. Tài sản nằm tiếp giáp đường nội xóm, cách QL18 khoảng 1000m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tại: Xã Yên Thọ, Tỉnh Quảng Ninh. Tài sản nằm tiếp giáp đường nội xóm,cách QL18 khoảng 600m</w:t>
            </w:r>
            <w:r/>
          </w:p>
        </w:tc>
      </w:tr>
      <w:tr>
        <w:trPr>
          <w:trHeight w:val="1121"/>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đường bê tông rộng khoảng 5m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đường bê tông rộng khoảng 3,9m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đường bê tông rộng khoảng 6,2m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mặt đường bê tông rộng khoảng 3,46m </w:t>
            </w:r>
            <w:r/>
          </w:p>
        </w:tc>
      </w:tr>
      <w:tr>
        <w:trPr>
          <w:trHeight w:val="413"/>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ở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2.187,5</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104,1</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90,5</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513,2</w:t>
            </w:r>
            <w:r/>
          </w:p>
        </w:tc>
      </w:tr>
      <w:tr>
        <w:trPr>
          <w:trHeight w:val="413"/>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10,52</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w:t>
            </w:r>
            <w:r/>
          </w:p>
        </w:tc>
      </w:tr>
      <w:tr>
        <w:trPr>
          <w:trHeight w:val="408"/>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Chiều sâu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53,71</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9,9</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16,16</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12,83</w:t>
            </w:r>
            <w:r/>
          </w:p>
        </w:tc>
      </w:tr>
      <w:tr>
        <w:trPr>
          <w:trHeight w:val="537"/>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w:t>
            </w:r>
            <w:r/>
            <w:r/>
          </w:p>
        </w:tc>
      </w:tr>
      <w:tr>
        <w:trPr>
          <w:trHeight w:val="522"/>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đa giác khác</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Hình chữ nhật </w:t>
            </w:r>
            <w:r/>
          </w:p>
        </w:tc>
      </w:tr>
      <w:tr>
        <w:trPr>
          <w:trHeight w:val="732"/>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 </w:t>
            </w:r>
            <w:r/>
          </w:p>
        </w:tc>
      </w:tr>
      <w:tr>
        <w:trPr>
          <w:trHeight w:val="290"/>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Chiều sâu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58,6</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36,79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93,39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4,10 </w:t>
            </w:r>
            <w:r/>
          </w:p>
        </w:tc>
      </w:tr>
      <w:tr>
        <w:trPr>
          <w:trHeight w:val="69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Bất lợi thương mại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vào đâm thẳng vào đất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bất lợi thương mại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bất lợi thương mại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bất lợi thương mại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Yếu tố khác</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đường ray xe lửa phía sau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yếu tố bất lợi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yếu tố bất lợi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có yếu tố bất lợi </w:t>
            </w:r>
            <w:r/>
          </w:p>
        </w:tc>
      </w:tr>
      <w:tr>
        <w:trPr>
          <w:trHeight w:val="228"/>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Đất trống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750.000.000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660.000.000</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4.200.000.000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667.500.000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587.400.000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3.738.000.000</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w:t>
            </w:r>
            <w:r/>
          </w:p>
        </w:tc>
      </w:tr>
      <w:tr>
        <w:trPr>
          <w:trHeight w:val="525"/>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ở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b/>
                <w:bCs/>
              </w:rPr>
            </w:pPr>
            <w:r>
              <w:rPr>
                <w:rFonts w:ascii="Times New Roman" w:hAnsi="Times New Roman" w:eastAsia="Times New Roman" w:cs="Times New Roman"/>
                <w:b/>
                <w:bCs/>
                <w:color w:val="000000"/>
                <w:sz w:val="22"/>
              </w:rPr>
              <w:t xml:space="preserve">   667.500.000   </w:t>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b/>
                <w:bCs/>
              </w:rPr>
            </w:pPr>
            <w:r>
              <w:rPr>
                <w:rFonts w:ascii="Times New Roman" w:hAnsi="Times New Roman" w:eastAsia="Times New Roman" w:cs="Times New Roman"/>
                <w:b/>
                <w:bCs/>
                <w:color w:val="000000"/>
                <w:sz w:val="22"/>
              </w:rPr>
              <w:t xml:space="preserve">    587.400.000   </w:t>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right"/>
              <w:rPr>
                <w:b/>
                <w:bCs/>
              </w:rPr>
            </w:pPr>
            <w:r>
              <w:rPr>
                <w:rFonts w:ascii="Times New Roman" w:hAnsi="Times New Roman" w:eastAsia="Times New Roman" w:cs="Times New Roman"/>
                <w:b/>
                <w:bCs/>
                <w:color w:val="000000"/>
                <w:sz w:val="22"/>
              </w:rPr>
              <w:t xml:space="preserve">3.738.000.000   </w:t>
            </w:r>
            <w:r>
              <w:rPr>
                <w:b/>
                <w:bCs/>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2"/>
              </w:rPr>
              <w:t xml:space="preserve">        6.412.104   </w:t>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2"/>
              </w:rPr>
              <w:t xml:space="preserve">          6.490.608   </w:t>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2"/>
              </w:rPr>
              <w:t xml:space="preserve">       7.283.710   </w:t>
            </w:r>
            <w:r>
              <w:rPr>
                <w:b/>
                <w:bCs/>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454"/>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895" w:type="dxa"/>
            <w:vAlign w:val="center"/>
            <w:vMerge w:val="restart"/>
            <w:textDirection w:val="lrTb"/>
            <w:noWrap w:val="false"/>
          </w:tcPr>
          <w:p>
            <w:pPr>
              <w:pBdr/>
              <w:spacing w:after="0" w:before="0" w:line="240" w:lineRule="auto"/>
              <w:ind w:right="0" w:firstLine="0" w:left="142"/>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Mục đích sử dụng đất</w:t>
            </w:r>
            <w:r>
              <w:rPr>
                <w:rFonts w:ascii="Times New Roman" w:hAnsi="Times New Roman" w:eastAsia="Times New Roman" w:cs="Times New Roman"/>
                <w:color w:val="000000"/>
                <w:sz w:val="22"/>
              </w:rPr>
            </w:r>
          </w:p>
        </w:tc>
        <w:tc>
          <w:tcPr>
            <w:tcBorders>
              <w:bottom w:val="single" w:color="000000" w:sz="5" w:space="0"/>
              <w:right w:val="single" w:color="000000" w:sz="5" w:space="0"/>
            </w:tcBorders>
            <w:tcMar>
              <w:left w:w="0" w:type="dxa"/>
              <w:top w:w="0" w:type="dxa"/>
              <w:right w:w="0" w:type="dxa"/>
              <w:bottom w:w="0" w:type="dxa"/>
            </w:tcMar>
            <w:tcW w:w="1772" w:type="dxa"/>
            <w:vAlign w:val="center"/>
            <w:vMerge w:val="restart"/>
            <w:textDirection w:val="lrTb"/>
            <w:noWrap/>
          </w:tcPr>
          <w:p>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r>
              <w:rPr>
                <w:rFonts w:ascii="Times New Roman" w:hAnsi="Times New Roman" w:eastAsia="Times New Roman" w:cs="Times New Roman"/>
                <w:color w:val="000000"/>
                <w:sz w:val="22"/>
              </w:rPr>
              <w:t xml:space="preserve">Tương đồng</w:t>
            </w:r>
            <w:r/>
            <w:r/>
            <w:r>
              <w:rPr>
                <w:rFonts w:ascii="Times New Roman" w:hAnsi="Times New Roman" w:eastAsia="Times New Roman" w:cs="Times New Roman"/>
                <w:color w:val="000000"/>
                <w:sz w:val="22"/>
              </w:rPr>
            </w:r>
            <w:r/>
            <w:r/>
            <w:r/>
          </w:p>
        </w:tc>
        <w:tc>
          <w:tcPr>
            <w:tcBorders>
              <w:bottom w:val="single" w:color="000000" w:sz="5" w:space="0"/>
              <w:right w:val="single" w:color="000000" w:sz="5" w:space="0"/>
            </w:tcBorders>
            <w:tcMar>
              <w:left w:w="0" w:type="dxa"/>
              <w:top w:w="0" w:type="dxa"/>
              <w:right w:w="0" w:type="dxa"/>
              <w:bottom w:w="0" w:type="dxa"/>
            </w:tcMar>
            <w:tcW w:w="177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433"/>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Chiều sâu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Bất lợi thương mại </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420"/>
        </w:trPr>
        <w:tc>
          <w:tcPr>
            <w:tcBorders>
              <w:left w:val="single" w:color="000000" w:sz="5" w:space="0"/>
              <w:bottom w:val="single" w:color="000000" w:sz="5" w:space="0"/>
              <w:right w:val="single" w:color="000000" w:sz="5" w:space="0"/>
            </w:tcBorders>
            <w:tcMar>
              <w:left w:w="0" w:type="dxa"/>
              <w:top w:w="0" w:type="dxa"/>
              <w:right w:w="0" w:type="dxa"/>
              <w:bottom w:w="0" w:type="dxa"/>
            </w:tcMar>
            <w:tcW w:w="54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1895"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Yếu tố khác</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88"/>
        <w:gridCol w:w="1843"/>
        <w:gridCol w:w="992"/>
        <w:gridCol w:w="1559"/>
        <w:gridCol w:w="1559"/>
        <w:gridCol w:w="1417"/>
        <w:gridCol w:w="1559"/>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      667.500.000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    587.400.000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color w:val="000000" w:themeColor="text1"/>
                <w:sz w:val="22"/>
              </w:rPr>
              <w:t xml:space="preserve">    3.738.000.000 </w:t>
            </w:r>
            <w:r>
              <w:rPr>
                <w:color w:val="000000" w:themeColor="text1"/>
              </w:rPr>
            </w:r>
            <w:r>
              <w:rPr>
                <w:color w:val="000000" w:themeColor="text1"/>
              </w:rPr>
            </w:r>
          </w:p>
        </w:tc>
      </w:tr>
      <w:tr>
        <w:trPr>
          <w:trHeight w:val="39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6.412.104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6.490.608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7.283.710 </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93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6.412.104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6.490.608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7.283.710 </w:t>
            </w:r>
            <w:r>
              <w:rPr>
                <w:color w:val="000000" w:themeColor="text1"/>
              </w:rPr>
            </w:r>
            <w:r>
              <w:rPr>
                <w:color w:val="000000" w:themeColor="text1"/>
              </w:rPr>
            </w:r>
          </w:p>
        </w:tc>
      </w:tr>
      <w:tr>
        <w:trPr>
          <w:trHeight w:val="54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b/>
                <w:bCs/>
                <w:sz w:val="22"/>
                <w:szCs w:val="22"/>
              </w:rPr>
            </w:pPr>
            <w:r>
              <w:rPr>
                <w:rFonts w:ascii="Times New Roman" w:hAnsi="Times New Roman" w:eastAsia="Times New Roman" w:cs="Times New Roman"/>
                <w:b/>
                <w:bCs/>
                <w:color w:val="000000"/>
                <w:sz w:val="22"/>
                <w:szCs w:val="22"/>
              </w:rPr>
              <w:t xml:space="preserve">Đất ODT: 2.187,5m</w:t>
            </w:r>
            <w:r>
              <w:rPr>
                <w:rFonts w:ascii="Times New Roman" w:hAnsi="Times New Roman" w:eastAsia="Times New Roman" w:cs="Times New Roman"/>
                <w:b/>
                <w:bCs/>
                <w:color w:val="000000"/>
                <w:sz w:val="22"/>
                <w:szCs w:val="22"/>
                <w:vertAlign w:val="superscript"/>
              </w:rPr>
              <w:t xml:space="preserve">2</w:t>
            </w:r>
            <w:r>
              <w:rPr>
                <w:b/>
                <w:bCs/>
                <w:sz w:val="22"/>
                <w:szCs w:val="22"/>
                <w:vertAlign w:val="superscript"/>
              </w:rPr>
            </w:r>
            <w:r>
              <w:rPr>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Đất ODT: 82,8m²; Đất CLN: 21,3m²</w:t>
            </w:r>
            <w:r>
              <w:rPr>
                <w:b/>
                <w:bCs/>
                <w:sz w:val="22"/>
                <w:szCs w:val="22"/>
              </w:rPr>
            </w:r>
            <w:r>
              <w:rPr>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Đất ODT: 90,5m²</w:t>
            </w:r>
            <w:r>
              <w:rPr>
                <w:b/>
                <w:bCs/>
                <w:sz w:val="22"/>
                <w:szCs w:val="22"/>
              </w:rPr>
            </w:r>
            <w:r>
              <w:rPr>
                <w:b/>
                <w:bCs/>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bCs/>
                <w:sz w:val="22"/>
                <w:szCs w:val="22"/>
              </w:rPr>
            </w:pPr>
            <w:r>
              <w:rPr>
                <w:rFonts w:ascii="Times New Roman" w:hAnsi="Times New Roman" w:eastAsia="Times New Roman" w:cs="Times New Roman"/>
                <w:b/>
                <w:bCs/>
                <w:color w:val="000000"/>
                <w:sz w:val="22"/>
                <w:szCs w:val="22"/>
              </w:rPr>
              <w:t xml:space="preserve">Đất ODT: 440,2m²;  Đất CLN: 73m²</w:t>
            </w:r>
            <w:r>
              <w:rPr>
                <w:b/>
                <w:bCs/>
                <w:sz w:val="22"/>
                <w:szCs w:val="22"/>
              </w:rPr>
            </w:r>
            <w:r>
              <w:rPr>
                <w:b/>
                <w:bCs/>
                <w:sz w:val="22"/>
                <w:szCs w:val="22"/>
              </w:rP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56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320.605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364.186 </w:t>
            </w:r>
            <w:r>
              <w:rPr>
                <w:color w:val="000000" w:themeColor="text1"/>
              </w:rPr>
            </w:r>
            <w:r>
              <w:rPr>
                <w:color w:val="000000" w:themeColor="text1"/>
              </w:rPr>
            </w:r>
          </w:p>
        </w:tc>
      </w:tr>
      <w:tr>
        <w:trPr>
          <w:trHeight w:val="31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6.732.709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6.490.608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7.647.896 </w:t>
            </w:r>
            <w:r>
              <w:rPr>
                <w:color w:val="000000" w:themeColor="text1"/>
              </w:rPr>
            </w:r>
            <w:r>
              <w:rPr>
                <w:color w:val="000000" w:themeColor="text1"/>
              </w:rPr>
            </w:r>
          </w:p>
        </w:tc>
      </w:tr>
      <w:tr>
        <w:trPr>
          <w:trHeight w:val="165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Phường Mạo Khê, tỉnh Quảng Ninh, cách chợ Yên Hợp khoảng 650m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Yên Thọ, Tỉnh Quảng Ninh,  cách QL18 khoảng 850m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Yên Thọ, Tỉnh Quảng Ninh. Tài sản nằm tiếp giáp đường nội xóm, cách QL18 khoảng 1000m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tại: Xã Yên Thọ, Tỉnh Quảng Ninh. Tài sản nằm tiếp giáp đường nội xóm,cách QL18 khoảng 600m</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6.732.709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6.490.608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7.647.896 </w:t>
            </w:r>
            <w:r>
              <w:rPr>
                <w:color w:val="000000" w:themeColor="text1"/>
              </w:rPr>
            </w:r>
            <w:r>
              <w:rPr>
                <w:color w:val="000000" w:themeColor="text1"/>
              </w:rPr>
            </w:r>
          </w:p>
        </w:tc>
      </w:tr>
      <w:tr>
        <w:trPr>
          <w:trHeight w:val="125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mặt đường bê tông rộng khoảng 5m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mặt đường bê tông rộng khoảng 3,9m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mặt đường bê tông rộng khoảng 6,2m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mặt đường bê tông rộng khoảng 3,46m </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336.635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-324.530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382.395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7.069.344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6.166.077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8.030.290 </w:t>
            </w:r>
            <w:r>
              <w:rPr>
                <w:color w:val="000000" w:themeColor="text1"/>
              </w:rPr>
            </w:r>
            <w:r>
              <w:rPr>
                <w:color w:val="000000" w:themeColor="text1"/>
              </w:rPr>
            </w:r>
          </w:p>
        </w:tc>
      </w:tr>
      <w:tr>
        <w:trPr>
          <w:trHeight w:val="425"/>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Tổng diện tích đất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b/>
                <w:bCs/>
                <w:color w:val="000000" w:themeColor="text1"/>
              </w:rPr>
            </w:pPr>
            <w:r>
              <w:rPr>
                <w:rFonts w:ascii="Times New Roman" w:hAnsi="Times New Roman" w:eastAsia="Times New Roman" w:cs="Times New Roman"/>
                <w:b/>
                <w:bCs/>
                <w:color w:val="000000" w:themeColor="text1"/>
                <w:sz w:val="22"/>
              </w:rPr>
              <w:t xml:space="preserve">m</w:t>
            </w:r>
            <w:r>
              <w:rPr>
                <w:rFonts w:ascii="Times New Roman" w:hAnsi="Times New Roman" w:eastAsia="Times New Roman" w:cs="Times New Roman"/>
                <w:b/>
                <w:bCs/>
                <w:color w:val="000000" w:themeColor="text1"/>
                <w:sz w:val="22"/>
                <w:vertAlign w:val="superscript"/>
              </w:rPr>
              <w:t xml:space="preserve">2</w:t>
            </w:r>
            <w:r>
              <w:rPr>
                <w:rFonts w:ascii="Times New Roman" w:hAnsi="Times New Roman" w:eastAsia="Times New Roman" w:cs="Times New Roman"/>
                <w:b/>
                <w:bCs/>
                <w:color w:val="000000" w:themeColor="text1"/>
                <w:sz w:val="22"/>
              </w:rPr>
              <w:t xml:space="preserve"> </w:t>
            </w:r>
            <w:r>
              <w:rPr>
                <w:b/>
                <w:bCs/>
                <w:color w:val="000000" w:themeColor="text1"/>
              </w:rPr>
            </w:r>
            <w:r>
              <w:rPr>
                <w:b/>
                <w:bCs/>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2.187,5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104,1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90,5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513,2</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-1.683.177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-1.947.182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-1.376.621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5.386.167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4.218.895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6.653.669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10,52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5,60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-20,00%</w:t>
            </w:r>
            <w:r>
              <w:rPr>
                <w:color w:val="000000" w:themeColor="text1"/>
              </w:rPr>
            </w:r>
            <w:r>
              <w:rPr>
                <w:color w:val="000000" w:themeColor="text1"/>
              </w:rPr>
            </w:r>
          </w:p>
        </w:tc>
      </w:tr>
      <w:tr>
        <w:trPr>
          <w:trHeight w:val="46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-1.529.579 </w:t>
            </w:r>
            <w:r>
              <w:rPr>
                <w:color w:val="000000" w:themeColor="text1"/>
              </w:rPr>
            </w:r>
            <w:r>
              <w:rPr>
                <w:color w:val="000000" w:themeColor="text1"/>
              </w:rPr>
            </w:r>
          </w:p>
        </w:tc>
      </w:tr>
      <w:tr>
        <w:trPr>
          <w:trHeight w:val="40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5.386.167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4.218.895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5.124.090 </w:t>
            </w:r>
            <w:r>
              <w:rPr>
                <w:color w:val="000000" w:themeColor="text1"/>
              </w:rPr>
            </w:r>
            <w:r>
              <w:rPr>
                <w:color w:val="000000" w:themeColor="text1"/>
              </w:rPr>
            </w:r>
          </w:p>
        </w:tc>
      </w:tr>
      <w:tr>
        <w:trPr>
          <w:trHeight w:val="385"/>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jc w:val="center"/>
              <w:rPr>
                <w:color w:val="000000" w:themeColor="text1"/>
              </w:rPr>
            </w:pPr>
            <w:r>
              <w:rPr>
                <w:rFonts w:ascii="Times New Roman" w:hAnsi="Times New Roman" w:eastAsia="Times New Roman" w:cs="Times New Roman"/>
                <w:b/>
                <w:color w:val="000000" w:themeColor="text1"/>
                <w:sz w:val="22"/>
              </w:rPr>
              <w:t xml:space="preserve"> Chiều sâu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m</w:t>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2"/>
              </w:rPr>
              <w:t xml:space="preserve">          53,71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2"/>
              </w:rPr>
              <w:t xml:space="preserve">              9,9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16,16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left"/>
              <w:rPr>
                <w:color w:val="000000" w:themeColor="text1"/>
              </w:rPr>
            </w:pPr>
            <w:r>
              <w:rPr>
                <w:rFonts w:ascii="Times New Roman" w:hAnsi="Times New Roman" w:eastAsia="Times New Roman" w:cs="Times New Roman"/>
                <w:b/>
                <w:color w:val="000000" w:themeColor="text1"/>
                <w:sz w:val="22"/>
              </w:rPr>
              <w:t xml:space="preserve">             12,83 </w:t>
            </w:r>
            <w:r>
              <w:rPr>
                <w:color w:val="000000" w:themeColor="text1"/>
              </w:rPr>
            </w:r>
            <w:r>
              <w:rPr>
                <w:color w:val="000000" w:themeColor="text1"/>
              </w:rPr>
            </w:r>
          </w:p>
        </w:tc>
      </w:tr>
      <w:tr>
        <w:trPr>
          <w:trHeight w:val="3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9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-1.144.561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-649.061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-764.790 </w:t>
            </w:r>
            <w:r>
              <w:rPr>
                <w:color w:val="000000" w:themeColor="text1"/>
              </w:rPr>
            </w:r>
            <w:r>
              <w:rPr>
                <w:color w:val="000000" w:themeColor="text1"/>
              </w:rPr>
            </w:r>
          </w:p>
        </w:tc>
      </w:tr>
      <w:tr>
        <w:trPr>
          <w:trHeight w:val="68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4.241.607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3.569.834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4.359.300 </w:t>
            </w:r>
            <w:r>
              <w:rPr>
                <w:color w:val="000000" w:themeColor="text1"/>
              </w:rPr>
            </w:r>
            <w:r>
              <w:rPr>
                <w:color w:val="000000" w:themeColor="text1"/>
              </w:rPr>
            </w:r>
          </w:p>
        </w:tc>
      </w:tr>
      <w:tr>
        <w:trPr>
          <w:trHeight w:val="567"/>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01 mặt tiền</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01 mặt tiền</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01 mặt tiền</w:t>
            </w:r>
            <w:r>
              <w:rPr>
                <w:b/>
                <w:bCs/>
              </w:rPr>
            </w:r>
            <w:r>
              <w:rPr>
                <w:b/>
                <w:bCs/>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02 mặt tiền</w:t>
            </w:r>
            <w:r>
              <w:rPr>
                <w:b/>
                <w:bCs/>
              </w:rPr>
            </w:r>
            <w:r>
              <w:rPr>
                <w:b/>
                <w:bCs/>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-382.395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4.241.607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3.569.834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3.976.906 </w:t>
            </w:r>
            <w:r>
              <w:rPr>
                <w:color w:val="000000" w:themeColor="text1"/>
              </w:rPr>
            </w:r>
            <w:r>
              <w:rPr>
                <w:color w:val="000000" w:themeColor="text1"/>
              </w:rPr>
            </w:r>
          </w:p>
        </w:tc>
      </w:tr>
      <w:tr>
        <w:trPr>
          <w:trHeight w:val="447"/>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đa giác khác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Hình chữ nhật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4.241.607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3.569.834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3.976.906 </w:t>
            </w:r>
            <w:r>
              <w:rPr>
                <w:color w:val="000000" w:themeColor="text1"/>
              </w:rPr>
            </w:r>
            <w:r>
              <w:rPr>
                <w:color w:val="000000" w:themeColor="text1"/>
              </w:rPr>
            </w:r>
          </w:p>
        </w:tc>
      </w:tr>
      <w:tr>
        <w:trPr>
          <w:trHeight w:val="617"/>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Bất lợi thương mại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Đường vào đâm thẳng vào đất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bất lợi thương mại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-336.635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-324.530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-382.395 </w:t>
            </w:r>
            <w:r>
              <w:rPr>
                <w:color w:val="000000" w:themeColor="text1"/>
              </w:rPr>
            </w:r>
            <w:r>
              <w:rPr>
                <w:color w:val="000000" w:themeColor="text1"/>
              </w:rPr>
            </w:r>
          </w:p>
        </w:tc>
      </w:tr>
      <w:tr>
        <w:trPr>
          <w:trHeight w:val="28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3.904.971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3.245.304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3.594.511 </w:t>
            </w:r>
            <w:r>
              <w:rPr>
                <w:color w:val="000000" w:themeColor="text1"/>
              </w:rPr>
            </w:r>
            <w:r>
              <w:rPr>
                <w:color w:val="000000" w:themeColor="text1"/>
              </w:rPr>
            </w:r>
          </w:p>
        </w:tc>
      </w:tr>
      <w:tr>
        <w:trPr>
          <w:trHeight w:val="60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8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Yếu tố khác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đường ray xe lửa phía sau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yếu tố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yếu tố bất lợi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Không có yếu tố bất lợi </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504"/>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-336.635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-324.530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-382.395 </w:t>
            </w:r>
            <w:r>
              <w:rPr>
                <w:color w:val="000000" w:themeColor="text1"/>
              </w:rPr>
            </w:r>
            <w:r>
              <w:rPr>
                <w:color w:val="000000" w:themeColor="text1"/>
              </w:rPr>
            </w:r>
          </w:p>
        </w:tc>
      </w:tr>
      <w:tr>
        <w:trPr>
          <w:trHeight w:val="43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3.568.336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2.920.773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3.212.116 </w:t>
            </w:r>
            <w:r>
              <w:rPr>
                <w:color w:val="000000" w:themeColor="text1"/>
              </w:rPr>
            </w:r>
            <w:r>
              <w:rPr>
                <w:color w:val="000000" w:themeColor="text1"/>
              </w:rPr>
            </w:r>
          </w:p>
        </w:tc>
      </w:tr>
      <w:tr>
        <w:trPr>
          <w:trHeight w:val="4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3.568.336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2.920.773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3.212.116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09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3.233.742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09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3.000.000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-0,7%</w:t>
            </w:r>
            <w:r>
              <w:rPr>
                <w:color w:val="000000" w:themeColor="text1"/>
              </w:rPr>
            </w:r>
            <w:r>
              <w:rPr>
                <w:color w:val="000000" w:themeColor="text1"/>
              </w:rPr>
            </w:r>
          </w:p>
        </w:tc>
      </w:tr>
      <w:tr>
        <w:trPr>
          <w:trHeight w:val="39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8929"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4.158.249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3.569.834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5.564.754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8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right="0" w:firstLine="0" w:left="142"/>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(2.843.768)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(3.569.834)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(4.071.594)</w:t>
            </w:r>
            <w:r>
              <w:rPr>
                <w:color w:val="000000" w:themeColor="text1"/>
              </w:rPr>
            </w:r>
            <w:r>
              <w:rPr>
                <w:color w:val="000000" w:themeColor="text1"/>
              </w:rPr>
            </w:r>
          </w:p>
        </w:tc>
      </w:tr>
    </w:tbl>
    <w:p>
      <w:pPr>
        <w:pBdr/>
        <w:spacing w:after="120" w:before="120" w:line="276" w:lineRule="auto"/>
        <w:ind/>
        <w:jc w:val="both"/>
        <w:rPr>
          <w:b/>
          <w:bCs/>
          <w:i/>
        </w:rPr>
      </w:pPr>
      <w:r>
        <w:rPr>
          <w:i/>
          <w:iCs/>
          <w:u w:val="single"/>
        </w:rPr>
      </w:r>
      <w:r>
        <w:rPr>
          <w:b/>
          <w:bCs/>
          <w:i/>
          <w:iCs/>
          <w:u w:val="single"/>
        </w:rPr>
        <w:t xml:space="preserve">Về nguyên tắc khống chế</w:t>
      </w:r>
      <w:r>
        <w:rPr>
          <w:b/>
          <w:bCs/>
          <w:i/>
          <w:iCs/>
        </w:rPr>
        <w:t xml:space="preserve">: </w:t>
      </w:r>
      <w:r>
        <w:rPr>
          <w:b/>
          <w:bCs/>
          <w:i/>
        </w:rPr>
      </w:r>
      <w:r>
        <w:rPr>
          <w:b/>
          <w:bCs/>
          <w:i/>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-9,7</w:t>
      </w:r>
      <w:r>
        <w:t xml:space="preserve">% đến</w:t>
      </w:r>
      <w:r>
        <w:t xml:space="preserve"> 10,3%,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Tài sản</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Mức giá chỉ dẫn của các TSSS</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Trọng số của các TSSS sau điều chỉnh</w:t>
            </w:r>
            <w:r>
              <w:rPr>
                <w:color w:val="000000" w:themeColor="text1"/>
              </w:rPr>
            </w:r>
            <w:r>
              <w:rPr>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trung bình của mức giá chỉ dẫn sau điều chỉnh</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3.568.336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1.189.445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2.920.773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973.591 </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right"/>
              <w:rPr>
                <w:color w:val="000000" w:themeColor="text1"/>
              </w:rPr>
            </w:pPr>
            <w:r>
              <w:rPr>
                <w:rFonts w:ascii="Times New Roman" w:hAnsi="Times New Roman" w:eastAsia="Times New Roman" w:cs="Times New Roman"/>
                <w:color w:val="000000" w:themeColor="text1"/>
                <w:sz w:val="24"/>
              </w:rPr>
              <w:t xml:space="preserve">3.212.116 </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33,33%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1.070.705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Giá trị bình quân theo trọng số:</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3.233.742 </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Làm tròn:</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                      3.000.000 </w:t>
            </w:r>
            <w:r>
              <w:rPr>
                <w:color w:val="000000" w:themeColor="text1"/>
              </w:rPr>
            </w:r>
            <w:r>
              <w:rPr>
                <w:color w:val="000000" w:themeColor="text1"/>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p>
    <w:tbl>
      <w:tblPr>
        <w:tblW w:w="493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880"/>
        <w:gridCol w:w="1242"/>
        <w:gridCol w:w="2646"/>
        <w:gridCol w:w="1951"/>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80"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24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67"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63, tờ bản đồ số: 288 có địa chỉ: Khu Yên Hợp, phường Mạo</w:t>
            </w:r>
            <w:r>
              <w:rPr>
                <w:b/>
                <w:bCs/>
                <w:color w:val="000000"/>
              </w:rPr>
              <w:t xml:space="preserve"> Khê, tỉnh Quảng Ninh theo Giấy chứng nhận quyền sử dụng đất, quyền sở hữu tài sản gắn liền với đất số: AA 01458828, số vào sổ cấp GCN: CN 8716 do Chi nhánh Văn phòng Đăng ký đất đai số 1 cấp ngày 20/10/2025 cho Ông Nguyễn Bá Thiện và Đồng Thị Thu Phương</w:t>
            </w:r>
            <w:r>
              <w:rPr>
                <w:b/>
                <w:bCs/>
              </w:rPr>
              <w:t xml:space="preserve">.</w:t>
            </w:r>
            <w:r>
              <w:rPr>
                <w:b/>
                <w:bCs/>
              </w:rPr>
            </w:r>
            <w:r>
              <w:rPr>
                <w:b/>
                <w:bCs/>
              </w:rPr>
            </w:r>
          </w:p>
        </w:tc>
        <w:tc>
          <w:tcPr>
            <w:shd w:val="clear" w:color="000000" w:fill="ffffff"/>
            <w:tcBorders/>
            <w:tcW w:w="1951"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p>
        </w:tc>
        <w:tc>
          <w:tcPr>
            <w:shd w:val="clear" w:color="000000" w:fill="ffffff"/>
            <w:tcBorders/>
            <w:tcW w:w="2880"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p>
        </w:tc>
        <w:tc>
          <w:tcPr>
            <w:tcBorders/>
            <w:tcW w:w="1242" w:type="dxa"/>
            <w:vAlign w:val="center"/>
            <w:textDirection w:val="lrTb"/>
            <w:noWrap/>
          </w:tcPr>
          <w:p>
            <w:pPr>
              <w:pBdr/>
              <w:spacing w:after="40" w:before="40" w:line="288" w:lineRule="auto"/>
              <w:ind/>
              <w:jc w:val="center"/>
              <w:rPr>
                <w:color w:val="000000"/>
              </w:rPr>
            </w:pPr>
            <w:r>
              <w:rPr>
                <w:color w:val="000000" w:themeColor="text1"/>
              </w:rPr>
              <w:t xml:space="preserve">2.187,5</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3.000.000</w:t>
            </w:r>
            <w:r/>
          </w:p>
        </w:tc>
        <w:tc>
          <w:tcPr>
            <w:shd w:val="clear" w:color="000000" w:fill="ffffff"/>
            <w:tcBorders/>
            <w:tcW w:w="1951" w:type="dxa"/>
            <w:vAlign w:val="center"/>
            <w:textDirection w:val="lrTb"/>
            <w:noWrap w:val="false"/>
          </w:tcPr>
          <w:p>
            <w:pPr>
              <w:pBdr/>
              <w:spacing w:after="40" w:before="40" w:line="288" w:lineRule="auto"/>
              <w:ind/>
              <w:jc w:val="center"/>
              <w:rPr/>
            </w:pPr>
            <w:r>
              <w:rPr>
                <w:color w:val="000000" w:themeColor="text1"/>
              </w:rPr>
              <w:t xml:space="preserve">6.562.500.000</w:t>
            </w:r>
            <w:r/>
          </w:p>
        </w:tc>
      </w:tr>
      <w:tr>
        <w:trPr>
          <w:trHeight w:val="20"/>
        </w:trPr>
        <w:tc>
          <w:tcPr>
            <w:gridSpan w:val="4"/>
            <w:tcBorders/>
            <w:tcW w:w="745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951" w:type="dxa"/>
            <w:vAlign w:val="center"/>
            <w:textDirection w:val="lrTb"/>
            <w:noWrap/>
          </w:tcPr>
          <w:p>
            <w:pPr>
              <w:pBdr/>
              <w:spacing w:after="40" w:before="40" w:line="288" w:lineRule="auto"/>
              <w:ind/>
              <w:jc w:val="center"/>
              <w:rPr>
                <w:b/>
                <w:bCs/>
                <w:color w:val="000000"/>
              </w:rPr>
            </w:pPr>
            <w:r>
              <w:rPr>
                <w:b/>
                <w:bCs/>
              </w:rPr>
              <w:t xml:space="preserve">6.562.500.000</w:t>
            </w:r>
            <w:r>
              <w:rPr>
                <w:b/>
                <w:bCs/>
                <w:color w:val="000000"/>
              </w:rPr>
            </w:r>
            <w:r>
              <w:rPr>
                <w:b/>
                <w:bCs/>
                <w:color w:val="000000"/>
              </w:rPr>
            </w:r>
          </w:p>
        </w:tc>
      </w:tr>
      <w:tr>
        <w:trPr>
          <w:trHeight w:val="20"/>
        </w:trPr>
        <w:tc>
          <w:tcPr>
            <w:gridSpan w:val="4"/>
            <w:tcBorders/>
            <w:tcW w:w="7459"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951" w:type="dxa"/>
            <w:vAlign w:val="center"/>
            <w:vMerge w:val="restart"/>
            <w:textDirection w:val="lrTb"/>
            <w:noWrap/>
          </w:tcPr>
          <w:p>
            <w:pPr>
              <w:pBdr/>
              <w:spacing w:after="40" w:before="40" w:line="288" w:lineRule="auto"/>
              <w:ind/>
              <w:jc w:val="center"/>
              <w:rPr>
                <w:b/>
                <w:bCs/>
              </w:rPr>
            </w:pPr>
            <w:r>
              <w:rPr>
                <w:b/>
                <w:bCs/>
              </w:rPr>
              <w:t xml:space="preserve">6.563.000.000</w:t>
            </w:r>
            <w:r>
              <w:rPr>
                <w:b/>
                <w:bCs/>
              </w:rPr>
            </w:r>
          </w:p>
        </w:tc>
      </w:tr>
      <w:tr>
        <w:trPr>
          <w:trHeight w:val="20"/>
        </w:trPr>
        <w:tc>
          <w:tcPr>
            <w:gridSpan w:val="5"/>
            <w:tcBorders/>
            <w:tcW w:w="941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năm trăm sáu mươi ba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59"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59"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59"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59"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59"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59"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59"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59"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59"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59"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59"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59"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59"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59"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59"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59"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59"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59"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59"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59"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59"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59"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59"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59"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59"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59"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275/2026/0574/VFI-CT.53.A</w:t>
      </w:r>
      <w:r>
        <w:rPr>
          <w:color w:val="ff0000"/>
          <w:lang w:val="vi-VN"/>
        </w:rPr>
        <w:t xml:space="preserve"> </w:t>
      </w:r>
      <w:r>
        <w:rPr>
          <w:color w:val="000000" w:themeColor="text1"/>
        </w:rPr>
        <w:t xml:space="preserve">ngày 14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275/2026/0574/VFI-BC.53.A</w:t>
      </w:r>
      <w:r>
        <w:rPr>
          <w:i/>
          <w:lang w:val="pt-BR"/>
        </w:rPr>
        <w:t xml:space="preserve"> </w:t>
      </w:r>
      <w:r>
        <w:rPr>
          <w:i/>
          <w:lang w:val="pt-BR"/>
        </w:rPr>
        <w:t xml:space="preserve">ngày 14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77563" cy="260208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71916" name=""/>
                              <pic:cNvPicPr>
                                <a:picLocks noChangeAspect="1"/>
                              </pic:cNvPicPr>
                              <pic:nvPr/>
                            </pic:nvPicPr>
                            <pic:blipFill rotWithShape="1">
                              <a:blip r:embed="rId17"/>
                              <a:stretch/>
                            </pic:blipFill>
                            <pic:spPr bwMode="auto">
                              <a:xfrm flipH="0" flipV="0">
                                <a:off x="0" y="0"/>
                                <a:ext cx="1677562" cy="26020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32.09pt;height:204.89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72439" name=""/>
                              <pic:cNvPicPr>
                                <a:picLocks noChangeAspect="1"/>
                              </pic:cNvPicPr>
                              <pic:nvPr/>
                            </pic:nvPicPr>
                            <pic:blipFill rotWithShape="1">
                              <a:blip r:embed="rId18"/>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8.12pt;height:178.5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6808" cy="216855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35197" name=""/>
                              <pic:cNvPicPr>
                                <a:picLocks noChangeAspect="1"/>
                              </pic:cNvPicPr>
                              <pic:nvPr/>
                            </pic:nvPicPr>
                            <pic:blipFill rotWithShape="1">
                              <a:blip r:embed="rId19"/>
                              <a:stretch/>
                            </pic:blipFill>
                            <pic:spPr bwMode="auto">
                              <a:xfrm flipH="0" flipV="0">
                                <a:off x="0" y="0"/>
                                <a:ext cx="2636807" cy="21685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7.62pt;height:170.7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48756" cy="236156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49753" name=""/>
                              <pic:cNvPicPr>
                                <a:picLocks noChangeAspect="1"/>
                              </pic:cNvPicPr>
                              <pic:nvPr/>
                            </pic:nvPicPr>
                            <pic:blipFill rotWithShape="1">
                              <a:blip r:embed="rId20"/>
                              <a:stretch/>
                            </pic:blipFill>
                            <pic:spPr bwMode="auto">
                              <a:xfrm flipH="0" flipV="0">
                                <a:off x="0" y="0"/>
                                <a:ext cx="3148755" cy="23615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7.93pt;height:185.9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7480" cy="21956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9178" name=""/>
                              <pic:cNvPicPr>
                                <a:picLocks noChangeAspect="1"/>
                              </pic:cNvPicPr>
                              <pic:nvPr/>
                            </pic:nvPicPr>
                            <pic:blipFill rotWithShape="1">
                              <a:blip r:embed="rId21"/>
                              <a:stretch/>
                            </pic:blipFill>
                            <pic:spPr bwMode="auto">
                              <a:xfrm flipH="0" flipV="0">
                                <a:off x="0" y="0"/>
                                <a:ext cx="2747479" cy="21956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6.34pt;height:172.8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07600" cy="23307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71631" name=""/>
                              <pic:cNvPicPr>
                                <a:picLocks noChangeAspect="1"/>
                              </pic:cNvPicPr>
                              <pic:nvPr/>
                            </pic:nvPicPr>
                            <pic:blipFill rotWithShape="1">
                              <a:blip r:embed="rId22"/>
                              <a:stretch/>
                            </pic:blipFill>
                            <pic:spPr bwMode="auto">
                              <a:xfrm flipH="0" flipV="0">
                                <a:off x="0" y="0"/>
                                <a:ext cx="3107600" cy="2330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4.69pt;height:183.52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275/2026/0574/VFI-BC.53.A</w:t>
      </w:r>
      <w:r>
        <w:rPr>
          <w:i/>
          <w:lang w:val="pt-BR"/>
        </w:rPr>
        <w:t xml:space="preserve"> ngày </w:t>
      </w:r>
      <w:r>
        <w:rPr>
          <w:i/>
          <w:lang w:val="pt-BR"/>
        </w:rPr>
        <w:t xml:space="preserve">14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Lên hệ trực tiếp</w:t>
            </w:r>
            <w:r>
              <w:rPr>
                <w:color w:val="000000" w:themeColor="text1"/>
                <w:sz w:val="22"/>
                <w:szCs w:val="22"/>
              </w:rPr>
              <w:br/>
              <w:t xml:space="preserve">0394.950.328</w:t>
            </w:r>
            <w:r>
              <w:rPr>
                <w:sz w:val="22"/>
                <w:szCs w:val="22"/>
              </w:rPr>
              <w:t xml:space="preserve"> </w:t>
            </w:r>
            <w:r>
              <w:rPr>
                <w:sz w:val="22"/>
                <w:szCs w:val="22"/>
              </w:rPr>
              <w:br/>
              <w:t xml:space="preserve">(Duy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(82,8m²), Đất trồng cây lâu năm (21,3m²)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14/10/2043, 17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Xã Yên Thọ, Tỉnh Quảng Ninh,  cách QL18 khoảng 850m</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9250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34925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75.0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0393.886.195</w:t>
            </w:r>
            <w:r>
              <w:rPr>
                <w:sz w:val="22"/>
                <w:szCs w:val="22"/>
              </w:rPr>
              <w:t xml:space="preserve"> </w:t>
            </w:r>
            <w:r>
              <w:rPr>
                <w:sz w:val="22"/>
                <w:szCs w:val="22"/>
              </w:rPr>
              <w:br/>
              <w:t xml:space="preserve">(sale 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594.000.000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Xã Yên Thọ, Tỉnh Quảng Ninh. Tài sản nằm tiếp giáp đường nội xóm, cách QL18 khoảng 1000m</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05504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705504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555.5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0904.556.146</w:t>
            </w:r>
            <w:r>
              <w:rPr>
                <w:sz w:val="22"/>
                <w:szCs w:val="22"/>
              </w:rPr>
              <w:t xml:space="preserve"> </w:t>
            </w:r>
            <w:r>
              <w:rPr>
                <w:sz w:val="22"/>
                <w:szCs w:val="22"/>
              </w:rPr>
              <w:br/>
              <w:t xml:space="preserve">(Mạnh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(440,2m²), Đất trồng cây lâu năm (73m²)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tại: Xã Yên Thọ, Tỉnh Quảng Ninh. Tài sản nằm tiếp giáp đường nội xóm,cách QL18 khoảng 600m</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02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2.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282</cp:revision>
  <dcterms:created xsi:type="dcterms:W3CDTF">2025-09-15T09:58:00Z</dcterms:created>
  <dcterms:modified xsi:type="dcterms:W3CDTF">2026-04-17T03:26:04Z</dcterms:modified>
</cp:coreProperties>
</file>