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254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254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275/2026/0556/VFI-CT.63.A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HỒNG HÀ </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w:t>
                            </w:r>
                            <w:r>
                              <w:rPr>
                                <w:color w:val="000000" w:themeColor="text1"/>
                              </w:rPr>
                              <w:t xml:space="preserve"> </w:t>
                            </w:r>
                            <w:r>
                              <w:rPr>
                                <w:color w:val="000000" w:themeColor="text1"/>
                              </w:rPr>
                              <w:t xml:space="preserve">44</w:t>
                            </w:r>
                            <w:r>
                              <w:rPr>
                                <w:color w:val="ff0000"/>
                              </w:rPr>
                              <w:t xml:space="preserve">, </w:t>
                            </w:r>
                            <w:r>
                              <w:rPr>
                                <w:color w:val="000000"/>
                              </w:rPr>
                              <w:t xml:space="preserve">tờ bản đồ số: 18, có địa chỉ: Thôn Hoàng Trung, xã Hồng Dương, huyện Thanh Oai, thành phố Hà Nội (</w:t>
                            </w:r>
                            <w:r>
                              <w:rPr>
                                <w:i/>
                                <w:iCs/>
                                <w:color w:val="000000"/>
                              </w:rPr>
                              <w:t xml:space="preserve">nay là Thôn Hoàng Trung, xã Dân Hoà, thành phố Hà Nội</w:t>
                            </w:r>
                            <w:r>
                              <w:rPr>
                                <w:color w:val="000000"/>
                              </w:rPr>
                              <w:t xml:space="preserve">) theo Giấy chứng nh</w:t>
                            </w:r>
                            <w:r>
                              <w:rPr>
                                <w:color w:val="000000"/>
                              </w:rPr>
                              <w:t xml:space="preserve">ận quyền sử dụng đất, quyền sở hữu tài sản gắn liền với đất số: AA 00814702, Số vào sổ cấp GCN: 00346 do Chi nhánh Văn phòng Đăng ký Đất đai Hà Nội - Huyện Thanh Oai cấp ngày 04/4/2025; Chủ sử dụng đất là Ông Nguyễn Hồng Hà và vợ Nguyễn Thị Hương</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7.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275/2026/0556/VFI-CT.63.A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HỒNG HÀ </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w:t>
                      </w:r>
                      <w:r>
                        <w:rPr>
                          <w:color w:val="000000" w:themeColor="text1"/>
                        </w:rPr>
                        <w:t xml:space="preserve"> </w:t>
                      </w:r>
                      <w:r>
                        <w:rPr>
                          <w:color w:val="000000" w:themeColor="text1"/>
                        </w:rPr>
                        <w:t xml:space="preserve">44</w:t>
                      </w:r>
                      <w:r>
                        <w:rPr>
                          <w:color w:val="ff0000"/>
                        </w:rPr>
                        <w:t xml:space="preserve">, </w:t>
                      </w:r>
                      <w:r>
                        <w:rPr>
                          <w:color w:val="000000"/>
                        </w:rPr>
                        <w:t xml:space="preserve">tờ bản đồ số: 18, có địa chỉ: Thôn Hoàng Trung, xã Hồng Dương, huyện Thanh Oai, thành phố Hà Nội (</w:t>
                      </w:r>
                      <w:r>
                        <w:rPr>
                          <w:i/>
                          <w:iCs/>
                          <w:color w:val="000000"/>
                        </w:rPr>
                        <w:t xml:space="preserve">nay là Thôn Hoàng Trung, xã Dân Hoà, thành phố Hà Nội</w:t>
                      </w:r>
                      <w:r>
                        <w:rPr>
                          <w:color w:val="000000"/>
                        </w:rPr>
                        <w:t xml:space="preserve">) theo Giấy chứng nh</w:t>
                      </w:r>
                      <w:r>
                        <w:rPr>
                          <w:color w:val="000000"/>
                        </w:rPr>
                        <w:t xml:space="preserve">ận quyền sử dụng đất, quyền sở hữu tài sản gắn liền với đất số: AA 00814702, Số vào sổ cấp GCN: 00346 do Chi nhánh Văn phòng Đăng ký Đất đai Hà Nội - Huyện Thanh Oai cấp ngày 04/4/2025; Chủ sử dụng đất là Ông Nguyễn Hồng Hà và vợ Nguyễn Thị Hương</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3: Phiếu khảo sát + Hồ sơ pháp lý </w:t>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27-28</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275/2026/0556/VFI-CT.63.A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10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HỒNG HÀ</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275/2026/0556/VFI-HĐTĐ.63.A</w:t>
      </w:r>
      <w:r>
        <w:rPr>
          <w:spacing w:val="-4"/>
          <w:lang w:val="vi-VN"/>
        </w:rPr>
        <w:t xml:space="preserve"> ký ngày 0</w:t>
      </w:r>
      <w:r>
        <w:rPr>
          <w:color w:val="000000" w:themeColor="text1"/>
          <w:spacing w:val="-4"/>
        </w:rPr>
        <w:t xml:space="preserve">9 tháng 4 năm 2026</w:t>
      </w:r>
      <w:r>
        <w:rPr>
          <w:spacing w:val="-4"/>
          <w:lang w:val="vi-VN"/>
        </w:rPr>
        <w:t xml:space="preserve"> </w:t>
      </w:r>
      <w:r>
        <w:rPr>
          <w:spacing w:val="-4"/>
          <w:lang w:val="vi-VN"/>
        </w:rPr>
        <w:t xml:space="preserve">giữa Ông </w:t>
      </w:r>
      <w:r>
        <w:rPr>
          <w:color w:val="000000" w:themeColor="text1"/>
          <w:spacing w:val="-4"/>
        </w:rPr>
        <w:t xml:space="preserve">Nguyễn Hồng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275/2026/0556/VFI-BC.63.A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HỒNG HÀ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001077031867</w:t>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w:t>
      </w:r>
      <w:r>
        <w:rPr>
          <w:color w:val="000000" w:themeColor="text1"/>
        </w:rPr>
        <w:t xml:space="preserve"> </w:t>
      </w:r>
      <w:r>
        <w:rPr>
          <w:color w:val="000000" w:themeColor="text1"/>
        </w:rPr>
        <w:t xml:space="preserve">44,</w:t>
      </w:r>
      <w:r>
        <w:rPr>
          <w:color w:val="ff0000"/>
        </w:rPr>
        <w:t xml:space="preserve"> </w:t>
      </w:r>
      <w:r>
        <w:rPr>
          <w:color w:val="000000" w:themeColor="text1"/>
        </w:rPr>
        <w:t xml:space="preserve">t</w:t>
      </w:r>
      <w:r>
        <w:rPr>
          <w:color w:val="000000" w:themeColor="text1"/>
        </w:rPr>
        <w:t xml:space="preserve">ờ bản đồ số: 18, có địa chỉ: Thôn Hoàng Trung, xã Hồng Dương, huyện Thanh Oai, thành phố Hà Nội (</w:t>
      </w:r>
      <w:r>
        <w:rPr>
          <w:i/>
          <w:iCs/>
          <w:color w:val="000000" w:themeColor="text1"/>
        </w:rPr>
        <w:t xml:space="preserve">nay là Thôn Hoàng Trung, xã Dân Hoà, thành phố Hà Nội</w:t>
      </w:r>
      <w:r>
        <w:rPr>
          <w:color w:val="000000" w:themeColor="text1"/>
        </w:rPr>
        <w:t xml:space="preserve">) theo Giấy chứng nh</w:t>
      </w:r>
      <w:r>
        <w:rPr>
          <w:color w:val="000000" w:themeColor="text1"/>
        </w:rPr>
        <w:t xml:space="preserve">ận quyền sử dụng đất, quyền sở hữu tài sản gắn liền với đất số: AA 00814702, Số vào sổ cấp GCN: 00346 do Chi nhánh Văn phòng Đăng ký Đất đai Hà Nội - Huyện Thanh Oai cấp ngày 04/4/2025; Chủ sử dụng đất là Ông Nguyễn Hồng Hà và vợ Nguyễn Thị Hương</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48"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4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59"/>
        <w:gridCol w:w="1802"/>
        <w:gridCol w:w="2025"/>
        <w:gridCol w:w="2092"/>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6486" w:type="dxa"/>
            <w:vAlign w:val="center"/>
            <w:textDirection w:val="lrTb"/>
            <w:noWrap w:val="false"/>
          </w:tcPr>
          <w:p>
            <w:pPr>
              <w:pBdr/>
              <w:spacing w:after="40" w:before="40" w:line="348" w:lineRule="auto"/>
              <w:ind/>
              <w:jc w:val="both"/>
              <w:rPr>
                <w:b/>
                <w:bCs/>
              </w:rPr>
            </w:pPr>
            <w:r>
              <w:rPr>
                <w:b/>
                <w:bCs/>
                <w:color w:val="000000"/>
              </w:rPr>
              <w:t xml:space="preserve">Quyền sử dụng đất tại thửa đất số: 44, tờ bản đồ số: 18, có địa chỉ: Thôn Hoàng Trung, xã Hồng Dương, huyện Thanh Oai, thành phố Hà Nội (</w:t>
            </w:r>
            <w:r>
              <w:rPr>
                <w:b/>
                <w:bCs/>
                <w:i/>
                <w:iCs/>
                <w:color w:val="000000"/>
              </w:rPr>
              <w:t xml:space="preserve">nay là Thôn Hoàng Trung, xã Dân Hoà, thành phố Hà Nội</w:t>
            </w:r>
            <w:r>
              <w:rPr>
                <w:b/>
                <w:bCs/>
                <w:color w:val="000000"/>
              </w:rPr>
              <w:t xml:space="preserve">) theo Giấy chứng nh</w:t>
            </w:r>
            <w:r>
              <w:rPr>
                <w:b/>
                <w:bCs/>
                <w:color w:val="000000"/>
              </w:rPr>
              <w:t xml:space="preserve">ận quyền sử dụng đất, quyền sở hữu tài sản gắn liền với đất số: AA 00814702, Số vào sổ cấp GCN: 00346 do Chi nhánh Văn phòng Đăng ký Đất đai Hà Nội - Huyện Thanh Oai cấp ngày 04/4/2025; Chủ sử dụng đất là Ông Nguyễn Hồng Hà và vợ Nguyễn Thị Hương</w:t>
            </w:r>
            <w:r>
              <w:rPr>
                <w:b/>
                <w:bCs/>
              </w:rPr>
              <w:t xml:space="preserve">.</w:t>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659"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147,0</w:t>
            </w:r>
            <w:r>
              <w:rPr>
                <w:color w:val="000000"/>
              </w:rPr>
            </w:r>
          </w:p>
        </w:tc>
        <w:tc>
          <w:tcPr>
            <w:shd w:val="clear" w:color="000000" w:fill="ffffff"/>
            <w:tcBorders/>
            <w:tcW w:w="2025" w:type="dxa"/>
            <w:vAlign w:val="center"/>
            <w:textDirection w:val="lrTb"/>
            <w:noWrap w:val="false"/>
          </w:tcPr>
          <w:p>
            <w:pPr>
              <w:pBdr/>
              <w:spacing w:after="40" w:before="40" w:line="288" w:lineRule="auto"/>
              <w:ind/>
              <w:jc w:val="center"/>
              <w:rPr/>
            </w:pPr>
            <w:r>
              <w:rPr>
                <w:color w:val="000000" w:themeColor="text1"/>
              </w:rPr>
              <w:t xml:space="preserve">98.000.000</w:t>
            </w:r>
            <w:r/>
          </w:p>
        </w:tc>
        <w:tc>
          <w:tcPr>
            <w:shd w:val="clear" w:color="000000" w:fill="ffffff"/>
            <w:tcBorders/>
            <w:tcW w:w="2092" w:type="dxa"/>
            <w:vAlign w:val="center"/>
            <w:textDirection w:val="lrTb"/>
            <w:noWrap w:val="false"/>
          </w:tcPr>
          <w:p>
            <w:pPr>
              <w:pBdr/>
              <w:spacing w:after="40" w:before="40" w:line="288" w:lineRule="auto"/>
              <w:ind/>
              <w:jc w:val="center"/>
              <w:rPr/>
            </w:pPr>
            <w:r>
              <w:rPr>
                <w:color w:val="000000" w:themeColor="text1"/>
              </w:rPr>
              <w:t xml:space="preserve">14.406.000.000</w:t>
            </w:r>
            <w:r/>
          </w:p>
        </w:tc>
      </w:tr>
      <w:tr>
        <w:trPr>
          <w:trHeight w:val="20"/>
        </w:trPr>
        <w:tc>
          <w:tcPr>
            <w:gridSpan w:val="4"/>
            <w:tcBorders/>
            <w:tcW w:w="743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rPr>
              <w:t xml:space="preserve">14.406.000.000</w:t>
            </w:r>
            <w:r>
              <w:rPr>
                <w:b/>
                <w:bCs/>
                <w:color w:val="000000"/>
              </w:rPr>
            </w:r>
          </w:p>
        </w:tc>
      </w:tr>
      <w:tr>
        <w:trPr>
          <w:trHeight w:val="20"/>
        </w:trPr>
        <w:tc>
          <w:tcPr>
            <w:gridSpan w:val="5"/>
            <w:tcBorders/>
            <w:tcW w:w="9531"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bốn trăm lẻ sáu triệu</w:t>
            </w:r>
            <w:r>
              <w:rPr>
                <w:b/>
                <w:bCs/>
                <w:i/>
                <w:iCs/>
                <w:color w:val="000000"/>
              </w:rPr>
              <w:t xml:space="preserve"> đồng./.)</w:t>
            </w:r>
            <w:r>
              <w:rPr>
                <w:b/>
                <w:bCs/>
                <w:i/>
                <w:iCs/>
                <w:color w:val="000000"/>
              </w:rPr>
            </w:r>
          </w:p>
        </w:tc>
      </w:tr>
    </w:tbl>
    <w:p>
      <w:pPr>
        <w:pBdr/>
        <w:spacing w:after="120" w:before="120" w:line="336" w:lineRule="auto"/>
        <w:ind/>
        <w:jc w:val="both"/>
        <w:rPr>
          <w:b/>
          <w:bCs/>
        </w:rPr>
      </w:pPr>
      <w:r>
        <w:rPr>
          <w:b/>
          <w:bCs/>
          <w:lang w:val="vi-VN"/>
        </w:rPr>
        <w:t xml:space="preserve">10. Thời hạn hiệu lực của kết quả thẩm định giá:</w:t>
      </w:r>
      <w:r>
        <w:rPr>
          <w:b/>
          <w:bCs/>
        </w:rPr>
      </w:r>
    </w:p>
    <w:p>
      <w:pPr>
        <w:pBdr/>
        <w:spacing w:after="120" w:before="120" w:line="336"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36" w:lineRule="auto"/>
        <w:ind/>
        <w:rPr/>
      </w:pPr>
      <w:r>
        <w:rPr>
          <w:b/>
          <w:bCs/>
          <w:lang w:val="vi-VN"/>
        </w:rPr>
        <w:t xml:space="preserve">11. Những điều khoản loại trừ và hạn chế của kết quả thẩm định giá:</w:t>
      </w:r>
      <w:r/>
    </w:p>
    <w:p>
      <w:pPr>
        <w:pBdr/>
        <w:spacing w:after="120" w:before="120" w:line="336"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TP</w:t>
            </w:r>
            <w:r>
              <w:rPr>
                <w:lang w:val="da-DK"/>
              </w:rPr>
              <w:t xml:space="preserve">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275/2026/0556/VFI-BC.63.A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10 tháng 4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275/2026/0556/VFI-CT.63.A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NGUYỄN HỒNG HÀ </w:t>
            </w: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001077031867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44, tờ bản đồ số: 18, có địa chỉ: Thôn Hoàng Trung, xã Hồng Dương, huyện Thanh Oai, thành phố Hà Nội (</w:t>
            </w:r>
            <w:r>
              <w:rPr>
                <w:bCs/>
                <w:i/>
                <w:iCs/>
                <w:color w:val="000000" w:themeColor="text1"/>
                <w:lang w:val="pt-BR"/>
              </w:rPr>
              <w:t xml:space="preserve">nay là Thôn Hoàng Trung, xã Dân Hoà, thành phố Hà Nội</w:t>
            </w:r>
            <w:r>
              <w:rPr>
                <w:bCs/>
                <w:color w:val="000000" w:themeColor="text1"/>
                <w:lang w:val="pt-BR"/>
              </w:rPr>
              <w:t xml:space="preserve">) theo Giấy chứng nh</w:t>
            </w:r>
            <w:r>
              <w:rPr>
                <w:bCs/>
                <w:color w:val="000000" w:themeColor="text1"/>
                <w:lang w:val="pt-BR"/>
              </w:rPr>
              <w:t xml:space="preserve">ận quyền sử dụng đất, quyền sở tài sản gắn liền với đất  số: AA 00814702, Số vào sổ cấp GCN: 00346 do Chi nhánh Văn phòng Đăng ký Đất đai Hà Nội - Huyện Thanh Oai cấp ngày 04/4/2025; Chủ sử dụng đất là Ông Nguyễn Hồng Hà và vợ Nguyễn Thị Hương</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val="0"/>
                <w:i w:val="0"/>
                <w:color w:val="ee0000"/>
              </w:rPr>
            </w:pPr>
            <w:r>
              <w:rPr>
                <w:color w:val="000000" w:themeColor="text1"/>
                <w:lang w:val="pt-BR"/>
              </w:rPr>
              <w:t xml:space="preserve">Thôn Hoàng Trung, xã Hồng Dương, huyện Thanh Oai, thành phố Hà Nội (</w:t>
            </w:r>
            <w:r>
              <w:rPr>
                <w:i/>
                <w:iCs/>
                <w:color w:val="000000" w:themeColor="text1"/>
                <w:lang w:val="pt-BR"/>
              </w:rPr>
              <w:t xml:space="preserve">nay là Thôn Hoàng Trung, xã Dân Hoà, thành phố Hà Nội)</w:t>
            </w:r>
            <w:r>
              <w:rPr>
                <w:i w:val="0"/>
                <w:iCs w:val="0"/>
                <w:color w:val="000000" w:themeColor="text1"/>
                <w:lang w:val="pt-BR"/>
              </w:rPr>
            </w:r>
            <w:r>
              <w:rPr>
                <w:bCs w:val="0"/>
                <w:i w:val="0"/>
                <w:color w:val="ee0000"/>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20.801861111111, 105.79077777778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w:t>
      </w:r>
      <w:r>
        <w:rPr>
          <w:bCs/>
          <w:color w:val="000000" w:themeColor="text1"/>
          <w:lang w:val="pt-BR"/>
        </w:rPr>
        <w:t xml:space="preserve">ận quyền sử dụng đất, quyền sở tài sản gắn liền với đất số: AA 00814702, Số vào sổ cấp GCN: 00346 do Chi nhánh Văn phòng Đăng ký Đất đai Hà Nội - Huyện Thanh Oai cấp ngày 04/4/2025; Chủ sử dụng đất là Ông Nguyễn Hồng Hà và vợ Nguyễn Thị Hương</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275/2026/0556/VFI-HĐTĐ.63.A ngày 09/4/2026 giữa Ông Nguyễn Hồng Hà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Với diện tích hơn 142 km², Thanh Oai có </w:t>
      </w:r>
      <w:r>
        <w:rPr>
          <w:shd w:val="clear" w:color="auto" w:fill="ffffff"/>
        </w:rPr>
        <w:t xml:space="preserve">quỹ đất rộng lớn, phù hợp để phát triển đa dạng các lĩnh vực như công nghiệp, nông nghiệp và dịch vụ. Đây là nền tảng quan trọng giúp khu vực thu hút đầu tư và nâng cao chất lượng sống của cư dân. Bên cạnh đó, quá trình đô thị hóa đang diễn ra mạnh mẽ, cùn</w:t>
      </w:r>
      <w:r>
        <w:rPr>
          <w:shd w:val="clear" w:color="auto" w:fill="ffffff"/>
        </w:rPr>
        <w:t xml:space="preserve">g với việc đầu tư vào hạ tầng giao thông và tiện ích công cộng, càng làm gia tăng sức hấp dẫn của thị trường bất động sản tại đây.</w:t>
      </w:r>
      <w:r>
        <w:rPr>
          <w:iCs/>
        </w:rPr>
      </w:r>
    </w:p>
    <w:p>
      <w:pPr>
        <w:pBdr/>
        <w:tabs>
          <w:tab w:val="left" w:leader="none" w:pos="426"/>
        </w:tabs>
        <w:spacing w:after="120" w:before="120" w:line="276" w:lineRule="auto"/>
        <w:ind w:right="0" w:firstLine="283" w:left="0"/>
        <w:jc w:val="both"/>
        <w:rPr/>
      </w:pPr>
      <w:r>
        <w:rPr>
          <w:shd w:val="clear" w:color="auto" w:fill="ffffff"/>
        </w:rPr>
        <w:t xml:space="preserve">Trong những năm gần đây, Thanh Oai không chỉ nổi tiếng với các làng nghề truyền thống mà còn chứng kiến sự phát triển của nh</w:t>
      </w:r>
      <w:r>
        <w:rPr>
          <w:shd w:val="clear" w:color="auto" w:fill="ffffff"/>
        </w:rPr>
        <w:t xml:space="preserve">iều khu công nghiệp và dự án đô thị mới. Điều này kéo theo sự gia tăng dân số cơ học và nhu cầu nhà ở, khiến thị trường bất động sản trở nên sôi động hơn. Một số dự án tiêu biểu có thể kể đến như khu đô thị Thanh Hà, Mỹ Hưng Cienco 5 hay khu đô thị sinh th</w:t>
      </w:r>
      <w:r>
        <w:rPr>
          <w:shd w:val="clear" w:color="auto" w:fill="ffffff"/>
        </w:rPr>
        <w:t xml:space="preserve">ái Việt Hà. Tuy vậy, phân khúc nhà đất thổ cư vẫn chiếm tỷ trọng lớn do giá cả hợp lý và nguồn cung dồi dào hơn so với khu vực nội thành.</w:t>
      </w:r>
      <w:r/>
    </w:p>
    <w:p>
      <w:pPr>
        <w:pBdr/>
        <w:tabs>
          <w:tab w:val="left" w:leader="none" w:pos="426"/>
        </w:tabs>
        <w:spacing w:after="120" w:before="120" w:line="276" w:lineRule="auto"/>
        <w:ind w:right="0" w:firstLine="283" w:left="0"/>
        <w:jc w:val="both"/>
        <w:rPr/>
      </w:pPr>
      <w:r>
        <w:rPr>
          <w:shd w:val="clear" w:color="auto" w:fill="ffffff"/>
        </w:rPr>
        <w:br/>
        <w:t xml:space="preserve">Thị trường bất động sản tại Thanh Oai cũng ghi nhận xu hướng gia tăng nhu cầu đối với căn hộ chung cư. Sự phát triển </w:t>
      </w:r>
      <w:r>
        <w:rPr>
          <w:shd w:val="clear" w:color="auto" w:fill="ffffff"/>
        </w:rPr>
        <w:t xml:space="preserve">của hệ thống tiện ích như trường học, bệnh viện, trung tâm thương mại cùng với các dự án nhà ở hiện đại đã giúp khu vực này trở thành lựa chọn hấp dẫn cho người dân. Các căn hộ thường có diện tích từ 45–90 m², thiết kế từ 1–3 phòng ngủ, phù hợp với nhiều đ</w:t>
      </w:r>
      <w:r>
        <w:rPr>
          <w:shd w:val="clear" w:color="auto" w:fill="ffffff"/>
        </w:rPr>
        <w:t xml:space="preserve">ối tượng khách hàng khác nhau.</w:t>
      </w:r>
      <w:r/>
    </w:p>
    <w:p>
      <w:pPr>
        <w:pBdr/>
        <w:tabs>
          <w:tab w:val="left" w:leader="none" w:pos="426"/>
        </w:tabs>
        <w:spacing w:after="120" w:before="120" w:line="276" w:lineRule="auto"/>
        <w:ind w:right="0" w:firstLine="283" w:left="0"/>
        <w:jc w:val="both"/>
        <w:rPr/>
      </w:pPr>
      <w:r>
        <w:rPr>
          <w:shd w:val="clear" w:color="auto" w:fill="ffffff"/>
        </w:rPr>
        <w:t xml:space="preserve">Về giá cả, bất động sản tại Thanh Oai có mức dao động khá rộng, từ khoảng 20 đến hơn 100 triệu đồng/m² tùy vị trí và loại hình. Một số khu vực nổi bật như Bích Hòa, Mỹ Hưng, Kim Bài, Tam Hưng hay Cao Viên có mức giá khác nha</w:t>
      </w:r>
      <w:r>
        <w:rPr>
          <w:shd w:val="clear" w:color="auto" w:fill="ffffff"/>
        </w:rPr>
        <w:t xml:space="preserve">u, phản ánh sự đa dạng của thị trường. Đáng chú ý, giá đất tại đây đã tăng đáng kể trong những năm gần đây, từ khoảng 15 triệu đồng/m² vào năm 2020 lên khoảng 37 triệu đồng/m² vào năm 2024, cho thấy xu hướng tăng trưởng rõ rệt và sức hút lớn đối với nhà đầ</w:t>
      </w:r>
      <w:r>
        <w:rPr>
          <w:shd w:val="clear" w:color="auto" w:fill="ffffff"/>
        </w:rPr>
        <w:t xml:space="preserve">u tư.</w:t>
      </w:r>
      <w:r/>
    </w:p>
    <w:p>
      <w:pPr>
        <w:pBdr/>
        <w:tabs>
          <w:tab w:val="left" w:leader="none" w:pos="426"/>
        </w:tabs>
        <w:spacing w:after="120" w:before="120" w:line="276" w:lineRule="auto"/>
        <w:ind w:right="0" w:firstLine="283" w:left="0"/>
        <w:jc w:val="both"/>
        <w:rPr/>
      </w:pPr>
      <w:r>
        <w:rPr>
          <w:shd w:val="clear" w:color="auto" w:fill="ffffff"/>
        </w:rPr>
        <w:t xml:space="preserve">Bên cạnh tiềm năng tăng giá, Thanh Oai còn được đánh giá là khu vực có cơ hội đầu tư hấp dẫn nhờ quá trình đô thị hóa nhanh, hạ tầng ngày càng hoàn thiện và nhu cầu nhà ở tăng cao. Tuy nhiên, thị trường cũng tiềm ẩn sự cạnh tranh ngày càng lớn, đòi </w:t>
      </w:r>
      <w:r>
        <w:rPr>
          <w:shd w:val="clear" w:color="auto" w:fill="ffffff"/>
        </w:rPr>
        <w:t xml:space="preserve">hỏi nhà đầu tư phải có sự tìm hiểu kỹ lưỡng về quy hoạch, pháp lý và xu hướng phát triển để đưa ra quyết định hợp lý.</w:t>
      </w:r>
      <w:r/>
    </w:p>
    <w:p>
      <w:pPr>
        <w:pBdr/>
        <w:tabs>
          <w:tab w:val="left" w:leader="none" w:pos="426"/>
        </w:tabs>
        <w:spacing w:after="120" w:before="120" w:line="276" w:lineRule="auto"/>
        <w:ind w:right="0" w:firstLine="283" w:left="0"/>
        <w:jc w:val="both"/>
        <w:rPr/>
      </w:pPr>
      <w:r>
        <w:rPr>
          <w:shd w:val="clear" w:color="auto" w:fill="ffffff"/>
        </w:rPr>
        <w:t xml:space="preserve">Cuối cùng, bài viết đưa ra một số lưu ý quan trọng cho người mua và nhà đầu tư như: cần kiểm tra pháp lý rõ ràng, đánh giá uy tín chủ đầu</w:t>
      </w:r>
      <w:r>
        <w:rPr>
          <w:shd w:val="clear" w:color="auto" w:fill="ffffff"/>
        </w:rPr>
        <w:t xml:space="preserve"> tư, đảm bảo hợp đồng minh bạch và tránh các rủi ro liên quan đến sổ đỏ chung. Việc nắm vững thông tin thị trường và quy hoạch sẽ giúp tối ưu hiệu quả đầu tư cũng như đảm bảo an toàn trong giao dịch.</w:t>
      </w:r>
      <w:r/>
    </w:p>
    <w:p>
      <w:pPr>
        <w:pBdr/>
        <w:tabs>
          <w:tab w:val="left" w:leader="none" w:pos="426"/>
        </w:tabs>
        <w:spacing w:after="120" w:before="120" w:line="276" w:lineRule="auto"/>
        <w:ind w:right="0" w:firstLine="283" w:left="0"/>
        <w:jc w:val="both"/>
        <w:rPr/>
      </w:pPr>
      <w:r>
        <w:rPr>
          <w:shd w:val="clear" w:color="auto" w:fill="ffffff"/>
        </w:rPr>
        <w:t xml:space="preserve">Tổng thể, Thanh Oai được đánh giá là khu vực giàu tiềm </w:t>
      </w:r>
      <w:r>
        <w:rPr>
          <w:shd w:val="clear" w:color="auto" w:fill="ffffff"/>
        </w:rPr>
        <w:t xml:space="preserve">năng với nhiều lợi thế về vị trí, hạ tầng và giá cả, hứa hẹn trở thành điểm nóng bất động sản trong tương lai gần, phù hợp cho cả nhu cầu an cư và đầu tư dài hạn.</w:t>
      </w:r>
      <w:r/>
      <w:r/>
    </w:p>
    <w:p>
      <w:pPr>
        <w:pBdr/>
        <w:tabs>
          <w:tab w:val="left" w:leader="none" w:pos="426"/>
        </w:tabs>
        <w:spacing w:after="120" w:before="120" w:line="276" w:lineRule="auto"/>
        <w:ind/>
        <w:jc w:val="center"/>
        <w:rPr>
          <w:bCs/>
          <w:i/>
        </w:rPr>
      </w:pPr>
      <w:r>
        <w:rPr>
          <w:i/>
          <w:iCs/>
          <w:shd w:val="clear" w:color="auto" w:fill="ffffff"/>
        </w:rPr>
        <w:t xml:space="preserve">(Nguồn: https://onehousing.vn/blog/bat-dong-san-huyen-thanh-oai-tiem-nang-va-vi-tri-dep-n17t)</w:t>
      </w:r>
      <w:r>
        <w:rPr>
          <w:i/>
          <w:iCs/>
          <w:lang w:val="pt-BR"/>
        </w:rPr>
      </w:r>
      <w:r>
        <w:rPr>
          <w:i/>
          <w:iCs/>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44, tờ bản đồ số: 18, có địa chỉ: Thôn Hoàng Trung, xã Hồng Dương, huyện Thanh Oai, thành phố Hà Nội (</w:t>
            </w:r>
            <w:r>
              <w:rPr>
                <w:b/>
                <w:bCs/>
                <w:i/>
                <w:iCs/>
                <w:color w:val="000000"/>
              </w:rPr>
              <w:t xml:space="preserve">nay là Thôn Hoàng Trung, xã Dân Hoà, thành phố Hà Nội</w:t>
            </w:r>
            <w:r>
              <w:rPr>
                <w:b/>
                <w:bCs/>
                <w:color w:val="000000"/>
              </w:rPr>
              <w:t xml:space="preserve">) theo Giấy chứng nh</w:t>
            </w:r>
            <w:r>
              <w:rPr>
                <w:b/>
                <w:bCs/>
                <w:color w:val="000000"/>
              </w:rPr>
              <w:t xml:space="preserve">ận quyền sử dụng đất, quyền sở hữu tài sản gắn liền với đất số: AA 00814702, Số vào sổ cấp GCN: 00346 do Chi nhánh Văn phòng Đăng ký Đất đai Hà Nội - Huyện Thanh Oai cấp ngày 04/4/2025; Chủ sử dụng đất là Ông Nguyễn Hồng Hà và vợ Nguyễn Thị Hương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44</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18</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bCs w:val="0"/>
                <w:i w:val="0"/>
                <w:color w:val="000000"/>
              </w:rPr>
            </w:pPr>
            <w:r>
              <w:rPr>
                <w:color w:val="000000"/>
              </w:rPr>
              <w:t xml:space="preserve">Thôn Hoàng Trung xã Hồng Dương huyện Thanh Oai thành phố Hà Nội (</w:t>
            </w:r>
            <w:r>
              <w:rPr>
                <w:i/>
                <w:iCs/>
                <w:color w:val="000000"/>
              </w:rPr>
              <w:t xml:space="preserve">nay là thôn Hoàng Trung, xã Dân Hoà, thành phố Hà Nội)</w:t>
            </w:r>
            <w:r>
              <w:rPr>
                <w:i w:val="0"/>
                <w:iCs w:val="0"/>
                <w:color w:val="000000"/>
              </w:rPr>
            </w:r>
            <w:r>
              <w:rPr>
                <w:bCs w:val="0"/>
                <w:i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147,0</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chủ tài sản cung cấp, Tổ thẩm định không thu được bất kỳ thông tin quy hoạch nào liên quan đến thửa đất.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Cầu Kênh 4</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1 mặt đường, phố + 1 mặt ngõ</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11,0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QL21B khoảng 1,4km.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white"/>
              </w:rPr>
            </w:pPr>
            <w:r/>
            <w:bookmarkStart w:id="3" w:name="OLE_LINK1"/>
            <w:r>
              <w:rPr>
                <w:color w:val="000000" w:themeColor="text1"/>
              </w:rPr>
            </w:r>
            <w:bookmarkEnd w:id="3"/>
            <w:r>
              <w:t xml:space="preserve">+ </w:t>
            </w:r>
            <w:r>
              <w:rPr>
                <w:highlight w:val="white"/>
              </w:rPr>
              <w:t xml:space="preserve">Hư</w:t>
            </w:r>
            <w:r>
              <w:rPr>
                <w:highlight w:val="white"/>
              </w:rPr>
              <w:t xml:space="preserve">ớng Nam:</w:t>
            </w:r>
            <w:r>
              <w:rPr>
                <w:highlight w:val="white"/>
              </w:rPr>
              <w:t xml:space="preserve"> Tiếp giáp đường giao thông;</w:t>
            </w:r>
            <w:r>
              <w:rPr>
                <w:color w:val="000000" w:themeColor="text1"/>
                <w:highlight w:val="white"/>
              </w:rPr>
            </w:r>
          </w:p>
          <w:p>
            <w:pPr>
              <w:pBdr/>
              <w:spacing/>
              <w:ind/>
              <w:rPr>
                <w:highlight w:val="white"/>
              </w:rPr>
            </w:pPr>
            <w:r>
              <w:rPr>
                <w:highlight w:val="white"/>
              </w:rPr>
              <w:t xml:space="preserve">+ Hướng Đông:</w:t>
            </w:r>
            <w:r>
              <w:rPr>
                <w:highlight w:val="white"/>
              </w:rPr>
              <w:t xml:space="preserve"> T</w:t>
            </w:r>
            <w:r>
              <w:rPr>
                <w:highlight w:val="white"/>
              </w:rPr>
              <w:t xml:space="preserve">iếp giáp đường giao thông;</w:t>
            </w:r>
            <w:r>
              <w:rPr>
                <w:highlight w:val="white"/>
              </w:rPr>
            </w:r>
            <w:r>
              <w:rPr>
                <w:color w:val="000000" w:themeColor="text1"/>
                <w:highlight w:val="white"/>
              </w:rPr>
            </w:r>
          </w:p>
          <w:p>
            <w:pPr>
              <w:pBdr/>
              <w:spacing/>
              <w:ind/>
              <w:rPr>
                <w:color w:val="000000" w:themeColor="text1"/>
                <w:highlight w:val="white"/>
              </w:rPr>
            </w:pPr>
            <w:r>
              <w:rPr>
                <w:highlight w:val="white"/>
              </w:rPr>
              <w:t xml:space="preserve">+ Các hướng còn lại: Tiếp giáp các thửa còn lại.</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20.801861111111</w:t>
            </w:r>
            <w:r>
              <w:rPr>
                <w:color w:val="000000"/>
              </w:rPr>
              <w:t xml:space="preserve">, </w:t>
            </w:r>
            <w:r>
              <w:rPr>
                <w:color w:val="000000"/>
              </w:rPr>
              <w:t xml:space="preserve">105.79077777778</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2573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2573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35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147,0</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16,33</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Tóp hậu</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thẩm định giá, Tổ thẩm định xác định trên đất có CTXD nhà C4 lợp tôn, xây dựng đã lâu, hiện đang sử dụng bình thường. CTXD chưa được công nhận trên GCN QSDĐ.</w:t>
            </w:r>
            <w:r>
              <w:rPr>
                <w:color w:val="000000"/>
              </w:rPr>
            </w:r>
          </w:p>
        </w:tc>
      </w:tr>
    </w:tbl>
    <w:p>
      <w:pPr>
        <w:pBdr/>
        <w:spacing/>
        <w:ind/>
        <w:rPr>
          <w:b/>
          <w:bCs/>
        </w:rPr>
      </w:pPr>
      <w:r>
        <w:rPr>
          <w:b/>
          <w:bCs/>
          <w:shd w:val="clear" w:color="auto" w:fill="ffffff"/>
        </w:rPr>
      </w:r>
      <w:r>
        <w:rPr>
          <w:b/>
          <w:bCs/>
          <w:shd w:val="clear" w:color="auto" w:fill="ffffff"/>
        </w:rPr>
      </w:r>
      <w:r>
        <w:rPr>
          <w:b/>
          <w:bCs/>
          <w:shd w:val="clear" w:color="auto" w:fill="ffffff"/>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Qua khảo sát hiện trạng tài sản thẩm định giá, Tổ thẩm định nhận thấy có Công trình xây dựng trên đất là ngôi cấp 4. Hiện công trình chưa được chứng nhận trên GCN</w:t>
      </w:r>
      <w:r>
        <w:rPr>
          <w:rFonts w:ascii="Times New Roman" w:hAnsi="Times New Roman" w:eastAsia="Times New Roman" w:cs="Times New Roman"/>
          <w:color w:val="000000"/>
          <w:sz w:val="24"/>
        </w:rPr>
        <w:t xml:space="preserve"> số:</w:t>
      </w:r>
      <w:r>
        <w:rPr>
          <w:rFonts w:ascii="Times New Roman" w:hAnsi="Times New Roman" w:eastAsia="Times New Roman" w:cs="Times New Roman"/>
          <w:b w:val="0"/>
          <w:bCs w:val="0"/>
          <w:color w:val="000000"/>
          <w:sz w:val="24"/>
        </w:rPr>
        <w:t xml:space="preserve"> </w:t>
      </w:r>
      <w:r>
        <w:rPr>
          <w:b w:val="0"/>
          <w:bCs w:val="0"/>
          <w:color w:val="000000"/>
        </w:rPr>
        <w:t xml:space="preserve">AA 00814702</w:t>
      </w:r>
      <w:r>
        <w:rPr>
          <w:rFonts w:ascii="Times New Roman" w:hAnsi="Times New Roman" w:eastAsia="Times New Roman" w:cs="Times New Roman"/>
          <w:color w:val="000000"/>
          <w:sz w:val="24"/>
        </w:rPr>
        <w:t xml:space="preserve">. Theo đề nghị của khách hàng, Tổ thẩm định không xác định giá trị của công trình hiện có trên đất, nhưng vẫn coi đó là phần không thể tách rời của tài sản thẩm định. Đề nghị đơn vị sử dụng kết quả lưu ý.</w:t>
      </w:r>
      <w:r>
        <w:rPr>
          <w:spacing w:val="-2"/>
          <w:highlight w:val="none"/>
          <w:lang w:val="pt-BR"/>
        </w:rPr>
      </w:r>
      <w:r>
        <w:rPr>
          <w:rFonts w:ascii="Times New Roman" w:hAnsi="Times New Roman" w:eastAsia="Times New Roman" w:cs="Times New Roman"/>
          <w:sz w:val="24"/>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1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Hoàng Trung, xã Dân Hoà,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Thôn Hoàng Trung, xã Dân Hoà, Thành phố Hà Nội</w:t>
            </w:r>
            <w:r>
              <w:rPr>
                <w:sz w:val="22"/>
                <w:szCs w:val="22"/>
              </w:rPr>
            </w:r>
            <w:r>
              <w:rPr>
                <w:sz w:val="22"/>
                <w:szCs w:val="22"/>
              </w:rPr>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Thôn Hoàng Trung, xã Dân Hoà, Thành phố Hà Nội</w:t>
            </w:r>
            <w:r>
              <w:rPr>
                <w:sz w:val="22"/>
                <w:szCs w:val="22"/>
              </w:rPr>
            </w:r>
            <w:r>
              <w:rPr>
                <w:sz w:val="22"/>
                <w:szCs w:val="22"/>
              </w:rPr>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Dân Hoà, Thành phố Hà Nội</w:t>
            </w:r>
            <w:r>
              <w:rPr>
                <w:sz w:val="22"/>
                <w:szCs w:val="22"/>
              </w:rPr>
            </w:r>
            <w:r>
              <w:rPr>
                <w:sz w:val="22"/>
                <w:szCs w:val="22"/>
              </w:rPr>
            </w:r>
          </w:p>
          <w:p>
            <w:pPr>
              <w:pBdr/>
              <w:spacing/>
              <w:ind/>
              <w:jc w:val="center"/>
              <w:rPr>
                <w:sz w:val="22"/>
                <w:szCs w:val="22"/>
              </w:rPr>
            </w:pPr>
            <w:r>
              <w:rPr>
                <w:color w:val="000000" w:themeColor="text1"/>
                <w:sz w:val="22"/>
                <w:szCs w:val="22"/>
              </w:rPr>
            </w:r>
            <w:r>
              <w:rPr>
                <w:sz w:val="22"/>
                <w:szCs w:val="22"/>
              </w:rPr>
            </w:r>
          </w:p>
        </w:tc>
      </w:tr>
      <w:tr>
        <w:trPr>
          <w:trHeight w:val="84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0986.974375</w:t>
            </w:r>
            <w:r>
              <w:rPr>
                <w:sz w:val="22"/>
                <w:szCs w:val="22"/>
              </w:rPr>
              <w:t xml:space="preserve"> </w:t>
            </w:r>
            <w:r>
              <w:rPr>
                <w:sz w:val="22"/>
                <w:szCs w:val="22"/>
              </w:rPr>
              <w:br/>
              <w:t xml:space="preserve">(C.</w:t>
            </w:r>
            <w:r>
              <w:rPr>
                <w:sz w:val="22"/>
                <w:szCs w:val="22"/>
              </w:rPr>
              <w:t xml:space="preserve">Ngân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0362.542999</w:t>
            </w:r>
            <w:r>
              <w:rPr>
                <w:sz w:val="22"/>
                <w:szCs w:val="22"/>
              </w:rPr>
              <w:br/>
            </w:r>
            <w:r>
              <w:rPr>
                <w:sz w:val="22"/>
                <w:szCs w:val="22"/>
              </w:rPr>
              <w:t xml:space="preserve">(C.</w:t>
            </w:r>
            <w:r>
              <w:rPr>
                <w:sz w:val="22"/>
                <w:szCs w:val="22"/>
              </w:rPr>
              <w:t xml:space="preserve">Thanh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0362.542999</w:t>
            </w:r>
            <w:r>
              <w:rPr>
                <w:sz w:val="22"/>
                <w:szCs w:val="22"/>
              </w:rPr>
              <w:br/>
            </w:r>
            <w:r>
              <w:rPr>
                <w:sz w:val="22"/>
                <w:szCs w:val="22"/>
              </w:rPr>
              <w:t xml:space="preserve">(C.</w:t>
            </w:r>
            <w:r>
              <w:rPr>
                <w:sz w:val="22"/>
                <w:szCs w:val="22"/>
              </w:rPr>
              <w:t xml:space="preserve">Thanh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t xml:space="preserve">Đang giao dịch </w: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r>
              <w:rPr>
                <w:color w:val="000000"/>
                <w:sz w:val="22"/>
                <w:szCs w:val="22"/>
              </w:rPr>
              <w:t xml:space="preserve"> </w:t>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r>
      <w:tr>
        <w:trPr>
          <w:trHeight w:val="41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Hoàng Trung, xã Dân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Thôn Hoàng Trung, xã Dân Hoà, Thành phố Hà Nội</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Thôn Hoàng Trung, xã Dân Hoà, Thành phố Hà Nội</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Dân Hoà, Thành phố Hà Nội. Tiếp giáp đường trục liên xã, dân cư đông đúc</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22,71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Giao lộ Chữ 'T', bị đường đâm thẳng vào 'Thế tiền đao sát'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themeColor="text1"/>
                <w:sz w:val="22"/>
                <w:szCs w:val="22"/>
              </w:rPr>
              <w:t xml:space="preserve">Không có bất lợi</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themeColor="text1"/>
                <w:sz w:val="22"/>
                <w:szCs w:val="22"/>
              </w:rPr>
              <w:t xml:space="preserve">Không có bất lợi</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tầng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12.075.000.000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17.195.000.000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10.867.500.000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15.475.500.000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lang w:val="undefined"/>
              </w:rPr>
              <w:t xml:space="preserve">1.319.</w:t>
            </w:r>
            <w:r>
              <w:rPr>
                <w:color w:val="000000"/>
                <w:sz w:val="22"/>
                <w:szCs w:val="22"/>
              </w:rPr>
              <w:t xml:space="preserve">540.54</w:t>
            </w:r>
            <w:r>
              <w:rPr>
                <w:color w:val="000000"/>
                <w:sz w:val="22"/>
                <w:szCs w:val="22"/>
                <w:lang w:val="undefined"/>
              </w:rPr>
              <w:t xml:space="preserve">4</w:t>
            </w:r>
            <w:r>
              <w:rPr>
                <w:color w:val="000000"/>
                <w:sz w:val="22"/>
                <w:szCs w:val="22"/>
                <w:lang w:val="undefined" w:bidi="undefined"/>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14:ligatures w14:val="none"/>
              </w:rPr>
            </w:pPr>
            <w:r>
              <w:rPr>
                <w:b/>
                <w:bCs/>
                <w:color w:val="000000"/>
                <w:sz w:val="22"/>
                <w:szCs w:val="22"/>
              </w:rPr>
            </w:r>
            <w:r>
              <w:rPr>
                <w:color w:val="000000"/>
                <w:sz w:val="22"/>
                <w:szCs w:val="22"/>
                <w:lang w:val="undefined"/>
              </w:rPr>
              <w:t xml:space="preserve">Đơn giá xây dựng theo Quyết định số 425/QĐ-BXD ngày 30/3/2026 của Bộ Xây Dựng (đồng/m²)</w:t>
            </w:r>
            <w:r>
              <w:rPr>
                <w:color w:val="000000"/>
                <w:sz w:val="22"/>
                <w:szCs w:val="22"/>
                <w:lang w:val="undefined" w:bidi="undefined"/>
              </w:rPr>
            </w:r>
            <w:r>
              <w:rPr>
                <w:color w:val="000000"/>
                <w:sz w:val="22"/>
                <w:szCs w:val="22"/>
                <w:lang w:val="undefined"/>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8.370.000</w:t>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Tỷ lệ CLCL </w:t>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92%</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10.867.500.000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15.475.500.000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10.800.000.000</w:t>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103.500.000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85.500.000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158.007.658</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10.867.500.000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15.475.500.000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9.480.459.456</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103.500.000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85.500.000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158.007.658</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158.007.658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Hoàng Trung, xã Dân Hoà,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Thôn Hoàng Trung, xã Dân Hoà, Thành phố Hà Nội</w:t>
            </w: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Thôn Hoàng Trung, xã Dân Hoà, Thành phố Hà Nội</w:t>
            </w:r>
            <w: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Dân Hoà, Thành phố Hà Nội. Tiếp giáp đường trục liên xã, dân cư đông đúc</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-23.701.149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134.306.509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15.800.766</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150.107.275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147,0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-23.701.149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95.220.000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126.406.126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7,97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23.701.149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110.745.000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96.615.000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150.107.275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 (m)</w:t>
            </w:r>
            <w:r/>
            <w:r>
              <w:rPr>
                <w:b/>
                <w:bCs/>
                <w:color w:val="000000" w:themeColor="text1"/>
                <w:sz w:val="22"/>
                <w:szCs w:val="22"/>
              </w:rPr>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16,33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22,71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13,33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113.850.000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150.107.275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124.200.000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150.107.275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-7.900.383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113.850.000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94.905.000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142.206.892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-15.800.766</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113.850.000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94.905.000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126.406.126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Giao lộ Chữ 'T', bị đường đâm thẳng vào 'Thế tiền đao sát'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-18.960.919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101.430.000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84.645.000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107.445.207</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101.430.000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84.645.000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107.445.207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97.840.069</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-13,49%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9,82%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60.030.000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28.215.000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129.566.281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2.070.000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855.000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50.562.451</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-13,49</w:t>
      </w:r>
      <w:r>
        <w:t xml:space="preserve">% đến</w:t>
      </w:r>
      <w:r>
        <w:t xml:space="preserve"> </w:t>
      </w:r>
      <w:r>
        <w:t xml:space="preserve">9,82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bCs/>
          <w:i/>
        </w:rPr>
      </w:pPr>
      <w:r>
        <w:rPr>
          <w:i/>
          <w:iCs/>
          <w:highlight w:val="none"/>
        </w:rPr>
      </w:r>
      <w:r>
        <w:rPr>
          <w:i/>
          <w:iCs/>
          <w:highlight w:val="none"/>
        </w:rPr>
      </w:r>
      <w:r>
        <w:rPr>
          <w:i/>
          <w:iCs/>
          <w:highlight w:val="none"/>
        </w:rPr>
      </w:r>
    </w:p>
    <w:p>
      <w:pPr>
        <w:pBdr/>
        <w:spacing/>
        <w:ind/>
        <w:jc w:val="right"/>
        <w:rPr>
          <w:i/>
          <w:iCs/>
          <w:highlight w:val="none"/>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101.430.000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33.816.762</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84.645.000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28.212.179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107.445.207</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35.811.487</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97.840.428</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98.000.000</w:t>
            </w:r>
            <w:r>
              <w:rPr>
                <w:b/>
                <w:bCs/>
                <w:color w:val="000000"/>
              </w:rPr>
            </w:r>
          </w:p>
        </w:tc>
      </w:tr>
    </w:tbl>
    <w:p>
      <w:pPr>
        <w:pBdr/>
        <w:spacing w:after="120" w:before="120" w:line="348"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98.000.000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348"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348"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
      <w:r/>
      <w:r/>
      <w:r/>
    </w:p>
    <w:tbl>
      <w:tblPr>
        <w:tblW w:w="500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659"/>
        <w:gridCol w:w="1802"/>
        <w:gridCol w:w="2025"/>
        <w:gridCol w:w="2092"/>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86" w:type="dxa"/>
            <w:vAlign w:val="center"/>
            <w:textDirection w:val="lrTb"/>
            <w:noWrap w:val="false"/>
          </w:tcPr>
          <w:p>
            <w:pPr>
              <w:pBdr/>
              <w:spacing w:after="40" w:before="40" w:line="348" w:lineRule="auto"/>
              <w:ind/>
              <w:jc w:val="both"/>
              <w:rPr>
                <w:b/>
                <w:bCs/>
              </w:rPr>
            </w:pPr>
            <w:r>
              <w:rPr>
                <w:b/>
                <w:bCs/>
                <w:color w:val="000000"/>
              </w:rPr>
              <w:t xml:space="preserve">Quyền sử dụng đất tại thửa đất số: 44, tờ bản đồ số: 18, có địa chỉ: Thôn Hoàng Trung, xã Hồng Dương, huyện Thanh Oai, thành phố Hà Nội (</w:t>
            </w:r>
            <w:r>
              <w:rPr>
                <w:b/>
                <w:bCs/>
                <w:i/>
                <w:iCs/>
                <w:color w:val="000000"/>
              </w:rPr>
              <w:t xml:space="preserve">nay là Thôn Hoàng Trung, xã Dân Hoà, thành phố Hà Nội</w:t>
            </w:r>
            <w:r>
              <w:rPr>
                <w:b/>
                <w:bCs/>
                <w:color w:val="000000"/>
              </w:rPr>
              <w:t xml:space="preserve">) theo Giấy chứng nh</w:t>
            </w:r>
            <w:r>
              <w:rPr>
                <w:b/>
                <w:bCs/>
                <w:color w:val="000000"/>
              </w:rPr>
              <w:t xml:space="preserve">ận quyền sử dụng đất, quyền sở hữu tài sản gắn liền với đất số: AA 00814702, Số vào sổ cấp GCN: 00346 do Chi nhánh Văn phòng Đăng ký Đất đai Hà Nội - Huyện Thanh Oai cấp ngày 04/4/2025; Chủ sử dụng đất là Ông Nguyễn Hồng Hà và vợ Nguyễn Thị Hương</w:t>
            </w:r>
            <w:r>
              <w:rPr>
                <w:b/>
                <w:bCs/>
              </w:rPr>
              <w:t xml:space="preserve">.</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w:t>
            </w:r>
            <w:r/>
            <w:r/>
          </w:p>
        </w:tc>
        <w:tc>
          <w:tcPr>
            <w:shd w:val="clear" w:color="000000" w:fill="ffffff"/>
            <w:tcBorders/>
            <w:tcW w:w="2659"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147,0</w:t>
            </w:r>
            <w:r>
              <w:rPr>
                <w:color w:val="000000"/>
              </w:rPr>
            </w:r>
            <w:r>
              <w:rPr>
                <w:color w:val="000000"/>
              </w:rPr>
            </w:r>
          </w:p>
        </w:tc>
        <w:tc>
          <w:tcPr>
            <w:shd w:val="clear" w:color="000000" w:fill="ffffff"/>
            <w:tcBorders/>
            <w:tcW w:w="2025" w:type="dxa"/>
            <w:vAlign w:val="center"/>
            <w:textDirection w:val="lrTb"/>
            <w:noWrap w:val="false"/>
          </w:tcPr>
          <w:p>
            <w:pPr>
              <w:pBdr/>
              <w:spacing w:after="40" w:before="40" w:line="288" w:lineRule="auto"/>
              <w:ind/>
              <w:jc w:val="center"/>
              <w:rPr/>
            </w:pPr>
            <w:r>
              <w:rPr>
                <w:color w:val="000000" w:themeColor="text1"/>
              </w:rPr>
              <w:t xml:space="preserve">98.000.000</w:t>
            </w:r>
            <w:r/>
            <w:r/>
          </w:p>
        </w:tc>
        <w:tc>
          <w:tcPr>
            <w:shd w:val="clear" w:color="000000" w:fill="ffffff"/>
            <w:tcBorders/>
            <w:tcW w:w="2092" w:type="dxa"/>
            <w:vAlign w:val="center"/>
            <w:textDirection w:val="lrTb"/>
            <w:noWrap w:val="false"/>
          </w:tcPr>
          <w:p>
            <w:pPr>
              <w:pBdr/>
              <w:spacing w:after="40" w:before="40" w:line="288" w:lineRule="auto"/>
              <w:ind/>
              <w:jc w:val="center"/>
              <w:rPr/>
            </w:pPr>
            <w:r>
              <w:rPr>
                <w:color w:val="000000" w:themeColor="text1"/>
              </w:rPr>
              <w:t xml:space="preserve">14.406.000.000</w:t>
            </w:r>
            <w:r/>
            <w:r/>
          </w:p>
        </w:tc>
      </w:tr>
      <w:tr>
        <w:trPr>
          <w:trHeight w:val="20"/>
        </w:trPr>
        <w:tc>
          <w:tcPr>
            <w:gridSpan w:val="4"/>
            <w:tcBorders/>
            <w:tcW w:w="743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rPr>
              <w:t xml:space="preserve">14.406.000.000</w:t>
            </w:r>
            <w:r>
              <w:rPr>
                <w:b/>
                <w:bCs/>
                <w:color w:val="000000"/>
              </w:rPr>
            </w:r>
            <w:r>
              <w:rPr>
                <w:b/>
                <w:bCs/>
                <w:color w:val="000000"/>
              </w:rPr>
            </w:r>
          </w:p>
        </w:tc>
      </w:tr>
      <w:tr>
        <w:trPr>
          <w:trHeight w:val="20"/>
        </w:trPr>
        <w:tc>
          <w:tcPr>
            <w:gridSpan w:val="5"/>
            <w:tcBorders/>
            <w:tcW w:w="9531"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bốn trăm lẻ sáu triệu</w:t>
            </w:r>
            <w:r>
              <w:rPr>
                <w:b/>
                <w:bCs/>
                <w:i/>
                <w:iCs/>
                <w:color w:val="000000"/>
              </w:rPr>
              <w:t xml:space="preserve"> đồng./.)</w:t>
            </w:r>
            <w:r>
              <w:rPr>
                <w:b/>
                <w:bCs/>
                <w:i/>
                <w:iCs/>
                <w:color w:val="000000"/>
              </w:rPr>
            </w:r>
            <w:r>
              <w:rPr>
                <w:b/>
                <w:bCs/>
                <w:i/>
                <w:iCs/>
                <w:color w:val="000000"/>
              </w:rPr>
            </w:r>
          </w:p>
        </w:tc>
      </w:tr>
    </w:tbl>
    <w:p>
      <w:pPr>
        <w:pStyle w:val="856"/>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348" w:lineRule="auto"/>
        <w:ind/>
        <w:jc w:val="both"/>
        <w:rPr>
          <w:bCs/>
          <w:spacing w:val="-2"/>
          <w:lang w:val="pt-BR"/>
        </w:rPr>
      </w:pPr>
      <w:r>
        <w:rPr>
          <w:bCs/>
          <w:spacing w:val="-2"/>
          <w:lang w:val="pt-BR"/>
        </w:rPr>
        <w:t xml:space="preserve">Tại </w:t>
      </w:r>
      <w:r>
        <w:rPr>
          <w:color w:val="000000"/>
        </w:rPr>
        <w:t xml:space="preserve"> thời điểm thẩm định giá, Tổ thẩm định xác định trên đất có CTXD là ngôi nhà cấp 4 lợp tôn, xây dựng đã lâu, hiện đang sử dụng bình thường. CTXD chưa được công nhận trên GCN QSDĐ. T</w:t>
      </w:r>
      <w:r>
        <w:rPr>
          <w:rFonts w:ascii="Times New Roman" w:hAnsi="Times New Roman" w:eastAsia="Times New Roman" w:cs="Times New Roman"/>
          <w:color w:val="000000"/>
          <w:sz w:val="24"/>
        </w:rPr>
        <w:t xml:space="preserve">ổ thẩm định không nhận được các hồ sơ pháp lý khác liên quan đến các công trìn</w:t>
      </w:r>
      <w:r>
        <w:rPr>
          <w:rFonts w:ascii="Times New Roman" w:hAnsi="Times New Roman" w:eastAsia="Times New Roman" w:cs="Times New Roman"/>
          <w:color w:val="000000"/>
          <w:sz w:val="24"/>
        </w:rPr>
        <w:t xml:space="preserve">h xây dựng. Do vậy, theo yêu cầu của Ngân hàng/khách hàng, Tổ thẩm định không xác định giá trị công trình vào tổng giá trị tài sản nhưng vẫn coi đó là phần không thể tách rời của tài sản thẩm định.</w:t>
      </w:r>
      <w:r/>
      <w:r>
        <w:rPr>
          <w:bCs/>
          <w:spacing w:val="-2"/>
          <w:lang w:val="pt-BR"/>
        </w:rPr>
      </w:r>
      <w:r>
        <w:rPr>
          <w:bCs/>
          <w:spacing w:val="-2"/>
          <w:lang w:val="pt-BR"/>
        </w:rPr>
      </w:r>
    </w:p>
    <w:p>
      <w:pPr>
        <w:pStyle w:val="856"/>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34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85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275/2026/0556/VFI-CT.63.A</w:t>
      </w:r>
      <w:r>
        <w:rPr>
          <w:color w:val="ff0000"/>
          <w:lang w:val="vi-VN"/>
        </w:rPr>
        <w:t xml:space="preserve"> </w:t>
      </w:r>
      <w:r>
        <w:rPr>
          <w:color w:val="000000" w:themeColor="text1"/>
        </w:rPr>
        <w:t xml:space="preserve">ngày 10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275/2026/0556/VFI-BC.63.A</w:t>
      </w:r>
      <w:r>
        <w:rPr>
          <w:i/>
          <w:lang w:val="pt-BR"/>
        </w:rPr>
        <w:t xml:space="preserve"> ngày </w:t>
      </w:r>
      <w:r>
        <w:rPr>
          <w:i/>
          <w:lang w:val="pt-BR"/>
        </w:rPr>
        <w:t xml:space="preserve">10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49586" cy="250654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53856" name=""/>
                              <pic:cNvPicPr>
                                <a:picLocks noChangeAspect="1"/>
                              </pic:cNvPicPr>
                              <pic:nvPr/>
                            </pic:nvPicPr>
                            <pic:blipFill rotWithShape="1">
                              <a:blip r:embed="rId18"/>
                              <a:stretch/>
                            </pic:blipFill>
                            <pic:spPr bwMode="auto">
                              <a:xfrm flipH="0" flipV="0">
                                <a:off x="0" y="0"/>
                                <a:ext cx="2149585" cy="25065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9.26pt;height:197.3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4389" cy="213329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02490" name=""/>
                              <pic:cNvPicPr>
                                <a:picLocks noChangeAspect="1"/>
                              </pic:cNvPicPr>
                              <pic:nvPr/>
                            </pic:nvPicPr>
                            <pic:blipFill rotWithShape="1">
                              <a:blip r:embed="rId19"/>
                              <a:stretch/>
                            </pic:blipFill>
                            <pic:spPr bwMode="auto">
                              <a:xfrm flipH="0" flipV="0">
                                <a:off x="0" y="0"/>
                                <a:ext cx="2844389" cy="2133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3.97pt;height:167.9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5268" cy="182645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45539" name=""/>
                              <pic:cNvPicPr>
                                <a:picLocks noChangeAspect="1"/>
                              </pic:cNvPicPr>
                              <pic:nvPr/>
                            </pic:nvPicPr>
                            <pic:blipFill rotWithShape="1">
                              <a:blip r:embed="rId20"/>
                              <a:stretch/>
                            </pic:blipFill>
                            <pic:spPr bwMode="auto">
                              <a:xfrm flipH="0" flipV="0">
                                <a:off x="0" y="0"/>
                                <a:ext cx="2435267" cy="18264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1.75pt;height:143.82pt;mso-wrap-distance-left:0.00pt;mso-wrap-distance-top:0.00pt;mso-wrap-distance-right:0.00pt;mso-wrap-distance-bottom:0.00pt;z-index:1;" stroked="false">
                      <v:imagedata r:id="rId20" o:title=""/>
                      <o:lock v:ext="edit" rotation="t"/>
                    </v:shape>
                  </w:pict>
                </mc:Fallback>
              </mc:AlternateContent>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3046" cy="18247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34016" name=""/>
                              <pic:cNvPicPr>
                                <a:picLocks noChangeAspect="1"/>
                              </pic:cNvPicPr>
                              <pic:nvPr/>
                            </pic:nvPicPr>
                            <pic:blipFill rotWithShape="1">
                              <a:blip r:embed="rId21"/>
                              <a:stretch/>
                            </pic:blipFill>
                            <pic:spPr bwMode="auto">
                              <a:xfrm flipH="0" flipV="0">
                                <a:off x="0" y="0"/>
                                <a:ext cx="2433045" cy="1824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1.58pt;height:143.6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4960" cy="200622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870940" name=""/>
                              <pic:cNvPicPr>
                                <a:picLocks noChangeAspect="1"/>
                              </pic:cNvPicPr>
                              <pic:nvPr/>
                            </pic:nvPicPr>
                            <pic:blipFill rotWithShape="1">
                              <a:blip r:embed="rId22"/>
                              <a:stretch/>
                            </pic:blipFill>
                            <pic:spPr bwMode="auto">
                              <a:xfrm flipH="0" flipV="0">
                                <a:off x="0" y="0"/>
                                <a:ext cx="2674959" cy="20062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63pt;height:157.9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6580" cy="21574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31640" name=""/>
                              <pic:cNvPicPr>
                                <a:picLocks noChangeAspect="1"/>
                              </pic:cNvPicPr>
                              <pic:nvPr/>
                            </pic:nvPicPr>
                            <pic:blipFill rotWithShape="1">
                              <a:blip r:embed="rId23"/>
                              <a:stretch/>
                            </pic:blipFill>
                            <pic:spPr bwMode="auto">
                              <a:xfrm flipH="0" flipV="0">
                                <a:off x="0" y="0"/>
                                <a:ext cx="2876579" cy="2157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50pt;height:169.88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275/2026/0556/VFI-BC.63.A</w:t>
      </w:r>
      <w:r>
        <w:rPr>
          <w:i/>
          <w:lang w:val="pt-BR"/>
        </w:rPr>
        <w:t xml:space="preserve"> ngày </w:t>
      </w:r>
      <w:r>
        <w:rPr>
          <w:i/>
          <w:lang w:val="pt-BR"/>
        </w:rPr>
        <w:t xml:space="preserve">10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0986.974375</w:t>
            </w:r>
            <w:r>
              <w:rPr>
                <w:sz w:val="22"/>
                <w:szCs w:val="22"/>
              </w:rPr>
              <w:t xml:space="preserve"> </w:t>
            </w:r>
            <w:r>
              <w:rPr>
                <w:sz w:val="22"/>
                <w:szCs w:val="22"/>
              </w:rPr>
              <w:br/>
              <w:t xml:space="preserve">(C.Ngân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12.075.000.000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10.867.500.000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Dân Hoà, thành phố Hà Nội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5.3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613438603" name="" descr=""/>
                              <pic:cNvPicPr/>
                              <pic:nvPr/>
                            </pic:nvPicPr>
                            <pic:blipFill rotWithShape="1">
                              <a:blip r:embed="rId26"/>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495107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471889272" name="" descr=""/>
                              <pic:cNvPicPr/>
                              <pic:nvPr/>
                            </pic:nvPicPr>
                            <pic:blipFill rotWithShape="1">
                              <a:blip r:embed="rId27"/>
                              <a:stretch/>
                            </pic:blipFill>
                            <pic:spPr bwMode="auto">
                              <a:xfrm>
                                <a:off x="0" y="0"/>
                                <a:ext cx="495106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9.8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0362.542999</w:t>
            </w:r>
            <w:r>
              <w:rPr>
                <w:sz w:val="22"/>
                <w:szCs w:val="22"/>
              </w:rPr>
              <w:t xml:space="preserve"> </w:t>
            </w:r>
            <w:r>
              <w:rPr>
                <w:sz w:val="22"/>
                <w:szCs w:val="22"/>
              </w:rPr>
              <w:br/>
              <w:t xml:space="preserve">(C.Thanh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17.195.000.000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15.475.500.000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3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Dân Hoà, thành phố Hà Nội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3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8700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674745295" name="" descr=""/>
                              <pic:cNvPicPr/>
                              <pic:nvPr/>
                            </pic:nvPicPr>
                            <pic:blipFill rotWithShape="1">
                              <a:blip r:embed="rId29"/>
                              <a:stretch/>
                            </pic:blipFill>
                            <pic:spPr bwMode="auto">
                              <a:xfrm>
                                <a:off x="0" y="0"/>
                                <a:ext cx="238700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9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Chu Thế Hiển</w:t>
            </w:r>
            <w:r/>
          </w:p>
        </w:tc>
      </w:tr>
    </w:tbl>
    <w:p>
      <w:pPr>
        <w:pBdr/>
        <w:spacing w:after="200" w:line="276" w:lineRule="auto"/>
        <w:ind/>
        <w:rPr>
          <w:iCs/>
          <w:lang w:val="pt-BR"/>
        </w:rPr>
      </w:pP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0362.542999</w:t>
            </w:r>
            <w:r>
              <w:rPr>
                <w:sz w:val="22"/>
                <w:szCs w:val="22"/>
              </w:rPr>
              <w:t xml:space="preserve"> </w:t>
            </w:r>
            <w:r>
              <w:rPr>
                <w:sz w:val="22"/>
                <w:szCs w:val="22"/>
              </w:rPr>
              <w:br/>
              <w:t xml:space="preserve">(C.Thanh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Dân Hoà, thành phố Hà Nội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3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6167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4616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72.5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jc w:val="center"/>
        <w:rPr>
          <w:b/>
          <w:bCs/>
          <w:iCs/>
          <w:highlight w:val="none"/>
          <w:lang w:val="pt-BR"/>
        </w:rPr>
      </w:pPr>
      <w:r>
        <w:rPr>
          <w:b/>
          <w:bCs/>
          <w:iCs/>
          <w:lang w:val="pt-BR"/>
        </w:rPr>
        <w:t xml:space="preserve">PHIẾU KHẢO SÁT</w:t>
      </w:r>
      <w:r>
        <w:rPr>
          <w:b/>
          <w:bCs/>
          <w:i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301653" cy="823462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26158" name=""/>
                        <pic:cNvPicPr>
                          <a:picLocks noChangeAspect="1"/>
                        </pic:cNvPicPr>
                        <pic:nvPr/>
                      </pic:nvPicPr>
                      <pic:blipFill rotWithShape="1">
                        <a:blip r:embed="rId34"/>
                        <a:srcRect l="0" t="14406" r="0" b="15759"/>
                        <a:stretch/>
                      </pic:blipFill>
                      <pic:spPr bwMode="auto">
                        <a:xfrm flipH="0" flipV="0">
                          <a:off x="0" y="0"/>
                          <a:ext cx="5301652" cy="8234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7.45pt;height:648.40pt;mso-wrap-distance-left:0.00pt;mso-wrap-distance-top:0.00pt;mso-wrap-distance-right:0.00pt;mso-wrap-distance-bottom:0.00pt;z-index:1;" stroked="false">
                <v:imagedata r:id="rId34" o:title="" croptop="9441f" cropleft="0f" cropbottom="10328f" cropright="0f"/>
                <o:lock v:ext="edit" rotation="t"/>
              </v:shape>
            </w:pict>
          </mc:Fallback>
        </mc:AlternateContent>
      </w:r>
      <w:r>
        <w:rPr>
          <w:b/>
          <w:bCs/>
          <w:iCs/>
          <w:highlight w:val="none"/>
          <w:lang w:val="pt-BR"/>
        </w:rPr>
      </w:r>
      <w:r/>
      <w:r>
        <w:rPr>
          <w:b/>
          <w:bCs/>
          <w:iCs/>
          <w:highlight w:val="none"/>
          <w:lang w:val="pt-BR"/>
        </w:rPr>
      </w:r>
      <w:r>
        <w:rPr>
          <w:b/>
          <w:bCs/>
          <w:iCs/>
          <w:highlight w:val="none"/>
          <w:lang w:val="pt-BR"/>
        </w:rPr>
      </w:r>
      <w:r>
        <w:rPr>
          <w:b/>
          <w:bCs/>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t xml:space="preserve">HỒ SƠ PHÁP LÝ </w:t>
      </w:r>
      <w:r>
        <w:rPr>
          <w:b/>
          <w:bCs/>
        </w:rPr>
      </w:r>
    </w:p>
    <w:p>
      <w:pPr>
        <w:pBdr/>
        <w:spacing w:after="200" w:line="276" w:lineRule="auto"/>
        <w:ind/>
        <w:jc w:val="left"/>
        <w:rPr>
          <w:b/>
          <w:bCs/>
        </w:rPr>
      </w:pPr>
      <w:r>
        <w:rPr>
          <w:b/>
          <w:bCs/>
          <w:iCs/>
          <w:highlight w:val="none"/>
          <w:lang w:val="pt-BR"/>
        </w:rPr>
      </w:r>
      <w:r/>
      <w:r>
        <mc:AlternateContent>
          <mc:Choice Requires="wpg">
            <w:drawing>
              <wp:inline xmlns:wp="http://schemas.openxmlformats.org/drawingml/2006/wordprocessingDrawing" distT="0" distB="0" distL="0" distR="0">
                <wp:extent cx="3129587" cy="412105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4877" name=""/>
                        <pic:cNvPicPr>
                          <a:picLocks noChangeAspect="1"/>
                        </pic:cNvPicPr>
                        <pic:nvPr/>
                      </pic:nvPicPr>
                      <pic:blipFill rotWithShape="1">
                        <a:blip r:embed="rId35"/>
                        <a:srcRect l="1927" t="3559" r="4991" b="4513"/>
                        <a:stretch/>
                      </pic:blipFill>
                      <pic:spPr bwMode="auto">
                        <a:xfrm flipH="0" flipV="0">
                          <a:off x="0" y="0"/>
                          <a:ext cx="3129586" cy="41210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46.42pt;height:324.49pt;mso-wrap-distance-left:0.00pt;mso-wrap-distance-top:0.00pt;mso-wrap-distance-right:0.00pt;mso-wrap-distance-bottom:0.00pt;z-index:1;" stroked="false">
                <v:imagedata r:id="rId35" o:title="" croptop="2332f" cropleft="1263f" cropbottom="2958f" cropright="3271f"/>
                <o:lock v:ext="edit" rotation="t"/>
              </v:shape>
            </w:pict>
          </mc:Fallback>
        </mc:AlternateContent>
      </w:r>
      <w:r/>
      <w:r>
        <w:rPr>
          <w:b/>
          <w:bCs/>
          <w:iCs/>
          <w:highlight w:val="none"/>
          <w:lang w:val="pt-BR"/>
        </w:rPr>
      </w:r>
      <w:r>
        <w:rPr>
          <w:b/>
          <w:bCs/>
          <w:iCs/>
          <w:highlight w:val="none"/>
          <w:lang w:val="pt-BR"/>
        </w:rPr>
        <w:t xml:space="preserve"> </w:t>
      </w:r>
      <w:r/>
      <w:r>
        <mc:AlternateContent>
          <mc:Choice Requires="wpg">
            <w:drawing>
              <wp:inline xmlns:wp="http://schemas.openxmlformats.org/drawingml/2006/wordprocessingDrawing" distT="0" distB="0" distL="0" distR="0">
                <wp:extent cx="2811878" cy="401039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498630" name=""/>
                        <pic:cNvPicPr>
                          <a:picLocks noChangeAspect="1"/>
                        </pic:cNvPicPr>
                        <pic:nvPr/>
                      </pic:nvPicPr>
                      <pic:blipFill rotWithShape="1">
                        <a:blip r:embed="rId36"/>
                        <a:srcRect l="2561" t="4679" r="13012" b="5012"/>
                        <a:stretch/>
                      </pic:blipFill>
                      <pic:spPr bwMode="auto">
                        <a:xfrm flipH="0" flipV="0">
                          <a:off x="0" y="0"/>
                          <a:ext cx="2811877" cy="4010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21.41pt;height:315.78pt;mso-wrap-distance-left:0.00pt;mso-wrap-distance-top:0.00pt;mso-wrap-distance-right:0.00pt;mso-wrap-distance-bottom:0.00pt;z-index:1;" stroked="false">
                <v:imagedata r:id="rId36" o:title="" croptop="3066f" cropleft="1678f" cropbottom="3285f" cropright="8528f"/>
                <o:lock v:ext="edit" rotation="t"/>
              </v:shape>
            </w:pict>
          </mc:Fallback>
        </mc:AlternateContent>
      </w:r>
      <w:r/>
      <w:r>
        <w:rPr>
          <w:b/>
          <w:bCs/>
          <w:iCs/>
          <w:highlight w:val="none"/>
          <w:lang w:val="pt-BR"/>
        </w:rPr>
      </w: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B028A8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279</cp:revision>
  <dcterms:created xsi:type="dcterms:W3CDTF">2025-09-15T09:58:00Z</dcterms:created>
  <dcterms:modified xsi:type="dcterms:W3CDTF">2026-04-10T08:26:27Z</dcterms:modified>
</cp:coreProperties>
</file>