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7635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7635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275/2026/0630/VFI-CT.63.A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SẢN XUẤT THƯƠNG MẠI WAF QUANG HUY</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b w:val="0"/>
                                <w:bCs w:val="0"/>
                              </w:rPr>
                              <w:t xml:space="preserve">Q</w:t>
                            </w:r>
                            <w:r>
                              <w:rPr>
                                <w:color w:val="000000"/>
                              </w:rPr>
                              <w:t xml:space="preserve">uyền sử dụng đất thuê trả tiền một lần tại thửa đất số: ./., tờ bản đồ số: ./., có địa chỉ: </w:t>
                            </w:r>
                            <w:r>
                              <w:rPr>
                                <w:color w:val="000000" w:themeColor="text1"/>
                              </w:rPr>
                              <w:t xml:space="preserve">22</w:t>
                            </w:r>
                            <w:r>
                              <w:rPr>
                                <w:color w:val="000000" w:themeColor="text1"/>
                              </w:rPr>
                              <w:t xml:space="preserve">-CN4, Cụm công nghiệp làng nghề, xã Văn Tự, huyện Thường Tín, thành phố Hà Nội </w:t>
                            </w:r>
                            <w:r>
                              <w:rPr>
                                <w:i/>
                                <w:iCs/>
                                <w:color w:val="000000" w:themeColor="text1"/>
                              </w:rPr>
                              <w:t xml:space="preserve">(nay là 2</w:t>
                            </w:r>
                            <w:r>
                              <w:rPr>
                                <w:i/>
                                <w:iCs/>
                                <w:color w:val="000000" w:themeColor="text1"/>
                              </w:rPr>
                              <w:t xml:space="preserve">2</w:t>
                            </w:r>
                            <w:r>
                              <w:rPr>
                                <w:i/>
                                <w:iCs/>
                                <w:color w:val="000000" w:themeColor="text1"/>
                              </w:rPr>
                              <w:t xml:space="preserve">-C</w:t>
                            </w:r>
                            <w:r>
                              <w:rPr>
                                <w:i/>
                                <w:iCs/>
                                <w:color w:val="000000"/>
                              </w:rPr>
                              <w:t xml:space="preserve">N4, Cụm công nghiệp làng nghề, xã Phú Xuyên, thành phố Hà N</w:t>
                            </w:r>
                            <w:r>
                              <w:rPr>
                                <w:i/>
                                <w:iCs/>
                                <w:color w:val="000000"/>
                              </w:rPr>
                              <w:t xml:space="preserve">ội)</w:t>
                            </w:r>
                            <w:r>
                              <w:rPr>
                                <w:color w:val="000000"/>
                              </w:rPr>
                              <w:t xml:space="preserve"> theo Giấy chứng nhận quyền sử dụng đất, quyền sở hữu nhà ở và tài sản khác gắn liền với đất số: CT 238998, Số vào sổ cấp GCN: CS 135</w:t>
                            </w:r>
                            <w:r>
                              <w:rPr>
                                <w:color w:val="000000" w:themeColor="text1"/>
                                <w:highlight w:val="white"/>
                              </w:rPr>
                              <w:t xml:space="preserve">84</w:t>
                            </w:r>
                            <w:r>
                              <w:rPr>
                                <w:color w:val="000000" w:themeColor="text1"/>
                                <w:highlight w:val="white"/>
                              </w:rPr>
                              <w:t xml:space="preserve"> </w:t>
                            </w:r>
                            <w:r>
                              <w:rPr>
                                <w:color w:val="000000"/>
                              </w:rPr>
                              <w:t xml:space="preserve">do Sở Tài nguyên và Môi trường Thành phố Hà Nội cấp ngày 15/10/2019; Chủ sử dụng đất là Hộ Kinh doanh Nguyễn Thị Sửa</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96.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275/2026/0630/VFI-CT.63.A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SẢN XUẤT THƯƠNG MẠI WAF QUANG HUY</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b w:val="0"/>
                          <w:bCs w:val="0"/>
                        </w:rPr>
                        <w:t xml:space="preserve">Q</w:t>
                      </w:r>
                      <w:r>
                        <w:rPr>
                          <w:color w:val="000000"/>
                        </w:rPr>
                        <w:t xml:space="preserve">uyền sử dụng đất thuê trả tiền một lần tại thửa đất số: ./., tờ bản đồ số: ./., có địa chỉ: </w:t>
                      </w:r>
                      <w:r>
                        <w:rPr>
                          <w:color w:val="000000" w:themeColor="text1"/>
                        </w:rPr>
                        <w:t xml:space="preserve">22</w:t>
                      </w:r>
                      <w:r>
                        <w:rPr>
                          <w:color w:val="000000" w:themeColor="text1"/>
                        </w:rPr>
                        <w:t xml:space="preserve">-CN4, Cụm công nghiệp làng nghề, xã Văn Tự, huyện Thường Tín, thành phố Hà Nội </w:t>
                      </w:r>
                      <w:r>
                        <w:rPr>
                          <w:i/>
                          <w:iCs/>
                          <w:color w:val="000000" w:themeColor="text1"/>
                        </w:rPr>
                        <w:t xml:space="preserve">(nay là 2</w:t>
                      </w:r>
                      <w:r>
                        <w:rPr>
                          <w:i/>
                          <w:iCs/>
                          <w:color w:val="000000" w:themeColor="text1"/>
                        </w:rPr>
                        <w:t xml:space="preserve">2</w:t>
                      </w:r>
                      <w:r>
                        <w:rPr>
                          <w:i/>
                          <w:iCs/>
                          <w:color w:val="000000" w:themeColor="text1"/>
                        </w:rPr>
                        <w:t xml:space="preserve">-C</w:t>
                      </w:r>
                      <w:r>
                        <w:rPr>
                          <w:i/>
                          <w:iCs/>
                          <w:color w:val="000000"/>
                        </w:rPr>
                        <w:t xml:space="preserve">N4, Cụm công nghiệp làng nghề, xã Phú Xuyên, thành phố Hà N</w:t>
                      </w:r>
                      <w:r>
                        <w:rPr>
                          <w:i/>
                          <w:iCs/>
                          <w:color w:val="000000"/>
                        </w:rPr>
                        <w:t xml:space="preserve">ội)</w:t>
                      </w:r>
                      <w:r>
                        <w:rPr>
                          <w:color w:val="000000"/>
                        </w:rPr>
                        <w:t xml:space="preserve"> theo Giấy chứng nhận quyền sử dụng đất, quyền sở hữu nhà ở và tài sản khác gắn liền với đất số: CT 238998, Số vào sổ cấp GCN: CS 135</w:t>
                      </w:r>
                      <w:r>
                        <w:rPr>
                          <w:color w:val="000000" w:themeColor="text1"/>
                          <w:highlight w:val="white"/>
                        </w:rPr>
                        <w:t xml:space="preserve">84</w:t>
                      </w:r>
                      <w:r>
                        <w:rPr>
                          <w:color w:val="000000" w:themeColor="text1"/>
                          <w:highlight w:val="white"/>
                        </w:rPr>
                        <w:t xml:space="preserve"> </w:t>
                      </w:r>
                      <w:r>
                        <w:rPr>
                          <w:color w:val="000000"/>
                        </w:rPr>
                        <w:t xml:space="preserve">do Sở Tài nguyên và Môi trường Thành phố Hà Nội cấp ngày 15/10/2019; Chủ sử dụng đất là Hộ Kinh doanh Nguyễn Thị Sửa</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2: Thông tin thu thập thị trường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22-29</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1703" w:type="dxa"/>
        <w:tblBorders/>
        <w:tblLayout w:type="fixed"/>
        <w:tblLook w:val="04A0" w:firstRow="1" w:lastRow="0" w:firstColumn="1" w:lastColumn="0" w:noHBand="0" w:noVBand="1"/>
      </w:tblPr>
      <w:tblGrid>
        <w:gridCol w:w="1134"/>
        <w:gridCol w:w="1134"/>
        <w:gridCol w:w="1134"/>
        <w:gridCol w:w="1134"/>
        <w:gridCol w:w="1134"/>
      </w:tblGrid>
      <w:tr>
        <w:trPr>
          <w:trHeight w:val="1152"/>
        </w:trPr>
        <w:tc>
          <w:tcPr>
            <w:gridSpan w:val="2"/>
            <w:tcBorders/>
            <w:tcW w:w="7620"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40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6764"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275/2026/0630/VFI-CT.63.A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084"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23 tháng 4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SẢN XUẤT THƯƠNG MẠI WAF QUANG HUY</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w:t>
      </w:r>
      <w:r>
        <w:rPr>
          <w:color w:val="000000" w:themeColor="text1"/>
          <w:spacing w:val="-4"/>
          <w:highlight w:val="white"/>
          <w:lang w:val="vi-VN"/>
        </w:rPr>
        <w:t xml:space="preserve">2026/0</w:t>
      </w:r>
      <w:r>
        <w:rPr>
          <w:color w:val="000000" w:themeColor="text1"/>
          <w:spacing w:val="-4"/>
          <w:highlight w:val="white"/>
          <w:lang w:val="vi-VN"/>
        </w:rPr>
        <w:t xml:space="preserve">6</w:t>
      </w:r>
      <w:r>
        <w:rPr>
          <w:color w:val="000000" w:themeColor="text1"/>
          <w:spacing w:val="-4"/>
          <w:highlight w:val="white"/>
          <w:lang w:val="vi-VN"/>
        </w:rPr>
        <w:t xml:space="preserve">26/</w:t>
      </w:r>
      <w:r>
        <w:rPr>
          <w:color w:val="000000" w:themeColor="text1"/>
          <w:spacing w:val="-4"/>
          <w:highlight w:val="white"/>
          <w:lang w:val="vi-VN"/>
        </w:rPr>
        <w:t xml:space="preserve">V</w:t>
      </w:r>
      <w:r>
        <w:rPr>
          <w:color w:val="000000" w:themeColor="text1"/>
          <w:spacing w:val="-4"/>
          <w:lang w:val="vi-VN"/>
        </w:rPr>
        <w:t xml:space="preserve">F</w:t>
      </w:r>
      <w:r>
        <w:rPr>
          <w:color w:val="000000" w:themeColor="text1"/>
          <w:spacing w:val="-4"/>
          <w:lang w:val="vi-VN"/>
        </w:rPr>
        <w:t xml:space="preserve">I-H</w:t>
      </w:r>
      <w:r>
        <w:rPr>
          <w:color w:val="000000" w:themeColor="text1"/>
          <w:spacing w:val="-4"/>
          <w:lang w:val="vi-VN"/>
        </w:rPr>
        <w:t xml:space="preserve">ĐTĐ.63.A</w:t>
      </w:r>
      <w:r>
        <w:rPr>
          <w:spacing w:val="-4"/>
          <w:lang w:val="vi-VN"/>
        </w:rPr>
        <w:t xml:space="preserve"> ký ngày </w:t>
      </w:r>
      <w:r>
        <w:rPr>
          <w:color w:val="000000" w:themeColor="text1"/>
          <w:spacing w:val="-4"/>
        </w:rPr>
        <w:t xml:space="preserve">10 tháng 4 năm 2026</w:t>
      </w:r>
      <w:r>
        <w:rPr>
          <w:spacing w:val="-4"/>
          <w:lang w:val="vi-VN"/>
        </w:rPr>
        <w:t xml:space="preserve"> </w:t>
      </w:r>
      <w:r>
        <w:rPr>
          <w:spacing w:val="-4"/>
          <w:lang w:val="vi-VN"/>
        </w:rPr>
        <w:t xml:space="preserve">giữa </w:t>
      </w:r>
      <w:r>
        <w:rPr>
          <w:rFonts w:ascii="Times New Roman" w:hAnsi="Times New Roman" w:eastAsia="Times New Roman" w:cs="Times New Roman"/>
          <w:color w:val="000000"/>
          <w:spacing w:val="-4"/>
          <w:sz w:val="24"/>
        </w:rPr>
        <w:t xml:space="preserve">Công ty CP Sản xuất thương mại WAF Quang Huy</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275/2026/0630/VFI-BC.63.A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23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60" w:before="60" w:line="240" w:lineRule="auto"/>
              <w:ind/>
              <w:rPr>
                <w:bCs/>
                <w:lang w:val="pt-BR"/>
              </w:rPr>
            </w:pPr>
            <w:r>
              <w:rPr>
                <w:bCs/>
                <w:color w:val="000000" w:themeColor="text1"/>
                <w:lang w:val="pt-BR"/>
              </w:rPr>
              <w:t xml:space="preserve">Tên khách hàng</w:t>
            </w:r>
            <w:r>
              <w:rPr>
                <w:bCs/>
                <w:lang w:val="pt-BR"/>
              </w:rPr>
            </w:r>
            <w:r>
              <w:rPr>
                <w:bCs/>
                <w:lang w:val="pt-BR"/>
              </w:rPr>
            </w:r>
          </w:p>
        </w:tc>
        <w:tc>
          <w:tcPr>
            <w:shd w:val="clear" w:color="auto" w:fill="auto"/>
            <w:tcBorders/>
            <w:tcW w:w="248" w:type="pct"/>
            <w:vAlign w:val="center"/>
            <w:textDirection w:val="lrTb"/>
            <w:noWrap w:val="false"/>
          </w:tcPr>
          <w:p>
            <w:pPr>
              <w:pStyle w:val="1027"/>
              <w:pBdr/>
              <w:spacing w:after="60" w:before="60" w:line="240" w:lineRule="auto"/>
              <w:ind w:left="0"/>
              <w:rPr>
                <w:bCs/>
                <w:lang w:val="pt-BR"/>
              </w:rPr>
            </w:pPr>
            <w:r>
              <w:rPr>
                <w:bCs/>
                <w:lang w:val="pt-BR"/>
              </w:rPr>
              <w:t xml:space="preserve">:</w:t>
            </w:r>
            <w:r>
              <w:rPr>
                <w:bCs/>
                <w:lang w:val="pt-BR"/>
              </w:rPr>
            </w:r>
            <w:r>
              <w:rPr>
                <w:bCs/>
                <w:lang w:val="pt-BR"/>
              </w:rPr>
            </w:r>
          </w:p>
        </w:tc>
        <w:tc>
          <w:tcPr>
            <w:tcBorders/>
            <w:tcW w:w="3643" w:type="pct"/>
            <w:vAlign w:val="center"/>
            <w:textDirection w:val="lrTb"/>
            <w:noWrap w:val="false"/>
          </w:tcPr>
          <w:p>
            <w:pPr>
              <w:pBdr/>
              <w:tabs>
                <w:tab w:val="left" w:leader="none" w:pos="1186"/>
              </w:tabs>
              <w:spacing w:line="240" w:lineRule="auto"/>
              <w:ind/>
              <w:jc w:val="both"/>
              <w:rPr/>
            </w:pPr>
            <w:r>
              <w:rPr>
                <w:b/>
                <w:bCs/>
              </w:rPr>
            </w:r>
            <w:r>
              <w:rPr>
                <w:rFonts w:ascii="Times New Roman Bold" w:hAnsi="Times New Roman Bold"/>
                <w:b/>
                <w:color w:val="000000" w:themeColor="text1"/>
                <w:lang w:val="pt-BR"/>
              </w:rPr>
              <w:t xml:space="preserve">CÔNG TY CỔ PHẦN SẢN XUẤT THƯƠNG MẠI WAF QUANG HUY</w:t>
            </w:r>
            <w:r/>
          </w:p>
        </w:tc>
      </w:tr>
      <w:tr>
        <w:trPr>
          <w:trHeight w:val="20"/>
        </w:trPr>
        <w:tc>
          <w:tcPr>
            <w:shd w:val="clear" w:color="auto" w:fill="auto"/>
            <w:tcBorders/>
            <w:tcW w:w="1109" w:type="pct"/>
            <w:vAlign w:val="center"/>
            <w:textDirection w:val="lrTb"/>
            <w:noWrap w:val="false"/>
          </w:tcPr>
          <w:p>
            <w:pPr>
              <w:pBdr/>
              <w:spacing w:after="60" w:before="60" w:line="240" w:lineRule="auto"/>
              <w:ind/>
              <w:rPr>
                <w:bCs/>
                <w:lang w:val="pt-BR"/>
              </w:rPr>
            </w:pPr>
            <w:r>
              <w:rPr>
                <w:bCs/>
                <w:color w:val="000000" w:themeColor="text1"/>
                <w:lang w:val="pt-BR"/>
              </w:rPr>
              <w:t xml:space="preserve">MST:</w:t>
            </w:r>
            <w:r>
              <w:rPr>
                <w:bCs/>
                <w:lang w:val="pt-BR"/>
              </w:rPr>
            </w:r>
            <w:r>
              <w:rPr>
                <w:bCs/>
                <w:lang w:val="pt-BR"/>
              </w:rPr>
            </w:r>
          </w:p>
        </w:tc>
        <w:tc>
          <w:tcPr>
            <w:shd w:val="clear" w:color="auto" w:fill="auto"/>
            <w:tcBorders/>
            <w:tcW w:w="248" w:type="pct"/>
            <w:vAlign w:val="center"/>
            <w:textDirection w:val="lrTb"/>
            <w:noWrap w:val="false"/>
          </w:tcPr>
          <w:p>
            <w:pPr>
              <w:pStyle w:val="1027"/>
              <w:pBdr/>
              <w:spacing w:after="60" w:before="60" w:line="240" w:lineRule="auto"/>
              <w:ind w:left="0"/>
              <w:rPr>
                <w:bCs/>
                <w:lang w:val="pt-BR"/>
              </w:rPr>
            </w:pPr>
            <w:r>
              <w:rPr>
                <w:bCs/>
                <w:lang w:val="pt-BR"/>
              </w:rPr>
              <w:t xml:space="preserve">:</w:t>
            </w:r>
            <w:r>
              <w:rPr>
                <w:bCs/>
                <w:lang w:val="pt-BR"/>
              </w:rPr>
            </w:r>
            <w:r>
              <w:rPr>
                <w:bCs/>
                <w:lang w:val="pt-BR"/>
              </w:rPr>
            </w:r>
          </w:p>
        </w:tc>
        <w:tc>
          <w:tcPr>
            <w:tcBorders/>
            <w:tcW w:w="3643" w:type="pct"/>
            <w:vAlign w:val="center"/>
            <w:textDirection w:val="lrTb"/>
            <w:noWrap w:val="false"/>
          </w:tcPr>
          <w:p>
            <w:pPr>
              <w:pBdr/>
              <w:spacing w:after="40" w:before="40" w:line="240" w:lineRule="auto"/>
              <w:ind/>
              <w:jc w:val="both"/>
              <w:rPr>
                <w:color w:val="ff0000"/>
                <w:lang w:val="pt-BR"/>
              </w:rPr>
            </w:pPr>
            <w:r>
              <w:rPr>
                <w:color w:val="000000" w:themeColor="text1"/>
                <w:lang w:val="vi-VN"/>
              </w:rPr>
            </w:r>
            <w:r>
              <w:rPr>
                <w:color w:val="000000" w:themeColor="text1"/>
                <w:lang w:val="vi-VN"/>
              </w:rPr>
              <w:t xml:space="preserve">0109141954</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60" w:before="60" w:line="240" w:lineRule="auto"/>
              <w:ind/>
              <w:rPr>
                <w:bCs/>
                <w:lang w:val="pt-BR"/>
              </w:rPr>
            </w:pPr>
            <w:r>
              <w:rPr>
                <w:bCs/>
                <w:color w:val="000000" w:themeColor="text1"/>
                <w:lang w:val="pt-BR"/>
              </w:rPr>
              <w:t xml:space="preserve">Đại diện:</w:t>
            </w:r>
            <w:r>
              <w:rPr>
                <w:bCs/>
                <w:lang w:val="pt-BR"/>
              </w:rPr>
            </w:r>
            <w:r>
              <w:rPr>
                <w:bCs/>
                <w:lang w:val="pt-BR"/>
              </w:rPr>
            </w:r>
          </w:p>
        </w:tc>
        <w:tc>
          <w:tcPr>
            <w:shd w:val="clear" w:color="auto" w:fill="auto"/>
            <w:tcBorders/>
            <w:tcW w:w="248" w:type="pct"/>
            <w:vAlign w:val="center"/>
            <w:textDirection w:val="lrTb"/>
            <w:noWrap w:val="false"/>
          </w:tcPr>
          <w:p>
            <w:pPr>
              <w:pStyle w:val="1027"/>
              <w:pBdr/>
              <w:spacing w:after="60" w:before="60" w:line="240" w:lineRule="auto"/>
              <w:ind w:left="0"/>
              <w:rPr>
                <w:bCs/>
                <w:lang w:val="pt-BR"/>
              </w:rPr>
            </w:pPr>
            <w:r>
              <w:rPr>
                <w:bCs/>
                <w:lang w:val="pt-BR"/>
              </w:rPr>
              <w:t xml:space="preserve">:</w:t>
            </w:r>
            <w:r>
              <w:rPr>
                <w:bCs/>
                <w:lang w:val="pt-BR"/>
              </w:rPr>
            </w:r>
            <w:r>
              <w:rPr>
                <w:bCs/>
                <w:lang w:val="pt-BR"/>
              </w:rPr>
            </w:r>
          </w:p>
        </w:tc>
        <w:tc>
          <w:tcPr>
            <w:tcBorders/>
            <w:tcW w:w="3643" w:type="pct"/>
            <w:vAlign w:val="center"/>
            <w:textDirection w:val="lrTb"/>
            <w:noWrap w:val="false"/>
          </w:tcPr>
          <w:p>
            <w:pPr>
              <w:pBdr/>
              <w:spacing w:after="40" w:before="40" w:line="240" w:lineRule="auto"/>
              <w:ind/>
              <w:jc w:val="both"/>
              <w:rPr>
                <w:b/>
                <w:bCs/>
                <w:color w:val="ff0000"/>
              </w:rPr>
            </w:pPr>
            <w:r>
              <w:rPr>
                <w:b/>
                <w:bCs/>
                <w:color w:val="000000" w:themeColor="text1"/>
                <w:lang w:val="vi-VN"/>
              </w:rPr>
              <w:t xml:space="preserve">Bà Nguyễn Thị Sửa - Tổng Giám đốc </w:t>
            </w:r>
            <w:r>
              <w:rPr>
                <w:b/>
                <w:bCs/>
                <w:color w:val="ff0000"/>
              </w:rPr>
            </w:r>
            <w:r>
              <w:rPr>
                <w:b/>
                <w:bCs/>
                <w:color w:val="ff0000"/>
              </w:rPr>
            </w:r>
          </w:p>
        </w:tc>
      </w:tr>
      <w:tr>
        <w:trPr>
          <w:trHeight w:val="20"/>
        </w:trPr>
        <w:tc>
          <w:tcPr>
            <w:shd w:val="clear" w:color="auto" w:fill="auto"/>
            <w:tcBorders/>
            <w:tcW w:w="1109" w:type="pct"/>
            <w:vAlign w:val="center"/>
            <w:textDirection w:val="lrTb"/>
            <w:noWrap w:val="false"/>
          </w:tcPr>
          <w:p>
            <w:pPr>
              <w:pBdr/>
              <w:spacing w:after="60" w:before="60" w:line="240" w:lineRule="auto"/>
              <w:ind/>
              <w:rPr>
                <w:bCs/>
                <w:lang w:val="pt-BR"/>
              </w:rPr>
            </w:pPr>
            <w:r>
              <w:rPr>
                <w:bCs/>
                <w:color w:val="000000" w:themeColor="text1"/>
                <w:lang w:val="pt-BR"/>
              </w:rPr>
              <w:t xml:space="preserve">Địa chỉ</w:t>
            </w:r>
            <w:r>
              <w:rPr>
                <w:bCs/>
                <w:lang w:val="pt-BR"/>
              </w:rPr>
            </w:r>
            <w:r>
              <w:rPr>
                <w:bCs/>
                <w:lang w:val="pt-BR"/>
              </w:rPr>
            </w:r>
          </w:p>
        </w:tc>
        <w:tc>
          <w:tcPr>
            <w:shd w:val="clear" w:color="auto" w:fill="auto"/>
            <w:tcBorders/>
            <w:tcW w:w="248" w:type="pct"/>
            <w:vAlign w:val="center"/>
            <w:textDirection w:val="lrTb"/>
            <w:noWrap w:val="false"/>
          </w:tcPr>
          <w:p>
            <w:pPr>
              <w:pStyle w:val="1027"/>
              <w:pBdr/>
              <w:spacing w:after="60" w:before="60" w:line="240" w:lineRule="auto"/>
              <w:ind w:left="0"/>
              <w:rPr>
                <w:bCs/>
                <w:lang w:val="pt-BR"/>
              </w:rPr>
            </w:pPr>
            <w:r>
              <w:rPr>
                <w:bCs/>
                <w:lang w:val="pt-BR"/>
              </w:rPr>
              <w:t xml:space="preserve">:</w:t>
            </w:r>
            <w:r>
              <w:rPr>
                <w:bCs/>
                <w:lang w:val="pt-BR"/>
              </w:rPr>
            </w:r>
            <w:r>
              <w:rPr>
                <w:bCs/>
                <w:lang w:val="pt-BR"/>
              </w:rPr>
            </w:r>
          </w:p>
        </w:tc>
        <w:tc>
          <w:tcPr>
            <w:tcBorders/>
            <w:tcW w:w="3643" w:type="pct"/>
            <w:vAlign w:val="center"/>
            <w:textDirection w:val="lrTb"/>
            <w:noWrap w:val="false"/>
          </w:tcPr>
          <w:p>
            <w:pPr>
              <w:pBdr/>
              <w:spacing w:after="40" w:before="40" w:line="240" w:lineRule="auto"/>
              <w:ind/>
              <w:jc w:val="both"/>
              <w:rPr>
                <w:color w:val="ff0000"/>
                <w:lang w:val="pt-BR"/>
              </w:rPr>
            </w:pPr>
            <w:r>
              <w:rPr>
                <w:color w:val="000000" w:themeColor="text1"/>
                <w:lang w:val="vi-VN"/>
              </w:rPr>
              <w:t xml:space="preserve">22-CN4, Cụm công nghiệp làng nghề, xã Phú Xuyên, thành phố Hà Nội</w:t>
            </w:r>
            <w:r>
              <w:rPr>
                <w:color w:val="ff0000"/>
                <w:lang w:val="pt-BR"/>
              </w:rPr>
            </w:r>
            <w:r>
              <w:rPr>
                <w:color w:val="ff0000"/>
                <w:lang w:val="pt-BR"/>
              </w:rPr>
            </w:r>
          </w:p>
        </w:tc>
      </w:tr>
    </w:tbl>
    <w:p>
      <w:pPr>
        <w:pBdr/>
        <w:spacing w:after="120" w:before="120" w:line="240"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40"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40"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40"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40"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40"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40"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40"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40"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40"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40"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40"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40"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40"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40"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40"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40" w:lineRule="auto"/>
              <w:ind/>
              <w:jc w:val="both"/>
              <w:rPr/>
            </w:pPr>
            <w:r>
              <w:t xml:space="preserve">Thông báo</w:t>
            </w:r>
            <w:r/>
          </w:p>
        </w:tc>
        <w:tc>
          <w:tcPr>
            <w:tcBorders/>
            <w:tcW w:w="289" w:type="dxa"/>
            <w:vAlign w:val="center"/>
            <w:textDirection w:val="lrTb"/>
            <w:noWrap w:val="false"/>
          </w:tcPr>
          <w:p>
            <w:pPr>
              <w:pBdr/>
              <w:spacing w:after="40" w:before="40" w:line="240"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40"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40"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40"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40"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40"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40"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40"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264"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thuê trả tiền một lần tại thửa đất số: ./., tờ bản đồ số: ./., có địa chỉ: 22-CN4, cụm công nghiệp làng nghề, xã Văn Tự, huyện Thường Tín, thành phố Hà Nội </w:t>
      </w:r>
      <w:r>
        <w:rPr>
          <w:i/>
          <w:iCs/>
          <w:color w:val="000000" w:themeColor="text1"/>
        </w:rPr>
        <w:t xml:space="preserve">(nay là 22-CN4, cụm công nghiệp làng nghề, xã Phú Xuyên, thành phố Hà N</w:t>
      </w:r>
      <w:r>
        <w:rPr>
          <w:i/>
          <w:iCs/>
          <w:color w:val="000000" w:themeColor="text1"/>
        </w:rPr>
        <w:t xml:space="preserve">ội)</w:t>
      </w:r>
      <w:r>
        <w:rPr>
          <w:color w:val="000000" w:themeColor="text1"/>
        </w:rPr>
        <w:t xml:space="preserve"> theo Giấy chứng nhận quyền sử dụng đất, quyền sở hữu nhà ở và tài sản khác gắn liền với đất số: CT 238998, Số vào sổ cấp GCN: CS 135</w:t>
      </w:r>
      <w:r>
        <w:rPr>
          <w:color w:val="000000" w:themeColor="text1"/>
          <w:highlight w:val="white"/>
        </w:rPr>
        <w:t xml:space="preserve">84</w:t>
      </w:r>
      <w:r>
        <w:rPr>
          <w:color w:val="000000" w:themeColor="text1"/>
          <w:highlight w:val="white"/>
        </w:rPr>
        <w:t xml:space="preserve"> </w:t>
      </w:r>
      <w:r>
        <w:rPr>
          <w:color w:val="000000" w:themeColor="text1"/>
        </w:rPr>
        <w:t xml:space="preserve">do Sở Tài nguyên và Môi trường Thành phố Hà Nội cấp ngày 15/10/2019; Chủ sử dụng đất là Hộ Kinh doanh Nguyễn Thị Sửa</w:t>
      </w:r>
      <w:r>
        <w:rPr>
          <w:i/>
          <w:iCs/>
        </w:rPr>
        <w:t xml:space="preserve">.</w:t>
      </w:r>
      <w:r>
        <w:rPr>
          <w:b/>
          <w:bCs/>
        </w:rPr>
      </w:r>
      <w:r>
        <w:rPr>
          <w:b/>
          <w:bCs/>
        </w:rPr>
      </w:r>
    </w:p>
    <w:p>
      <w:pPr>
        <w:pBdr/>
        <w:spacing w:after="120" w:before="120" w:line="264"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4/2026</w:t>
      </w:r>
      <w:r>
        <w:rPr>
          <w:bCs/>
          <w:lang w:val="nl-NL"/>
        </w:rPr>
        <w:t xml:space="preserve">.</w:t>
      </w:r>
      <w:r>
        <w:rPr>
          <w:b/>
          <w:bCs/>
        </w:rPr>
      </w:r>
      <w:r>
        <w:rPr>
          <w:b/>
          <w:bCs/>
        </w:rPr>
      </w:r>
    </w:p>
    <w:p>
      <w:pPr>
        <w:pBdr/>
        <w:tabs>
          <w:tab w:val="left" w:leader="none" w:pos="851"/>
        </w:tabs>
        <w:spacing w:after="120" w:before="120" w:line="264"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264"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264"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264"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264"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64"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264"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64"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264"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4/2026</w:t>
      </w:r>
      <w:r>
        <w:rPr>
          <w:lang w:val="vi-VN"/>
        </w:rPr>
        <w:t xml:space="preserve"> ước tính</w:t>
      </w:r>
      <w:r>
        <w:t xml:space="preserve"> </w:t>
      </w:r>
      <w:r>
        <w:rPr>
          <w:lang w:val="vi-VN"/>
        </w:rPr>
        <w:t xml:space="preserve">như sau:</w:t>
      </w:r>
      <w:r/>
    </w:p>
    <w:tbl>
      <w:tblPr>
        <w:tblW w:w="4985"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3368"/>
        <w:gridCol w:w="1802"/>
        <w:gridCol w:w="1633"/>
        <w:gridCol w:w="2018"/>
      </w:tblGrid>
      <w:tr>
        <w:trPr>
          <w:trHeight w:val="20"/>
        </w:trPr>
        <w:tc>
          <w:tcPr>
            <w:shd w:val="clear" w:color="000000" w:fill="ffffff"/>
            <w:tcBorders/>
            <w:tcW w:w="675" w:type="dxa"/>
            <w:vAlign w:val="center"/>
            <w:textDirection w:val="lrTb"/>
            <w:noWrap w:val="false"/>
          </w:tcPr>
          <w:p>
            <w:pPr>
              <w:pBdr/>
              <w:spacing w:after="40" w:before="40" w:line="240" w:lineRule="auto"/>
              <w:ind/>
              <w:jc w:val="center"/>
              <w:rPr>
                <w:b/>
                <w:bCs/>
              </w:rPr>
            </w:pPr>
            <w:r>
              <w:rPr>
                <w:b/>
                <w:bCs/>
              </w:rPr>
              <w:t xml:space="preserve">TT</w:t>
            </w:r>
            <w:r>
              <w:rPr>
                <w:b/>
                <w:bCs/>
              </w:rPr>
            </w:r>
            <w:r>
              <w:rPr>
                <w:b/>
                <w:bCs/>
              </w:rPr>
            </w:r>
          </w:p>
        </w:tc>
        <w:tc>
          <w:tcPr>
            <w:shd w:val="clear" w:color="000000" w:fill="ffffff"/>
            <w:tcBorders/>
            <w:tcW w:w="3368" w:type="dxa"/>
            <w:vAlign w:val="center"/>
            <w:textDirection w:val="lrTb"/>
            <w:noWrap w:val="false"/>
          </w:tcPr>
          <w:p>
            <w:pPr>
              <w:pBdr/>
              <w:spacing w:after="40" w:before="40" w:line="240"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40" w:lineRule="auto"/>
              <w:ind/>
              <w:jc w:val="center"/>
              <w:rPr>
                <w:b/>
                <w:bCs/>
              </w:rPr>
            </w:pPr>
            <w:r>
              <w:rPr>
                <w:b/>
                <w:bCs/>
              </w:rPr>
              <w:t xml:space="preserve">Diện tích (m²)</w:t>
            </w:r>
            <w:r>
              <w:rPr>
                <w:b/>
                <w:bCs/>
              </w:rPr>
            </w:r>
            <w:r>
              <w:rPr>
                <w:b/>
                <w:bCs/>
              </w:rPr>
            </w:r>
          </w:p>
        </w:tc>
        <w:tc>
          <w:tcPr>
            <w:shd w:val="clear" w:color="000000" w:fill="ffffff"/>
            <w:tcBorders/>
            <w:tcW w:w="1633" w:type="dxa"/>
            <w:vAlign w:val="center"/>
            <w:textDirection w:val="lrTb"/>
            <w:noWrap w:val="false"/>
          </w:tcPr>
          <w:p>
            <w:pPr>
              <w:pBdr/>
              <w:spacing w:after="40" w:before="40" w:line="240" w:lineRule="auto"/>
              <w:ind/>
              <w:jc w:val="center"/>
              <w:rPr>
                <w:b/>
                <w:bCs/>
              </w:rPr>
            </w:pPr>
            <w:r>
              <w:rPr>
                <w:b/>
                <w:bCs/>
              </w:rPr>
              <w:t xml:space="preserve">Đơn giá (đồng/m²)</w:t>
            </w:r>
            <w:r>
              <w:rPr>
                <w:b/>
                <w:bCs/>
              </w:rPr>
            </w:r>
            <w:r>
              <w:rPr>
                <w:b/>
                <w:bCs/>
              </w:rPr>
            </w:r>
          </w:p>
        </w:tc>
        <w:tc>
          <w:tcPr>
            <w:shd w:val="clear" w:color="000000" w:fill="ffffff"/>
            <w:tcBorders/>
            <w:tcW w:w="2018" w:type="dxa"/>
            <w:vAlign w:val="center"/>
            <w:textDirection w:val="lrTb"/>
            <w:noWrap w:val="false"/>
          </w:tcPr>
          <w:p>
            <w:pPr>
              <w:pBdr/>
              <w:spacing w:after="40" w:before="40" w:line="240"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40" w:lineRule="auto"/>
              <w:ind/>
              <w:jc w:val="center"/>
              <w:rPr>
                <w:b/>
                <w:bCs/>
              </w:rPr>
            </w:pPr>
            <w:r>
              <w:rPr>
                <w:b/>
                <w:bCs/>
              </w:rPr>
              <w:t xml:space="preserve"> </w:t>
            </w:r>
            <w:r>
              <w:rPr>
                <w:b/>
                <w:bCs/>
              </w:rPr>
            </w:r>
            <w:r>
              <w:rPr>
                <w:b/>
                <w:bCs/>
              </w:rPr>
            </w:r>
          </w:p>
        </w:tc>
        <w:tc>
          <w:tcPr>
            <w:gridSpan w:val="3"/>
            <w:shd w:val="clear" w:color="000000" w:fill="ffffff"/>
            <w:tcBorders/>
            <w:tcW w:w="6803" w:type="dxa"/>
            <w:vAlign w:val="center"/>
            <w:textDirection w:val="lrTb"/>
            <w:noWrap w:val="false"/>
          </w:tcPr>
          <w:p>
            <w:pPr>
              <w:pBdr/>
              <w:spacing w:after="40" w:before="40" w:line="240" w:lineRule="auto"/>
              <w:ind/>
              <w:jc w:val="both"/>
              <w:rPr>
                <w:b/>
                <w:bCs/>
              </w:rPr>
            </w:pPr>
            <w:r>
              <w:rPr>
                <w:b/>
                <w:bCs/>
                <w:color w:val="000000"/>
              </w:rPr>
              <w:t xml:space="preserve">Quyền sử dụng đất thuê trả tiền một lần tại thửa đất số: ./., tờ bản đồ số: ./., có địa ch</w:t>
            </w:r>
            <w:r>
              <w:rPr>
                <w:b/>
                <w:bCs/>
                <w:color w:val="000000" w:themeColor="text1"/>
              </w:rPr>
              <w:t xml:space="preserve">ỉ: </w:t>
            </w:r>
            <w:r>
              <w:rPr>
                <w:b/>
                <w:bCs/>
                <w:color w:val="000000" w:themeColor="text1"/>
              </w:rPr>
              <w:t xml:space="preserve">22-</w:t>
            </w:r>
            <w:r>
              <w:rPr>
                <w:b/>
                <w:bCs/>
                <w:color w:val="000000"/>
              </w:rPr>
              <w:t xml:space="preserve">CN4, cụm công nghiệp làng nghề, xã Văn Tự, huyện Thường Tín, thành phố Hà Nội</w:t>
            </w:r>
            <w:r>
              <w:rPr>
                <w:b/>
                <w:bCs/>
                <w:i/>
                <w:iCs/>
                <w:color w:val="000000"/>
              </w:rPr>
              <w:t xml:space="preserve"> (nay là 22-CN4, cụm công nghiệp làng nghề, xã Phú Xuyên, thành phố Hà N</w:t>
            </w:r>
            <w:r>
              <w:rPr>
                <w:b/>
                <w:bCs/>
                <w:i/>
                <w:iCs/>
                <w:color w:val="000000"/>
              </w:rPr>
              <w:t xml:space="preserve">ội) </w:t>
            </w:r>
            <w:r>
              <w:rPr>
                <w:b/>
                <w:bCs/>
                <w:color w:val="000000"/>
              </w:rPr>
              <w:t xml:space="preserve">theo Giấy chứng nhận quyền sử dụng đất, quyền sở hữu nhà ở và tài sản khác gắn liền với đất số: CT 238998, Số vào sổ cấp GCN: CS 13584 do Sở Tài nguyên và Môi trường Thành phố Hà Nội cấp ngày 15/10/2019; Chủ sử dụng đất là Hộ Kinh doanh Nguyễn Thị Sửa</w:t>
            </w:r>
            <w:r>
              <w:rPr>
                <w:b/>
                <w:bCs/>
              </w:rPr>
              <w:t xml:space="preserve">.</w:t>
            </w:r>
            <w:r>
              <w:rPr>
                <w:b/>
                <w:bCs/>
              </w:rPr>
            </w:r>
            <w:r>
              <w:rPr>
                <w:b/>
                <w:bCs/>
              </w:rPr>
            </w:r>
          </w:p>
        </w:tc>
        <w:tc>
          <w:tcPr>
            <w:shd w:val="clear" w:color="000000" w:fill="ffffff"/>
            <w:tcBorders/>
            <w:tcW w:w="2018" w:type="dxa"/>
            <w:vAlign w:val="center"/>
            <w:textDirection w:val="lrTb"/>
            <w:noWrap w:val="false"/>
          </w:tcPr>
          <w:p>
            <w:pPr>
              <w:pBdr/>
              <w:spacing w:after="40" w:before="40" w:line="240" w:lineRule="auto"/>
              <w:ind/>
              <w:jc w:val="right"/>
              <w:rPr>
                <w:b/>
                <w:bCs/>
              </w:rPr>
            </w:pPr>
            <w:r>
              <w:rPr>
                <w:b/>
                <w:bCs/>
              </w:rPr>
              <w:t xml:space="preserve"> </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40" w:lineRule="auto"/>
              <w:ind/>
              <w:jc w:val="center"/>
              <w:rPr/>
            </w:pPr>
            <w:r>
              <w:rPr>
                <w:b/>
                <w:bCs/>
              </w:rPr>
              <w:t xml:space="preserve">-</w:t>
            </w:r>
            <w:r/>
          </w:p>
        </w:tc>
        <w:tc>
          <w:tcPr>
            <w:shd w:val="clear" w:color="000000" w:fill="ffffff"/>
            <w:tcBorders/>
            <w:tcW w:w="3368" w:type="dxa"/>
            <w:vAlign w:val="center"/>
            <w:textDirection w:val="lrTb"/>
            <w:noWrap w:val="false"/>
          </w:tcPr>
          <w:p>
            <w:pPr>
              <w:pBdr/>
              <w:spacing w:after="40" w:before="40" w:line="240" w:lineRule="auto"/>
              <w:ind/>
              <w:rPr>
                <w:b w:val="0"/>
                <w:bCs/>
                <w:i/>
              </w:rPr>
            </w:pPr>
            <w:r>
              <w:rPr>
                <w:b/>
                <w:bCs/>
              </w:rPr>
              <w:t xml:space="preserve">Đất xây dựng cơ sở sản xuất </w:t>
            </w:r>
            <w:r>
              <w:rPr>
                <w:b w:val="0"/>
                <w:bCs w:val="0"/>
                <w:i/>
                <w:iCs/>
              </w:rPr>
              <w:t xml:space="preserve">(sử dụng đến ngày 31/10/2066).</w:t>
            </w:r>
            <w:r>
              <w:rPr>
                <w:b w:val="0"/>
                <w:bCs/>
                <w:i/>
              </w:rPr>
            </w:r>
            <w:r>
              <w:rPr>
                <w:b w:val="0"/>
                <w:bCs/>
                <w:i/>
              </w:rPr>
            </w:r>
          </w:p>
        </w:tc>
        <w:tc>
          <w:tcPr>
            <w:tcBorders/>
            <w:tcW w:w="1802" w:type="dxa"/>
            <w:vAlign w:val="center"/>
            <w:textDirection w:val="lrTb"/>
            <w:noWrap/>
          </w:tcPr>
          <w:p>
            <w:pPr>
              <w:pBdr/>
              <w:spacing w:after="40" w:before="40" w:line="240" w:lineRule="auto"/>
              <w:ind/>
              <w:jc w:val="center"/>
              <w:rPr>
                <w:color w:val="000000"/>
              </w:rPr>
            </w:pPr>
            <w:r>
              <w:rPr>
                <w:color w:val="000000" w:themeColor="text1"/>
              </w:rPr>
              <w:t xml:space="preserve">467,4</w:t>
            </w:r>
            <w:r>
              <w:rPr>
                <w:color w:val="000000"/>
              </w:rPr>
            </w:r>
            <w:r>
              <w:rPr>
                <w:color w:val="000000"/>
              </w:rPr>
            </w:r>
          </w:p>
        </w:tc>
        <w:tc>
          <w:tcPr>
            <w:shd w:val="clear" w:color="000000" w:fill="ffffff"/>
            <w:tcBorders/>
            <w:tcW w:w="1633" w:type="dxa"/>
            <w:vAlign w:val="center"/>
            <w:textDirection w:val="lrTb"/>
            <w:noWrap w:val="false"/>
          </w:tcPr>
          <w:p>
            <w:pPr>
              <w:pBdr/>
              <w:spacing w:after="40" w:before="40" w:line="240" w:lineRule="auto"/>
              <w:ind/>
              <w:jc w:val="center"/>
              <w:rPr/>
            </w:pPr>
            <w:r>
              <w:rPr>
                <w:color w:val="000000" w:themeColor="text1"/>
              </w:rPr>
              <w:t xml:space="preserve">25.400.000</w:t>
            </w:r>
            <w:r/>
          </w:p>
        </w:tc>
        <w:tc>
          <w:tcPr>
            <w:shd w:val="clear" w:color="000000" w:fill="ffffff"/>
            <w:tcBorders/>
            <w:tcW w:w="2018" w:type="dxa"/>
            <w:vAlign w:val="center"/>
            <w:textDirection w:val="lrTb"/>
            <w:noWrap w:val="false"/>
          </w:tcPr>
          <w:p>
            <w:pPr>
              <w:pBdr/>
              <w:spacing w:after="40" w:before="40" w:line="240" w:lineRule="auto"/>
              <w:ind/>
              <w:jc w:val="right"/>
              <w:rPr/>
            </w:pPr>
            <w:r>
              <w:rPr>
                <w:color w:val="000000" w:themeColor="text1"/>
              </w:rPr>
              <w:t xml:space="preserve">11.871.960.000</w:t>
            </w:r>
            <w:r/>
          </w:p>
        </w:tc>
      </w:tr>
      <w:tr>
        <w:trPr>
          <w:trHeight w:val="20"/>
        </w:trPr>
        <w:tc>
          <w:tcPr>
            <w:gridSpan w:val="4"/>
            <w:tcBorders/>
            <w:tcW w:w="7478" w:type="dxa"/>
            <w:vAlign w:val="center"/>
            <w:textDirection w:val="lrTb"/>
            <w:noWrap/>
          </w:tcPr>
          <w:p>
            <w:pPr>
              <w:pBdr/>
              <w:spacing w:after="40" w:before="40" w:line="240" w:lineRule="auto"/>
              <w:ind/>
              <w:jc w:val="center"/>
              <w:rPr>
                <w:b/>
                <w:bCs/>
                <w:color w:val="000000"/>
              </w:rPr>
            </w:pPr>
            <w:r>
              <w:rPr>
                <w:b/>
                <w:bCs/>
                <w:color w:val="000000"/>
              </w:rPr>
              <w:t xml:space="preserve">TỔNG CỘNG:</w:t>
            </w:r>
            <w:r>
              <w:rPr>
                <w:b/>
                <w:bCs/>
                <w:color w:val="000000"/>
              </w:rPr>
            </w:r>
            <w:r>
              <w:rPr>
                <w:b/>
                <w:bCs/>
                <w:color w:val="000000"/>
              </w:rPr>
            </w:r>
          </w:p>
        </w:tc>
        <w:tc>
          <w:tcPr>
            <w:tcBorders/>
            <w:tcW w:w="2018" w:type="dxa"/>
            <w:vAlign w:val="center"/>
            <w:textDirection w:val="lrTb"/>
            <w:noWrap/>
          </w:tcPr>
          <w:p>
            <w:pPr>
              <w:pBdr/>
              <w:spacing w:after="40" w:before="40" w:line="240" w:lineRule="auto"/>
              <w:ind/>
              <w:jc w:val="right"/>
              <w:rPr>
                <w:b/>
                <w:bCs/>
                <w:color w:val="000000"/>
              </w:rPr>
            </w:pPr>
            <w:r>
              <w:rPr>
                <w:b/>
                <w:bCs/>
              </w:rPr>
              <w:t xml:space="preserve">11.871.960.000</w:t>
            </w:r>
            <w:r>
              <w:rPr>
                <w:b/>
                <w:bCs/>
                <w:color w:val="000000"/>
              </w:rPr>
            </w:r>
            <w:r>
              <w:rPr>
                <w:b/>
                <w:bCs/>
                <w:color w:val="000000"/>
              </w:rPr>
            </w:r>
          </w:p>
        </w:tc>
      </w:tr>
      <w:tr>
        <w:trPr>
          <w:trHeight w:val="20"/>
        </w:trPr>
        <w:tc>
          <w:tcPr>
            <w:gridSpan w:val="4"/>
            <w:tcBorders/>
            <w:tcW w:w="7478" w:type="dxa"/>
            <w:vAlign w:val="center"/>
            <w:textDirection w:val="lrTb"/>
            <w:noWrap/>
          </w:tcPr>
          <w:p>
            <w:pPr>
              <w:pBdr/>
              <w:spacing w:after="40" w:before="40" w:line="240" w:lineRule="auto"/>
              <w:ind/>
              <w:jc w:val="center"/>
              <w:rPr>
                <w:b/>
                <w:bCs/>
                <w:color w:val="000000"/>
              </w:rPr>
            </w:pPr>
            <w:r>
              <w:rPr>
                <w:b/>
                <w:bCs/>
                <w:color w:val="000000"/>
              </w:rPr>
              <w:t xml:space="preserve">LÀM TRÒN:</w:t>
            </w:r>
            <w:r>
              <w:rPr>
                <w:b/>
                <w:bCs/>
                <w:color w:val="000000"/>
              </w:rPr>
            </w:r>
            <w:r>
              <w:rPr>
                <w:b/>
                <w:bCs/>
                <w:color w:val="000000"/>
              </w:rPr>
            </w:r>
          </w:p>
        </w:tc>
        <w:tc>
          <w:tcPr>
            <w:tcBorders/>
            <w:tcW w:w="2018" w:type="dxa"/>
            <w:vAlign w:val="center"/>
            <w:textDirection w:val="lrTb"/>
            <w:noWrap/>
          </w:tcPr>
          <w:p>
            <w:pPr>
              <w:pBdr/>
              <w:spacing w:after="40" w:before="40" w:line="240" w:lineRule="auto"/>
              <w:ind/>
              <w:jc w:val="right"/>
              <w:rPr>
                <w:b/>
                <w:bCs/>
                <w:color w:val="000000"/>
              </w:rPr>
            </w:pPr>
            <w:r>
              <w:rPr>
                <w:b/>
                <w:bCs/>
                <w:color w:val="000000"/>
              </w:rPr>
              <w:t xml:space="preserve">11.872.000.000</w:t>
            </w:r>
            <w:r>
              <w:rPr>
                <w:b/>
                <w:bCs/>
                <w:color w:val="000000"/>
              </w:rPr>
            </w:r>
            <w:r>
              <w:rPr>
                <w:b/>
                <w:bCs/>
                <w:color w:val="000000"/>
              </w:rPr>
            </w:r>
          </w:p>
        </w:tc>
      </w:tr>
      <w:tr>
        <w:trPr>
          <w:trHeight w:val="20"/>
        </w:trPr>
        <w:tc>
          <w:tcPr>
            <w:gridSpan w:val="5"/>
            <w:tcBorders/>
            <w:tcW w:w="9496" w:type="dxa"/>
            <w:vAlign w:val="center"/>
            <w:textDirection w:val="lrTb"/>
            <w:noWrap w:val="false"/>
          </w:tcPr>
          <w:p>
            <w:pPr>
              <w:pBdr/>
              <w:spacing w:after="40" w:before="40" w:line="240" w:lineRule="auto"/>
              <w:ind/>
              <w:jc w:val="center"/>
              <w:rPr>
                <w:b/>
                <w:bCs/>
                <w:i/>
                <w:iCs/>
                <w:color w:val="000000"/>
              </w:rPr>
            </w:pPr>
            <w:r>
              <w:rPr>
                <w:b/>
                <w:bCs/>
                <w:i/>
                <w:iCs/>
                <w:color w:val="000000"/>
              </w:rPr>
              <w:t xml:space="preserve">(Bằng chữ: </w:t>
            </w:r>
            <w:r>
              <w:rPr>
                <w:b/>
                <w:bCs/>
                <w:i/>
                <w:iCs/>
                <w:color w:val="000000"/>
              </w:rPr>
              <w:t xml:space="preserve">Mười một tỷ, tám trăm bảy mươi hai triệu đồng</w:t>
            </w:r>
            <w:r>
              <w:rPr>
                <w:b/>
                <w:bCs/>
                <w:i/>
                <w:iCs/>
                <w:color w:val="000000"/>
              </w:rPr>
              <w:t xml:space="preserve">./.)</w:t>
            </w:r>
            <w:r>
              <w:rPr>
                <w:b/>
                <w:bCs/>
                <w:i/>
                <w:iCs/>
                <w:color w:val="000000"/>
              </w:rPr>
            </w:r>
            <w:r>
              <w:rPr>
                <w:b/>
                <w:bCs/>
                <w:i/>
                <w:iCs/>
                <w:color w:val="000000"/>
              </w:rPr>
            </w:r>
          </w:p>
        </w:tc>
      </w:tr>
    </w:tbl>
    <w:p>
      <w:pPr>
        <w:pBdr/>
        <w:spacing w:after="120" w:before="120" w:line="264"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264"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264" w:lineRule="auto"/>
        <w:ind/>
        <w:rPr/>
      </w:pPr>
      <w:r>
        <w:rPr>
          <w:b/>
          <w:bCs/>
          <w:lang w:val="vi-VN"/>
        </w:rPr>
        <w:t xml:space="preserve">11. Những điều khoản loại trừ và hạn chế của kết quả thẩm định giá:</w:t>
      </w:r>
      <w:r/>
    </w:p>
    <w:p>
      <w:pPr>
        <w:pBdr/>
        <w:spacing w:after="120" w:before="120" w:line="264" w:lineRule="auto"/>
        <w:ind w:firstLine="360"/>
        <w:rPr>
          <w:highlight w:val="none"/>
          <w:lang w:val="pt-BR"/>
        </w:rPr>
      </w:pPr>
      <w:r>
        <w:rPr>
          <w:lang w:val="pt-BR"/>
        </w:rPr>
        <w:t xml:space="preserve">- </w:t>
      </w:r>
      <w:r>
        <w:rPr>
          <w:lang w:val="pt-BR"/>
        </w:rPr>
        <w:t xml:space="preserve">Chi tiết như Báo cáo kèm theo.</w:t>
      </w:r>
      <w:r>
        <w:rPr>
          <w:highlight w:val="none"/>
          <w:lang w:val="pt-BR"/>
        </w:rPr>
      </w:r>
      <w:r>
        <w:rPr>
          <w:highlight w:val="none"/>
          <w:lang w:val="pt-BR"/>
        </w:rPr>
      </w:r>
    </w:p>
    <w:p>
      <w:pPr>
        <w:pBdr/>
        <w:spacing w:after="120" w:before="120" w:line="264" w:lineRule="auto"/>
        <w:ind w:firstLine="360"/>
        <w:rPr>
          <w:lang w:val="pt-BR"/>
        </w:rPr>
      </w:pPr>
      <w:r>
        <w:rPr>
          <w:lang w:val="pt-BR"/>
        </w:rPr>
      </w:r>
      <w:r>
        <w:rPr>
          <w:lang w:val="pt-BR"/>
        </w:rPr>
      </w:r>
      <w:r>
        <w:rPr>
          <w:lang w:val="pt-BR"/>
        </w:rPr>
      </w:r>
    </w:p>
    <w:p>
      <w:pPr>
        <w:pBdr/>
        <w:spacing w:after="120" w:before="120" w:line="264" w:lineRule="auto"/>
        <w:ind w:firstLine="360"/>
        <w:rPr>
          <w:lang w:val="pt-BR"/>
        </w:rPr>
      </w:pPr>
      <w:r>
        <w:rPr>
          <w:highlight w:val="none"/>
          <w:lang w:val="pt-BR" w:bidi="pt-BR"/>
        </w:rPr>
      </w:r>
      <w:r>
        <w:rPr>
          <w:lang w:val="pt-BR"/>
        </w:rPr>
      </w:r>
      <w:r>
        <w:rPr>
          <w:lang w:val="pt-BR"/>
        </w:rPr>
      </w:r>
    </w:p>
    <w:p>
      <w:pPr>
        <w:pBdr/>
        <w:spacing w:after="120" w:before="120" w:line="312" w:lineRule="auto"/>
        <w:ind w:firstLine="0"/>
        <w:rPr>
          <w:lang w:val="pt-BR"/>
        </w:rPr>
      </w:pPr>
      <w:r>
        <w:rPr>
          <w:lang w:val="pt-BR"/>
        </w:rPr>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2129" w:type="dxa"/>
        <w:tblBorders/>
        <w:tblLayout w:type="fixed"/>
        <w:tblLook w:val="04A0" w:firstRow="1" w:lastRow="0" w:firstColumn="1" w:lastColumn="0" w:noHBand="0" w:noVBand="1"/>
      </w:tblPr>
      <w:tblGrid>
        <w:gridCol w:w="1134"/>
        <w:gridCol w:w="1134"/>
        <w:gridCol w:w="1134"/>
        <w:gridCol w:w="1134"/>
        <w:gridCol w:w="1134"/>
      </w:tblGrid>
      <w:tr>
        <w:trPr>
          <w:trHeight w:val="1843"/>
        </w:trPr>
        <w:tc>
          <w:tcPr>
            <w:gridSpan w:val="2"/>
            <w:tcBorders/>
            <w:tcW w:w="8045"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40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7189"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275/2026/0630/VFI-BC.63.A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084"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23 tháng 4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7189" w:type="dxa"/>
            <w:textDirection w:val="lrTb"/>
            <w:noWrap w:val="false"/>
          </w:tcPr>
          <w:p>
            <w:pPr>
              <w:pStyle w:val="1026"/>
              <w:pBdr/>
              <w:spacing w:after="60"/>
              <w:ind/>
              <w:rPr>
                <w:rStyle w:val="1025"/>
                <w:rFonts w:ascii="Times New Roman" w:hAnsi="Times New Roman"/>
                <w:color w:val="000000" w:themeColor="text1"/>
                <w:lang w:val="pt-BR"/>
              </w:rPr>
            </w:pPr>
            <w:r>
              <w:rPr>
                <w:rStyle w:val="1025"/>
                <w:rFonts w:ascii="Times New Roman" w:hAnsi="Times New Roman"/>
                <w:color w:val="000000" w:themeColor="text1"/>
                <w:lang w:val="pt-BR"/>
              </w:rPr>
            </w:r>
            <w:r>
              <w:rPr>
                <w:rStyle w:val="1025"/>
                <w:rFonts w:ascii="Times New Roman" w:hAnsi="Times New Roman"/>
                <w:color w:val="000000" w:themeColor="text1"/>
                <w:lang w:val="pt-BR"/>
              </w:rPr>
            </w:r>
            <w:r>
              <w:rPr>
                <w:rStyle w:val="1025"/>
                <w:rFonts w:ascii="Times New Roman" w:hAnsi="Times New Roman"/>
                <w:color w:val="000000" w:themeColor="text1"/>
                <w:lang w:val="pt-BR"/>
              </w:rPr>
            </w:r>
          </w:p>
        </w:tc>
        <w:tc>
          <w:tcPr>
            <w:shd w:val="clear" w:color="auto" w:fill="auto"/>
            <w:tcBorders/>
            <w:tcMar>
              <w:left w:w="108" w:type="dxa"/>
              <w:top w:w="0" w:type="dxa"/>
              <w:right w:w="108" w:type="dxa"/>
              <w:bottom w:w="0" w:type="dxa"/>
            </w:tcMar>
            <w:tcW w:w="4084" w:type="dxa"/>
            <w:textDirection w:val="lrTb"/>
            <w:noWrap w:val="false"/>
          </w:tcPr>
          <w:p>
            <w:pPr>
              <w:pStyle w:val="1026"/>
              <w:pBdr/>
              <w:spacing w:after="60"/>
              <w:ind w:right="-56"/>
              <w:rPr>
                <w:rStyle w:val="1025"/>
                <w:rFonts w:ascii="Times New Roman" w:hAnsi="Times New Roman"/>
                <w:i/>
                <w:color w:val="auto"/>
              </w:rPr>
            </w:pPr>
            <w:r>
              <w:rPr>
                <w:rFonts w:ascii="Times New Roman" w:hAnsi="Times New Roman"/>
                <w:i/>
                <w:color w:val="auto"/>
              </w:rPr>
            </w:r>
            <w:r>
              <w:rPr>
                <w:rStyle w:val="1025"/>
                <w:rFonts w:ascii="Times New Roman" w:hAnsi="Times New Roman"/>
                <w:i/>
                <w:color w:val="auto"/>
              </w:rPr>
            </w:r>
            <w:r>
              <w:rPr>
                <w:rStyle w:val="1025"/>
                <w:rFonts w:ascii="Times New Roman" w:hAnsi="Times New Roman"/>
                <w:i/>
                <w:color w:val="auto"/>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275/2026/0630/VFI-CT.63.A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23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40"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7"/>
              <w:pBdr/>
              <w:spacing w:after="60" w:before="60" w:line="240"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1186"/>
              </w:tabs>
              <w:spacing w:line="240" w:lineRule="auto"/>
              <w:ind/>
              <w:jc w:val="both"/>
              <w:rPr/>
            </w:pPr>
            <w:r>
              <w:rPr>
                <w:b/>
                <w:bCs/>
              </w:rPr>
            </w:r>
            <w:r>
              <w:rPr>
                <w:rFonts w:ascii="Times New Roman Bold" w:hAnsi="Times New Roman Bold"/>
                <w:b/>
                <w:color w:val="000000" w:themeColor="text1"/>
                <w:lang w:val="pt-BR"/>
              </w:rPr>
              <w:t xml:space="preserve">CÔNG TY CỔ PHẦN SẢN XUẤT THƯƠNG MẠI WAF QUANG HUY</w:t>
            </w:r>
            <w:r/>
          </w:p>
        </w:tc>
      </w:tr>
      <w:tr>
        <w:trPr>
          <w:trHeight w:val="20"/>
        </w:trPr>
        <w:tc>
          <w:tcPr>
            <w:tcBorders/>
            <w:tcW w:w="2518" w:type="dxa"/>
            <w:vAlign w:val="center"/>
            <w:textDirection w:val="lrTb"/>
            <w:noWrap w:val="false"/>
          </w:tcPr>
          <w:p>
            <w:pPr>
              <w:pBdr/>
              <w:spacing w:after="60" w:before="60" w:line="240" w:lineRule="auto"/>
              <w:ind/>
              <w:rPr>
                <w:bCs/>
                <w:lang w:val="pt-BR"/>
              </w:rPr>
            </w:pPr>
            <w:r>
              <w:rPr>
                <w:bCs/>
                <w:color w:val="000000" w:themeColor="text1"/>
                <w:lang w:val="pt-BR"/>
              </w:rPr>
              <w:t xml:space="preserve">MST:</w:t>
            </w:r>
            <w:r>
              <w:rPr>
                <w:bCs/>
                <w:lang w:val="pt-BR"/>
              </w:rPr>
            </w:r>
            <w:r>
              <w:rPr>
                <w:bCs/>
                <w:lang w:val="pt-BR"/>
              </w:rPr>
            </w:r>
          </w:p>
        </w:tc>
        <w:tc>
          <w:tcPr>
            <w:tcBorders/>
            <w:tcW w:w="284" w:type="dxa"/>
            <w:vAlign w:val="center"/>
            <w:textDirection w:val="lrTb"/>
            <w:noWrap w:val="false"/>
          </w:tcPr>
          <w:p>
            <w:pPr>
              <w:pStyle w:val="1027"/>
              <w:pBdr/>
              <w:spacing w:after="60" w:before="60" w:line="240"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40" w:lineRule="auto"/>
              <w:ind/>
              <w:jc w:val="both"/>
              <w:rPr>
                <w:color w:val="ff0000"/>
                <w:lang w:val="pt-BR"/>
              </w:rPr>
            </w:pPr>
            <w:r>
              <w:rPr>
                <w:color w:val="000000" w:themeColor="text1"/>
                <w:lang w:val="vi-VN"/>
              </w:rPr>
            </w:r>
            <w:r>
              <w:rPr>
                <w:color w:val="000000" w:themeColor="text1"/>
                <w:lang w:val="vi-VN"/>
              </w:rPr>
              <w:t xml:space="preserve">0109141954</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40" w:lineRule="auto"/>
              <w:ind/>
              <w:rPr>
                <w:bCs/>
                <w:lang w:val="pt-BR"/>
              </w:rPr>
            </w:pPr>
            <w:r>
              <w:rPr>
                <w:bCs/>
                <w:color w:val="000000" w:themeColor="text1"/>
                <w:lang w:val="pt-BR"/>
              </w:rPr>
              <w:t xml:space="preserve">Đại diện:</w:t>
            </w:r>
            <w:r>
              <w:rPr>
                <w:bCs/>
                <w:lang w:val="pt-BR"/>
              </w:rPr>
            </w:r>
            <w:r>
              <w:rPr>
                <w:bCs/>
                <w:lang w:val="pt-BR"/>
              </w:rPr>
            </w:r>
          </w:p>
        </w:tc>
        <w:tc>
          <w:tcPr>
            <w:tcBorders/>
            <w:tcW w:w="284" w:type="dxa"/>
            <w:vAlign w:val="center"/>
            <w:textDirection w:val="lrTb"/>
            <w:noWrap w:val="false"/>
          </w:tcPr>
          <w:p>
            <w:pPr>
              <w:pStyle w:val="1027"/>
              <w:pBdr/>
              <w:spacing w:after="60" w:before="60" w:line="240"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40" w:lineRule="auto"/>
              <w:ind/>
              <w:jc w:val="both"/>
              <w:rPr>
                <w:b/>
                <w:bCs/>
                <w:color w:val="ff0000"/>
              </w:rPr>
            </w:pPr>
            <w:r>
              <w:rPr>
                <w:b/>
                <w:bCs/>
                <w:color w:val="000000" w:themeColor="text1"/>
                <w:lang w:val="vi-VN"/>
              </w:rPr>
              <w:t xml:space="preserve">Bà Nguyễn Thị Sửa - Tổng Giám đốc </w:t>
            </w:r>
            <w:r>
              <w:rPr>
                <w:b/>
                <w:bCs/>
                <w:color w:val="ff0000"/>
              </w:rPr>
            </w:r>
            <w:r>
              <w:rPr>
                <w:b/>
                <w:bCs/>
                <w:color w:val="ff0000"/>
              </w:rPr>
            </w:r>
          </w:p>
        </w:tc>
      </w:tr>
      <w:tr>
        <w:trPr>
          <w:trHeight w:val="20"/>
        </w:trPr>
        <w:tc>
          <w:tcPr>
            <w:tcBorders/>
            <w:tcW w:w="2518" w:type="dxa"/>
            <w:vAlign w:val="center"/>
            <w:textDirection w:val="lrTb"/>
            <w:noWrap w:val="false"/>
          </w:tcPr>
          <w:p>
            <w:pPr>
              <w:pBdr/>
              <w:spacing w:after="60" w:before="60" w:line="240"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7"/>
              <w:pBdr/>
              <w:spacing w:after="60" w:before="60" w:line="240"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40" w:lineRule="auto"/>
              <w:ind/>
              <w:jc w:val="both"/>
              <w:rPr>
                <w:color w:val="ff0000"/>
                <w:lang w:val="pt-BR"/>
              </w:rPr>
            </w:pPr>
            <w:r>
              <w:rPr>
                <w:color w:val="000000" w:themeColor="text1"/>
                <w:lang w:val="vi-VN"/>
              </w:rPr>
              <w:t xml:space="preserve">22-CN4, Cụm công nghiệp làng nghề, xã Phú Xuyên, thành phố Hà Nội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Lợi thế quyền sử dụng đất thuê trả tiền một lần tại thửa đất số: ./., tờ bản đồ số: ./., có địa ch</w:t>
            </w:r>
            <w:r>
              <w:rPr>
                <w:bCs/>
                <w:color w:val="000000" w:themeColor="text1"/>
                <w:highlight w:val="white"/>
                <w:lang w:val="pt-BR"/>
              </w:rPr>
              <w:t xml:space="preserve">ỉ</w:t>
            </w:r>
            <w:r>
              <w:rPr>
                <w:bCs/>
                <w:color w:val="000000" w:themeColor="text1"/>
                <w:highlight w:val="white"/>
                <w:lang w:val="pt-BR"/>
              </w:rPr>
              <w:t xml:space="preserve">: 22-</w:t>
            </w:r>
            <w:r>
              <w:rPr>
                <w:bCs/>
                <w:color w:val="000000" w:themeColor="text1"/>
                <w:highlight w:val="white"/>
                <w:lang w:val="pt-BR"/>
              </w:rPr>
              <w:t xml:space="preserve">CN4, cụm công nghiệp làng nghề, xã Văn Tự, huyện Thường Tín, thành phố Hà Nội </w:t>
            </w:r>
            <w:r>
              <w:rPr>
                <w:bCs/>
                <w:i/>
                <w:iCs/>
                <w:color w:val="000000" w:themeColor="text1"/>
                <w:highlight w:val="white"/>
                <w:lang w:val="pt-BR"/>
              </w:rPr>
              <w:t xml:space="preserve">(nay là 22-CN4, cụm công nghiệp làng nghề, xã Phú Xuyên, thành phố Hà N</w:t>
            </w:r>
            <w:r>
              <w:rPr>
                <w:bCs/>
                <w:i/>
                <w:iCs/>
                <w:color w:val="000000" w:themeColor="text1"/>
                <w:highlight w:val="white"/>
                <w:lang w:val="pt-BR"/>
              </w:rPr>
              <w:t xml:space="preserve">ội)</w:t>
            </w:r>
            <w:r>
              <w:rPr>
                <w:bCs/>
                <w:color w:val="000000" w:themeColor="text1"/>
                <w:highlight w:val="white"/>
                <w:lang w:val="pt-BR"/>
              </w:rPr>
              <w:t xml:space="preserve"> theo Giấy chứng nhận quyền sử dụng đất, quyền sở hữu nhà ở và tài sản khác gắn liền với đất số: CT 238998, Số vào sổ cấp GCN: CS 135</w:t>
            </w:r>
            <w:r>
              <w:rPr>
                <w:bCs/>
                <w:color w:val="000000" w:themeColor="text1"/>
                <w:highlight w:val="white"/>
                <w:lang w:val="pt-BR"/>
              </w:rPr>
              <w:t xml:space="preserve">84</w:t>
            </w:r>
            <w:r>
              <w:rPr>
                <w:bCs/>
                <w:color w:val="000000" w:themeColor="text1"/>
                <w:highlight w:val="white"/>
                <w:lang w:val="pt-BR"/>
              </w:rPr>
              <w:t xml:space="preserve"> d</w:t>
            </w:r>
            <w:r>
              <w:rPr>
                <w:bCs/>
                <w:color w:val="000000" w:themeColor="text1"/>
                <w:lang w:val="pt-BR"/>
              </w:rPr>
              <w:t xml:space="preserve">o Sở Tài nguyên và Môi trường Thành phố Hà Nội cấp ngày 15/10/2019; Chủ sử dụng đất là Hộ Kinh doanh Nguyễn Thị Sửa</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22-CN4 Cụm Công nghiệp làng nghề, xã Phú Xuyên, TP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20.7754044, 105.8981426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7"/>
        <w:numPr>
          <w:ilvl w:val="0"/>
          <w:numId w:val="1"/>
        </w:numPr>
        <w:pBdr/>
        <w:tabs>
          <w:tab w:val="left" w:leader="none" w:pos="8158"/>
        </w:tabs>
        <w:spacing w:after="120" w:before="120" w:line="276" w:lineRule="auto"/>
        <w:ind/>
        <w:jc w:val="both"/>
        <w:rPr>
          <w:bCs/>
          <w:spacing w:val="-4"/>
          <w:highlight w:val="white"/>
        </w:rPr>
      </w:pPr>
      <w:r>
        <w:rPr>
          <w:bCs/>
          <w:spacing w:val="-4"/>
          <w:lang w:val="pt-BR"/>
        </w:rPr>
        <w:t xml:space="preserve">Q</w:t>
      </w:r>
      <w:r>
        <w:rPr>
          <w:bCs/>
          <w:spacing w:val="-4"/>
          <w:highlight w:val="white"/>
          <w:lang w:val="pt-BR"/>
        </w:rPr>
        <w:t xml:space="preserve">uyết đ</w:t>
      </w:r>
      <w:r>
        <w:rPr>
          <w:bCs/>
          <w:spacing w:val="-4"/>
          <w:highlight w:val="white"/>
          <w:lang w:val="pt-BR"/>
        </w:rPr>
        <w:t xml:space="preserve">ịnh số 425/QĐ-BXD ngày 30/3/2026 của Bộ Xây dựng về việc Công bố suất vốn đầu tư xây dựng công trình và giá xây dựng tổng hợp bộ phận kết cấu cô</w:t>
      </w:r>
      <w:r>
        <w:rPr>
          <w:bCs/>
          <w:spacing w:val="-4"/>
          <w:highlight w:val="white"/>
          <w:lang w:val="pt-BR"/>
        </w:rPr>
        <w:t xml:space="preserve">ng trình năm 2025;</w:t>
      </w:r>
      <w:r>
        <w:rPr>
          <w:bCs/>
          <w:spacing w:val="-4"/>
          <w:highlight w:val="white"/>
          <w:lang w:val="pt-BR"/>
        </w:rPr>
        <w:tab/>
      </w:r>
      <w:r>
        <w:rPr>
          <w:bCs/>
          <w:spacing w:val="-4"/>
          <w:highlight w:val="white"/>
        </w:rPr>
      </w:r>
      <w:r>
        <w:rPr>
          <w:bCs/>
          <w:spacing w:val="-4"/>
          <w:highlight w:val="white"/>
        </w:rPr>
      </w:r>
    </w:p>
    <w:p>
      <w:pPr>
        <w:pStyle w:val="1027"/>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CT 238998, Số vào sổ cấp GCN: CS 1</w:t>
      </w:r>
      <w:r>
        <w:rPr>
          <w:bCs/>
          <w:color w:val="000000" w:themeColor="text1"/>
          <w:highlight w:val="white"/>
          <w:lang w:val="pt-BR"/>
        </w:rPr>
        <w:t xml:space="preserve">3</w:t>
      </w:r>
      <w:r>
        <w:rPr>
          <w:bCs/>
          <w:color w:val="000000" w:themeColor="text1"/>
          <w:highlight w:val="white"/>
          <w:lang w:val="pt-BR"/>
        </w:rPr>
        <w:t xml:space="preserve">58</w:t>
      </w:r>
      <w:r>
        <w:rPr>
          <w:bCs/>
          <w:color w:val="000000" w:themeColor="text1"/>
          <w:highlight w:val="none"/>
          <w:lang w:val="pt-BR"/>
        </w:rPr>
        <w:t xml:space="preserve">4</w:t>
      </w:r>
      <w:r>
        <w:rPr>
          <w:bCs/>
          <w:color w:val="000000" w:themeColor="text1"/>
          <w:lang w:val="pt-BR"/>
        </w:rPr>
        <w:t xml:space="preserve"> do Sở Tài nguyên và Môi trường Thành phố Hà Nội cấp ngày 15/10/2019; Chủ sử dụng đất là Hộ Kinh doanh Nguyễn Thị Sửa</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275/2026/0626/VFI-HĐTĐ.63.A ngày 10/04/2026 giữa </w:t>
      </w:r>
      <w:r>
        <w:rPr>
          <w:rFonts w:ascii="Times New Roman" w:hAnsi="Times New Roman" w:eastAsia="Times New Roman" w:cs="Times New Roman"/>
          <w:color w:val="000000"/>
          <w:spacing w:val="-4"/>
          <w:sz w:val="24"/>
        </w:rPr>
        <w:t xml:space="preserve">Công ty CP Sản xuất thương mại WAF Quang Huy</w:t>
      </w:r>
      <w:r>
        <w:rPr>
          <w:color w:val="000000" w:themeColor="text1"/>
          <w:lang w:val="pt-BR"/>
        </w:rPr>
        <w:t xml:space="preserve"> với Công ty Cổ phần Thẩm định và Đầu tư Tài chính Hoa Sen;</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ight="0" w:firstLine="283" w:left="0"/>
        <w:jc w:val="both"/>
        <w:rPr>
          <w:iCs/>
        </w:rPr>
      </w:pPr>
      <w:r>
        <w:rPr>
          <w:shd w:val="clear" w:color="auto" w:fill="ffffff"/>
        </w:rPr>
        <w:t xml:space="preserve">Trong những năm qua, huyện Thường Tín đã chú trọng quy hoạch và phát triển hệ thống CCN nhằm đáp ứng nhu cầu mặt bằng sản xuất, kinh doanh ngày càng tăng. Đặc biệt, các CCN làng nghề đóng vai trò quan trọng trong việc hỗ trợ cá</w:t>
      </w:r>
      <w:r>
        <w:rPr>
          <w:shd w:val="clear" w:color="auto" w:fill="ffffff"/>
        </w:rPr>
        <w:t xml:space="preserve">c hộ sản xuất truyền thống vốn bị hạn chế về không gian và điều kiện sản xuất trong khu dân cư. Việc đưa các cơ sở này vào CCN giúp giải quyết tình trạng sản xuất nhỏ lẻ, phân tán, đồng thời góp phần đảm bảo an toàn về phòng cháy chữa cháy, trật tự xã hội </w:t>
      </w:r>
      <w:r>
        <w:rPr>
          <w:shd w:val="clear" w:color="auto" w:fill="ffffff"/>
        </w:rPr>
        <w:t xml:space="preserve">và giảm thiểu ô nhiễm môi trường.</w:t>
      </w:r>
      <w:r>
        <w:rPr>
          <w:iCs/>
        </w:rPr>
      </w:r>
      <w:r>
        <w:rPr>
          <w:iCs/>
        </w:rPr>
      </w:r>
    </w:p>
    <w:p>
      <w:pPr>
        <w:pBdr/>
        <w:tabs>
          <w:tab w:val="left" w:leader="none" w:pos="426"/>
        </w:tabs>
        <w:spacing w:after="120" w:before="120" w:line="276" w:lineRule="auto"/>
        <w:ind w:right="0" w:firstLine="283" w:left="0"/>
        <w:jc w:val="both"/>
        <w:rPr/>
      </w:pPr>
      <w:r>
        <w:rPr>
          <w:shd w:val="clear" w:color="auto" w:fill="ffffff"/>
        </w:rPr>
      </w:r>
      <w:r>
        <w:rPr>
          <w:shd w:val="clear" w:color="auto" w:fill="ffffff"/>
        </w:rPr>
        <w:t xml:space="preserve">Hiện nay, trên địa bàn huyện đã hình thành và phát triển nhiều CCN với tỷ lệ lấp đầy cao, trong đó có những cụm đạt 100% diện tích như CCN Quất Động. Các CCN này được đầu tư tương đối đồng bộ về hạ tầng kỹ thuật, bao gồm </w:t>
      </w:r>
      <w:r>
        <w:rPr>
          <w:shd w:val="clear" w:color="auto" w:fill="ffffff"/>
        </w:rPr>
        <w:t xml:space="preserve">hệ thống giao thông nội bộ, điện, nước, cây xanh và đặc biệt là hệ thống xử lý nước thải tập trung. Việc đầu tư hạ tầng đồng bộ không chỉ tạo điều kiện thuận lợi cho doanh nghiệp hoạt động mà còn góp phần bảo vệ môi trường, hướng tới phát triển bền vững.</w:t>
        <w:br/>
      </w:r>
      <w:r>
        <w:rPr>
          <w:shd w:val="clear" w:color="auto" w:fill="ffffff"/>
        </w:rPr>
        <w:t xml:space="preserve">Một trong những điểm nhấn trong chiến lược phát triển CCN của huyện là định hướng xây dựng các khu công nghiệp xanh, sạch, ứng dụng công nghệ cao và tiết kiệm năng lượng. Các dự án CCN mới đều phải đáp ứng yêu cầu về bảo vệ môi trường, hạn chế ô nhiễm khôn</w:t>
      </w:r>
      <w:r>
        <w:rPr>
          <w:shd w:val="clear" w:color="auto" w:fill="ffffff"/>
        </w:rPr>
        <w:t xml:space="preserve">g khí, tiếng ồn và xử lý chất thải hiệu quả. Điều này cho thấy huyện không chỉ quan tâm đến tăng trưởng kinh tế mà còn chú trọng đến yếu tố phát triển bền vững và chất lượng sống của người dân.</w:t>
      </w:r>
      <w:r>
        <w:rPr>
          <w:iCs/>
        </w:rPr>
      </w:r>
      <w:r/>
    </w:p>
    <w:p>
      <w:pPr>
        <w:pBdr/>
        <w:tabs>
          <w:tab w:val="left" w:leader="none" w:pos="426"/>
        </w:tabs>
        <w:spacing w:after="120" w:before="120" w:line="276" w:lineRule="auto"/>
        <w:ind w:right="0" w:firstLine="283" w:left="0"/>
        <w:jc w:val="both"/>
        <w:rPr/>
      </w:pPr>
      <w:r>
        <w:rPr>
          <w:shd w:val="clear" w:color="auto" w:fill="ffffff"/>
        </w:rPr>
        <w:t xml:space="preserve">Cụ thể, một số CCN mới như CCN làng nghề Hòa Bình giai đoạn 1</w:t>
      </w:r>
      <w:r>
        <w:rPr>
          <w:shd w:val="clear" w:color="auto" w:fill="ffffff"/>
        </w:rPr>
        <w:t xml:space="preserve"> được đầu tư với quy mô hơn 7 ha, tổng vốn đầu tư hơn 200 tỷ đồng, thu hút nhiều ngành nghề như sản xuất đồ từ xương sừng, cơ khí, dệt may, vật liệu xây dựng… Các ngành nghề này phù hợp với đặc trưng làng nghề của địa phương, đồng thời góp phần đa dạng hóa</w:t>
      </w:r>
      <w:r>
        <w:rPr>
          <w:shd w:val="clear" w:color="auto" w:fill="ffffff"/>
        </w:rPr>
        <w:t xml:space="preserve"> cơ cấu kinh tế.</w:t>
      </w:r>
      <w:r>
        <w:rPr>
          <w:iCs/>
        </w:rPr>
      </w:r>
      <w:r/>
    </w:p>
    <w:p>
      <w:pPr>
        <w:pBdr/>
        <w:tabs>
          <w:tab w:val="left" w:leader="none" w:pos="426"/>
        </w:tabs>
        <w:spacing w:after="120" w:before="120" w:line="276" w:lineRule="auto"/>
        <w:ind w:right="0" w:firstLine="283" w:left="0"/>
        <w:jc w:val="both"/>
        <w:rPr/>
      </w:pPr>
      <w:r>
        <w:rPr>
          <w:shd w:val="clear" w:color="auto" w:fill="ffffff"/>
        </w:rPr>
        <w:t xml:space="preserve">Việc phát triển CCN đã mang lại nhiều hiệu quả tích cực cho kinh tế - xã hội của huyện. Các CCN đã thu hút gần 1.000 cơ sở sản xuất, doanh nghiệp và hộ kinh doanh vào hoạt động, tạo việc làm cho hàng chục nghìn lao động. Riêng các CCN làn</w:t>
      </w:r>
      <w:r>
        <w:rPr>
          <w:shd w:val="clear" w:color="auto" w:fill="ffffff"/>
        </w:rPr>
        <w:t xml:space="preserve">g nghề đã giải quyết việc làm cho khoảng 9.000 lao động, với thu nhập bình quân gần 100 triệu đồng/người/năm. Đây là con số đáng kể, cho thấy vai trò quan trọng của CCN trong việc nâng cao đời sống người dân.</w:t>
      </w:r>
      <w:r>
        <w:rPr>
          <w:iCs/>
        </w:rPr>
      </w:r>
      <w:r/>
    </w:p>
    <w:p>
      <w:pPr>
        <w:pBdr/>
        <w:tabs>
          <w:tab w:val="left" w:leader="none" w:pos="426"/>
        </w:tabs>
        <w:spacing w:after="120" w:before="120" w:line="276" w:lineRule="auto"/>
        <w:ind w:right="0" w:firstLine="283" w:left="0"/>
        <w:jc w:val="both"/>
        <w:rPr/>
      </w:pPr>
      <w:r>
        <w:rPr>
          <w:shd w:val="clear" w:color="auto" w:fill="ffffff"/>
        </w:rPr>
        <w:t xml:space="preserve">Không chỉ tạo việc làm, các CCN còn góp phần t</w:t>
      </w:r>
      <w:r>
        <w:rPr>
          <w:shd w:val="clear" w:color="auto" w:fill="ffffff"/>
        </w:rPr>
        <w:t xml:space="preserve">húc đẩy chuyển dịch cơ cấu kinh tế của huyện theo hướng công nghiệp – dịch vụ, giảm dần tỷ trọng nông nghiệp. Đồng thời, việc tập trung sản xuất trong CCN cũng giúp tăng hiệu quả quản lý nhà nước, tạo điều kiện thuận lợi cho việc hỗ trợ doanh nghiệp về chí</w:t>
      </w:r>
      <w:r>
        <w:rPr>
          <w:shd w:val="clear" w:color="auto" w:fill="ffffff"/>
        </w:rPr>
        <w:t xml:space="preserve">nh sách, vốn và công nghệ.</w:t>
      </w:r>
      <w:r>
        <w:rPr>
          <w:iCs/>
        </w:rPr>
      </w:r>
      <w:r/>
    </w:p>
    <w:p>
      <w:pPr>
        <w:pBdr/>
        <w:tabs>
          <w:tab w:val="left" w:leader="none" w:pos="426"/>
        </w:tabs>
        <w:spacing w:after="120" w:before="120" w:line="276" w:lineRule="auto"/>
        <w:ind w:right="0" w:firstLine="283" w:left="0"/>
        <w:jc w:val="both"/>
        <w:rPr/>
      </w:pPr>
      <w:r>
        <w:rPr>
          <w:shd w:val="clear" w:color="auto" w:fill="ffffff"/>
        </w:rPr>
        <w:t xml:space="preserve">Một lợi ích khác của việc phát triển CCN là góp phần bảo tồn và phát triển các làng nghề truyền thống. Thông qua việc quy hoạch khu sản xuất tập trung, các làng nghề có điều kiện mở rộng quy mô, nâng cao chất lượng sản phẩm và x</w:t>
      </w:r>
      <w:r>
        <w:rPr>
          <w:shd w:val="clear" w:color="auto" w:fill="ffffff"/>
        </w:rPr>
        <w:t xml:space="preserve">ây dựng thương hiệu. Ngoài ra, một số CCN còn dành quỹ đất để phát triển khu trưng bày, giới thiệu sản phẩm, kết hợp với du lịch làng nghề, tạo thêm nguồn thu và quảng bá hình ảnh địa phương.</w:t>
      </w:r>
      <w:r>
        <w:rPr>
          <w:iCs/>
        </w:rPr>
      </w:r>
      <w:r/>
    </w:p>
    <w:p>
      <w:pPr>
        <w:pBdr/>
        <w:tabs>
          <w:tab w:val="left" w:leader="none" w:pos="426"/>
        </w:tabs>
        <w:spacing w:after="120" w:before="120" w:line="276" w:lineRule="auto"/>
        <w:ind w:right="0" w:firstLine="283" w:left="0"/>
        <w:jc w:val="both"/>
        <w:rPr/>
      </w:pPr>
      <w:r>
        <w:rPr>
          <w:shd w:val="clear" w:color="auto" w:fill="ffffff"/>
        </w:rPr>
        <w:t xml:space="preserve">Trong thời gian tới, huyện Thường Tín tiếp tục xác định phát tr</w:t>
      </w:r>
      <w:r>
        <w:rPr>
          <w:shd w:val="clear" w:color="auto" w:fill="ffffff"/>
        </w:rPr>
        <w:t xml:space="preserve">iển CCN là nhiệm vụ trọng tâm. Chính quyền địa phương sẽ đẩy mạnh kêu gọi đầu tư xã hội hóa, huy động các nguồn lực để xây dựng hạ tầng CCN, đồng thời đẩy nhanh tiến độ triển khai các dự án đã được phê duyệt. Bên cạnh đó, huyện cũng ưu tiên phát triển CCN </w:t>
      </w:r>
      <w:r>
        <w:rPr>
          <w:shd w:val="clear" w:color="auto" w:fill="ffffff"/>
        </w:rPr>
        <w:t xml:space="preserve">tại các khu vực làng nghề có mức độ ô nhiễm cao nhằm di dời các cơ sở sản xuất ra khỏi khu dân cư, góp phần cải thiện môi trường sống cho người dân.</w:t>
        <w:br/>
        <w:br/>
        <w:t xml:space="preserve">Ngoài ra, huyện cũng chú trọng công tác quy hoạch, đảm bảo sự đồng bộ giữa phát triển công nghiệp với hạ t</w:t>
      </w:r>
      <w:r>
        <w:rPr>
          <w:shd w:val="clear" w:color="auto" w:fill="ffffff"/>
        </w:rPr>
        <w:t xml:space="preserve">ầng giao thông, đô thị và dịch vụ. Việc này nhằm tạo ra hệ sinh thái kinh tế hoàn chỉnh, hỗ trợ lẫn nhau giữa các ngành và lĩnh vực, từ đó nâng cao hiệu quả phát triển tổng thể.</w:t>
      </w:r>
      <w:r/>
    </w:p>
    <w:p>
      <w:pPr>
        <w:pBdr/>
        <w:tabs>
          <w:tab w:val="left" w:leader="none" w:pos="426"/>
        </w:tabs>
        <w:spacing w:after="120" w:before="120" w:line="276" w:lineRule="auto"/>
        <w:ind w:right="0" w:firstLine="283" w:left="0"/>
        <w:jc w:val="both"/>
        <w:rPr/>
      </w:pPr>
      <w:r>
        <w:rPr>
          <w:shd w:val="clear" w:color="auto" w:fill="ffffff"/>
        </w:rPr>
        <w:t xml:space="preserve">Tuy nhiên, bên cạnh những kết quả đạt được, việc phát triển CCN tại Thường Tí</w:t>
      </w:r>
      <w:r>
        <w:rPr>
          <w:shd w:val="clear" w:color="auto" w:fill="ffffff"/>
        </w:rPr>
        <w:t xml:space="preserve">n cũng đối mặt với một số thách thức như: nhu cầu vốn đầu tư lớn, công tác giải phóng mặt bằng còn gặp khó khăn, một số CCN chưa hoàn thiện hạ tầng xử lý môi trường, và khả năng thu hút các dự án công nghệ cao còn hạn chế. Do đó, huyện cần có các giải pháp</w:t>
      </w:r>
      <w:r>
        <w:rPr>
          <w:shd w:val="clear" w:color="auto" w:fill="ffffff"/>
        </w:rPr>
        <w:t xml:space="preserve"> đồng bộ như cải cách thủ tục hành chính, tăng cường hỗ trợ doanh nghiệp, nâng cao chất lượng nguồn nhân lực và đẩy mạnh ứng dụng khoa học công nghệ.</w:t>
      </w:r>
      <w:r/>
    </w:p>
    <w:p>
      <w:pPr>
        <w:pBdr/>
        <w:tabs>
          <w:tab w:val="left" w:leader="none" w:pos="426"/>
        </w:tabs>
        <w:spacing w:after="120" w:before="120" w:line="276" w:lineRule="auto"/>
        <w:ind w:right="0" w:firstLine="283" w:left="0"/>
        <w:jc w:val="both"/>
        <w:rPr/>
      </w:pPr>
      <w:r>
        <w:rPr>
          <w:shd w:val="clear" w:color="auto" w:fill="ffffff"/>
        </w:rPr>
        <w:t xml:space="preserve">Tổng thể, việc tập trung đầu tư phát triển các cụm công nghiệp tại huyện Thường Tín là một hướng đi đúng </w:t>
      </w:r>
      <w:r>
        <w:rPr>
          <w:shd w:val="clear" w:color="auto" w:fill="ffffff"/>
        </w:rPr>
        <w:t xml:space="preserve">đắn, phù hợp với xu thế phát triển kinh tế hiện nay. Các CCN không chỉ là động lực tăng trưởng mà còn góp phần giải quyết nhiều vấn đề xã hội như việc làm, môi trường và phát triển bền vững. Với sự quan tâm của chính quyền và sự tham gia của doanh nghiệp, </w:t>
      </w:r>
      <w:r>
        <w:rPr>
          <w:shd w:val="clear" w:color="auto" w:fill="ffffff"/>
        </w:rPr>
        <w:t xml:space="preserve">Thường Tín có tiềm năng trở thành một trong những địa phương phát triển công nghiệp – làng nghề tiêu biểu của Hà Nội trong thời gian tới.</w:t>
      </w:r>
      <w:r/>
    </w:p>
    <w:p>
      <w:pPr>
        <w:pBdr/>
        <w:tabs>
          <w:tab w:val="left" w:leader="none" w:pos="426"/>
        </w:tabs>
        <w:spacing w:after="120" w:before="120" w:line="276" w:lineRule="auto"/>
        <w:ind/>
        <w:jc w:val="center"/>
        <w:rPr>
          <w:bCs/>
          <w:i/>
        </w:rPr>
      </w:pPr>
      <w:r>
        <w:rPr>
          <w:shd w:val="clear" w:color="auto" w:fill="ffffff"/>
        </w:rPr>
        <w:t xml:space="preserve">(</w:t>
      </w:r>
      <w:r>
        <w:rPr>
          <w:i/>
          <w:iCs/>
          <w:shd w:val="clear" w:color="auto" w:fill="ffffff"/>
        </w:rPr>
        <w:t xml:space="preserve">Nguồn tham khảo: https://kinhtedothi.vn/huyen-thuong-tin-tap-trung-dau-tu-cac-cum-cong-nghiep-thuc-day-phat-trien-kinh-te.html)</w:t>
      </w:r>
      <w:r>
        <w:rPr>
          <w:bCs/>
          <w:i/>
        </w:rPr>
      </w:r>
      <w:r>
        <w:rPr>
          <w:bCs/>
          <w:i/>
        </w:rP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191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thuê trả tiền một lần tại thửa đất số: ./., tờ bản đồ số: ./., có địa chỉ: </w:t>
            </w:r>
            <w:r>
              <w:rPr>
                <w:b/>
                <w:bCs/>
                <w:color w:val="000000" w:themeColor="text1"/>
              </w:rPr>
              <w:t xml:space="preserve">22</w:t>
            </w:r>
            <w:r>
              <w:rPr>
                <w:b/>
                <w:bCs/>
                <w:color w:val="000000" w:themeColor="text1"/>
              </w:rPr>
              <w:t xml:space="preserve">-CN4, cụm công nghiệp làng nghề, xã Văn Tự, huyện Thường Tín, thành phố Hà Nội </w:t>
            </w:r>
            <w:r>
              <w:rPr>
                <w:b/>
                <w:bCs/>
                <w:i/>
                <w:iCs/>
                <w:color w:val="000000" w:themeColor="text1"/>
                <w:u w:val="none"/>
              </w:rPr>
              <w:t xml:space="preserve">(nay là 22-CN4, cụm công nghiệp làng nghề, xã Phú Xuyên, thành phố Hà N</w:t>
            </w:r>
            <w:r>
              <w:rPr>
                <w:b/>
                <w:bCs/>
                <w:i/>
                <w:iCs/>
                <w:color w:val="000000" w:themeColor="text1"/>
                <w:u w:val="none"/>
              </w:rPr>
              <w:t xml:space="preserve">ội)</w:t>
            </w:r>
            <w:r>
              <w:rPr>
                <w:b/>
                <w:bCs/>
                <w:color w:val="000000" w:themeColor="text1"/>
              </w:rPr>
              <w:t xml:space="preserve"> theo Giấy chứng nhận quyền sử dụng đất, quyền sở hữu nhà ở và tài sản khác gắn liền với đất số: CT 238998, Số vào sổ cấp G</w:t>
            </w:r>
            <w:r>
              <w:rPr>
                <w:b/>
                <w:bCs/>
                <w:color w:val="000000"/>
              </w:rPr>
              <w:t xml:space="preserve">CN: CS 13584 do Sở Tài nguyên và Môi trường Thành phố Hà Nội cấp ngày 15/10/2019; Chủ sử dụng đất là Hộ Kinh doanh Nguyễn Thị Sửa</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r>
            <w:r>
              <w:rPr>
                <w:b w:val="0"/>
                <w:bCs w:val="0"/>
                <w:color w:val="000000" w:themeColor="text1"/>
              </w:rPr>
              <w:t xml:space="preserve">22</w:t>
            </w:r>
            <w:r>
              <w:rPr>
                <w:b w:val="0"/>
                <w:bCs w:val="0"/>
                <w:color w:val="000000" w:themeColor="text1"/>
              </w:rPr>
              <w:t xml:space="preserve">-CN4, cụm công nghiệp làng nghề, xã Văn Tự, huyện Thường Tín, thành phố Hà Nội</w:t>
            </w:r>
            <w:r>
              <w:rPr>
                <w:color w:val="000000" w:themeColor="text1"/>
              </w:rPr>
              <w:t xml:space="preserve"> </w:t>
            </w:r>
            <w:r>
              <w:rPr>
                <w:bCs/>
                <w:i/>
                <w:iCs/>
                <w:color w:val="000000" w:themeColor="text1"/>
                <w:lang w:val="pt-BR"/>
              </w:rPr>
              <w:t xml:space="preserve">(nay là 22-CN4, cụm công nghiệp làng nghề, xã Phú Xuyên, thành phố Hà N</w:t>
            </w:r>
            <w:r>
              <w:rPr>
                <w:bCs/>
                <w:i/>
                <w:iCs/>
                <w:color w:val="000000" w:themeColor="text1"/>
                <w:lang w:val="pt-BR"/>
              </w:rPr>
              <w:t xml:space="preserve">ội).</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467,4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xây dựng cơ sở sản xuất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Kể từ ngày 28/9/2018 đến ngày 31/10/2066</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chuyển nhượng đất được Nhà nước cho thuê đất trả tiền một lần.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Tại thời điểm thẩm định giá, theo thông tin khách hàng cung cấp, Tổ thẩm định chưa thu thập được thông tin quy hoạch liên quan đến thửa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khu công nghiệp</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01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8,0</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8,0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QL1A khoảng 300.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t xml:space="preserve">+ Hướng Bắc: tiếp giáp đường khu công nghiệp; </w:t>
              <w:br/>
              <w:t xml:space="preserve">+ Các hướng còn lại: tiếp giáp các thửa đát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20.7754044</w:t>
            </w:r>
            <w:r>
              <w:rPr>
                <w:color w:val="000000"/>
              </w:rPr>
              <w:t xml:space="preserve">, </w:t>
            </w:r>
            <w:r>
              <w:rPr>
                <w:color w:val="000000"/>
              </w:rPr>
              <w:t xml:space="preserve">105.8981426</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27414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274140"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5.29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467,4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15,</w:t>
            </w:r>
            <w:r>
              <w:rPr>
                <w:color w:val="000000" w:themeColor="text1"/>
              </w:rPr>
              <w:t xml:space="preserve">2</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Chiều sâu (m): </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30,73</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khu công nghiệp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Không có lợi thế kinh doanh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tabs>
                <w:tab w:val="center" w:leader="none" w:pos="4282"/>
              </w:tabs>
              <w:spacing/>
              <w:ind/>
              <w:jc w:val="both"/>
              <w:rPr>
                <w:color w:val="000000"/>
              </w:rPr>
            </w:pPr>
            <w:r>
              <w:rPr>
                <w:color w:val="000000"/>
              </w:rPr>
              <w:t xml:space="preserve">Tại thời điểm khảo sát, Tổ thẩm định xác định trên đất có C</w:t>
            </w:r>
            <w:r>
              <w:rPr>
                <w:color w:val="000000"/>
                <w:highlight w:val="white"/>
              </w:rPr>
              <w:t xml:space="preserve">TX</w:t>
            </w:r>
            <w:r>
              <w:rPr>
                <w:color w:val="000000"/>
                <w:highlight w:val="white"/>
              </w:rPr>
              <w:t xml:space="preserve">D nhà xưởng mái tôn</w:t>
            </w:r>
            <w:r>
              <w:rPr>
                <w:color w:val="000000"/>
                <w:highlight w:val="white"/>
              </w:rPr>
              <w:t xml:space="preserve">,</w:t>
            </w:r>
            <w:r>
              <w:rPr>
                <w:color w:val="000000"/>
              </w:rPr>
              <w:t xml:space="preserve"> xây dựng đã lâu, hiện đang sử dụng bình thường. CTXD chưa được công nhận trên GCN QSDĐ. </w:t>
            </w:r>
            <w:r>
              <w:rPr>
                <w:color w:val="000000"/>
              </w:rPr>
              <w:tab/>
            </w:r>
            <w:r>
              <w:rPr>
                <w:color w:val="000000"/>
              </w:rPr>
            </w:r>
            <w:r>
              <w:rPr>
                <w:color w:val="000000"/>
              </w:rPr>
            </w:r>
          </w:p>
        </w:tc>
      </w:tr>
    </w:tbl>
    <w:p>
      <w:pPr>
        <w:pBdr/>
        <w:spacing w:line="235" w:lineRule="auto"/>
        <w:ind w:left="0"/>
        <w:jc w:val="both"/>
        <w:rPr>
          <w:b/>
          <w:bCs/>
          <w:u w:val="single"/>
        </w:rPr>
      </w:pPr>
      <w:r>
        <w:rPr>
          <w:b/>
          <w:bCs/>
          <w:highlight w:val="none"/>
          <w:u w:val="single"/>
        </w:rPr>
      </w:r>
      <w:r>
        <w:rPr>
          <w:b/>
          <w:bCs/>
          <w:u w:val="single"/>
        </w:rPr>
      </w:r>
      <w:r>
        <w:rPr>
          <w:b/>
          <w:bCs/>
          <w:u w:val="single"/>
        </w:rPr>
      </w:r>
    </w:p>
    <w:p>
      <w:pPr>
        <w:pBdr/>
        <w:spacing w:line="235" w:lineRule="auto"/>
        <w:ind w:left="0"/>
        <w:jc w:val="both"/>
        <w:rPr>
          <w:b/>
          <w:bCs/>
          <w:highlight w:val="none"/>
          <w:u w:val="single"/>
        </w:rPr>
      </w:pPr>
      <w:r>
        <w:rPr>
          <w:b/>
          <w:bCs/>
          <w:u w:val="single"/>
        </w:rPr>
        <w:t xml:space="preserve">Các</w:t>
      </w:r>
      <w:r>
        <w:rPr>
          <w:b/>
          <w:bCs/>
          <w:u w:val="single"/>
        </w:rPr>
        <w:t xml:space="preserve"> lợi thế thương mại </w:t>
      </w:r>
      <w:r>
        <w:rPr>
          <w:b/>
          <w:bCs/>
          <w:u w:val="single"/>
        </w:rPr>
        <w:t xml:space="preserve">của thửa đất:</w:t>
      </w:r>
      <w:r>
        <w:rPr>
          <w:b/>
          <w:bCs/>
          <w:highlight w:val="none"/>
          <w:u w:val="single"/>
        </w:rPr>
      </w:r>
      <w:r>
        <w:rPr>
          <w:b/>
          <w:bCs/>
          <w:highlight w:val="none"/>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25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Phú Xuyên.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Phượng Dực, Huyện Phú Xuyên,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Phượng Dực, Huyện Phú Xuyên,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Quất Động, Huyện Thường Tín,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https://bds68.com.vn/ban-kho-nha-xuong/ha-noi/phu-xuyen/cum-cong-nghiep-lang-nghe-dai-thang/ban-950m2-dat-va-kho-xuong-3-tang-cum-lang-nghe-dai-thang-mat-duong-ngoc-hoi-phu-xuyen-62m-pr29611479</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0862.048968</w:t>
            </w:r>
            <w:r>
              <w:rPr>
                <w:sz w:val="22"/>
                <w:szCs w:val="22"/>
              </w:rPr>
              <w:t xml:space="preserve"> </w:t>
            </w:r>
            <w:r>
              <w:rPr>
                <w:sz w:val="22"/>
                <w:szCs w:val="22"/>
              </w:rPr>
              <w:br/>
              <w:t xml:space="preserve">(C.</w:t>
            </w:r>
            <w:r>
              <w:rPr>
                <w:sz w:val="22"/>
                <w:szCs w:val="22"/>
              </w:rPr>
              <w:t xml:space="preserve">Phương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0862.048968</w:t>
            </w:r>
            <w:r>
              <w:rPr>
                <w:sz w:val="22"/>
                <w:szCs w:val="22"/>
              </w:rPr>
              <w:br/>
            </w:r>
            <w:r>
              <w:rPr>
                <w:sz w:val="22"/>
                <w:szCs w:val="22"/>
              </w:rPr>
              <w:t xml:space="preserve">(</w:t>
            </w:r>
            <w:r>
              <w:rPr>
                <w:sz w:val="22"/>
                <w:szCs w:val="22"/>
              </w:rPr>
              <w:t xml:space="preserve">C.Phương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0912.744562</w:t>
            </w:r>
            <w:r>
              <w:rPr>
                <w:sz w:val="22"/>
                <w:szCs w:val="22"/>
              </w:rPr>
              <w:br/>
            </w:r>
            <w:r>
              <w:rPr>
                <w:sz w:val="22"/>
                <w:szCs w:val="22"/>
              </w:rPr>
              <w:t xml:space="preserve">(C.</w:t>
            </w:r>
            <w:r>
              <w:rPr>
                <w:sz w:val="22"/>
                <w:szCs w:val="22"/>
              </w:rPr>
              <w:t xml:space="preserve">Phương Đào</w:t>
            </w:r>
            <w:r>
              <w:rPr>
                <w:sz w:val="22"/>
                <w:szCs w:val="22"/>
              </w:rPr>
              <w:t xml:space="preserve">)</w:t>
            </w:r>
            <w:r>
              <w:rPr>
                <w:sz w:val="22"/>
                <w:szCs w:val="22"/>
              </w:rPr>
            </w:r>
            <w:r>
              <w:rPr>
                <w:sz w:val="22"/>
                <w:szCs w:val="22"/>
              </w:rPr>
            </w:r>
          </w:p>
        </w:tc>
      </w:tr>
      <w:tr>
        <w:trPr>
          <w:trHeight w:val="50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cụm công nghiệp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cụm công nghiệp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cụm công nghiệp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cụm công nghiệp</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thời hạn </w:t>
            </w:r>
            <w:r>
              <w:rPr>
                <w:color w:val="000000" w:themeColor="text1"/>
                <w:sz w:val="22"/>
                <w:szCs w:val="22"/>
              </w:rPr>
              <w:t xml:space="preserve">(đến 31/10/2066)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thời hạn (đến 23/10/2051)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thời hạn (đến 23/10/2051)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thời hạn (đến 31/12/2069)</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Phú Xuyên. Thành phố Hà Nội, cách QL1A khoảng 300m</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Phượng Dực, Huyện Phú Xuyên, Thành phố Hà Nội, cách QL1A khoảng 3,5km</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Phượng Dực, Huyện Phú Xuyên, Thành phố Hà Nội, cách QL1A khoảng 3,5km</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Quất Động, Huyện Thường Tín, Thành phố Hà Nội, cách QL1A khoảng 700m</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467,4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540</w:t>
            </w:r>
            <w:r>
              <w:rPr>
                <w:color w:val="000000"/>
                <w:sz w:val="22"/>
                <w:szCs w:val="22"/>
              </w:rPr>
              <w:t xml:space="preserve">,0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30,73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xưởng 3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1.995,0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32.000.000.000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15.200.000.000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30.400.000.000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14.440.000.000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12.825.000.000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i/>
                <w:color w:val="000000" w:themeColor="text1"/>
                <w:sz w:val="22"/>
                <w:szCs w:val="22"/>
                <w14:ligatures w14:val="none"/>
              </w:rPr>
            </w:pPr>
            <w:r>
              <w:rPr>
                <w:b/>
                <w:bCs/>
                <w:i/>
                <w:iCs/>
                <w:color w:val="000000"/>
                <w:sz w:val="22"/>
                <w:szCs w:val="22"/>
              </w:rPr>
            </w:r>
            <w:r>
              <w:rPr>
                <w:b/>
                <w:bCs/>
                <w:i/>
                <w:iCs/>
                <w:color w:val="000000" w:themeColor="text1"/>
                <w:sz w:val="22"/>
                <w:szCs w:val="22"/>
              </w:rPr>
              <w:t xml:space="preserve">15.271.149.648</w:t>
            </w:r>
            <w:r>
              <w:rPr>
                <w:b/>
                <w:bCs/>
                <w:i/>
                <w:color w:val="000000" w:themeColor="text1"/>
                <w:sz w:val="22"/>
                <w:szCs w:val="22"/>
                <w14:ligatures w14:val="none"/>
              </w:rPr>
            </w:r>
            <w:r>
              <w:rPr>
                <w:b/>
                <w:bCs/>
                <w:i/>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i/>
                <w:color w:val="000000"/>
                <w:sz w:val="22"/>
                <w:szCs w:val="22"/>
              </w:rPr>
            </w:pPr>
            <w:r>
              <w:rPr>
                <w:b/>
                <w:bCs/>
                <w:i/>
                <w:iCs/>
                <w:color w:val="000000"/>
                <w:sz w:val="22"/>
                <w:szCs w:val="22"/>
              </w:rPr>
              <w:t xml:space="preserve">-</w:t>
            </w:r>
            <w:r>
              <w:rPr>
                <w:b/>
                <w:bCs/>
                <w:i/>
                <w:color w:val="000000"/>
                <w:sz w:val="22"/>
                <w:szCs w:val="22"/>
              </w:rPr>
            </w:r>
            <w:r>
              <w:rPr>
                <w:b/>
                <w:bCs/>
                <w:i/>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i/>
                <w:color w:val="000000"/>
                <w:sz w:val="22"/>
                <w:szCs w:val="22"/>
              </w:rPr>
            </w:pPr>
            <w:r>
              <w:rPr>
                <w:b/>
                <w:bCs/>
                <w:i/>
                <w:iCs/>
                <w:color w:val="000000"/>
                <w:sz w:val="22"/>
                <w:szCs w:val="22"/>
              </w:rPr>
              <w:t xml:space="preserve">-</w:t>
            </w:r>
            <w:r>
              <w:rPr>
                <w:b/>
                <w:bCs/>
                <w:i/>
                <w:color w:val="000000"/>
                <w:sz w:val="22"/>
                <w:szCs w:val="22"/>
              </w:rPr>
            </w:r>
            <w:r>
              <w:rPr>
                <w:b/>
                <w:bCs/>
                <w:i/>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b/>
                <w:bCs/>
                <w:color w:val="000000"/>
                <w:sz w:val="22"/>
                <w:szCs w:val="22"/>
              </w:rPr>
            </w:pPr>
            <w:r>
              <w:rPr>
                <w:b/>
                <w:bCs/>
                <w:color w:val="000000"/>
                <w:sz w:val="22"/>
                <w:szCs w:val="22"/>
              </w:rPr>
            </w:r>
            <w:r>
              <w:rPr>
                <w:color w:val="000000"/>
                <w:sz w:val="22"/>
                <w:szCs w:val="22"/>
              </w:rPr>
              <w:t xml:space="preserve">Đơn giá xây dựng theo Quyết định số 425/QĐ-BXD ngày 30/3/2026 của Bộ</w:t>
            </w:r>
            <w:r>
              <w:rPr>
                <w:color w:val="000000"/>
                <w:sz w:val="22"/>
                <w:szCs w:val="22"/>
              </w:rPr>
              <w:t xml:space="preserve"> Xâ</w:t>
            </w:r>
            <w:r>
              <w:rPr>
                <w:color w:val="000000"/>
                <w:sz w:val="22"/>
                <w:szCs w:val="22"/>
              </w:rPr>
              <w:t xml:space="preserve">y Dựng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9.170.000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sz w:val="22"/>
                <w:szCs w:val="22"/>
                <w14:ligatures w14:val="none"/>
              </w:rPr>
            </w:pPr>
            <w:r>
              <w:rPr>
                <w:b/>
                <w:bCs/>
                <w:color w:val="000000"/>
                <w:sz w:val="22"/>
                <w:szCs w:val="22"/>
              </w:rPr>
            </w:r>
            <w:r>
              <w:rPr>
                <w:color w:val="000000"/>
                <w:sz w:val="22"/>
                <w:szCs w:val="22"/>
              </w:rPr>
              <w:t xml:space="preserve">Tỷ lệ % CLCL</w:t>
            </w:r>
            <w:r>
              <w:rPr>
                <w:color w:val="000000"/>
                <w:sz w:val="22"/>
                <w:szCs w:val="22"/>
                <w14:ligatures w14:val="none"/>
              </w:rPr>
            </w:r>
            <w:r>
              <w:rPr>
                <w:color w:val="000000"/>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91,43%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30.400.000.000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14.440.000.000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12.825.000.000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15.925.106</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15.200.000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23.750.000</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2</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Mục đích sử dụng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Tương đồng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Tương đồng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Tương đồng</w:t>
            </w:r>
            <w:r>
              <w:rPr>
                <w:color w:val="000000" w:themeColor="text1"/>
                <w:sz w:val="22"/>
                <w:szCs w:val="22"/>
                <w:highlight w:val="white"/>
              </w:rPr>
            </w:r>
            <w:r>
              <w:rPr>
                <w:color w:val="000000" w:themeColor="text1"/>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3</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Thời hạn sử dụng đất</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Kém lợi thế hơn</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Kém lợi thế hơn</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Tương đồng</w:t>
            </w:r>
            <w:r>
              <w:rPr>
                <w:color w:val="000000" w:themeColor="text1"/>
                <w:sz w:val="22"/>
                <w:szCs w:val="22"/>
                <w:highlight w:val="white"/>
              </w:rPr>
            </w:r>
            <w:r>
              <w:rPr>
                <w:color w:val="000000" w:themeColor="text1"/>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Độ rộng đường trước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15.128.850.352</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14.440.000.000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12.825.000.000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15.925.106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15.200.000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23.750.000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Pháp lý</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highlight w:val="white"/>
              </w:rPr>
            </w:pPr>
            <w:r>
              <w:rPr>
                <w:color w:val="000000" w:themeColor="text1"/>
                <w:sz w:val="22"/>
                <w:szCs w:val="22"/>
                <w:highlight w:val="white"/>
              </w:rPr>
              <w:t xml:space="preserve">Giấy chứng nhận quyền sử dụng đất</w:t>
            </w:r>
            <w:r>
              <w:rPr>
                <w:highlight w:val="white"/>
              </w:rPr>
            </w:r>
            <w:r>
              <w:rPr>
                <w:highlight w:val="white"/>
              </w:rPr>
            </w:r>
          </w:p>
        </w:tc>
        <w:tc>
          <w:tcPr>
            <w:shd w:val="clear" w:color="000000" w:fill="ffffff"/>
            <w:tcBorders/>
            <w:tcW w:w="1522" w:type="dxa"/>
            <w:vAlign w:val="center"/>
            <w:textDirection w:val="lrTb"/>
            <w:noWrap w:val="false"/>
          </w:tcPr>
          <w:p>
            <w:pPr>
              <w:pBdr/>
              <w:spacing/>
              <w:ind/>
              <w:jc w:val="center"/>
              <w:rPr>
                <w:highlight w:val="white"/>
              </w:rPr>
            </w:pPr>
            <w:r>
              <w:rPr>
                <w:color w:val="000000" w:themeColor="text1"/>
                <w:sz w:val="22"/>
                <w:szCs w:val="22"/>
                <w:highlight w:val="white"/>
              </w:rPr>
              <w:t xml:space="preserve">Giấy chứng nhận quyền sử dụng đất</w:t>
            </w:r>
            <w:r>
              <w:rPr>
                <w:highlight w:val="white"/>
              </w:rPr>
            </w:r>
            <w:r>
              <w:rPr>
                <w:highlight w:val="white"/>
              </w:rPr>
            </w:r>
          </w:p>
        </w:tc>
        <w:tc>
          <w:tcPr>
            <w:shd w:val="clear" w:color="000000" w:fill="ffffff"/>
            <w:tcBorders/>
            <w:tcW w:w="1522" w:type="dxa"/>
            <w:vAlign w:val="center"/>
            <w:textDirection w:val="lrTb"/>
            <w:noWrap w:val="false"/>
          </w:tcPr>
          <w:p>
            <w:pPr>
              <w:pBdr/>
              <w:spacing/>
              <w:ind/>
              <w:jc w:val="center"/>
              <w:rPr>
                <w:highlight w:val="white"/>
              </w:rPr>
            </w:pPr>
            <w:r>
              <w:rPr>
                <w:color w:val="000000" w:themeColor="text1"/>
                <w:sz w:val="22"/>
                <w:szCs w:val="22"/>
                <w:highlight w:val="white"/>
              </w:rPr>
              <w:t xml:space="preserve">Giấy chứng nhận quyền sử dụng đất</w:t>
            </w:r>
            <w:r>
              <w:rPr>
                <w:highlight w:val="white"/>
              </w:rPr>
            </w:r>
            <w:r>
              <w:rPr>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15.925.106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15.200.000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23.750.000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C.2</w:t>
            </w:r>
            <w:r>
              <w:rPr>
                <w:color w:val="000000"/>
                <w:sz w:val="22"/>
                <w:szCs w:val="22"/>
                <w:highlight w:val="white"/>
              </w:rPr>
            </w:r>
            <w:r>
              <w:rPr>
                <w:color w:val="000000"/>
                <w:sz w:val="22"/>
                <w:szCs w:val="22"/>
                <w:highlight w:val="white"/>
              </w:rPr>
            </w:r>
          </w:p>
        </w:tc>
        <w:tc>
          <w:tcPr>
            <w:shd w:val="clear" w:color="000000" w:fill="ffffff"/>
            <w:tcBorders/>
            <w:tcW w:w="1765" w:type="dxa"/>
            <w:vAlign w:val="center"/>
            <w:vMerge w:val="restart"/>
            <w:textDirection w:val="lrTb"/>
            <w:noWrap w:val="false"/>
          </w:tcPr>
          <w:p>
            <w:pPr>
              <w:pBdr/>
              <w:spacing/>
              <w:ind/>
              <w:rPr>
                <w:b/>
                <w:bCs/>
                <w:color w:val="000000"/>
                <w:sz w:val="22"/>
                <w:szCs w:val="22"/>
                <w:highlight w:val="white"/>
              </w:rPr>
            </w:pPr>
            <w:r>
              <w:rPr>
                <w:b/>
                <w:bCs/>
                <w:color w:val="000000" w:themeColor="text1"/>
                <w:sz w:val="22"/>
                <w:szCs w:val="22"/>
                <w:highlight w:val="none"/>
              </w:rPr>
              <w:t xml:space="preserve">Mục đích sử dụng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vMerge w:val="restart"/>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Đất cụm công nghiệp</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Đất cụm công nghiệp</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Đất cụm công nghiệp</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Đất cụm công nghiệp</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vMerge w:val="restart"/>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vMerge w:val="restart"/>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vMerge w:val="restart"/>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vMerge w:val="restart"/>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vMerge w:val="restart"/>
            <w:textDirection w:val="lrTb"/>
            <w:noWrap w:val="false"/>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vMerge w:val="restart"/>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vMerge w:val="restart"/>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vMerge w:val="restart"/>
            <w:textDirection w:val="lrTb"/>
            <w:noWrap w:val="false"/>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vMerge w:val="restart"/>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15.925.106</w:t>
            </w:r>
            <w:r>
              <w:rPr>
                <w:color w:val="000000"/>
                <w:sz w:val="22"/>
                <w:szCs w:val="22"/>
                <w:highlight w:val="white"/>
              </w:rPr>
            </w:r>
            <w:r>
              <w:rPr>
                <w:color w:val="000000"/>
                <w:sz w:val="22"/>
                <w:szCs w:val="22"/>
                <w:highlight w:val="white"/>
              </w:rPr>
            </w:r>
          </w:p>
        </w:tc>
        <w:tc>
          <w:tcPr>
            <w:shd w:val="clear" w:color="000000" w:fill="ffffff"/>
            <w:tcBorders/>
            <w:tcW w:w="152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15.200.000</w:t>
            </w:r>
            <w:r>
              <w:rPr>
                <w:color w:val="000000"/>
                <w:sz w:val="22"/>
                <w:szCs w:val="22"/>
                <w:highlight w:val="white"/>
              </w:rPr>
            </w:r>
            <w:r>
              <w:rPr>
                <w:color w:val="000000"/>
                <w:sz w:val="22"/>
                <w:szCs w:val="22"/>
                <w:highlight w:val="white"/>
              </w:rPr>
            </w:r>
          </w:p>
        </w:tc>
        <w:tc>
          <w:tcPr>
            <w:shd w:val="clear" w:color="000000" w:fill="ffffff"/>
            <w:tcBorders/>
            <w:tcW w:w="152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23.750.000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C.3</w:t>
            </w:r>
            <w:r>
              <w:rPr>
                <w:color w:val="000000"/>
                <w:sz w:val="22"/>
                <w:szCs w:val="22"/>
                <w:highlight w:val="white"/>
              </w:rPr>
            </w:r>
            <w:r>
              <w:rPr>
                <w:color w:val="000000"/>
                <w:sz w:val="22"/>
                <w:szCs w:val="22"/>
                <w:highlight w:val="white"/>
              </w:rPr>
            </w:r>
          </w:p>
        </w:tc>
        <w:tc>
          <w:tcPr>
            <w:shd w:val="clear" w:color="000000" w:fill="ffffff"/>
            <w:tcBorders/>
            <w:tcW w:w="1765" w:type="dxa"/>
            <w:vAlign w:val="center"/>
            <w:vMerge w:val="restart"/>
            <w:textDirection w:val="lrTb"/>
            <w:noWrap w:val="false"/>
          </w:tcPr>
          <w:p>
            <w:pPr>
              <w:pBdr/>
              <w:spacing/>
              <w:ind/>
              <w:rPr>
                <w:b/>
                <w:bCs/>
                <w:color w:val="000000"/>
                <w:sz w:val="22"/>
                <w:szCs w:val="22"/>
                <w:highlight w:val="white"/>
              </w:rPr>
            </w:pPr>
            <w:r>
              <w:rPr>
                <w:b/>
                <w:bCs/>
                <w:color w:val="000000"/>
                <w:sz w:val="22"/>
                <w:szCs w:val="22"/>
                <w:highlight w:val="white"/>
              </w:rPr>
              <w:t xml:space="preserve">Thời hạn sử dụng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vMerge w:val="restart"/>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vMerge w:val="restart"/>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highlight w:val="white"/>
                <w14:ligatures w14:val="none"/>
              </w:rPr>
            </w:pPr>
            <w:r>
              <w:rPr>
                <w:color w:val="000000" w:themeColor="text1"/>
                <w:sz w:val="22"/>
                <w:szCs w:val="22"/>
                <w:highlight w:val="white"/>
              </w:rPr>
              <w:t xml:space="preserve">Đất cơ sở sản xuất phi nông nghiệp – Có thời hạn (đến 30/10/2066, 40 năm)</w:t>
            </w:r>
            <w:r>
              <w:rPr>
                <w:color w:val="000000" w:themeColor="text1"/>
                <w:sz w:val="22"/>
                <w:szCs w:val="22"/>
                <w:highlight w:val="white"/>
                <w14:ligatures w14:val="none"/>
              </w:rPr>
            </w:r>
            <w:r>
              <w:rPr>
                <w:color w:val="000000" w:themeColor="text1"/>
                <w:sz w:val="22"/>
                <w:szCs w:val="22"/>
                <w:highlight w:val="white"/>
                <w14:ligatures w14:val="none"/>
              </w:rPr>
            </w:r>
          </w:p>
        </w:tc>
        <w:tc>
          <w:tcPr>
            <w:shd w:val="clear" w:color="000000" w:fill="ffffff"/>
            <w:tcBorders/>
            <w:tcW w:w="1522" w:type="dxa"/>
            <w:vAlign w:val="center"/>
            <w:vMerge w:val="restart"/>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highlight w:val="white"/>
                <w14:ligatures w14:val="none"/>
              </w:rPr>
            </w:pPr>
            <w:r>
              <w:rPr>
                <w:color w:val="000000" w:themeColor="text1"/>
                <w:sz w:val="22"/>
                <w:szCs w:val="22"/>
                <w:highlight w:val="white"/>
              </w:rPr>
              <w:t xml:space="preserve">Đất cụm công nghiệp – Có thời hạn (đến 23/10/2051, 25 năm)</w:t>
            </w:r>
            <w:r>
              <w:rPr>
                <w:color w:val="000000" w:themeColor="text1"/>
                <w:sz w:val="22"/>
                <w:szCs w:val="22"/>
                <w:highlight w:val="white"/>
                <w14:ligatures w14:val="none"/>
              </w:rPr>
            </w:r>
            <w:r>
              <w:rPr>
                <w:color w:val="000000" w:themeColor="text1"/>
                <w:sz w:val="22"/>
                <w:szCs w:val="22"/>
                <w:highlight w:val="white"/>
                <w14:ligatures w14:val="none"/>
              </w:rPr>
            </w:r>
          </w:p>
        </w:tc>
        <w:tc>
          <w:tcPr>
            <w:shd w:val="clear" w:color="000000" w:fill="ffffff"/>
            <w:tcBorders/>
            <w:tcW w:w="1522" w:type="dxa"/>
            <w:vAlign w:val="center"/>
            <w:vMerge w:val="restart"/>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highlight w:val="white"/>
                <w14:ligatures w14:val="none"/>
              </w:rPr>
            </w:pPr>
            <w:r>
              <w:rPr>
                <w:color w:val="000000" w:themeColor="text1"/>
                <w:sz w:val="22"/>
                <w:szCs w:val="22"/>
                <w:highlight w:val="white"/>
              </w:rPr>
              <w:t xml:space="preserve">Đất khu cụm nghiệp – Có thời hạn (đến 23/10/2051, 25 năm)</w:t>
            </w:r>
            <w:r>
              <w:rPr>
                <w:color w:val="000000" w:themeColor="text1"/>
                <w:sz w:val="22"/>
                <w:szCs w:val="22"/>
                <w:highlight w:val="white"/>
                <w14:ligatures w14:val="none"/>
              </w:rPr>
            </w:r>
            <w:r>
              <w:rPr>
                <w:color w:val="000000" w:themeColor="text1"/>
                <w:sz w:val="22"/>
                <w:szCs w:val="22"/>
                <w:highlight w:val="white"/>
                <w14:ligatures w14:val="none"/>
              </w:rPr>
            </w:r>
          </w:p>
        </w:tc>
        <w:tc>
          <w:tcPr>
            <w:shd w:val="clear" w:color="000000" w:fill="ffffff"/>
            <w:tcBorders/>
            <w:tcW w:w="1522" w:type="dxa"/>
            <w:vAlign w:val="center"/>
            <w:vMerge w:val="restart"/>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highlight w:val="white"/>
                <w14:ligatures w14:val="none"/>
              </w:rPr>
            </w:pPr>
            <w:r>
              <w:rPr>
                <w:color w:val="000000" w:themeColor="text1"/>
                <w:sz w:val="22"/>
                <w:szCs w:val="22"/>
                <w:highlight w:val="white"/>
              </w:rPr>
              <w:t xml:space="preserve">Đất cụm công nghiệp – Có thời hạn (đến 31/12/2069, 43 năm)</w:t>
            </w:r>
            <w:r>
              <w:rPr>
                <w:color w:val="000000" w:themeColor="text1"/>
                <w:sz w:val="22"/>
                <w:szCs w:val="22"/>
                <w:highlight w:val="white"/>
                <w14:ligatures w14:val="none"/>
              </w:rPr>
            </w:r>
            <w:r>
              <w:rPr>
                <w:color w:val="000000" w:themeColor="text1"/>
                <w:sz w:val="22"/>
                <w:szCs w:val="22"/>
                <w:highlight w:val="white"/>
                <w14:ligatures w14:val="none"/>
              </w:rPr>
            </w:r>
          </w:p>
        </w:tc>
      </w:tr>
      <w:tr>
        <w:trPr>
          <w:trHeight w:val="20"/>
        </w:trPr>
        <w:tc>
          <w:tcPr>
            <w:shd w:val="clear" w:color="000000" w:fill="ffffff"/>
            <w:tcBorders/>
            <w:tcW w:w="632" w:type="dxa"/>
            <w:vAlign w:val="center"/>
            <w:vMerge w:val="restart"/>
            <w:textDirection w:val="lrTb"/>
            <w:noWrap w:val="false"/>
          </w:tcPr>
          <w:p>
            <w:pPr>
              <w:pBdr/>
              <w:spacing/>
              <w:ind/>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c>
          <w:tcPr>
            <w:shd w:val="clear" w:color="000000" w:fill="ffffff"/>
            <w:tcBorders/>
            <w:tcW w:w="1765" w:type="dxa"/>
            <w:vAlign w:val="center"/>
            <w:vMerge w:val="restart"/>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vMerge w:val="restart"/>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vMerge w:val="restart"/>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themeColor="text1"/>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themeColor="text1"/>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97"/>
        </w:trPr>
        <w:tc>
          <w:tcPr>
            <w:shd w:val="clear" w:color="000000" w:fill="ffffff"/>
            <w:tcBorders/>
            <w:tcW w:w="632" w:type="dxa"/>
            <w:vAlign w:val="center"/>
            <w:vMerge w:val="restart"/>
            <w:textDirection w:val="lrTb"/>
            <w:noWrap w:val="false"/>
          </w:tcPr>
          <w:p>
            <w:pPr>
              <w:pBdr/>
              <w:spacing/>
              <w:ind/>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c>
          <w:tcPr>
            <w:shd w:val="clear" w:color="000000" w:fill="ffffff"/>
            <w:tcBorders/>
            <w:tcW w:w="1765" w:type="dxa"/>
            <w:vAlign w:val="center"/>
            <w:vMerge w:val="restart"/>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vMerge w:val="restart"/>
            <w:textDirection w:val="lrTb"/>
            <w:noWrap w:val="false"/>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vMerge w:val="restart"/>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vMerge w:val="restart"/>
            <w:textDirection w:val="lrTb"/>
            <w:noWrap w:val="false"/>
          </w:tcPr>
          <w:p>
            <w:pPr>
              <w:pBdr/>
              <w:spacing/>
              <w:ind/>
              <w:jc w:val="center"/>
              <w:rPr>
                <w:color w:val="000000" w:themeColor="text1"/>
                <w:sz w:val="22"/>
                <w:szCs w:val="22"/>
                <w:highlight w:val="white"/>
                <w14:ligatures w14:val="none"/>
              </w:rPr>
            </w:pPr>
            <w:r>
              <w:rPr>
                <w:color w:val="000000" w:themeColor="text1"/>
                <w:sz w:val="22"/>
                <w:szCs w:val="22"/>
                <w:highlight w:val="white"/>
              </w:rPr>
            </w:r>
            <w:r>
              <w:rPr>
                <w:color w:val="000000" w:themeColor="text1"/>
                <w:sz w:val="22"/>
                <w:szCs w:val="22"/>
                <w:highlight w:val="white"/>
              </w:rPr>
              <w:t xml:space="preserve">796.255</w:t>
            </w:r>
            <w:r>
              <w:rPr>
                <w:color w:val="000000" w:themeColor="text1"/>
                <w:sz w:val="22"/>
                <w:szCs w:val="22"/>
                <w:highlight w:val="white"/>
                <w14:ligatures w14:val="none"/>
              </w:rPr>
            </w:r>
            <w:r>
              <w:rPr>
                <w:color w:val="000000" w:themeColor="text1"/>
                <w:sz w:val="22"/>
                <w:szCs w:val="22"/>
                <w:highlight w:val="white"/>
                <w14:ligatures w14:val="none"/>
              </w:rPr>
            </w:r>
          </w:p>
        </w:tc>
        <w:tc>
          <w:tcPr>
            <w:shd w:val="clear" w:color="000000" w:fill="ffffff"/>
            <w:tcBorders/>
            <w:tcW w:w="1522" w:type="dxa"/>
            <w:vAlign w:val="center"/>
            <w:vMerge w:val="restart"/>
            <w:textDirection w:val="lrTb"/>
            <w:noWrap w:val="false"/>
          </w:tcPr>
          <w:p>
            <w:pPr>
              <w:pBdr/>
              <w:spacing/>
              <w:ind/>
              <w:jc w:val="center"/>
              <w:rPr>
                <w:color w:val="000000" w:themeColor="text1"/>
                <w:sz w:val="22"/>
                <w:szCs w:val="22"/>
                <w:highlight w:val="white"/>
                <w14:ligatures w14:val="none"/>
              </w:rPr>
            </w:pPr>
            <w:r>
              <w:rPr>
                <w:color w:val="000000" w:themeColor="text1"/>
                <w:sz w:val="22"/>
                <w:szCs w:val="22"/>
                <w:highlight w:val="white"/>
              </w:rPr>
            </w:r>
            <w:r>
              <w:rPr>
                <w:color w:val="000000" w:themeColor="text1"/>
                <w:sz w:val="22"/>
                <w:szCs w:val="22"/>
                <w:highlight w:val="white"/>
              </w:rPr>
              <w:t xml:space="preserve">760.000</w:t>
            </w:r>
            <w:r>
              <w:rPr>
                <w:color w:val="000000" w:themeColor="text1"/>
                <w:sz w:val="22"/>
                <w:szCs w:val="22"/>
                <w:highlight w:val="white"/>
                <w14:ligatures w14:val="none"/>
              </w:rPr>
            </w:r>
            <w:r>
              <w:rPr>
                <w:color w:val="000000" w:themeColor="text1"/>
                <w:sz w:val="22"/>
                <w:szCs w:val="22"/>
                <w:highlight w:val="white"/>
                <w14:ligatures w14:val="none"/>
              </w:rPr>
            </w:r>
          </w:p>
        </w:tc>
        <w:tc>
          <w:tcPr>
            <w:shd w:val="clear" w:color="000000" w:fill="ffffff"/>
            <w:tcBorders/>
            <w:tcW w:w="152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307"/>
        </w:trPr>
        <w:tc>
          <w:tcPr>
            <w:shd w:val="clear" w:color="000000" w:fill="ffffff"/>
            <w:tcBorders/>
            <w:tcW w:w="632" w:type="dxa"/>
            <w:vAlign w:val="center"/>
            <w:vMerge w:val="restart"/>
            <w:textDirection w:val="lrTb"/>
            <w:noWrap w:val="false"/>
          </w:tcPr>
          <w:p>
            <w:pPr>
              <w:pBdr/>
              <w:spacing/>
              <w:ind/>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c>
          <w:tcPr>
            <w:shd w:val="clear" w:color="000000" w:fill="ffffff"/>
            <w:tcBorders/>
            <w:tcW w:w="1765" w:type="dxa"/>
            <w:vAlign w:val="center"/>
            <w:vMerge w:val="restart"/>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vMerge w:val="restart"/>
            <w:textDirection w:val="lrTb"/>
            <w:noWrap w:val="false"/>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vMerge w:val="restart"/>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vMerge w:val="restart"/>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highlight w:val="white"/>
                <w14:ligatures w14:val="none"/>
              </w:rPr>
            </w:pPr>
            <w:r>
              <w:rPr>
                <w:color w:val="000000" w:themeColor="text1"/>
                <w:sz w:val="22"/>
                <w:szCs w:val="22"/>
                <w:highlight w:val="white"/>
              </w:rPr>
              <w:t xml:space="preserve">16.721.361</w:t>
            </w:r>
            <w:r>
              <w:rPr>
                <w:color w:val="000000" w:themeColor="text1"/>
                <w:sz w:val="22"/>
                <w:szCs w:val="22"/>
                <w:highlight w:val="white"/>
                <w14:ligatures w14:val="none"/>
              </w:rPr>
            </w:r>
            <w:r>
              <w:rPr>
                <w:color w:val="000000" w:themeColor="text1"/>
                <w:sz w:val="22"/>
                <w:szCs w:val="22"/>
                <w:highlight w:val="white"/>
                <w14:ligatures w14:val="none"/>
              </w:rPr>
            </w:r>
          </w:p>
        </w:tc>
        <w:tc>
          <w:tcPr>
            <w:shd w:val="clear" w:color="000000" w:fill="ffffff"/>
            <w:tcBorders/>
            <w:tcW w:w="1522" w:type="dxa"/>
            <w:vAlign w:val="center"/>
            <w:vMerge w:val="restart"/>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highlight w:val="white"/>
                <w14:ligatures w14:val="none"/>
              </w:rPr>
            </w:pPr>
            <w:r>
              <w:rPr>
                <w:color w:val="000000" w:themeColor="text1"/>
                <w:sz w:val="22"/>
                <w:szCs w:val="22"/>
                <w:highlight w:val="white"/>
              </w:rPr>
              <w:t xml:space="preserve">15.960.000</w:t>
            </w:r>
            <w:r>
              <w:rPr>
                <w:color w:val="000000" w:themeColor="text1"/>
                <w:sz w:val="22"/>
                <w:szCs w:val="22"/>
                <w:highlight w:val="white"/>
                <w14:ligatures w14:val="none"/>
              </w:rPr>
            </w:r>
            <w:r>
              <w:rPr>
                <w:color w:val="000000" w:themeColor="text1"/>
                <w:sz w:val="22"/>
                <w:szCs w:val="22"/>
                <w:highlight w:val="white"/>
                <w14:ligatures w14:val="none"/>
              </w:rPr>
            </w:r>
          </w:p>
        </w:tc>
        <w:tc>
          <w:tcPr>
            <w:shd w:val="clear" w:color="000000" w:fill="ffffff"/>
            <w:tcBorders/>
            <w:tcW w:w="152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23.750.000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C.4</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Vị trí</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Xã Phú Xuyên. Thành phố Hà Nội, cách QL1A khoảng 300m</w:t>
            </w:r>
            <w:r>
              <w:rPr>
                <w:sz w:val="22"/>
                <w:szCs w:val="22"/>
                <w:highlight w:val="white"/>
              </w:rPr>
            </w:r>
            <w:r>
              <w:rPr>
                <w:sz w:val="22"/>
                <w:szCs w:val="22"/>
                <w:highlight w:val="white"/>
              </w:rPr>
            </w:r>
          </w:p>
        </w:tc>
        <w:tc>
          <w:tcPr>
            <w:shd w:val="clear" w:color="000000" w:fill="ffffff"/>
            <w:tcBorders/>
            <w:tcW w:w="152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Xã Phượng Dực, Huyện Phú Xuyên, Thành phố Hà Nội, cách QL1A khoảng 3,5km</w:t>
            </w:r>
            <w:r>
              <w:rPr>
                <w:sz w:val="22"/>
                <w:szCs w:val="22"/>
                <w:highlight w:val="white"/>
              </w:rPr>
            </w:r>
            <w:r>
              <w:rPr>
                <w:sz w:val="22"/>
                <w:szCs w:val="22"/>
                <w:highlight w:val="white"/>
              </w:rPr>
            </w:r>
          </w:p>
        </w:tc>
        <w:tc>
          <w:tcPr>
            <w:shd w:val="clear" w:color="000000" w:fill="ffffff"/>
            <w:tcBorders/>
            <w:tcW w:w="152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Xã Phượng Dực, Huyện Phú Xuyên, Thành phố Hà Nội, cách QL1A khoảng 3,5km</w:t>
            </w:r>
            <w:r>
              <w:rPr>
                <w:sz w:val="22"/>
                <w:szCs w:val="22"/>
                <w:highlight w:val="white"/>
              </w:rPr>
            </w:r>
            <w:r>
              <w:rPr>
                <w:sz w:val="22"/>
                <w:szCs w:val="22"/>
                <w:highlight w:val="white"/>
              </w:rPr>
            </w:r>
          </w:p>
        </w:tc>
        <w:tc>
          <w:tcPr>
            <w:shd w:val="clear" w:color="000000" w:fill="ffffff"/>
            <w:tcBorders/>
            <w:tcW w:w="152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Xã Quất Động, Huyện Thường Tín, Thành phố Hà Nội, cách QL1A khoảng 700m</w:t>
            </w:r>
            <w:r>
              <w:rPr>
                <w:sz w:val="22"/>
                <w:szCs w:val="22"/>
                <w:highlight w:val="white"/>
              </w:rPr>
            </w:r>
            <w:r>
              <w:rPr>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1.911.013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18.632.374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17.784.000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23.750.000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C.5</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Giao thông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nhựa có vỉa hè</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nhựa không có vỉa hè</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nhựa không có vỉa hè</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nhựa không có vỉa hè</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98"/>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18.632.374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17.784.000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23.750.000</w:t>
            </w:r>
            <w:r>
              <w:rPr>
                <w:color w:val="000000"/>
                <w:sz w:val="22"/>
                <w:szCs w:val="22"/>
                <w:highlight w:val="white"/>
              </w:rPr>
            </w:r>
            <w:r>
              <w:rPr>
                <w:color w:val="000000"/>
                <w:sz w:val="22"/>
                <w:szCs w:val="22"/>
                <w:highlight w:val="white"/>
              </w:rPr>
            </w:r>
          </w:p>
        </w:tc>
      </w:tr>
      <w:tr>
        <w:trPr>
          <w:trHeight w:val="78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C.6</w:t>
            </w:r>
            <w:r>
              <w:rPr>
                <w:color w:val="000000"/>
                <w:sz w:val="22"/>
                <w:szCs w:val="22"/>
                <w:highlight w:val="white"/>
              </w:rPr>
            </w:r>
            <w:r>
              <w:rPr>
                <w:color w:val="000000"/>
                <w:sz w:val="22"/>
                <w:szCs w:val="22"/>
                <w:highlight w:val="white"/>
              </w:rPr>
            </w:r>
          </w:p>
        </w:tc>
        <w:tc>
          <w:tcPr>
            <w:shd w:val="clear" w:color="000000" w:fill="ffffff"/>
            <w:tcBorders/>
            <w:tcW w:w="1765" w:type="dxa"/>
            <w:vAlign w:val="center"/>
            <w:vMerge w:val="restart"/>
            <w:textDirection w:val="lrTb"/>
            <w:noWrap w:val="false"/>
          </w:tcPr>
          <w:p>
            <w:pPr>
              <w:pBdr/>
              <w:spacing/>
              <w:ind/>
              <w:rPr>
                <w:b/>
                <w:bCs/>
                <w:color w:val="000000"/>
                <w:sz w:val="22"/>
                <w:szCs w:val="22"/>
                <w:highlight w:val="white"/>
              </w:rPr>
            </w:pPr>
            <w:r>
              <w:rPr>
                <w:b/>
                <w:bCs/>
                <w:color w:val="000000" w:themeColor="text1"/>
                <w:sz w:val="22"/>
                <w:szCs w:val="22"/>
                <w:highlight w:val="none"/>
              </w:rPr>
              <w:t xml:space="preserve">Độ rộng đường trước mặt tài sản </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vMerge w:val="restart"/>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r>
            <w:r>
              <w:rPr>
                <w:b/>
                <w:bCs/>
                <w:color w:val="000000" w:themeColor="text1"/>
                <w:sz w:val="22"/>
                <w:szCs w:val="22"/>
                <w:highlight w:val="white"/>
              </w:rPr>
              <w:t xml:space="preserve">(m)</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vMerge w:val="restart"/>
            <w:textDirection w:val="lrTb"/>
            <w:noWrap w:val="false"/>
          </w:tcPr>
          <w:p>
            <w:pPr>
              <w:pBdr/>
              <w:spacing/>
              <w:ind/>
              <w:jc w:val="center"/>
              <w:rPr>
                <w:b w:val="0"/>
                <w:bCs w:val="0"/>
                <w:color w:val="000000"/>
                <w:sz w:val="22"/>
                <w:szCs w:val="22"/>
                <w:highlight w:val="white"/>
              </w:rPr>
            </w:pPr>
            <w:r>
              <w:rPr>
                <w:b w:val="0"/>
                <w:bCs w:val="0"/>
                <w:color w:val="000000"/>
                <w:sz w:val="22"/>
                <w:szCs w:val="22"/>
                <w:highlight w:val="none"/>
              </w:rPr>
              <w:t xml:space="preserve">8,0</w:t>
            </w:r>
            <w:r>
              <w:rPr>
                <w:b w:val="0"/>
                <w:bCs w:val="0"/>
                <w:color w:val="000000"/>
                <w:sz w:val="22"/>
                <w:szCs w:val="22"/>
                <w:highlight w:val="white"/>
              </w:rPr>
            </w:r>
            <w:r>
              <w:rPr>
                <w:b w:val="0"/>
                <w:bCs w:val="0"/>
                <w:color w:val="000000"/>
                <w:sz w:val="22"/>
                <w:szCs w:val="22"/>
                <w:highlight w:val="white"/>
              </w:rPr>
            </w:r>
          </w:p>
        </w:tc>
        <w:tc>
          <w:tcPr>
            <w:shd w:val="clear" w:color="000000" w:fill="ffffff"/>
            <w:tcBorders/>
            <w:tcW w:w="1522" w:type="dxa"/>
            <w:vAlign w:val="center"/>
            <w:vMerge w:val="restart"/>
            <w:textDirection w:val="lrTb"/>
            <w:noWrap w:val="false"/>
          </w:tcPr>
          <w:p>
            <w:pPr>
              <w:pBdr/>
              <w:spacing/>
              <w:ind/>
              <w:jc w:val="center"/>
              <w:rPr>
                <w:b w:val="0"/>
                <w:bCs w:val="0"/>
                <w:color w:val="000000"/>
                <w:sz w:val="22"/>
                <w:szCs w:val="22"/>
                <w:highlight w:val="white"/>
              </w:rPr>
            </w:pPr>
            <w:r>
              <w:rPr>
                <w:b w:val="0"/>
                <w:bCs w:val="0"/>
                <w:color w:val="000000"/>
                <w:sz w:val="22"/>
                <w:szCs w:val="22"/>
                <w:highlight w:val="none"/>
              </w:rPr>
              <w:t xml:space="preserve">8,0</w:t>
            </w:r>
            <w:r>
              <w:rPr>
                <w:b w:val="0"/>
                <w:bCs w:val="0"/>
                <w:color w:val="000000"/>
                <w:sz w:val="22"/>
                <w:szCs w:val="22"/>
                <w:highlight w:val="white"/>
              </w:rPr>
            </w:r>
            <w:r>
              <w:rPr>
                <w:b w:val="0"/>
                <w:bCs w:val="0"/>
                <w:color w:val="000000"/>
                <w:sz w:val="22"/>
                <w:szCs w:val="22"/>
                <w:highlight w:val="white"/>
              </w:rPr>
            </w:r>
          </w:p>
        </w:tc>
        <w:tc>
          <w:tcPr>
            <w:shd w:val="clear" w:color="000000" w:fill="ffffff"/>
            <w:tcBorders/>
            <w:tcW w:w="1522" w:type="dxa"/>
            <w:vAlign w:val="center"/>
            <w:vMerge w:val="restart"/>
            <w:textDirection w:val="lrTb"/>
            <w:noWrap w:val="false"/>
          </w:tcPr>
          <w:p>
            <w:pPr>
              <w:pBdr/>
              <w:spacing/>
              <w:ind/>
              <w:jc w:val="center"/>
              <w:rPr>
                <w:b w:val="0"/>
                <w:bCs w:val="0"/>
                <w:color w:val="000000"/>
                <w:sz w:val="22"/>
                <w:szCs w:val="22"/>
                <w:highlight w:val="white"/>
              </w:rPr>
            </w:pPr>
            <w:r>
              <w:rPr>
                <w:b w:val="0"/>
                <w:bCs w:val="0"/>
                <w:color w:val="000000"/>
                <w:sz w:val="22"/>
                <w:szCs w:val="22"/>
                <w:highlight w:val="none"/>
              </w:rPr>
              <w:t xml:space="preserve">8,0</w:t>
            </w:r>
            <w:r>
              <w:rPr>
                <w:b w:val="0"/>
                <w:bCs w:val="0"/>
                <w:color w:val="000000"/>
                <w:sz w:val="22"/>
                <w:szCs w:val="22"/>
                <w:highlight w:val="white"/>
              </w:rPr>
            </w:r>
            <w:r>
              <w:rPr>
                <w:b w:val="0"/>
                <w:bCs w:val="0"/>
                <w:color w:val="000000"/>
                <w:sz w:val="22"/>
                <w:szCs w:val="22"/>
                <w:highlight w:val="white"/>
              </w:rPr>
            </w:r>
          </w:p>
        </w:tc>
        <w:tc>
          <w:tcPr>
            <w:shd w:val="clear" w:color="000000" w:fill="ffffff"/>
            <w:tcBorders/>
            <w:tcW w:w="1522" w:type="dxa"/>
            <w:vAlign w:val="center"/>
            <w:vMerge w:val="restart"/>
            <w:textDirection w:val="lrTb"/>
            <w:noWrap w:val="false"/>
          </w:tcPr>
          <w:p>
            <w:pPr>
              <w:pBdr/>
              <w:spacing/>
              <w:ind/>
              <w:jc w:val="center"/>
              <w:rPr>
                <w:b w:val="0"/>
                <w:bCs w:val="0"/>
                <w:color w:val="000000"/>
                <w:sz w:val="22"/>
                <w:szCs w:val="22"/>
                <w:highlight w:val="white"/>
              </w:rPr>
            </w:pPr>
            <w:r>
              <w:rPr>
                <w:b w:val="0"/>
                <w:bCs w:val="0"/>
                <w:color w:val="000000"/>
                <w:sz w:val="22"/>
                <w:szCs w:val="22"/>
                <w:highlight w:val="none"/>
              </w:rPr>
              <w:t xml:space="preserve">8,0</w:t>
            </w:r>
            <w:r>
              <w:rPr>
                <w:b w:val="0"/>
                <w:bCs w:val="0"/>
                <w:color w:val="000000"/>
                <w:sz w:val="22"/>
                <w:szCs w:val="22"/>
                <w:highlight w:val="white"/>
              </w:rPr>
            </w:r>
            <w:r>
              <w:rPr>
                <w:b w:val="0"/>
                <w:bCs w:val="0"/>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vMerge w:val="restart"/>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vMerge w:val="restart"/>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vMerge w:val="restart"/>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non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vMerge w:val="restart"/>
            <w:textDirection w:val="lrTb"/>
            <w:noWrap w:val="false"/>
          </w:tcPr>
          <w:p>
            <w:pPr>
              <w:pBdr/>
              <w:spacing/>
              <w:ind/>
              <w:jc w:val="center"/>
              <w:rPr/>
            </w:pPr>
            <w:r>
              <w:rPr>
                <w:color w:val="000000" w:themeColor="text1"/>
                <w:sz w:val="22"/>
                <w:szCs w:val="22"/>
                <w:highlight w:val="none"/>
              </w:rPr>
              <w:t xml:space="preserve">0%</w:t>
            </w:r>
            <w:r>
              <w:rPr>
                <w:color w:val="000000"/>
                <w:sz w:val="22"/>
                <w:szCs w:val="22"/>
                <w:highlight w:val="white"/>
              </w:rPr>
            </w:r>
            <w:r/>
          </w:p>
        </w:tc>
        <w:tc>
          <w:tcPr>
            <w:shd w:val="clear" w:color="000000" w:fill="ffffff"/>
            <w:tcBorders/>
            <w:tcW w:w="1522" w:type="dxa"/>
            <w:vAlign w:val="center"/>
            <w:vMerge w:val="restart"/>
            <w:textDirection w:val="lrTb"/>
            <w:noWrap w:val="false"/>
          </w:tcPr>
          <w:p>
            <w:pPr>
              <w:pBdr/>
              <w:spacing/>
              <w:ind/>
              <w:jc w:val="center"/>
              <w:rPr/>
            </w:pPr>
            <w:r>
              <w:rPr>
                <w:color w:val="000000" w:themeColor="text1"/>
                <w:sz w:val="22"/>
                <w:szCs w:val="22"/>
                <w:highlight w:val="none"/>
              </w:rPr>
              <w:t xml:space="preserve">0%</w:t>
            </w:r>
            <w:r>
              <w:rPr>
                <w:color w:val="000000"/>
                <w:sz w:val="22"/>
                <w:szCs w:val="22"/>
                <w:highlight w:val="white"/>
              </w:rPr>
            </w:r>
            <w:r/>
          </w:p>
        </w:tc>
      </w:tr>
      <w:tr>
        <w:trPr>
          <w:trHeight w:val="20"/>
        </w:trPr>
        <w:tc>
          <w:tcPr>
            <w:shd w:val="clear" w:color="000000" w:fill="ffffff"/>
            <w:tcBorders/>
            <w:tcW w:w="632" w:type="dxa"/>
            <w:vAlign w:val="center"/>
            <w:vMerge w:val="restart"/>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vMerge w:val="restart"/>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vMerge w:val="restart"/>
            <w:textDirection w:val="lrTb"/>
            <w:noWrap w:val="false"/>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vMerge w:val="restart"/>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vMerge w:val="restart"/>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vMerge w:val="restart"/>
            <w:textDirection w:val="lrTb"/>
            <w:noWrap w:val="false"/>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vMerge w:val="restart"/>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18.632.374</w:t>
            </w:r>
            <w:r>
              <w:rPr>
                <w:color w:val="000000"/>
                <w:sz w:val="22"/>
                <w:szCs w:val="22"/>
                <w:highlight w:val="white"/>
              </w:rPr>
            </w:r>
            <w:r>
              <w:rPr>
                <w:color w:val="000000"/>
                <w:sz w:val="22"/>
                <w:szCs w:val="22"/>
                <w:highlight w:val="white"/>
              </w:rPr>
            </w:r>
          </w:p>
        </w:tc>
        <w:tc>
          <w:tcPr>
            <w:shd w:val="clear" w:color="000000" w:fill="ffffff"/>
            <w:tcBorders/>
            <w:tcW w:w="152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17.784.000</w:t>
            </w:r>
            <w:r>
              <w:rPr>
                <w:color w:val="000000"/>
                <w:sz w:val="22"/>
                <w:szCs w:val="22"/>
                <w:highlight w:val="white"/>
              </w:rPr>
            </w:r>
            <w:r>
              <w:rPr>
                <w:color w:val="000000"/>
                <w:sz w:val="22"/>
                <w:szCs w:val="22"/>
                <w:highlight w:val="white"/>
              </w:rPr>
            </w:r>
          </w:p>
        </w:tc>
        <w:tc>
          <w:tcPr>
            <w:shd w:val="clear" w:color="000000" w:fill="ffffff"/>
            <w:tcBorders/>
            <w:tcW w:w="152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23.750.000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C.7</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Diện tích đất </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r>
            <w:r>
              <w:rPr>
                <w:b/>
                <w:bCs/>
                <w:color w:val="000000" w:themeColor="text1"/>
                <w:sz w:val="22"/>
                <w:szCs w:val="22"/>
                <w:highlight w:val="white"/>
              </w:rPr>
              <w:t xml:space="preserve">(m²)</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467,4</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950,0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950,0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540,0</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3.981.277</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3.800.000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1.187.500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22.613.651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21.584.000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24.937.500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themeColor="text1"/>
                <w:sz w:val="22"/>
                <w:szCs w:val="22"/>
              </w:rPr>
              <w:t xml:space="preserve">(m)</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22.613.651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21.584.000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24.937.500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31,16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1.274.008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1.900.000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23.887.659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26.837.500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23.887.659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26.837.500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796.255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1.187.500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24.683.914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23.560.000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28.025.000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24.683.914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23.560.000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28.025.000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25.422.971</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-2,91%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-7,33%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10,23%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8.758.808</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8.360.000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4.275.000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- 8%%</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8.758.808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8.360.000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4.275.000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-7.33</w:t>
      </w:r>
      <w:r>
        <w:t xml:space="preserve">% đến</w:t>
      </w:r>
      <w:r>
        <w:t xml:space="preserve"> </w:t>
      </w:r>
      <w:r>
        <w:t xml:space="preserve"> </w:t>
      </w:r>
      <w:r>
        <w:t xml:space="preserve">10.23</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24.683.914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8.229.617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23.560.000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7.852.548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28.025.000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9.340.733</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25.422.898</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25.400.000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25.400.000</w:t>
      </w:r>
      <w:r>
        <w:rPr>
          <w:b/>
          <w:bCs/>
          <w:color w:val="000000" w:themeColor="text1"/>
        </w:rPr>
        <w:t xml:space="preserve"> </w:t>
      </w:r>
      <w:r>
        <w:rPr>
          <w:b/>
          <w:bCs/>
        </w:rPr>
        <w:t xml:space="preserve">đồng/m².</w:t>
      </w:r>
      <w:r>
        <w:rPr>
          <w:b/>
          <w:bCs/>
        </w:rPr>
      </w:r>
      <w:r>
        <w:rPr>
          <w:b/>
          <w:bCs/>
        </w:rPr>
      </w:r>
    </w:p>
    <w:p>
      <w:pPr>
        <w:pStyle w:val="102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7"/>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4/2026</w:t>
      </w:r>
      <w:r>
        <w:t xml:space="preserve"> </w:t>
      </w:r>
      <w:r>
        <w:t xml:space="preserve">ước tính </w:t>
      </w:r>
      <w:r>
        <w:t xml:space="preserve">như sau</w:t>
      </w:r>
      <w:r>
        <w:t xml:space="preserve">:</w:t>
      </w:r>
      <w:r>
        <w:rPr>
          <w:highlight w:val="none"/>
        </w:rPr>
      </w:r>
      <w:r>
        <w:rPr>
          <w:highlight w:val="none"/>
        </w:rPr>
      </w:r>
    </w:p>
    <w:tbl>
      <w:tblPr>
        <w:tblW w:w="4985"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3368"/>
        <w:gridCol w:w="1802"/>
        <w:gridCol w:w="1633"/>
        <w:gridCol w:w="2018"/>
      </w:tblGrid>
      <w:tr>
        <w:trPr>
          <w:trHeight w:val="20"/>
        </w:trPr>
        <w:tc>
          <w:tcPr>
            <w:shd w:val="clear" w:color="000000" w:fill="ffffff"/>
            <w:tcBorders/>
            <w:tcW w:w="675" w:type="dxa"/>
            <w:vAlign w:val="center"/>
            <w:textDirection w:val="lrTb"/>
            <w:noWrap w:val="false"/>
          </w:tcPr>
          <w:p>
            <w:pPr>
              <w:pBdr/>
              <w:spacing w:after="40" w:before="40" w:line="240" w:lineRule="auto"/>
              <w:ind/>
              <w:jc w:val="center"/>
              <w:rPr>
                <w:b/>
                <w:bCs/>
              </w:rPr>
            </w:pPr>
            <w:r>
              <w:rPr>
                <w:b/>
                <w:bCs/>
              </w:rPr>
              <w:t xml:space="preserve">TT</w:t>
            </w:r>
            <w:r>
              <w:rPr>
                <w:b/>
                <w:bCs/>
              </w:rPr>
            </w:r>
            <w:r>
              <w:rPr>
                <w:b/>
                <w:bCs/>
              </w:rPr>
            </w:r>
          </w:p>
        </w:tc>
        <w:tc>
          <w:tcPr>
            <w:shd w:val="clear" w:color="000000" w:fill="ffffff"/>
            <w:tcBorders/>
            <w:tcW w:w="3368" w:type="dxa"/>
            <w:vAlign w:val="center"/>
            <w:textDirection w:val="lrTb"/>
            <w:noWrap w:val="false"/>
          </w:tcPr>
          <w:p>
            <w:pPr>
              <w:pBdr/>
              <w:spacing w:after="40" w:before="40" w:line="240"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40" w:lineRule="auto"/>
              <w:ind/>
              <w:jc w:val="center"/>
              <w:rPr>
                <w:b/>
                <w:bCs/>
              </w:rPr>
            </w:pPr>
            <w:r>
              <w:rPr>
                <w:b/>
                <w:bCs/>
              </w:rPr>
              <w:t xml:space="preserve">Diện tích (m²)</w:t>
            </w:r>
            <w:r>
              <w:rPr>
                <w:b/>
                <w:bCs/>
              </w:rPr>
            </w:r>
            <w:r>
              <w:rPr>
                <w:b/>
                <w:bCs/>
              </w:rPr>
            </w:r>
          </w:p>
        </w:tc>
        <w:tc>
          <w:tcPr>
            <w:shd w:val="clear" w:color="000000" w:fill="ffffff"/>
            <w:tcBorders/>
            <w:tcW w:w="1633" w:type="dxa"/>
            <w:vAlign w:val="center"/>
            <w:textDirection w:val="lrTb"/>
            <w:noWrap w:val="false"/>
          </w:tcPr>
          <w:p>
            <w:pPr>
              <w:pBdr/>
              <w:spacing w:after="40" w:before="40" w:line="240" w:lineRule="auto"/>
              <w:ind/>
              <w:jc w:val="center"/>
              <w:rPr>
                <w:b/>
                <w:bCs/>
              </w:rPr>
            </w:pPr>
            <w:r>
              <w:rPr>
                <w:b/>
                <w:bCs/>
              </w:rPr>
              <w:t xml:space="preserve">Đơn giá (đồng/m²)</w:t>
            </w:r>
            <w:r>
              <w:rPr>
                <w:b/>
                <w:bCs/>
              </w:rPr>
            </w:r>
            <w:r>
              <w:rPr>
                <w:b/>
                <w:bCs/>
              </w:rPr>
            </w:r>
          </w:p>
        </w:tc>
        <w:tc>
          <w:tcPr>
            <w:shd w:val="clear" w:color="000000" w:fill="ffffff"/>
            <w:tcBorders/>
            <w:tcW w:w="2018" w:type="dxa"/>
            <w:vAlign w:val="center"/>
            <w:textDirection w:val="lrTb"/>
            <w:noWrap w:val="false"/>
          </w:tcPr>
          <w:p>
            <w:pPr>
              <w:pBdr/>
              <w:spacing w:after="40" w:before="40" w:line="240"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40" w:lineRule="auto"/>
              <w:ind/>
              <w:jc w:val="center"/>
              <w:rPr>
                <w:b/>
                <w:bCs/>
              </w:rPr>
            </w:pPr>
            <w:r>
              <w:rPr>
                <w:b/>
                <w:bCs/>
              </w:rPr>
              <w:t xml:space="preserve"> </w:t>
            </w:r>
            <w:r>
              <w:rPr>
                <w:b/>
                <w:bCs/>
              </w:rPr>
            </w:r>
            <w:r>
              <w:rPr>
                <w:b/>
                <w:bCs/>
              </w:rPr>
            </w:r>
          </w:p>
        </w:tc>
        <w:tc>
          <w:tcPr>
            <w:gridSpan w:val="3"/>
            <w:shd w:val="clear" w:color="000000" w:fill="ffffff"/>
            <w:tcBorders/>
            <w:tcW w:w="6803" w:type="dxa"/>
            <w:vAlign w:val="center"/>
            <w:textDirection w:val="lrTb"/>
            <w:noWrap w:val="false"/>
          </w:tcPr>
          <w:p>
            <w:pPr>
              <w:pBdr/>
              <w:spacing w:after="40" w:before="40" w:line="240" w:lineRule="auto"/>
              <w:ind/>
              <w:jc w:val="both"/>
              <w:rPr>
                <w:b/>
                <w:bCs/>
              </w:rPr>
            </w:pPr>
            <w:r>
              <w:rPr>
                <w:b/>
                <w:bCs/>
                <w:color w:val="000000"/>
              </w:rPr>
              <w:t xml:space="preserve">Quyền sử dụng đất thuê trả tiền một lần tại thửa đất số: ./., tờ bản đồ số: ./., có địa chỉ:</w:t>
            </w:r>
            <w:r>
              <w:rPr>
                <w:b/>
                <w:bCs/>
                <w:color w:val="ff0000"/>
              </w:rPr>
              <w:t xml:space="preserve"> </w:t>
            </w:r>
            <w:r>
              <w:rPr>
                <w:b/>
                <w:bCs/>
                <w:color w:val="000000" w:themeColor="text1"/>
              </w:rPr>
              <w:t xml:space="preserve">22-</w:t>
            </w:r>
            <w:r>
              <w:rPr>
                <w:b/>
                <w:bCs/>
                <w:color w:val="000000"/>
              </w:rPr>
              <w:t xml:space="preserve">CN4, cụm công nghiệp làng nghề, xã Văn Tự, huyện Thường Tín, thành phố Hà Nội</w:t>
            </w:r>
            <w:r>
              <w:rPr>
                <w:b/>
                <w:bCs/>
                <w:i/>
                <w:iCs/>
                <w:color w:val="000000"/>
              </w:rPr>
              <w:t xml:space="preserve"> (nay là 22-CN4, cụm công nghiệp làng nghề, xã Phú Xuyên, thành phố Hà N</w:t>
            </w:r>
            <w:r>
              <w:rPr>
                <w:b/>
                <w:bCs/>
                <w:i/>
                <w:iCs/>
                <w:color w:val="000000"/>
              </w:rPr>
              <w:t xml:space="preserve">ội) </w:t>
            </w:r>
            <w:r>
              <w:rPr>
                <w:b/>
                <w:bCs/>
                <w:color w:val="000000"/>
              </w:rPr>
              <w:t xml:space="preserve">theo Giấy chứng nhận quyền sử dụng đất, quyền sở hữu nhà ở và tài sản khác gắn liền với đất số: CT 238998, Số vào sổ cấp GCN: CS 13584 do Sở Tài nguyên và Môi trường Thành phố Hà Nội cấp ngày 15/10/2019; Chủ sử dụng đất là Hộ Kinh doanh Nguyễn Thị Sửa</w:t>
            </w:r>
            <w:r>
              <w:rPr>
                <w:b/>
                <w:bCs/>
              </w:rPr>
              <w:t xml:space="preserve">.</w:t>
            </w:r>
            <w:r>
              <w:rPr>
                <w:b/>
                <w:bCs/>
              </w:rPr>
            </w:r>
            <w:r>
              <w:rPr>
                <w:b/>
                <w:bCs/>
              </w:rPr>
            </w:r>
          </w:p>
        </w:tc>
        <w:tc>
          <w:tcPr>
            <w:shd w:val="clear" w:color="000000" w:fill="ffffff"/>
            <w:tcBorders/>
            <w:tcW w:w="2018" w:type="dxa"/>
            <w:vAlign w:val="center"/>
            <w:textDirection w:val="lrTb"/>
            <w:noWrap w:val="false"/>
          </w:tcPr>
          <w:p>
            <w:pPr>
              <w:pBdr/>
              <w:spacing w:after="40" w:before="40" w:line="240" w:lineRule="auto"/>
              <w:ind/>
              <w:jc w:val="right"/>
              <w:rPr>
                <w:b/>
                <w:bCs/>
              </w:rPr>
            </w:pPr>
            <w:r>
              <w:rPr>
                <w:b/>
                <w:bCs/>
              </w:rPr>
              <w:t xml:space="preserve"> </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40" w:lineRule="auto"/>
              <w:ind/>
              <w:jc w:val="center"/>
              <w:rPr/>
            </w:pPr>
            <w:r>
              <w:rPr>
                <w:b/>
                <w:bCs/>
              </w:rPr>
              <w:t xml:space="preserve">-</w:t>
            </w:r>
            <w:r/>
          </w:p>
        </w:tc>
        <w:tc>
          <w:tcPr>
            <w:shd w:val="clear" w:color="000000" w:fill="ffffff"/>
            <w:tcBorders/>
            <w:tcW w:w="3368" w:type="dxa"/>
            <w:vAlign w:val="center"/>
            <w:textDirection w:val="lrTb"/>
            <w:noWrap w:val="false"/>
          </w:tcPr>
          <w:p>
            <w:pPr>
              <w:pBdr/>
              <w:spacing w:after="40" w:before="40" w:line="240" w:lineRule="auto"/>
              <w:ind/>
              <w:rPr>
                <w:b w:val="0"/>
                <w:bCs/>
                <w:i/>
              </w:rPr>
            </w:pPr>
            <w:r>
              <w:rPr>
                <w:b/>
                <w:bCs/>
              </w:rPr>
              <w:t xml:space="preserve">Đất xây dựng cơ sở sản xuất </w:t>
            </w:r>
            <w:r>
              <w:rPr>
                <w:b w:val="0"/>
                <w:bCs w:val="0"/>
                <w:i/>
                <w:iCs/>
              </w:rPr>
              <w:t xml:space="preserve">(sử dụng đến ngày 31/10/2066).</w:t>
            </w:r>
            <w:r>
              <w:rPr>
                <w:b w:val="0"/>
                <w:bCs/>
                <w:i/>
              </w:rPr>
            </w:r>
            <w:r>
              <w:rPr>
                <w:b w:val="0"/>
                <w:bCs/>
                <w:i/>
              </w:rPr>
            </w:r>
          </w:p>
        </w:tc>
        <w:tc>
          <w:tcPr>
            <w:tcBorders/>
            <w:tcW w:w="1802" w:type="dxa"/>
            <w:vAlign w:val="center"/>
            <w:textDirection w:val="lrTb"/>
            <w:noWrap/>
          </w:tcPr>
          <w:p>
            <w:pPr>
              <w:pBdr/>
              <w:spacing w:after="40" w:before="40" w:line="240" w:lineRule="auto"/>
              <w:ind/>
              <w:jc w:val="center"/>
              <w:rPr>
                <w:color w:val="000000"/>
              </w:rPr>
            </w:pPr>
            <w:r>
              <w:rPr>
                <w:color w:val="000000" w:themeColor="text1"/>
              </w:rPr>
              <w:t xml:space="preserve">467,4</w:t>
            </w:r>
            <w:r>
              <w:rPr>
                <w:color w:val="000000"/>
              </w:rPr>
            </w:r>
            <w:r>
              <w:rPr>
                <w:color w:val="000000"/>
              </w:rPr>
            </w:r>
          </w:p>
        </w:tc>
        <w:tc>
          <w:tcPr>
            <w:shd w:val="clear" w:color="000000" w:fill="ffffff"/>
            <w:tcBorders/>
            <w:tcW w:w="1633" w:type="dxa"/>
            <w:vAlign w:val="center"/>
            <w:textDirection w:val="lrTb"/>
            <w:noWrap w:val="false"/>
          </w:tcPr>
          <w:p>
            <w:pPr>
              <w:pBdr/>
              <w:spacing w:after="40" w:before="40" w:line="240" w:lineRule="auto"/>
              <w:ind/>
              <w:jc w:val="center"/>
              <w:rPr/>
            </w:pPr>
            <w:r>
              <w:rPr>
                <w:color w:val="000000" w:themeColor="text1"/>
              </w:rPr>
              <w:t xml:space="preserve">25.400.000</w:t>
            </w:r>
            <w:r/>
          </w:p>
        </w:tc>
        <w:tc>
          <w:tcPr>
            <w:shd w:val="clear" w:color="000000" w:fill="ffffff"/>
            <w:tcBorders/>
            <w:tcW w:w="2018" w:type="dxa"/>
            <w:vAlign w:val="center"/>
            <w:textDirection w:val="lrTb"/>
            <w:noWrap w:val="false"/>
          </w:tcPr>
          <w:p>
            <w:pPr>
              <w:pBdr/>
              <w:spacing w:after="40" w:before="40" w:line="240" w:lineRule="auto"/>
              <w:ind/>
              <w:jc w:val="right"/>
              <w:rPr/>
            </w:pPr>
            <w:r>
              <w:rPr>
                <w:color w:val="000000" w:themeColor="text1"/>
              </w:rPr>
              <w:t xml:space="preserve">11.871.960.000</w:t>
            </w:r>
            <w:r/>
          </w:p>
        </w:tc>
      </w:tr>
      <w:tr>
        <w:trPr>
          <w:trHeight w:val="20"/>
        </w:trPr>
        <w:tc>
          <w:tcPr>
            <w:gridSpan w:val="4"/>
            <w:tcBorders/>
            <w:tcW w:w="7478" w:type="dxa"/>
            <w:vAlign w:val="center"/>
            <w:textDirection w:val="lrTb"/>
            <w:noWrap/>
          </w:tcPr>
          <w:p>
            <w:pPr>
              <w:pBdr/>
              <w:spacing w:after="40" w:before="40" w:line="240" w:lineRule="auto"/>
              <w:ind/>
              <w:jc w:val="center"/>
              <w:rPr>
                <w:b/>
                <w:bCs/>
                <w:color w:val="000000"/>
              </w:rPr>
            </w:pPr>
            <w:r>
              <w:rPr>
                <w:b/>
                <w:bCs/>
                <w:color w:val="000000"/>
              </w:rPr>
              <w:t xml:space="preserve">TỔNG CỘNG:</w:t>
            </w:r>
            <w:r>
              <w:rPr>
                <w:b/>
                <w:bCs/>
                <w:color w:val="000000"/>
              </w:rPr>
            </w:r>
            <w:r>
              <w:rPr>
                <w:b/>
                <w:bCs/>
                <w:color w:val="000000"/>
              </w:rPr>
            </w:r>
          </w:p>
        </w:tc>
        <w:tc>
          <w:tcPr>
            <w:tcBorders/>
            <w:tcW w:w="2018" w:type="dxa"/>
            <w:vAlign w:val="center"/>
            <w:textDirection w:val="lrTb"/>
            <w:noWrap/>
          </w:tcPr>
          <w:p>
            <w:pPr>
              <w:pBdr/>
              <w:spacing w:after="40" w:before="40" w:line="240" w:lineRule="auto"/>
              <w:ind/>
              <w:jc w:val="right"/>
              <w:rPr>
                <w:b/>
                <w:bCs/>
                <w:color w:val="000000"/>
              </w:rPr>
            </w:pPr>
            <w:r>
              <w:rPr>
                <w:b/>
                <w:bCs/>
              </w:rPr>
              <w:t xml:space="preserve">11.871.960.000</w:t>
            </w:r>
            <w:r>
              <w:rPr>
                <w:b/>
                <w:bCs/>
                <w:color w:val="000000"/>
              </w:rPr>
            </w:r>
            <w:r>
              <w:rPr>
                <w:b/>
                <w:bCs/>
                <w:color w:val="000000"/>
              </w:rPr>
            </w:r>
          </w:p>
        </w:tc>
      </w:tr>
      <w:tr>
        <w:trPr>
          <w:trHeight w:val="20"/>
        </w:trPr>
        <w:tc>
          <w:tcPr>
            <w:gridSpan w:val="4"/>
            <w:tcBorders/>
            <w:tcW w:w="7478" w:type="dxa"/>
            <w:vAlign w:val="center"/>
            <w:textDirection w:val="lrTb"/>
            <w:noWrap/>
          </w:tcPr>
          <w:p>
            <w:pPr>
              <w:pBdr/>
              <w:spacing w:after="40" w:before="40" w:line="240" w:lineRule="auto"/>
              <w:ind/>
              <w:jc w:val="center"/>
              <w:rPr>
                <w:b/>
                <w:bCs/>
                <w:color w:val="000000"/>
              </w:rPr>
            </w:pPr>
            <w:r>
              <w:rPr>
                <w:b/>
                <w:bCs/>
                <w:color w:val="000000"/>
              </w:rPr>
              <w:t xml:space="preserve">LÀM TRÒN:</w:t>
            </w:r>
            <w:r>
              <w:rPr>
                <w:b/>
                <w:bCs/>
                <w:color w:val="000000"/>
              </w:rPr>
            </w:r>
            <w:r>
              <w:rPr>
                <w:b/>
                <w:bCs/>
                <w:color w:val="000000"/>
              </w:rPr>
            </w:r>
          </w:p>
        </w:tc>
        <w:tc>
          <w:tcPr>
            <w:tcBorders/>
            <w:tcW w:w="2018" w:type="dxa"/>
            <w:vAlign w:val="center"/>
            <w:textDirection w:val="lrTb"/>
            <w:noWrap/>
          </w:tcPr>
          <w:p>
            <w:pPr>
              <w:pBdr/>
              <w:spacing w:after="40" w:before="40" w:line="240" w:lineRule="auto"/>
              <w:ind/>
              <w:jc w:val="right"/>
              <w:rPr>
                <w:b/>
                <w:bCs/>
                <w:color w:val="000000"/>
              </w:rPr>
            </w:pPr>
            <w:r>
              <w:rPr>
                <w:b/>
                <w:bCs/>
                <w:color w:val="000000"/>
              </w:rPr>
              <w:t xml:space="preserve">11.872.000.000</w:t>
            </w:r>
            <w:r>
              <w:rPr>
                <w:b/>
                <w:bCs/>
                <w:color w:val="000000"/>
              </w:rPr>
            </w:r>
            <w:r>
              <w:rPr>
                <w:b/>
                <w:bCs/>
                <w:color w:val="000000"/>
              </w:rPr>
            </w:r>
          </w:p>
        </w:tc>
      </w:tr>
      <w:tr>
        <w:trPr>
          <w:trHeight w:val="20"/>
        </w:trPr>
        <w:tc>
          <w:tcPr>
            <w:gridSpan w:val="5"/>
            <w:tcBorders/>
            <w:tcW w:w="9496" w:type="dxa"/>
            <w:vAlign w:val="center"/>
            <w:textDirection w:val="lrTb"/>
            <w:noWrap w:val="false"/>
          </w:tcPr>
          <w:p>
            <w:pPr>
              <w:pBdr/>
              <w:spacing w:after="40" w:before="40" w:line="240" w:lineRule="auto"/>
              <w:ind/>
              <w:jc w:val="center"/>
              <w:rPr>
                <w:b/>
                <w:bCs/>
                <w:i/>
                <w:iCs/>
                <w:color w:val="000000"/>
              </w:rPr>
            </w:pPr>
            <w:r>
              <w:rPr>
                <w:b/>
                <w:bCs/>
                <w:i/>
                <w:iCs/>
                <w:color w:val="000000"/>
              </w:rPr>
              <w:t xml:space="preserve">(Bằng chữ: </w:t>
            </w:r>
            <w:r>
              <w:rPr>
                <w:b/>
                <w:bCs/>
                <w:i/>
                <w:iCs/>
                <w:color w:val="000000"/>
              </w:rPr>
              <w:t xml:space="preserve">Mười một tỷ, tám trăm bảy mươi hai triệu đồng</w:t>
            </w:r>
            <w:r>
              <w:rPr>
                <w:b/>
                <w:bCs/>
                <w:i/>
                <w:iCs/>
                <w:color w:val="000000"/>
              </w:rPr>
              <w:t xml:space="preserve">./.)</w:t>
            </w:r>
            <w:r>
              <w:rPr>
                <w:b/>
                <w:bCs/>
                <w:i/>
                <w:iCs/>
                <w:color w:val="000000"/>
              </w:rPr>
            </w:r>
            <w:r>
              <w:rPr>
                <w:b/>
                <w:bCs/>
                <w:i/>
                <w:iCs/>
                <w:color w:val="000000"/>
              </w:rPr>
            </w:r>
          </w:p>
        </w:tc>
      </w:tr>
    </w:tbl>
    <w:p>
      <w:pPr>
        <w:pStyle w:val="1027"/>
        <w:pBdr/>
        <w:tabs>
          <w:tab w:val="left" w:leader="none" w:pos="993"/>
        </w:tabs>
        <w:spacing w:after="120" w:before="120" w:line="34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34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7"/>
        <w:pBdr/>
        <w:tabs>
          <w:tab w:val="left" w:leader="none" w:pos="993"/>
        </w:tabs>
        <w:spacing w:after="120" w:before="120" w:line="34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34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7"/>
        <w:numPr>
          <w:ilvl w:val="0"/>
          <w:numId w:val="5"/>
        </w:numPr>
        <w:pBdr/>
        <w:tabs>
          <w:tab w:val="left" w:leader="none" w:pos="993"/>
        </w:tabs>
        <w:spacing w:after="120" w:before="120" w:line="34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7"/>
        <w:numPr>
          <w:ilvl w:val="0"/>
          <w:numId w:val="5"/>
        </w:numPr>
        <w:pBdr/>
        <w:tabs>
          <w:tab w:val="left" w:leader="none" w:pos="993"/>
        </w:tabs>
        <w:spacing w:after="120" w:before="120" w:line="34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7"/>
        <w:numPr>
          <w:ilvl w:val="0"/>
          <w:numId w:val="5"/>
        </w:numPr>
        <w:pBdr/>
        <w:tabs>
          <w:tab w:val="left" w:leader="none" w:pos="993"/>
        </w:tabs>
        <w:spacing w:after="120" w:before="120" w:line="34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7"/>
        <w:numPr>
          <w:ilvl w:val="0"/>
          <w:numId w:val="10"/>
        </w:numPr>
        <w:pBdr/>
        <w:spacing w:after="120" w:before="120" w:line="34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7"/>
        <w:numPr>
          <w:ilvl w:val="0"/>
          <w:numId w:val="10"/>
        </w:numPr>
        <w:pBdr/>
        <w:spacing w:after="120" w:before="120" w:line="34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7"/>
        <w:numPr>
          <w:ilvl w:val="0"/>
          <w:numId w:val="10"/>
        </w:numPr>
        <w:pBdr/>
        <w:spacing w:after="120" w:before="120" w:line="34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7"/>
        <w:pBdr/>
        <w:tabs>
          <w:tab w:val="left" w:leader="none" w:pos="993"/>
        </w:tabs>
        <w:spacing w:after="120" w:before="120" w:line="34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34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7"/>
        <w:numPr>
          <w:ilvl w:val="0"/>
          <w:numId w:val="5"/>
        </w:numPr>
        <w:pBdr/>
        <w:tabs>
          <w:tab w:val="left" w:leader="none" w:pos="993"/>
        </w:tabs>
        <w:spacing w:after="120" w:before="120" w:line="34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7"/>
        <w:numPr>
          <w:ilvl w:val="0"/>
          <w:numId w:val="5"/>
        </w:numPr>
        <w:pBdr/>
        <w:tabs>
          <w:tab w:val="left" w:leader="none" w:pos="993"/>
        </w:tabs>
        <w:spacing w:after="120" w:before="120" w:line="34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7"/>
        <w:numPr>
          <w:ilvl w:val="0"/>
          <w:numId w:val="5"/>
        </w:numPr>
        <w:pBdr/>
        <w:tabs>
          <w:tab w:val="left" w:leader="none" w:pos="993"/>
        </w:tabs>
        <w:spacing w:after="120" w:before="120" w:line="34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7"/>
        <w:numPr>
          <w:ilvl w:val="0"/>
          <w:numId w:val="5"/>
        </w:numPr>
        <w:pBdr/>
        <w:tabs>
          <w:tab w:val="left" w:leader="none" w:pos="993"/>
        </w:tabs>
        <w:spacing w:after="120" w:before="120" w:line="34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7"/>
        <w:numPr>
          <w:ilvl w:val="0"/>
          <w:numId w:val="5"/>
        </w:numPr>
        <w:pBdr/>
        <w:tabs>
          <w:tab w:val="left" w:leader="none" w:pos="993"/>
        </w:tabs>
        <w:spacing w:after="120" w:before="120" w:line="34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7"/>
        <w:numPr>
          <w:ilvl w:val="0"/>
          <w:numId w:val="5"/>
        </w:numPr>
        <w:pBdr/>
        <w:spacing w:after="120" w:before="120" w:line="34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34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7"/>
        <w:numPr>
          <w:ilvl w:val="0"/>
          <w:numId w:val="5"/>
        </w:numPr>
        <w:pBdr/>
        <w:spacing w:after="120" w:before="120" w:line="34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39"/>
        </w:numPr>
        <w:pBdr/>
        <w:tabs>
          <w:tab w:val="left" w:leader="none" w:pos="993"/>
        </w:tabs>
        <w:spacing w:after="120" w:before="120" w:line="348" w:lineRule="auto"/>
        <w:ind/>
        <w:jc w:val="both"/>
        <w:rPr>
          <w:lang w:val="vi-VN"/>
          <w14:ligatures w14:val="none"/>
        </w:rPr>
      </w:pPr>
      <w:r>
        <w:rPr>
          <w:lang w:val="vi-VN"/>
        </w:rPr>
        <w:t xml:space="preserve">Tại thời điểm khảo sát, Tổ thẩm định xác địn</w:t>
      </w:r>
      <w:r>
        <w:rPr>
          <w:highlight w:val="white"/>
          <w:lang w:val="vi-VN"/>
        </w:rPr>
        <w:t xml:space="preserve">h t</w:t>
      </w:r>
      <w:r>
        <w:rPr>
          <w:highlight w:val="white"/>
          <w:lang w:val="vi-VN"/>
        </w:rPr>
        <w:t xml:space="preserve">rên đất có CTXD nhà xưởng mái tôn, xây </w:t>
      </w:r>
      <w:r>
        <w:rPr>
          <w:lang w:val="vi-VN"/>
        </w:rPr>
        <w:t xml:space="preserve">dựng đã lâu, hiện đang sử dụng bình thường. CTXD chưa được công nhận trên GCN QSDĐ. </w:t>
      </w:r>
      <w:r>
        <w:rPr>
          <w:rFonts w:ascii="Times New Roman" w:hAnsi="Times New Roman" w:eastAsia="Times New Roman" w:cs="Times New Roman"/>
          <w:color w:val="000000"/>
          <w:sz w:val="24"/>
          <w:highlight w:val="white"/>
        </w:rPr>
        <w:t xml:space="preserve">Tổ thẩm định không nhận được các hồ sơ pháp lý khác liên quan đến các công trình xây dựng. Do vậy, theo yêu cầu của Ngân hàng/khách hàng, Tổ thẩm định không xác định giá trị công trình vào tổng giá trị tài sản nhưng vẫn coi đó là phần không thể tách rời củ</w:t>
      </w:r>
      <w:r>
        <w:rPr>
          <w:rFonts w:ascii="Times New Roman" w:hAnsi="Times New Roman" w:eastAsia="Times New Roman" w:cs="Times New Roman"/>
          <w:color w:val="000000"/>
          <w:sz w:val="24"/>
          <w:highlight w:val="white"/>
        </w:rPr>
        <w:t xml:space="preserve">a tài sản thẩm định.</w:t>
      </w:r>
      <w:r>
        <w:rPr>
          <w:rFonts w:ascii="Times New Roman" w:hAnsi="Times New Roman" w:eastAsia="Times New Roman" w:cs="Times New Roman"/>
          <w:color w:val="000000"/>
          <w:spacing w:val="-2"/>
          <w:sz w:val="24"/>
          <w:highlight w:val="white"/>
        </w:rPr>
        <w:t xml:space="preserve"> </w:t>
      </w:r>
      <w:r>
        <w:rPr>
          <w:lang w:val="vi-VN"/>
          <w14:ligatures w14:val="none"/>
        </w:rPr>
      </w:r>
      <w:r>
        <w:rPr>
          <w:lang w:val="vi-VN"/>
          <w14:ligatures w14:val="none"/>
        </w:rPr>
      </w:r>
    </w:p>
    <w:p>
      <w:pPr>
        <w:pStyle w:val="1027"/>
        <w:numPr>
          <w:ilvl w:val="0"/>
          <w:numId w:val="3"/>
        </w:numPr>
        <w:pBdr/>
        <w:tabs>
          <w:tab w:val="left" w:leader="none" w:pos="993"/>
        </w:tabs>
        <w:spacing w:after="120" w:before="120" w:line="34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34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7"/>
        <w:numPr>
          <w:ilvl w:val="0"/>
          <w:numId w:val="5"/>
        </w:numPr>
        <w:pBdr/>
        <w:tabs>
          <w:tab w:val="left" w:leader="none" w:pos="993"/>
        </w:tabs>
        <w:spacing w:after="120" w:before="120" w:line="34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34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34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7"/>
        <w:pBdr/>
        <w:tabs>
          <w:tab w:val="left" w:leader="none" w:pos="993"/>
        </w:tabs>
        <w:spacing w:after="120" w:before="120" w:line="34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275/2026/0630/VFI-CT.63.A</w:t>
      </w:r>
      <w:r>
        <w:rPr>
          <w:color w:val="ff0000"/>
          <w:lang w:val="vi-VN"/>
        </w:rPr>
        <w:t xml:space="preserve"> </w:t>
      </w:r>
      <w:r>
        <w:rPr>
          <w:color w:val="000000" w:themeColor="text1"/>
        </w:rPr>
        <w:t xml:space="preserve">ngày 23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27"/>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Chu Thế Hiển</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275/2026/0630/VFI-BC.63.A</w:t>
      </w:r>
      <w:r>
        <w:rPr>
          <w:i/>
          <w:lang w:val="pt-BR"/>
        </w:rPr>
        <w:t xml:space="preserve"> </w:t>
      </w:r>
      <w:r>
        <w:rPr>
          <w:i/>
          <w:lang w:val="pt-BR"/>
        </w:rPr>
        <w:t xml:space="preserve">ngày 23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179642" cy="2247928"/>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040115" name=""/>
                              <pic:cNvPicPr>
                                <a:picLocks noChangeAspect="1"/>
                              </pic:cNvPicPr>
                              <pic:nvPr/>
                            </pic:nvPicPr>
                            <pic:blipFill rotWithShape="1">
                              <a:blip r:embed="rId18"/>
                              <a:stretch/>
                            </pic:blipFill>
                            <pic:spPr bwMode="auto">
                              <a:xfrm flipH="0" flipV="0">
                                <a:off x="0" y="0"/>
                                <a:ext cx="2179641" cy="2247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71.63pt;height:177.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15682" cy="2261761"/>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970860" name=""/>
                              <pic:cNvPicPr>
                                <a:picLocks noChangeAspect="1"/>
                              </pic:cNvPicPr>
                              <pic:nvPr/>
                            </pic:nvPicPr>
                            <pic:blipFill rotWithShape="1">
                              <a:blip r:embed="rId19"/>
                              <a:stretch/>
                            </pic:blipFill>
                            <pic:spPr bwMode="auto">
                              <a:xfrm flipH="0" flipV="0">
                                <a:off x="0" y="0"/>
                                <a:ext cx="3015681" cy="22617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37.46pt;height:178.09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98785" cy="2099089"/>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874863" name=""/>
                              <pic:cNvPicPr>
                                <a:picLocks noChangeAspect="1"/>
                              </pic:cNvPicPr>
                              <pic:nvPr/>
                            </pic:nvPicPr>
                            <pic:blipFill rotWithShape="1">
                              <a:blip r:embed="rId20"/>
                              <a:stretch/>
                            </pic:blipFill>
                            <pic:spPr bwMode="auto">
                              <a:xfrm flipH="0" flipV="0">
                                <a:off x="0" y="0"/>
                                <a:ext cx="2798784" cy="20990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0.38pt;height:165.28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98087" cy="217356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721738" name=""/>
                              <pic:cNvPicPr>
                                <a:picLocks noChangeAspect="1"/>
                              </pic:cNvPicPr>
                              <pic:nvPr/>
                            </pic:nvPicPr>
                            <pic:blipFill rotWithShape="1">
                              <a:blip r:embed="rId21"/>
                              <a:stretch/>
                            </pic:blipFill>
                            <pic:spPr bwMode="auto">
                              <a:xfrm flipH="0" flipV="0">
                                <a:off x="0" y="0"/>
                                <a:ext cx="2898087" cy="217356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8.20pt;height:171.15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99704" cy="217477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055807" name=""/>
                              <pic:cNvPicPr>
                                <a:picLocks noChangeAspect="1"/>
                              </pic:cNvPicPr>
                              <pic:nvPr/>
                            </pic:nvPicPr>
                            <pic:blipFill rotWithShape="1">
                              <a:blip r:embed="rId22"/>
                              <a:stretch/>
                            </pic:blipFill>
                            <pic:spPr bwMode="auto">
                              <a:xfrm flipH="0" flipV="0">
                                <a:off x="0" y="0"/>
                                <a:ext cx="2899703" cy="21747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8.32pt;height:171.24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92809" cy="2851199"/>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66082" name=""/>
                              <pic:cNvPicPr>
                                <a:picLocks noChangeAspect="1"/>
                              </pic:cNvPicPr>
                              <pic:nvPr/>
                            </pic:nvPicPr>
                            <pic:blipFill rotWithShape="1">
                              <a:blip r:embed="rId23"/>
                              <a:stretch/>
                            </pic:blipFill>
                            <pic:spPr bwMode="auto">
                              <a:xfrm flipH="0" flipV="0">
                                <a:off x="0" y="0"/>
                                <a:ext cx="2592808" cy="28511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4.16pt;height:224.50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275/2026/0630/VFI-BC.63.A</w:t>
      </w:r>
      <w:r>
        <w:rPr>
          <w:i/>
          <w:lang w:val="pt-BR"/>
        </w:rPr>
        <w:t xml:space="preserve"> </w:t>
      </w:r>
      <w:r>
        <w:rPr>
          <w:i/>
          <w:lang w:val="pt-BR"/>
        </w:rPr>
        <w:t xml:space="preserve">ngày 23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https://bds68.com.vn/ban-kho-nha-xuong/ha-noi/phu-xuyen/cum-cong-nghiep-lang-nghe-dai-thang/ban-950m2-dat-va-kho-xuong-3-tang-cum-lang-nghe-dai-thang-mat-duong-ngoc-hoi-phu-xuyen-62m-pr29611479</w:t>
            </w:r>
            <w:r>
              <w:rPr>
                <w:color w:val="000000" w:themeColor="text1"/>
                <w:sz w:val="22"/>
                <w:szCs w:val="22"/>
              </w:rPr>
              <w:br/>
              <w:t xml:space="preserve">0862.048968</w:t>
            </w:r>
            <w:r>
              <w:rPr>
                <w:sz w:val="22"/>
                <w:szCs w:val="22"/>
              </w:rPr>
              <w:t xml:space="preserve"> </w:t>
            </w:r>
            <w:r>
              <w:rPr>
                <w:sz w:val="22"/>
                <w:szCs w:val="22"/>
              </w:rPr>
              <w:br/>
              <w:t xml:space="preserve">(C. Phương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32.000.000.000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30.400.000.000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cụm công nghiệp</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cụm công nghiệp – Có thời hạn (đến 23/10/2051, 25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 Xã Phượng Dực, Huyện Phú Xuyên, Thành phố Hà Nội, khoảng cách ra đường chính cách QL1A khoảng 3500m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950,0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4321515" cy="2143665"/>
                      <wp:effectExtent l="0" t="0" r="0" b="0"/>
                      <wp:docPr id="12" name=""/>
                      <wp:cNvGraphicFramePr/>
                      <a:graphic xmlns:a="http://schemas.openxmlformats.org/drawingml/2006/main">
                        <a:graphicData uri="http://schemas.openxmlformats.org/drawingml/2006/picture">
                          <pic:pic xmlns:pic="http://schemas.openxmlformats.org/drawingml/2006/picture">
                            <pic:nvPicPr>
                              <pic:cNvPr id="2069666467" name="" descr=""/>
                              <pic:cNvPicPr/>
                              <pic:nvPr/>
                            </pic:nvPicPr>
                            <pic:blipFill rotWithShape="1">
                              <a:blip r:embed="rId24"/>
                              <a:stretch/>
                            </pic:blipFill>
                            <pic:spPr bwMode="auto">
                              <a:xfrm flipH="0" flipV="0">
                                <a:off x="0" y="0"/>
                                <a:ext cx="4321514" cy="214366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40.28pt;height:168.79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4233333" cy="1981740"/>
                      <wp:effectExtent l="0" t="0" r="0" b="0"/>
                      <wp:docPr id="13" name=""/>
                      <wp:cNvGraphicFramePr/>
                      <a:graphic xmlns:a="http://schemas.openxmlformats.org/drawingml/2006/main">
                        <a:graphicData uri="http://schemas.openxmlformats.org/drawingml/2006/picture">
                          <pic:pic xmlns:pic="http://schemas.openxmlformats.org/drawingml/2006/picture">
                            <pic:nvPicPr>
                              <pic:cNvPr id="1685027184" name="" descr=""/>
                              <pic:cNvPicPr/>
                              <pic:nvPr/>
                            </pic:nvPicPr>
                            <pic:blipFill rotWithShape="1">
                              <a:blip r:embed="rId25"/>
                              <a:stretch/>
                            </pic:blipFill>
                            <pic:spPr bwMode="auto">
                              <a:xfrm flipH="0" flipV="0">
                                <a:off x="0" y="0"/>
                                <a:ext cx="4233332" cy="198173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33.33pt;height:156.04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33.33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Chu Thế Hiển</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0862.048968</w:t>
            </w:r>
            <w:r>
              <w:rPr>
                <w:sz w:val="22"/>
                <w:szCs w:val="22"/>
              </w:rPr>
              <w:t xml:space="preserve"> </w:t>
            </w:r>
            <w:r>
              <w:rPr>
                <w:sz w:val="22"/>
                <w:szCs w:val="22"/>
              </w:rPr>
              <w:br/>
              <w:t xml:space="preserve">(C. Phương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14.440.000.000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khu công nghiệp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cụm công nghiệp – Có thời hạn (đến 23/10/2051, 25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 Xã Phượng Dực, Huyện Phú Xuyên, Thành phố Hà Nội, khoảng cách ra đường chính cách QL1A khoảng 3500m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950,0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522548"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352254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77.37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7506918"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750691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591.1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Chu Thế Hiển</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0912.744562</w:t>
            </w:r>
            <w:r>
              <w:rPr>
                <w:sz w:val="22"/>
                <w:szCs w:val="22"/>
              </w:rPr>
              <w:t xml:space="preserve"> </w:t>
            </w:r>
            <w:r>
              <w:rPr>
                <w:sz w:val="22"/>
                <w:szCs w:val="22"/>
              </w:rPr>
              <w:br/>
              <w:t xml:space="preserve">(C. Phương Đào</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12.825.000.000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cụm công nghiệp</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cụm công nghiệp – Có thời hạn (đến 31/12/2069, 43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 Xã Quất Động, Huyện Thường Tín, Thành phố Hà Nội, khoảng cách ra đường chính Cách  QL1A khoảng 700m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540,0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17500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317500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50.0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17500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317500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50.0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Chu Thế Hiển</w:t>
            </w:r>
            <w:r>
              <w:rPr>
                <w:highlight w:val="none"/>
              </w:rPr>
            </w:r>
            <w:r>
              <w:rPr>
                <w:highlight w:val="none"/>
              </w:rP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PHIẾU KHẢO SÁT</w:t>
      </w:r>
      <w:r>
        <w:rPr>
          <w:b/>
          <w:bCs/>
          <w:iCs/>
          <w:highlight w:val="none"/>
          <w:lang w:val="pt-BR"/>
        </w:rPr>
      </w:r>
      <w:r>
        <w:rPr>
          <w:b/>
          <w:bCs/>
          <w:i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5798543" cy="8536253"/>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84915" name=""/>
                        <pic:cNvPicPr>
                          <a:picLocks noChangeAspect="1"/>
                        </pic:cNvPicPr>
                        <pic:nvPr/>
                      </pic:nvPicPr>
                      <pic:blipFill rotWithShape="1">
                        <a:blip r:embed="rId31"/>
                        <a:srcRect l="0" t="16321" r="0" b="17489"/>
                        <a:stretch/>
                      </pic:blipFill>
                      <pic:spPr bwMode="auto">
                        <a:xfrm flipH="0" flipV="0">
                          <a:off x="0" y="0"/>
                          <a:ext cx="5798543" cy="853625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56.58pt;height:672.15pt;mso-wrap-distance-left:0.00pt;mso-wrap-distance-top:0.00pt;mso-wrap-distance-right:0.00pt;mso-wrap-distance-bottom:0.00pt;z-index:1;" stroked="false">
                <v:imagedata r:id="rId31" o:title="" croptop="10696f" cropleft="0f" cropbottom="11462f" cropright="0f"/>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286</cp:revision>
  <dcterms:created xsi:type="dcterms:W3CDTF">2025-09-15T09:58:00Z</dcterms:created>
  <dcterms:modified xsi:type="dcterms:W3CDTF">2026-04-28T13:35:06Z</dcterms:modified>
</cp:coreProperties>
</file>