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2937237"/>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937236"/>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275/2026/0557/VFI-CT.44.A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Thành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218a+219+1b, tờ bản đồ: 10+13, địa chỉ:</w:t>
                            </w:r>
                            <w:r>
                              <w:rPr>
                                <w:color w:val="000000"/>
                              </w:rPr>
                              <w:t xml:space="preserve"> Xóm 4, xã Trung Mầu, huyện Gia Lâm (</w:t>
                            </w:r>
                            <w:r>
                              <w:rPr>
                                <w:i/>
                                <w:iCs/>
                                <w:color w:val="000000"/>
                              </w:rPr>
                              <w:t xml:space="preserve">nay là xã Phù Đổng</w:t>
                            </w:r>
                            <w:r>
                              <w:rPr>
                                <w:color w:val="000000"/>
                              </w:rPr>
                              <w:t xml:space="preserve">), thành phố Hà Nội theo Giấy chứng nhận quyền sử dụng đất số: AI 201454, Số vào sổ cấp GCN: 014 do Ủy ban nhân dân huyện Gia Lâm cấp ngày 18/4/2008; Chủ tài sản là Ông Nguyễn Văn Đồng và Bà Vũ Thị Ngan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31.28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275/2026/0557/VFI-CT.44.A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Thành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218a+219+1b, tờ bản đồ: 10+13, địa chỉ:</w:t>
                      </w:r>
                      <w:r>
                        <w:rPr>
                          <w:color w:val="000000"/>
                        </w:rPr>
                        <w:t xml:space="preserve"> Xóm 4, xã Trung Mầu, huyện Gia Lâm (</w:t>
                      </w:r>
                      <w:r>
                        <w:rPr>
                          <w:i/>
                          <w:iCs/>
                          <w:color w:val="000000"/>
                        </w:rPr>
                        <w:t xml:space="preserve">nay là xã Phù Đổng</w:t>
                      </w:r>
                      <w:r>
                        <w:rPr>
                          <w:color w:val="000000"/>
                        </w:rPr>
                        <w:t xml:space="preserve">), thành phố Hà Nội theo Giấy chứng nhận quyền sử dụng đất số: AI 201454, Số vào sổ cấp GCN: 014 do Ủy ban nhân dân huyện Gia Lâm cấp ngày 18/4/2008; Chủ tài sản là Ông Nguyễn Văn Đồng và Bà Vũ Thị Ngan</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4-22</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 lục 1: Thông tin hiện trạng + Hồ sơ pháp lý</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23-24</w:t>
            </w:r>
            <w:r>
              <w:rPr>
                <w:b/>
                <w:bCs/>
              </w:rPr>
            </w:r>
            <w:r>
              <w:rPr>
                <w:b/>
                <w:bCs/>
              </w:rPr>
            </w:r>
          </w:p>
        </w:tc>
      </w:tr>
      <w:tr>
        <w:trPr/>
        <w:tc>
          <w:tcPr>
            <w:tcBorders/>
            <w:tcMar>
              <w:left w:w="108" w:type="dxa"/>
              <w:right w:w="108" w:type="dxa"/>
            </w:tcMar>
            <w:tcW w:w="7280" w:type="dxa"/>
            <w:vAlign w:val="center"/>
            <w:textDirection w:val="lrTb"/>
            <w:noWrap w:val="false"/>
          </w:tcPr>
          <w:p>
            <w:pPr>
              <w:pStyle w:val="1037"/>
              <w:pBdr/>
              <w:tabs>
                <w:tab w:val="left" w:leader="none" w:pos="993"/>
              </w:tabs>
              <w:spacing w:after="120" w:before="120" w:line="288" w:lineRule="auto"/>
              <w:ind w:left="0"/>
              <w:jc w:val="both"/>
              <w:rPr>
                <w:bCs/>
                <w:lang w:val="pt-BR"/>
              </w:rPr>
            </w:pPr>
            <w:r>
              <w:rPr>
                <w:bCs/>
                <w:lang w:val="pt-BR"/>
              </w:rPr>
              <w:t xml:space="preserve">Phụ lục 2: Thông tin thu thập thị trường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25-31</w:t>
            </w:r>
            <w:r>
              <w:rPr>
                <w:b/>
                <w:bCs/>
              </w:rPr>
            </w:r>
            <w:r>
              <w:rPr>
                <w:b/>
                <w:bCs/>
              </w:rPr>
            </w:r>
          </w:p>
        </w:tc>
      </w:tr>
    </w:tbl>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1703" w:type="dxa"/>
        <w:tblBorders/>
        <w:tblLayout w:type="fixed"/>
        <w:tblLook w:val="04A0" w:firstRow="1" w:lastRow="0" w:firstColumn="1" w:lastColumn="0" w:noHBand="0" w:noVBand="1"/>
      </w:tblPr>
      <w:tblGrid>
        <w:gridCol w:w="1134"/>
        <w:gridCol w:w="1134"/>
        <w:gridCol w:w="1134"/>
        <w:gridCol w:w="1134"/>
        <w:gridCol w:w="1134"/>
      </w:tblGrid>
      <w:tr>
        <w:trPr>
          <w:trHeight w:val="1152"/>
        </w:trPr>
        <w:tc>
          <w:tcPr>
            <w:gridSpan w:val="2"/>
            <w:tcBorders/>
            <w:tcW w:w="7620"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6764"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 </w:t>
            </w:r>
            <w:r>
              <w:rPr>
                <w:rStyle w:val="1035"/>
                <w:rFonts w:ascii="Times New Roman" w:hAnsi="Times New Roman"/>
                <w:color w:val="000000" w:themeColor="text1"/>
                <w:lang w:val="pt-BR"/>
              </w:rPr>
              <w:t xml:space="preserve">275/2026/0557/VFI-CT.44.A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10 tháng 4 năm 2026</w:t>
            </w:r>
            <w:r>
              <w:rPr>
                <w:color w:val="000000" w:themeColor="text1"/>
                <w:sz w:val="24"/>
                <w:szCs w:val="24"/>
                <w:lang w:val="vi-VN"/>
              </w:rPr>
            </w:r>
            <w:r>
              <w:rPr>
                <w:color w:val="000000" w:themeColor="text1"/>
                <w:sz w:val="24"/>
                <w:szCs w:val="24"/>
                <w:lang w:val="vi-VN"/>
              </w:rPr>
            </w:r>
          </w:p>
        </w:tc>
      </w:tr>
    </w:tbl>
    <w:p>
      <w:pPr>
        <w:pStyle w:val="1036"/>
        <w:pBdr/>
        <w:spacing w:after="120" w:before="200" w:line="288" w:lineRule="auto"/>
        <w:ind/>
        <w:jc w:val="center"/>
        <w:rPr>
          <w:rStyle w:val="1035"/>
          <w:rFonts w:ascii="Times New Roman" w:hAnsi="Times New Roman"/>
          <w:b/>
          <w:bCs/>
          <w:color w:val="auto"/>
          <w:sz w:val="30"/>
          <w:szCs w:val="30"/>
          <w:lang w:val="vi-VN"/>
        </w:rPr>
      </w:pPr>
      <w:r>
        <w:rPr>
          <w:rStyle w:val="1035"/>
          <w:rFonts w:ascii="Times New Roman" w:hAnsi="Times New Roman"/>
          <w:b/>
          <w:bCs/>
          <w:color w:val="auto"/>
          <w:sz w:val="30"/>
          <w:szCs w:val="30"/>
          <w:lang w:val="vi-VN"/>
        </w:rPr>
        <w:t xml:space="preserve">CHỨNG THƯ THẨM ĐỊNH GIÁ</w:t>
      </w:r>
      <w:r>
        <w:rPr>
          <w:rStyle w:val="1035"/>
          <w:rFonts w:ascii="Times New Roman" w:hAnsi="Times New Roman"/>
          <w:b/>
          <w:bCs/>
          <w:color w:val="auto"/>
          <w:sz w:val="30"/>
          <w:szCs w:val="30"/>
          <w:lang w:val="vi-VN"/>
        </w:rPr>
      </w:r>
      <w:r>
        <w:rPr>
          <w:rStyle w:val="103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Văn Thành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40"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275/2026/0557/VFI-HĐTĐ.44.A</w:t>
      </w:r>
      <w:r>
        <w:rPr>
          <w:spacing w:val="-4"/>
          <w:lang w:val="vi-VN"/>
        </w:rPr>
        <w:t xml:space="preserve"> ký ngày 0</w:t>
      </w:r>
      <w:r>
        <w:rPr>
          <w:color w:val="000000" w:themeColor="text1"/>
          <w:spacing w:val="-4"/>
        </w:rPr>
        <w:t xml:space="preserve">1 tháng 4 năm 2026</w:t>
      </w:r>
      <w:r>
        <w:rPr>
          <w:spacing w:val="-4"/>
          <w:lang w:val="vi-VN"/>
        </w:rPr>
        <w:t xml:space="preserve"> </w:t>
      </w:r>
      <w:r>
        <w:rPr>
          <w:spacing w:val="-4"/>
          <w:lang w:val="vi-VN"/>
        </w:rPr>
        <w:t xml:space="preserve">giữa </w:t>
      </w:r>
      <w:r>
        <w:rPr>
          <w:color w:val="000000" w:themeColor="text1"/>
          <w:spacing w:val="-4"/>
        </w:rPr>
        <w:t xml:space="preserve">Ông Nguyễn Văn Thành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40"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275/2026/0557/VFI-BC.44.A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4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40"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ind w:right="0" w:firstLine="0" w:left="0"/>
              <w:jc w:val="both"/>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ind w:right="0" w:firstLine="0" w:left="0"/>
              <w:rPr/>
            </w:pPr>
            <w:r>
              <w:rPr>
                <w:rFonts w:ascii="Times New Roman" w:hAnsi="Times New Roman" w:eastAsia="Times New Roman" w:cs="Times New Roman"/>
                <w:b/>
                <w:color w:val="000000"/>
                <w:spacing w:val="3"/>
                <w:sz w:val="24"/>
              </w:rPr>
              <w:t xml:space="preserve">ÔNG NGUYỄN VĂN THÀNH</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Năm sinh</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pacing w:val="3"/>
                <w:sz w:val="24"/>
              </w:rPr>
              <w:t xml:space="preserve">1973</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CCCD</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001073004617</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auto" w:fill="auto"/>
            <w:tcBorders/>
            <w:tcW w:w="248" w:type="pct"/>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Xã Phù Đổng, thành phố Hà Nội</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240"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218a+219+1b, tờ bản đồ: 10+13, địa chỉ:</w:t>
      </w:r>
      <w:r>
        <w:rPr>
          <w:color w:val="000000" w:themeColor="text1"/>
        </w:rPr>
        <w:t xml:space="preserve"> Xóm 4, xã Trung Mầu, huyện Gia Lâm (</w:t>
      </w:r>
      <w:r>
        <w:rPr>
          <w:i/>
          <w:iCs/>
          <w:color w:val="000000" w:themeColor="text1"/>
        </w:rPr>
        <w:t xml:space="preserve">nay là xã Phù Đổng)</w:t>
      </w:r>
      <w:r>
        <w:rPr>
          <w:color w:val="000000" w:themeColor="text1"/>
        </w:rPr>
        <w:t xml:space="preserve">, thành phố Hà Nội theo Giấy chứng nhận quyền sử dụng đất số: AI 201454, Số vào sổ cấp GCN: 014 do Ủy ban nhân dân huyện Gia Lâm cấp ngày 18/4/2008; Chủ tài sản là Ông Nguyễn Văn Đồng và Bà Vũ Thị Ngan</w:t>
      </w:r>
      <w:r>
        <w:rPr>
          <w:i/>
          <w:iCs/>
        </w:rPr>
        <w:t xml:space="preserve">.</w:t>
      </w:r>
      <w:r>
        <w:rPr>
          <w:b/>
          <w:bCs/>
        </w:rPr>
      </w:r>
      <w:r>
        <w:rPr>
          <w:b/>
          <w:bCs/>
        </w:rPr>
      </w:r>
    </w:p>
    <w:p>
      <w:pPr>
        <w:pBdr/>
        <w:spacing w:after="120" w:before="120" w:line="240"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4/2026</w:t>
      </w:r>
      <w:r>
        <w:rPr>
          <w:bCs/>
          <w:lang w:val="nl-NL"/>
        </w:rPr>
        <w:t xml:space="preserve">.</w:t>
      </w:r>
      <w:r>
        <w:rPr>
          <w:b/>
          <w:bCs/>
        </w:rPr>
      </w:r>
      <w:r>
        <w:rPr>
          <w:b/>
          <w:bCs/>
        </w:rPr>
      </w:r>
    </w:p>
    <w:p>
      <w:pPr>
        <w:pBdr/>
        <w:tabs>
          <w:tab w:val="left" w:leader="none" w:pos="851"/>
        </w:tabs>
        <w:spacing w:after="120" w:before="120" w:line="240"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240"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240"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240"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240"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40"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240"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240"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240"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4/2026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90"/>
        <w:gridCol w:w="982"/>
        <w:gridCol w:w="2244"/>
        <w:gridCol w:w="1242"/>
        <w:gridCol w:w="1384"/>
        <w:gridCol w:w="1276"/>
        <w:gridCol w:w="1809"/>
      </w:tblGrid>
      <w:tr>
        <w:trPr>
          <w:trHeight w:val="20"/>
        </w:trPr>
        <w:tc>
          <w:tcPr>
            <w:shd w:val="clear" w:color="000000" w:fill="ffffff"/>
            <w:tcBorders/>
            <w:tcW w:w="590" w:type="dxa"/>
            <w:vAlign w:val="center"/>
            <w:textDirection w:val="lrTb"/>
            <w:noWrap w:val="false"/>
          </w:tcPr>
          <w:p>
            <w:pPr>
              <w:pBdr/>
              <w:spacing w:after="40" w:before="40" w:line="240" w:lineRule="auto"/>
              <w:ind/>
              <w:jc w:val="center"/>
              <w:rPr>
                <w:b/>
                <w:bCs/>
              </w:rPr>
            </w:pPr>
            <w:r>
              <w:rPr>
                <w:b/>
                <w:bCs/>
              </w:rPr>
              <w:t xml:space="preserve">TT</w:t>
            </w:r>
            <w:r>
              <w:rPr>
                <w:b/>
                <w:bCs/>
              </w:rPr>
            </w:r>
            <w:r>
              <w:rPr>
                <w:b/>
                <w:bCs/>
              </w:rPr>
            </w:r>
          </w:p>
        </w:tc>
        <w:tc>
          <w:tcPr>
            <w:gridSpan w:val="2"/>
            <w:shd w:val="clear" w:color="000000" w:fill="ffffff"/>
            <w:tcBorders/>
            <w:tcW w:w="3226" w:type="dxa"/>
            <w:vAlign w:val="center"/>
            <w:textDirection w:val="lrTb"/>
            <w:noWrap w:val="false"/>
          </w:tcPr>
          <w:p>
            <w:pPr>
              <w:pBdr/>
              <w:spacing w:after="40" w:before="40" w:line="240" w:lineRule="auto"/>
              <w:ind/>
              <w:jc w:val="center"/>
              <w:rPr>
                <w:b/>
                <w:bCs/>
              </w:rPr>
            </w:pPr>
            <w:r>
              <w:rPr>
                <w:b/>
                <w:bCs/>
              </w:rPr>
              <w:t xml:space="preserve">Tài sản</w:t>
            </w:r>
            <w:r>
              <w:rPr>
                <w:b/>
                <w:bCs/>
              </w:rPr>
            </w:r>
            <w:r>
              <w:rPr>
                <w:b/>
                <w:bCs/>
              </w:rPr>
            </w:r>
          </w:p>
        </w:tc>
        <w:tc>
          <w:tcPr>
            <w:shd w:val="clear" w:color="000000" w:fill="ffffff"/>
            <w:tcBorders/>
            <w:tcW w:w="1242" w:type="dxa"/>
            <w:vAlign w:val="center"/>
            <w:textDirection w:val="lrTb"/>
            <w:noWrap w:val="false"/>
          </w:tcPr>
          <w:p>
            <w:pPr>
              <w:pBdr/>
              <w:spacing w:after="40" w:before="40" w:line="240" w:lineRule="auto"/>
              <w:ind/>
              <w:jc w:val="center"/>
              <w:rPr>
                <w:b/>
                <w:bCs/>
              </w:rPr>
            </w:pPr>
            <w:r>
              <w:rPr>
                <w:b/>
                <w:bCs/>
              </w:rPr>
              <w:t xml:space="preserve">Diện tích (m²)</w:t>
            </w:r>
            <w:r>
              <w:rPr>
                <w:b/>
                <w:bCs/>
              </w:rPr>
            </w:r>
            <w:r>
              <w:rPr>
                <w:b/>
                <w:bCs/>
              </w:rPr>
            </w:r>
          </w:p>
        </w:tc>
        <w:tc>
          <w:tcPr>
            <w:shd w:val="clear" w:color="000000" w:fill="ffffff"/>
            <w:tcBorders/>
            <w:tcW w:w="1384" w:type="dxa"/>
            <w:vAlign w:val="center"/>
            <w:textDirection w:val="lrTb"/>
            <w:noWrap w:val="false"/>
          </w:tcPr>
          <w:p>
            <w:pPr>
              <w:pBdr/>
              <w:spacing w:after="40" w:before="40" w:line="240" w:lineRule="auto"/>
              <w:ind/>
              <w:jc w:val="center"/>
              <w:rPr>
                <w:b/>
                <w:bCs/>
              </w:rPr>
            </w:pPr>
            <w:r>
              <w:rPr>
                <w:b/>
                <w:bCs/>
              </w:rPr>
              <w:t xml:space="preserve">Đơn giá (đồng/m²)</w:t>
            </w:r>
            <w:r>
              <w:rPr>
                <w:b/>
                <w:bCs/>
              </w:rPr>
            </w:r>
            <w:r>
              <w:rPr>
                <w:b/>
                <w:bCs/>
              </w:rPr>
            </w:r>
          </w:p>
        </w:tc>
        <w:tc>
          <w:tcPr>
            <w:shd w:val="clear" w:color="000000" w:fill="ffffff"/>
            <w:tcBorders/>
            <w:tcW w:w="1276" w:type="dxa"/>
            <w:vAlign w:val="center"/>
            <w:textDirection w:val="lrTb"/>
            <w:noWrap w:val="false"/>
          </w:tcPr>
          <w:p>
            <w:pPr>
              <w:pBdr/>
              <w:spacing w:line="240" w:lineRule="auto"/>
              <w:ind/>
              <w:jc w:val="center"/>
              <w:rPr>
                <w:b/>
                <w:bCs/>
              </w:rPr>
            </w:pPr>
            <w:r>
              <w:rPr>
                <w:b/>
                <w:bCs/>
              </w:rPr>
              <w:t xml:space="preserve">Hệ số/CLCL (%)</w:t>
            </w:r>
            <w:r>
              <w:rPr>
                <w:b/>
                <w:bCs/>
              </w:rPr>
            </w:r>
            <w:r>
              <w:rPr>
                <w:b/>
                <w:bCs/>
              </w:rPr>
            </w:r>
          </w:p>
        </w:tc>
        <w:tc>
          <w:tcPr>
            <w:shd w:val="clear" w:color="000000" w:fill="ffffff"/>
            <w:tcBorders/>
            <w:tcW w:w="1809" w:type="dxa"/>
            <w:vAlign w:val="center"/>
            <w:textDirection w:val="lrTb"/>
            <w:noWrap w:val="false"/>
          </w:tcPr>
          <w:p>
            <w:pPr>
              <w:pBdr/>
              <w:spacing w:after="40" w:before="40" w:line="240"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90" w:type="dxa"/>
            <w:vAlign w:val="center"/>
            <w:textDirection w:val="lrTb"/>
            <w:noWrap w:val="false"/>
          </w:tcPr>
          <w:p>
            <w:pPr>
              <w:pBdr/>
              <w:spacing w:after="40" w:before="40" w:line="240" w:lineRule="auto"/>
              <w:ind/>
              <w:jc w:val="center"/>
              <w:rPr>
                <w:b/>
                <w:bCs/>
              </w:rPr>
            </w:pPr>
            <w:r>
              <w:rPr>
                <w:b/>
                <w:bCs/>
              </w:rPr>
              <w:t xml:space="preserve"> </w:t>
            </w:r>
            <w:r>
              <w:rPr>
                <w:b/>
                <w:bCs/>
              </w:rPr>
            </w:r>
            <w:r>
              <w:rPr>
                <w:b/>
                <w:bCs/>
              </w:rPr>
            </w:r>
          </w:p>
        </w:tc>
        <w:tc>
          <w:tcPr>
            <w:gridSpan w:val="5"/>
            <w:shd w:val="clear" w:color="000000" w:fill="ffffff"/>
            <w:tcBorders/>
            <w:tcW w:w="7127" w:type="dxa"/>
            <w:vAlign w:val="center"/>
            <w:textDirection w:val="lrTb"/>
            <w:noWrap w:val="false"/>
          </w:tcPr>
          <w:p>
            <w:pPr>
              <w:pBdr/>
              <w:spacing w:after="40" w:before="40" w:line="240" w:lineRule="auto"/>
              <w:ind/>
              <w:jc w:val="both"/>
              <w:rPr>
                <w:b/>
                <w:bCs/>
              </w:rPr>
            </w:pPr>
            <w:r>
              <w:rPr>
                <w:b/>
                <w:bCs/>
                <w:color w:val="000000"/>
              </w:rPr>
              <w:t xml:space="preserve">Quyền sử dụng đất và tài sản gắn liền với đất tại thửa đất số: 218a+219+1b, tờ bản đồ: 10+13, địa chỉ:</w:t>
            </w:r>
            <w:r>
              <w:rPr>
                <w:b/>
                <w:bCs/>
                <w:color w:val="000000"/>
              </w:rPr>
              <w:t xml:space="preserve"> Xóm 4, xã Trung Mầu, huyện Gia Lâm (</w:t>
            </w:r>
            <w:r>
              <w:rPr>
                <w:b/>
                <w:bCs/>
                <w:i/>
                <w:iCs/>
                <w:color w:val="000000"/>
              </w:rPr>
              <w:t xml:space="preserve">nay là xã Phù Đổng),</w:t>
            </w:r>
            <w:r>
              <w:rPr>
                <w:b/>
                <w:bCs/>
                <w:color w:val="000000"/>
              </w:rPr>
              <w:t xml:space="preserve"> thành phố Hà Nội theo Giấy chứng nhận quyền sử dụng đất số: AI 201454, Số vào sổ cấp GCN: 014 do Ủy ban nhân dân huyện Gia Lâm cấp ngày 18/4/2008; Chủ tài sản là Ông Nguyễn Văn Đồng và Bà Vũ Thị Ngan</w:t>
            </w:r>
            <w:r>
              <w:rPr>
                <w:b/>
                <w:bCs/>
              </w:rPr>
              <w:t xml:space="preserve">.</w:t>
            </w:r>
            <w:r>
              <w:rPr>
                <w:b/>
                <w:bCs/>
              </w:rPr>
            </w:r>
            <w:r>
              <w:rPr>
                <w:b/>
                <w:bCs/>
              </w:rPr>
            </w:r>
          </w:p>
        </w:tc>
        <w:tc>
          <w:tcPr>
            <w:shd w:val="clear" w:color="000000" w:fill="ffffff"/>
            <w:tcBorders/>
            <w:tcW w:w="1809" w:type="dxa"/>
            <w:vAlign w:val="center"/>
            <w:textDirection w:val="lrTb"/>
            <w:noWrap w:val="false"/>
          </w:tcPr>
          <w:p>
            <w:pPr>
              <w:pBdr/>
              <w:spacing w:after="40" w:before="40" w:line="240" w:lineRule="auto"/>
              <w:ind/>
              <w:jc w:val="right"/>
              <w:rPr>
                <w:b/>
                <w:bCs/>
              </w:rPr>
            </w:pPr>
            <w:r>
              <w:rPr>
                <w:b/>
                <w:bCs/>
              </w:rPr>
              <w:t xml:space="preserve"> </w:t>
            </w:r>
            <w:r>
              <w:rPr>
                <w:b/>
                <w:bCs/>
              </w:rPr>
            </w:r>
            <w:r>
              <w:rPr>
                <w:b/>
                <w:bCs/>
              </w:rPr>
            </w:r>
          </w:p>
        </w:tc>
      </w:tr>
      <w:tr>
        <w:trPr>
          <w:trHeight w:val="20"/>
        </w:trPr>
        <w:tc>
          <w:tcPr>
            <w:shd w:val="clear" w:color="000000" w:fill="ffffff"/>
            <w:tcBorders/>
            <w:tcW w:w="590" w:type="dxa"/>
            <w:vAlign w:val="center"/>
            <w:textDirection w:val="lrTb"/>
            <w:noWrap w:val="false"/>
          </w:tcPr>
          <w:p>
            <w:pPr>
              <w:pBdr/>
              <w:spacing w:after="40" w:before="40" w:line="240" w:lineRule="auto"/>
              <w:ind/>
              <w:jc w:val="center"/>
              <w:rPr/>
            </w:pPr>
            <w:r>
              <w:rPr>
                <w:b/>
                <w:bCs/>
              </w:rPr>
              <w:t xml:space="preserve">I</w:t>
            </w:r>
            <w:r/>
          </w:p>
        </w:tc>
        <w:tc>
          <w:tcPr>
            <w:gridSpan w:val="5"/>
            <w:shd w:val="clear" w:color="000000" w:fill="ffffff"/>
            <w:tcBorders/>
            <w:tcW w:w="7127" w:type="dxa"/>
            <w:vAlign w:val="center"/>
            <w:textDirection w:val="lrTb"/>
            <w:noWrap w:val="false"/>
          </w:tcPr>
          <w:p>
            <w:pPr>
              <w:pBdr/>
              <w:spacing w:after="40" w:before="40" w:line="240" w:lineRule="auto"/>
              <w:ind/>
              <w:rPr/>
            </w:pPr>
            <w:r>
              <w:rPr>
                <w:b/>
                <w:bCs/>
              </w:rPr>
            </w:r>
            <w:r>
              <w:rPr>
                <w:rFonts w:ascii="Times New Roman" w:hAnsi="Times New Roman" w:eastAsia="Times New Roman" w:cs="Times New Roman"/>
                <w:b/>
                <w:color w:val="000000"/>
                <w:sz w:val="24"/>
              </w:rPr>
              <w:t xml:space="preserve">Giá trị quyền sử dụng đất</w:t>
            </w:r>
            <w:r>
              <w:rPr>
                <w:color w:val="000000" w:themeColor="text1"/>
              </w:rPr>
            </w:r>
            <w:r/>
          </w:p>
        </w:tc>
        <w:tc>
          <w:tcPr>
            <w:shd w:val="clear" w:color="000000" w:fill="ffffff"/>
            <w:tcBorders/>
            <w:tcW w:w="1809" w:type="dxa"/>
            <w:vAlign w:val="center"/>
            <w:textDirection w:val="lrTb"/>
            <w:noWrap w:val="false"/>
          </w:tcPr>
          <w:p>
            <w:pPr>
              <w:pBdr/>
              <w:spacing w:after="40" w:before="40" w:line="240" w:lineRule="auto"/>
              <w:ind/>
              <w:jc w:val="right"/>
              <w:rPr>
                <w:b/>
                <w:bCs/>
              </w:rPr>
            </w:pPr>
            <w:r>
              <w:rPr>
                <w:b/>
                <w:bCs/>
                <w:color w:val="000000" w:themeColor="text1"/>
              </w:rPr>
              <w:t xml:space="preserve">7.667.348.000</w:t>
            </w:r>
            <w:r>
              <w:rPr>
                <w:b/>
                <w:bCs/>
              </w:rPr>
            </w:r>
            <w:r>
              <w:rPr>
                <w:b/>
                <w:bCs/>
              </w:rPr>
            </w:r>
          </w:p>
        </w:tc>
      </w:tr>
      <w:tr>
        <w:trPr>
          <w:trHeight w:val="20"/>
        </w:trPr>
        <w:tc>
          <w:tcPr>
            <w:shd w:val="clear" w:color="000000" w:fill="ffffff"/>
            <w:tcBorders/>
            <w:tcW w:w="590" w:type="dxa"/>
            <w:vAlign w:val="center"/>
            <w:vMerge w:val="restart"/>
            <w:textDirection w:val="lrTb"/>
            <w:noWrap w:val="false"/>
          </w:tcPr>
          <w:p>
            <w:pPr>
              <w:pBdr/>
              <w:spacing w:after="40" w:before="40" w:line="240" w:lineRule="auto"/>
              <w:ind/>
              <w:jc w:val="center"/>
              <w:rPr>
                <w:b/>
                <w:bCs/>
              </w:rPr>
            </w:pPr>
            <w:r>
              <w:rPr>
                <w:b/>
                <w:bCs/>
              </w:rPr>
              <w:t xml:space="preserve">01</w:t>
            </w:r>
            <w:r>
              <w:rPr>
                <w:b/>
                <w:bCs/>
              </w:rPr>
            </w:r>
            <w:r>
              <w:rPr>
                <w:b/>
                <w:bCs/>
              </w:rPr>
            </w:r>
          </w:p>
        </w:tc>
        <w:tc>
          <w:tcPr>
            <w:gridSpan w:val="2"/>
            <w:shd w:val="clear" w:color="000000" w:fill="ffffff"/>
            <w:tcBorders/>
            <w:tcW w:w="32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rPr/>
            </w:pPr>
            <w:r>
              <w:rPr>
                <w:rFonts w:ascii="Times New Roman" w:hAnsi="Times New Roman" w:eastAsia="Times New Roman" w:cs="Times New Roman"/>
                <w:color w:val="000000"/>
                <w:sz w:val="24"/>
              </w:rPr>
              <w:t xml:space="preserve">Đất ở nông thôn.</w:t>
            </w:r>
            <w:r/>
          </w:p>
        </w:tc>
        <w:tc>
          <w:tcPr>
            <w:tcBorders/>
            <w:tcW w:w="1242"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left"/>
              <w:rPr/>
            </w:pPr>
            <w:r>
              <w:rPr>
                <w:rFonts w:ascii="Times New Roman" w:hAnsi="Times New Roman" w:eastAsia="Times New Roman" w:cs="Times New Roman"/>
                <w:color w:val="000000"/>
                <w:sz w:val="24"/>
              </w:rPr>
              <w:t xml:space="preserve">       390,0</w:t>
            </w:r>
            <w:r/>
          </w:p>
        </w:tc>
        <w:tc>
          <w:tcPr>
            <w:shd w:val="clear" w:color="000000" w:fill="ffffff"/>
            <w:tcBorders/>
            <w:tcW w:w="1384" w:type="dxa"/>
            <w:vAlign w:val="center"/>
            <w:vMerge w:val="restart"/>
            <w:textDirection w:val="lrTb"/>
            <w:noWrap w:val="false"/>
          </w:tcPr>
          <w:p>
            <w:pPr>
              <w:pBdr/>
              <w:spacing w:after="40" w:before="40" w:line="240" w:lineRule="auto"/>
              <w:ind/>
              <w:jc w:val="right"/>
              <w:rPr>
                <w:color w:val="000000" w:themeColor="text1"/>
              </w:rPr>
            </w:pPr>
            <w:r>
              <w:rPr>
                <w:color w:val="000000" w:themeColor="text1"/>
              </w:rPr>
              <w:t xml:space="preserve">19.500.000</w:t>
            </w:r>
            <w:r>
              <w:rPr>
                <w:color w:val="000000" w:themeColor="text1"/>
              </w:rPr>
            </w:r>
            <w:r>
              <w:rPr>
                <w:color w:val="000000" w:themeColor="text1"/>
              </w:rPr>
            </w:r>
          </w:p>
        </w:tc>
        <w:tc>
          <w:tcPr>
            <w:shd w:val="clear" w:color="000000" w:fill="ffffff"/>
            <w:tcBorders/>
            <w:tcW w:w="1276" w:type="dxa"/>
            <w:vAlign w:val="center"/>
            <w:textDirection w:val="lrTb"/>
            <w:noWrap w:val="false"/>
          </w:tcPr>
          <w:p>
            <w:pPr>
              <w:pBdr/>
              <w:spacing w:line="240" w:lineRule="auto"/>
              <w:ind/>
              <w:jc w:val="center"/>
              <w:rPr>
                <w:color w:val="000000" w:themeColor="text1"/>
              </w:rPr>
            </w:pPr>
            <w:r>
              <w:rPr>
                <w:color w:val="000000" w:themeColor="text1"/>
              </w:rPr>
              <w:t xml:space="preserve">100%</w:t>
            </w:r>
            <w:r>
              <w:rPr>
                <w:color w:val="000000" w:themeColor="text1"/>
              </w:rPr>
            </w:r>
            <w:r>
              <w:rPr>
                <w:color w:val="000000" w:themeColor="text1"/>
              </w:rPr>
            </w:r>
          </w:p>
        </w:tc>
        <w:tc>
          <w:tcPr>
            <w:shd w:val="clear" w:color="000000" w:fill="ffffff"/>
            <w:tcBorders/>
            <w:tcW w:w="1809" w:type="dxa"/>
            <w:vAlign w:val="center"/>
            <w:vMerge w:val="restart"/>
            <w:textDirection w:val="lrTb"/>
            <w:noWrap w:val="false"/>
          </w:tcPr>
          <w:p>
            <w:pPr>
              <w:pBdr/>
              <w:spacing w:after="40" w:before="40" w:line="240" w:lineRule="auto"/>
              <w:ind/>
              <w:jc w:val="right"/>
              <w:rPr>
                <w:color w:val="000000" w:themeColor="text1"/>
              </w:rPr>
            </w:pPr>
            <w:r>
              <w:rPr>
                <w:color w:val="000000" w:themeColor="text1"/>
              </w:rPr>
              <w:t xml:space="preserve">7.605.000.000</w:t>
            </w:r>
            <w:r>
              <w:rPr>
                <w:color w:val="000000" w:themeColor="text1"/>
              </w:rPr>
            </w:r>
            <w:r>
              <w:rPr>
                <w:color w:val="000000" w:themeColor="text1"/>
              </w:rPr>
            </w:r>
          </w:p>
        </w:tc>
      </w:tr>
      <w:tr>
        <w:trPr>
          <w:trHeight w:val="20"/>
        </w:trPr>
        <w:tc>
          <w:tcPr>
            <w:shd w:val="clear" w:color="000000" w:fill="ffffff"/>
            <w:tcBorders/>
            <w:tcW w:w="590" w:type="dxa"/>
            <w:vAlign w:val="center"/>
            <w:vMerge w:val="restart"/>
            <w:textDirection w:val="lrTb"/>
            <w:noWrap w:val="false"/>
          </w:tcPr>
          <w:p>
            <w:pPr>
              <w:pBdr/>
              <w:spacing w:after="40" w:before="40" w:line="240" w:lineRule="auto"/>
              <w:ind/>
              <w:jc w:val="center"/>
              <w:rPr>
                <w:b/>
                <w:bCs/>
              </w:rPr>
            </w:pPr>
            <w:r>
              <w:rPr>
                <w:b/>
                <w:bCs/>
              </w:rPr>
              <w:t xml:space="preserve">02</w:t>
            </w:r>
            <w:r>
              <w:rPr>
                <w:b/>
                <w:bCs/>
              </w:rPr>
            </w:r>
            <w:r>
              <w:rPr>
                <w:b/>
                <w:bCs/>
              </w:rPr>
            </w:r>
          </w:p>
        </w:tc>
        <w:tc>
          <w:tcPr>
            <w:gridSpan w:val="2"/>
            <w:shd w:val="clear" w:color="000000" w:fill="ffffff"/>
            <w:tcBorders/>
            <w:tcW w:w="32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rPr/>
            </w:pPr>
            <w:r>
              <w:rPr>
                <w:rFonts w:ascii="Times New Roman" w:hAnsi="Times New Roman" w:eastAsia="Times New Roman" w:cs="Times New Roman"/>
                <w:color w:val="000000"/>
                <w:sz w:val="24"/>
              </w:rPr>
              <w:t xml:space="preserve">Đất CLN.</w:t>
            </w:r>
            <w:r/>
          </w:p>
        </w:tc>
        <w:tc>
          <w:tcPr>
            <w:tcBorders/>
            <w:tcW w:w="1242"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left"/>
              <w:rPr/>
            </w:pPr>
            <w:r>
              <w:rPr>
                <w:rFonts w:ascii="Times New Roman" w:hAnsi="Times New Roman" w:eastAsia="Times New Roman" w:cs="Times New Roman"/>
                <w:color w:val="000000"/>
                <w:sz w:val="24"/>
              </w:rPr>
              <w:t xml:space="preserve">       286,0 </w:t>
            </w:r>
            <w:r/>
          </w:p>
        </w:tc>
        <w:tc>
          <w:tcPr>
            <w:shd w:val="clear" w:color="000000" w:fill="ffffff"/>
            <w:tcBorders/>
            <w:tcW w:w="1384" w:type="dxa"/>
            <w:vAlign w:val="center"/>
            <w:vMerge w:val="restart"/>
            <w:textDirection w:val="lrTb"/>
            <w:noWrap w:val="false"/>
          </w:tcPr>
          <w:p>
            <w:pPr>
              <w:pBdr/>
              <w:spacing w:after="40" w:before="40" w:line="240" w:lineRule="auto"/>
              <w:ind/>
              <w:jc w:val="right"/>
              <w:rPr>
                <w:color w:val="000000" w:themeColor="text1"/>
              </w:rPr>
            </w:pPr>
            <w:r>
              <w:rPr>
                <w:color w:val="000000" w:themeColor="text1"/>
              </w:rPr>
              <w:t xml:space="preserve">218.000</w:t>
            </w:r>
            <w:r>
              <w:rPr>
                <w:color w:val="000000" w:themeColor="text1"/>
              </w:rPr>
            </w:r>
            <w:r>
              <w:rPr>
                <w:color w:val="000000" w:themeColor="text1"/>
              </w:rPr>
            </w:r>
          </w:p>
        </w:tc>
        <w:tc>
          <w:tcPr>
            <w:shd w:val="clear" w:color="000000" w:fill="ffffff"/>
            <w:tcBorders/>
            <w:tcW w:w="1276" w:type="dxa"/>
            <w:vAlign w:val="center"/>
            <w:textDirection w:val="lrTb"/>
            <w:noWrap w:val="false"/>
          </w:tcPr>
          <w:p>
            <w:pPr>
              <w:pBdr/>
              <w:spacing w:line="240" w:lineRule="auto"/>
              <w:ind/>
              <w:jc w:val="center"/>
              <w:rPr>
                <w:color w:val="000000" w:themeColor="text1"/>
              </w:rPr>
            </w:pPr>
            <w:r>
              <w:rPr>
                <w:color w:val="000000" w:themeColor="text1"/>
              </w:rPr>
              <w:t xml:space="preserve">100%</w:t>
            </w:r>
            <w:r>
              <w:rPr>
                <w:color w:val="000000" w:themeColor="text1"/>
              </w:rPr>
            </w:r>
            <w:r>
              <w:rPr>
                <w:color w:val="000000" w:themeColor="text1"/>
              </w:rPr>
            </w:r>
          </w:p>
        </w:tc>
        <w:tc>
          <w:tcPr>
            <w:shd w:val="clear" w:color="000000" w:fill="ffffff"/>
            <w:tcBorders/>
            <w:tcW w:w="1809" w:type="dxa"/>
            <w:vAlign w:val="center"/>
            <w:vMerge w:val="restart"/>
            <w:textDirection w:val="lrTb"/>
            <w:noWrap w:val="false"/>
          </w:tcPr>
          <w:p>
            <w:pPr>
              <w:pBdr/>
              <w:spacing w:after="40" w:before="40" w:line="240" w:lineRule="auto"/>
              <w:ind/>
              <w:jc w:val="right"/>
              <w:rPr>
                <w:color w:val="000000" w:themeColor="text1"/>
              </w:rPr>
            </w:pPr>
            <w:r>
              <w:rPr>
                <w:color w:val="000000" w:themeColor="text1"/>
              </w:rPr>
              <w:t xml:space="preserve">62.348.000</w:t>
            </w:r>
            <w:r>
              <w:rPr>
                <w:color w:val="000000" w:themeColor="text1"/>
              </w:rPr>
            </w:r>
            <w:r>
              <w:rPr>
                <w:color w:val="000000" w:themeColor="text1"/>
              </w:rPr>
            </w:r>
          </w:p>
        </w:tc>
      </w:tr>
      <w:tr>
        <w:trPr>
          <w:trHeight w:val="20"/>
        </w:trPr>
        <w:tc>
          <w:tcPr>
            <w:shd w:val="clear" w:color="000000" w:fill="ffffff"/>
            <w:tcBorders/>
            <w:tcW w:w="590" w:type="dxa"/>
            <w:vAlign w:val="center"/>
            <w:vMerge w:val="restart"/>
            <w:textDirection w:val="lrTb"/>
            <w:noWrap w:val="false"/>
          </w:tcPr>
          <w:p>
            <w:pPr>
              <w:pBdr/>
              <w:spacing w:after="40" w:before="40" w:line="240" w:lineRule="auto"/>
              <w:ind/>
              <w:jc w:val="center"/>
              <w:rPr>
                <w:b/>
                <w:bCs/>
              </w:rPr>
            </w:pPr>
            <w:r>
              <w:rPr>
                <w:b/>
                <w:bCs/>
              </w:rPr>
              <w:t xml:space="preserve">II</w:t>
            </w:r>
            <w:r>
              <w:rPr>
                <w:b/>
                <w:bCs/>
              </w:rPr>
            </w:r>
            <w:r>
              <w:rPr>
                <w:b/>
                <w:bCs/>
              </w:rPr>
            </w:r>
          </w:p>
        </w:tc>
        <w:tc>
          <w:tcPr>
            <w:gridSpan w:val="5"/>
            <w:shd w:val="clear" w:color="000000" w:fill="ffffff"/>
            <w:tcBorders/>
            <w:tcW w:w="7127" w:type="dxa"/>
            <w:vAlign w:val="center"/>
            <w:vMerge w:val="restart"/>
            <w:textDirection w:val="lrTb"/>
            <w:noWrap w:val="false"/>
          </w:tcPr>
          <w:p>
            <w:pPr>
              <w:pBdr/>
              <w:spacing w:after="40" w:before="40" w:line="240" w:lineRule="auto"/>
              <w:ind/>
              <w:jc w:val="left"/>
              <w:rPr>
                <w:b/>
                <w:bCs/>
                <w:color w:val="000000" w:themeColor="text1"/>
              </w:rPr>
            </w:pPr>
            <w:r>
              <w:rPr>
                <w:b/>
                <w:bCs/>
                <w:color w:val="000000" w:themeColor="text1"/>
              </w:rPr>
              <w:t xml:space="preserve">Giá trị công trình xây dựng trên đất</w:t>
            </w:r>
            <w:r>
              <w:rPr>
                <w:b/>
                <w:bCs/>
                <w:color w:val="000000" w:themeColor="text1"/>
              </w:rPr>
            </w:r>
            <w:r>
              <w:rPr>
                <w:b/>
                <w:bCs/>
                <w:color w:val="000000" w:themeColor="text1"/>
              </w:rPr>
            </w:r>
          </w:p>
        </w:tc>
        <w:tc>
          <w:tcPr>
            <w:shd w:val="clear" w:color="000000" w:fill="ffffff"/>
            <w:tcBorders/>
            <w:tcW w:w="1809" w:type="dxa"/>
            <w:vAlign w:val="center"/>
            <w:vMerge w:val="restart"/>
            <w:textDirection w:val="lrTb"/>
            <w:noWrap w:val="false"/>
          </w:tcPr>
          <w:p>
            <w:pPr>
              <w:pBdr/>
              <w:spacing w:after="40" w:before="40" w:line="240" w:lineRule="auto"/>
              <w:ind/>
              <w:jc w:val="right"/>
              <w:rPr>
                <w:b/>
                <w:bCs/>
                <w:color w:val="000000" w:themeColor="text1"/>
              </w:rPr>
            </w:pPr>
            <w:r>
              <w:rPr>
                <w:b/>
                <w:bCs/>
                <w:color w:val="000000" w:themeColor="text1"/>
              </w:rPr>
              <w:t xml:space="preserve">1.494.045.000</w:t>
            </w:r>
            <w:r>
              <w:rPr>
                <w:b/>
                <w:bCs/>
                <w:color w:val="000000" w:themeColor="text1"/>
              </w:rPr>
            </w:r>
            <w:r>
              <w:rPr>
                <w:b/>
                <w:bCs/>
                <w:color w:val="000000" w:themeColor="text1"/>
              </w:rPr>
            </w:r>
          </w:p>
        </w:tc>
      </w:tr>
      <w:tr>
        <w:trPr>
          <w:trHeight w:val="397"/>
        </w:trPr>
        <w:tc>
          <w:tcPr>
            <w:shd w:val="clear" w:color="000000" w:fill="ffffff"/>
            <w:tcBorders/>
            <w:tcW w:w="590" w:type="dxa"/>
            <w:vAlign w:val="center"/>
            <w:vMerge w:val="restart"/>
            <w:textDirection w:val="lrTb"/>
            <w:noWrap w:val="false"/>
          </w:tcPr>
          <w:p>
            <w:pPr>
              <w:pBdr/>
              <w:spacing w:after="40" w:before="40" w:line="240" w:lineRule="auto"/>
              <w:ind/>
              <w:jc w:val="center"/>
              <w:rPr>
                <w:b/>
                <w:bCs/>
              </w:rPr>
            </w:pPr>
            <w:r>
              <w:rPr>
                <w:b/>
                <w:bCs/>
              </w:rPr>
              <w:t xml:space="preserve">03</w:t>
            </w:r>
            <w:r>
              <w:rPr>
                <w:b/>
                <w:bCs/>
              </w:rPr>
            </w:r>
            <w:r>
              <w:rPr>
                <w:b/>
                <w:bCs/>
              </w:rPr>
            </w:r>
          </w:p>
        </w:tc>
        <w:tc>
          <w:tcPr>
            <w:gridSpan w:val="2"/>
            <w:shd w:val="clear" w:color="000000" w:fill="ffffff"/>
            <w:tcBorders/>
            <w:tcW w:w="32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jc w:val="both"/>
              <w:rPr/>
            </w:pPr>
            <w:r>
              <w:rPr>
                <w:rFonts w:ascii="Times New Roman" w:hAnsi="Times New Roman" w:eastAsia="Times New Roman" w:cs="Times New Roman"/>
                <w:color w:val="000000"/>
                <w:sz w:val="24"/>
              </w:rPr>
              <w:t xml:space="preserve">Nhà 03 tầng (xây năm 2011).</w:t>
            </w:r>
            <w:r/>
          </w:p>
        </w:tc>
        <w:tc>
          <w:tcPr>
            <w:tcBorders/>
            <w:tcW w:w="1242"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left"/>
              <w:rPr/>
            </w:pPr>
            <w:r>
              <w:rPr>
                <w:rFonts w:ascii="Times New Roman" w:hAnsi="Times New Roman" w:eastAsia="Times New Roman" w:cs="Times New Roman"/>
                <w:color w:val="000000"/>
                <w:sz w:val="24"/>
              </w:rPr>
              <w:t xml:space="preserve">       165,0 </w:t>
            </w:r>
            <w:r/>
          </w:p>
        </w:tc>
        <w:tc>
          <w:tcPr>
            <w:shd w:val="clear" w:color="000000" w:fill="ffffff"/>
            <w:tcBorders/>
            <w:tcW w:w="13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right"/>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t xml:space="preserve">7.968.240</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shd w:val="clear" w:color="000000" w:fill="ffffff"/>
            <w:tcBorders/>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70%</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shd w:val="clear" w:color="000000" w:fill="ffffff"/>
            <w:tcBorders/>
            <w:tcW w:w="1809" w:type="dxa"/>
            <w:vAlign w:val="center"/>
            <w:vMerge w:val="restart"/>
            <w:textDirection w:val="lrTb"/>
            <w:noWrap w:val="false"/>
          </w:tcPr>
          <w:p>
            <w:pPr>
              <w:pBdr/>
              <w:spacing w:after="40" w:before="40" w:line="240" w:lineRule="auto"/>
              <w:ind/>
              <w:jc w:val="right"/>
              <w:rPr>
                <w:color w:val="000000" w:themeColor="text1"/>
              </w:rPr>
            </w:pPr>
            <w:r>
              <w:rPr>
                <w:color w:val="000000" w:themeColor="text1"/>
              </w:rPr>
              <w:t xml:space="preserve">920.331.720</w:t>
            </w:r>
            <w:r>
              <w:rPr>
                <w:color w:val="000000" w:themeColor="text1"/>
              </w:rPr>
            </w:r>
            <w:r>
              <w:rPr>
                <w:color w:val="000000" w:themeColor="text1"/>
              </w:rPr>
            </w:r>
          </w:p>
        </w:tc>
      </w:tr>
      <w:tr>
        <w:trPr>
          <w:trHeight w:val="20"/>
        </w:trPr>
        <w:tc>
          <w:tcPr>
            <w:shd w:val="clear" w:color="000000" w:fill="ffffff"/>
            <w:tcBorders/>
            <w:tcW w:w="590" w:type="dxa"/>
            <w:vAlign w:val="center"/>
            <w:vMerge w:val="restart"/>
            <w:textDirection w:val="lrTb"/>
            <w:noWrap w:val="false"/>
          </w:tcPr>
          <w:p>
            <w:pPr>
              <w:pBdr/>
              <w:spacing w:after="40" w:before="40" w:line="240" w:lineRule="auto"/>
              <w:ind/>
              <w:jc w:val="center"/>
              <w:rPr>
                <w:b/>
                <w:bCs/>
              </w:rPr>
            </w:pPr>
            <w:r>
              <w:rPr>
                <w:b/>
                <w:bCs/>
              </w:rPr>
              <w:t xml:space="preserve">04</w:t>
            </w:r>
            <w:r>
              <w:rPr>
                <w:b/>
                <w:bCs/>
              </w:rPr>
            </w:r>
            <w:r>
              <w:rPr>
                <w:b/>
                <w:bCs/>
              </w:rPr>
            </w:r>
          </w:p>
        </w:tc>
        <w:tc>
          <w:tcPr>
            <w:gridSpan w:val="2"/>
            <w:shd w:val="clear" w:color="000000" w:fill="ffffff"/>
            <w:tcBorders/>
            <w:tcW w:w="32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jc w:val="both"/>
              <w:rPr/>
            </w:pPr>
            <w:r>
              <w:rPr>
                <w:rFonts w:ascii="Times New Roman" w:hAnsi="Times New Roman" w:eastAsia="Times New Roman" w:cs="Times New Roman"/>
                <w:color w:val="000000"/>
                <w:sz w:val="24"/>
              </w:rPr>
              <w:t xml:space="preserve">Nhà 03 tầng (xây năm 2006).</w:t>
            </w:r>
            <w:r/>
          </w:p>
        </w:tc>
        <w:tc>
          <w:tcPr>
            <w:tcBorders/>
            <w:tcW w:w="1242"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left"/>
              <w:rPr/>
            </w:pPr>
            <w:r>
              <w:rPr>
                <w:rFonts w:ascii="Times New Roman" w:hAnsi="Times New Roman" w:eastAsia="Times New Roman" w:cs="Times New Roman"/>
                <w:color w:val="000000"/>
                <w:sz w:val="24"/>
              </w:rPr>
              <w:t xml:space="preserve">       120,0 </w:t>
            </w:r>
            <w:r/>
          </w:p>
        </w:tc>
        <w:tc>
          <w:tcPr>
            <w:shd w:val="clear" w:color="000000" w:fill="ffffff"/>
            <w:tcBorders/>
            <w:tcW w:w="13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right"/>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t xml:space="preserve">7.968.240</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shd w:val="clear" w:color="000000" w:fill="ffffff"/>
            <w:tcBorders/>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60%</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shd w:val="clear" w:color="000000" w:fill="ffffff"/>
            <w:tcBorders/>
            <w:tcW w:w="1809" w:type="dxa"/>
            <w:vAlign w:val="center"/>
            <w:vMerge w:val="restart"/>
            <w:textDirection w:val="lrTb"/>
            <w:noWrap w:val="false"/>
          </w:tcPr>
          <w:p>
            <w:pPr>
              <w:pBdr/>
              <w:spacing w:after="40" w:before="40" w:line="240" w:lineRule="auto"/>
              <w:ind/>
              <w:jc w:val="right"/>
              <w:rPr>
                <w:color w:val="000000" w:themeColor="text1"/>
              </w:rPr>
            </w:pPr>
            <w:r>
              <w:rPr>
                <w:color w:val="000000" w:themeColor="text1"/>
              </w:rPr>
              <w:t xml:space="preserve">573.713.280</w:t>
            </w:r>
            <w:r>
              <w:rPr>
                <w:color w:val="000000" w:themeColor="text1"/>
              </w:rPr>
            </w:r>
            <w:r>
              <w:rPr>
                <w:color w:val="000000" w:themeColor="text1"/>
              </w:rPr>
            </w:r>
          </w:p>
        </w:tc>
      </w:tr>
      <w:tr>
        <w:trPr>
          <w:trHeight w:val="20"/>
        </w:trPr>
        <w:tc>
          <w:tcPr>
            <w:gridSpan w:val="5"/>
            <w:tcBorders/>
            <w:tcW w:w="6442" w:type="dxa"/>
            <w:vAlign w:val="center"/>
            <w:textDirection w:val="lrTb"/>
            <w:noWrap/>
          </w:tcPr>
          <w:p>
            <w:pPr>
              <w:pBdr/>
              <w:spacing w:after="40" w:before="40" w:line="240" w:lineRule="auto"/>
              <w:ind/>
              <w:jc w:val="center"/>
              <w:rPr>
                <w:b/>
                <w:bCs/>
                <w:color w:val="000000"/>
              </w:rPr>
            </w:pPr>
            <w:r>
              <w:rPr>
                <w:b/>
                <w:bCs/>
                <w:color w:val="000000"/>
              </w:rPr>
              <w:t xml:space="preserve">TỔNG CỘNG:</w:t>
            </w:r>
            <w:r>
              <w:rPr>
                <w:b/>
                <w:bCs/>
                <w:color w:val="000000"/>
              </w:rPr>
            </w:r>
            <w:r>
              <w:rPr>
                <w:b/>
                <w:bCs/>
                <w:color w:val="000000"/>
              </w:rPr>
            </w:r>
          </w:p>
        </w:tc>
        <w:tc>
          <w:tcPr>
            <w:tcBorders/>
            <w:tcW w:w="1276" w:type="dxa"/>
            <w:vAlign w:val="center"/>
            <w:textDirection w:val="lrTb"/>
            <w:noWrap/>
          </w:tcPr>
          <w:p>
            <w:pPr>
              <w:pBdr/>
              <w:spacing w:line="240" w:lineRule="auto"/>
              <w:ind/>
              <w:rPr/>
            </w:pPr>
            <w:r/>
            <w:r/>
          </w:p>
        </w:tc>
        <w:tc>
          <w:tcPr>
            <w:tcBorders/>
            <w:tcW w:w="1809" w:type="dxa"/>
            <w:vAlign w:val="center"/>
            <w:textDirection w:val="lrTb"/>
            <w:noWrap/>
          </w:tcPr>
          <w:p>
            <w:pPr>
              <w:pBdr/>
              <w:spacing w:after="40" w:before="40" w:line="240" w:lineRule="auto"/>
              <w:ind/>
              <w:jc w:val="right"/>
              <w:rPr>
                <w:b/>
                <w:bCs/>
                <w:color w:val="000000"/>
              </w:rPr>
            </w:pPr>
            <w:r>
              <w:rPr>
                <w:b/>
                <w:bCs/>
              </w:rPr>
              <w:t xml:space="preserve">9.161.393.000</w:t>
            </w:r>
            <w:r>
              <w:rPr>
                <w:b/>
                <w:bCs/>
                <w:color w:val="000000"/>
              </w:rPr>
            </w:r>
            <w:r>
              <w:rPr>
                <w:b/>
                <w:bCs/>
                <w:color w:val="000000"/>
              </w:rPr>
            </w:r>
          </w:p>
        </w:tc>
      </w:tr>
      <w:tr>
        <w:trPr>
          <w:trHeight w:val="20"/>
        </w:trPr>
        <w:tc>
          <w:tcPr>
            <w:gridSpan w:val="5"/>
            <w:tcBorders/>
            <w:tcW w:w="6442" w:type="dxa"/>
            <w:vAlign w:val="center"/>
            <w:textDirection w:val="lrTb"/>
            <w:noWrap/>
          </w:tcPr>
          <w:p>
            <w:pPr>
              <w:pBdr/>
              <w:spacing w:after="40" w:before="40" w:line="240" w:lineRule="auto"/>
              <w:ind/>
              <w:jc w:val="center"/>
              <w:rPr>
                <w:b/>
                <w:bCs/>
                <w:color w:val="000000"/>
              </w:rPr>
            </w:pPr>
            <w:r>
              <w:rPr>
                <w:b/>
                <w:bCs/>
                <w:color w:val="000000"/>
              </w:rPr>
              <w:t xml:space="preserve">LÀM TRÒN:</w:t>
            </w:r>
            <w:r>
              <w:rPr>
                <w:b/>
                <w:bCs/>
                <w:color w:val="000000"/>
              </w:rPr>
            </w:r>
            <w:r>
              <w:rPr>
                <w:b/>
                <w:bCs/>
                <w:color w:val="000000"/>
              </w:rPr>
            </w:r>
          </w:p>
        </w:tc>
        <w:tc>
          <w:tcPr>
            <w:tcBorders/>
            <w:tcW w:w="1276" w:type="dxa"/>
            <w:vAlign w:val="center"/>
            <w:textDirection w:val="lrTb"/>
            <w:noWrap/>
          </w:tcPr>
          <w:p>
            <w:pPr>
              <w:pBdr/>
              <w:spacing w:line="240" w:lineRule="auto"/>
              <w:ind/>
              <w:rPr>
                <w:b/>
                <w:bCs/>
                <w:color w:val="000000"/>
              </w:rPr>
            </w:pPr>
            <w:r>
              <w:rPr>
                <w:b/>
                <w:bCs/>
                <w:color w:val="000000"/>
              </w:rPr>
            </w:r>
            <w:r>
              <w:rPr>
                <w:b/>
                <w:bCs/>
                <w:color w:val="000000"/>
              </w:rPr>
            </w:r>
            <w:r>
              <w:rPr>
                <w:b/>
                <w:bCs/>
                <w:color w:val="000000"/>
              </w:rPr>
            </w:r>
          </w:p>
        </w:tc>
        <w:tc>
          <w:tcPr>
            <w:tcBorders/>
            <w:tcW w:w="1809" w:type="dxa"/>
            <w:vAlign w:val="center"/>
            <w:textDirection w:val="lrTb"/>
            <w:noWrap/>
          </w:tcPr>
          <w:p>
            <w:pPr>
              <w:pBdr/>
              <w:spacing w:after="40" w:before="40" w:line="240" w:lineRule="auto"/>
              <w:ind/>
              <w:jc w:val="right"/>
              <w:rPr>
                <w:b/>
                <w:bCs/>
                <w:color w:val="000000"/>
              </w:rPr>
            </w:pPr>
            <w:r>
              <w:rPr>
                <w:b/>
                <w:bCs/>
                <w:color w:val="000000"/>
              </w:rPr>
              <w:t xml:space="preserve">9.161.000.000</w:t>
            </w:r>
            <w:r>
              <w:rPr>
                <w:b/>
                <w:bCs/>
                <w:color w:val="000000"/>
              </w:rPr>
            </w:r>
            <w:r>
              <w:rPr>
                <w:b/>
                <w:bCs/>
                <w:color w:val="000000"/>
              </w:rPr>
            </w:r>
          </w:p>
        </w:tc>
      </w:tr>
      <w:tr>
        <w:trPr>
          <w:trHeight w:val="20"/>
        </w:trPr>
        <w:tc>
          <w:tcPr>
            <w:gridSpan w:val="7"/>
            <w:tcBorders/>
            <w:tcW w:w="9526" w:type="dxa"/>
            <w:vAlign w:val="center"/>
            <w:textDirection w:val="lrTb"/>
            <w:noWrap w:val="false"/>
          </w:tcPr>
          <w:p>
            <w:pPr>
              <w:pBdr/>
              <w:spacing w:after="40" w:before="40" w:line="240" w:lineRule="auto"/>
              <w:ind/>
              <w:jc w:val="center"/>
              <w:rPr>
                <w:b/>
                <w:bCs/>
                <w:i/>
                <w:iCs/>
                <w:color w:val="000000"/>
              </w:rPr>
            </w:pPr>
            <w:r>
              <w:rPr>
                <w:b/>
                <w:bCs/>
                <w:i/>
                <w:iCs/>
                <w:color w:val="000000"/>
              </w:rPr>
              <w:t xml:space="preserve">(Bằng chữ: </w:t>
            </w:r>
            <w:r>
              <w:rPr>
                <w:b/>
                <w:bCs/>
                <w:i/>
                <w:iCs/>
                <w:color w:val="000000"/>
              </w:rPr>
              <w:t xml:space="preserve">Chín tỷ, một trăm sáu mươi mốt triệu đồng chẵn</w:t>
            </w:r>
            <w:r>
              <w:rPr>
                <w:b/>
                <w:bCs/>
                <w:i/>
                <w:iCs/>
                <w:color w:val="000000"/>
              </w:rPr>
              <w:t xml:space="preserve">./.)</w:t>
            </w:r>
            <w:r>
              <w:rPr>
                <w:b/>
                <w:bCs/>
                <w:i/>
                <w:iCs/>
                <w:color w:val="000000"/>
              </w:rPr>
            </w:r>
            <w:r>
              <w:rPr>
                <w:b/>
                <w:bCs/>
                <w:i/>
                <w:iCs/>
                <w:color w:val="000000"/>
              </w:rPr>
            </w:r>
          </w:p>
        </w:tc>
      </w:tr>
    </w:tbl>
    <w:p>
      <w:pPr>
        <w:pBdr/>
        <w:spacing w:after="120" w:before="120" w:line="240"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240"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240"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1845" w:type="dxa"/>
        <w:tblBorders/>
        <w:tblLayout w:type="fixed"/>
        <w:tblLook w:val="04A0" w:firstRow="1" w:lastRow="0" w:firstColumn="1" w:lastColumn="0" w:noHBand="0" w:noVBand="1"/>
      </w:tblPr>
      <w:tblGrid>
        <w:gridCol w:w="1134"/>
        <w:gridCol w:w="1134"/>
        <w:gridCol w:w="1134"/>
        <w:gridCol w:w="1134"/>
        <w:gridCol w:w="1134"/>
      </w:tblGrid>
      <w:tr>
        <w:trPr>
          <w:trHeight w:val="1843"/>
        </w:trPr>
        <w:tc>
          <w:tcPr>
            <w:gridSpan w:val="2"/>
            <w:tcBorders/>
            <w:tcW w:w="7762"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40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6906" w:type="dxa"/>
            <w:textDirection w:val="lrTb"/>
            <w:noWrap w:val="false"/>
          </w:tcPr>
          <w:p>
            <w:pPr>
              <w:pStyle w:val="1036"/>
              <w:pBdr/>
              <w:spacing w:after="60"/>
              <w:ind/>
              <w:rPr>
                <w:color w:val="000000" w:themeColor="text1"/>
                <w:sz w:val="24"/>
                <w:szCs w:val="24"/>
              </w:rPr>
            </w:pPr>
            <w:r>
              <w:rPr>
                <w:rStyle w:val="1035"/>
                <w:rFonts w:ascii="Times New Roman" w:hAnsi="Times New Roman"/>
                <w:color w:val="000000" w:themeColor="text1"/>
                <w:lang w:val="pt-BR"/>
              </w:rPr>
              <w:t xml:space="preserve">Số: </w:t>
            </w:r>
            <w:r>
              <w:rPr>
                <w:rStyle w:val="1035"/>
                <w:rFonts w:ascii="Times New Roman" w:hAnsi="Times New Roman"/>
                <w:color w:val="000000" w:themeColor="text1"/>
                <w:lang w:val="pt-BR"/>
              </w:rPr>
              <w:t xml:space="preserve">275/2026/0557/VFI-CT.44.A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084" w:type="dxa"/>
            <w:textDirection w:val="lrTb"/>
            <w:noWrap w:val="false"/>
          </w:tcPr>
          <w:p>
            <w:pPr>
              <w:pStyle w:val="1036"/>
              <w:pBdr/>
              <w:spacing w:after="60"/>
              <w:ind w:right="-56"/>
              <w:jc w:val="right"/>
              <w:rPr>
                <w:color w:val="000000" w:themeColor="text1"/>
                <w:sz w:val="24"/>
                <w:szCs w:val="24"/>
                <w:lang w:val="vi-VN"/>
              </w:rPr>
            </w:pPr>
            <w:r>
              <w:rPr>
                <w:rStyle w:val="1035"/>
                <w:rFonts w:ascii="Times New Roman" w:hAnsi="Times New Roman"/>
                <w:i/>
                <w:color w:val="auto"/>
              </w:rPr>
              <w:t xml:space="preserve">TP. Hà Nội</w:t>
            </w:r>
            <w:r>
              <w:rPr>
                <w:rStyle w:val="1035"/>
                <w:rFonts w:ascii="Times New Roman" w:hAnsi="Times New Roman"/>
                <w:i/>
                <w:color w:val="auto"/>
                <w:lang w:val="vi-VN"/>
              </w:rPr>
              <w:t xml:space="preserve">, </w:t>
            </w:r>
            <w:r>
              <w:rPr>
                <w:rStyle w:val="1035"/>
                <w:rFonts w:ascii="Times New Roman" w:hAnsi="Times New Roman"/>
                <w:i/>
                <w:color w:val="000000" w:themeColor="text1"/>
                <w:lang w:val="vi-VN"/>
              </w:rPr>
              <w:t xml:space="preserve">ngày 10 tháng 4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6906" w:type="dxa"/>
            <w:textDirection w:val="lrTb"/>
            <w:noWrap w:val="false"/>
          </w:tcPr>
          <w:p>
            <w:pPr>
              <w:pStyle w:val="1036"/>
              <w:pBdr/>
              <w:spacing w:after="60"/>
              <w:ind/>
              <w:rPr>
                <w:rStyle w:val="1035"/>
                <w:rFonts w:ascii="Times New Roman" w:hAnsi="Times New Roman"/>
                <w:color w:val="000000" w:themeColor="text1"/>
                <w:lang w:val="pt-BR"/>
              </w:rPr>
            </w:pPr>
            <w:r>
              <w:rPr>
                <w:rStyle w:val="1035"/>
                <w:rFonts w:ascii="Times New Roman" w:hAnsi="Times New Roman"/>
                <w:color w:val="000000" w:themeColor="text1"/>
                <w:lang w:val="pt-BR"/>
              </w:rPr>
            </w:r>
            <w:r>
              <w:rPr>
                <w:rStyle w:val="1035"/>
                <w:rFonts w:ascii="Times New Roman" w:hAnsi="Times New Roman"/>
                <w:color w:val="000000" w:themeColor="text1"/>
                <w:lang w:val="pt-BR"/>
              </w:rPr>
            </w:r>
            <w:r>
              <w:rPr>
                <w:rStyle w:val="1035"/>
                <w:rFonts w:ascii="Times New Roman" w:hAnsi="Times New Roman"/>
                <w:color w:val="000000" w:themeColor="text1"/>
                <w:lang w:val="pt-BR"/>
              </w:rPr>
            </w:r>
          </w:p>
        </w:tc>
        <w:tc>
          <w:tcPr>
            <w:shd w:val="clear" w:color="auto" w:fill="auto"/>
            <w:tcBorders/>
            <w:tcMar>
              <w:left w:w="108" w:type="dxa"/>
              <w:top w:w="0" w:type="dxa"/>
              <w:right w:w="108" w:type="dxa"/>
              <w:bottom w:w="0" w:type="dxa"/>
            </w:tcMar>
            <w:tcW w:w="4084" w:type="dxa"/>
            <w:textDirection w:val="lrTb"/>
            <w:noWrap w:val="false"/>
          </w:tcPr>
          <w:p>
            <w:pPr>
              <w:pStyle w:val="1036"/>
              <w:pBdr/>
              <w:spacing w:after="60"/>
              <w:ind w:right="-56"/>
              <w:rPr>
                <w:rStyle w:val="1035"/>
                <w:rFonts w:ascii="Times New Roman" w:hAnsi="Times New Roman"/>
                <w:i/>
                <w:color w:val="auto"/>
              </w:rPr>
            </w:pPr>
            <w:r>
              <w:rPr>
                <w:rFonts w:ascii="Times New Roman" w:hAnsi="Times New Roman"/>
                <w:i/>
                <w:color w:val="auto"/>
              </w:rPr>
            </w:r>
            <w:r>
              <w:rPr>
                <w:rStyle w:val="1035"/>
                <w:rFonts w:ascii="Times New Roman" w:hAnsi="Times New Roman"/>
                <w:i/>
                <w:color w:val="auto"/>
              </w:rPr>
            </w:r>
            <w:r>
              <w:rPr>
                <w:rStyle w:val="1035"/>
                <w:rFonts w:ascii="Times New Roman" w:hAnsi="Times New Roman"/>
                <w:i/>
                <w:color w:val="auto"/>
              </w:rPr>
            </w:r>
          </w:p>
        </w:tc>
      </w:tr>
    </w:tbl>
    <w:p>
      <w:pPr>
        <w:pStyle w:val="103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275/2026/0557/VFI-CT.44.A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3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ind w:right="0" w:firstLine="0" w:left="0"/>
              <w:jc w:val="both"/>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ind w:right="0" w:firstLine="0" w:left="0"/>
              <w:rPr/>
            </w:pPr>
            <w:r>
              <w:rPr>
                <w:rFonts w:ascii="Times New Roman" w:hAnsi="Times New Roman" w:eastAsia="Times New Roman" w:cs="Times New Roman"/>
                <w:b/>
                <w:color w:val="000000"/>
                <w:spacing w:val="3"/>
                <w:sz w:val="24"/>
              </w:rPr>
              <w:t xml:space="preserve">ÔNG NGUYỄN VĂN THÀNH</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pacing w:val="3"/>
                <w:sz w:val="24"/>
              </w:rPr>
              <w:t xml:space="preserve">1973</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001073004617</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Xã Phù Đổng, thành phố Hà Nội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218a+219+1b, tờ bản đồ: 10+13, địa chỉ:</w:t>
            </w:r>
            <w:r>
              <w:rPr>
                <w:bCs/>
                <w:color w:val="000000" w:themeColor="text1"/>
                <w:lang w:val="pt-BR"/>
              </w:rPr>
              <w:t xml:space="preserve"> Xóm 4, xã Trung Mầu, huyện Gia Lâm (</w:t>
            </w:r>
            <w:r>
              <w:rPr>
                <w:bCs/>
                <w:i/>
                <w:iCs/>
                <w:color w:val="000000" w:themeColor="text1"/>
                <w:lang w:val="pt-BR"/>
              </w:rPr>
              <w:t xml:space="preserve">nay là xã Phù Đổng)</w:t>
            </w:r>
            <w:r>
              <w:rPr>
                <w:bCs/>
                <w:color w:val="000000" w:themeColor="text1"/>
                <w:lang w:val="pt-BR"/>
              </w:rPr>
              <w:t xml:space="preserve">, thành phố Hà Nội theo Giấy chứng nhận quyền sử dụng đất số: AI 201454, Số vào sổ cấp GCN: 014 do Ủy ban nhân dân huyện Gia Lâm cấp ngày 18/4/2008; Chủ tài sản là Ông Nguyễn Văn Đồng và Bà Vũ Thị Ngan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Xóm 4, xã Phù Đổng,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21.059611111111, 105.98541666667</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7"/>
        <w:numPr>
          <w:ilvl w:val="0"/>
          <w:numId w:val="1"/>
        </w:numPr>
        <w:pBdr/>
        <w:spacing w:after="120" w:before="120" w:line="276" w:lineRule="auto"/>
        <w:ind/>
        <w:jc w:val="both"/>
        <w:rPr>
          <w:bCs/>
          <w:spacing w:val="-4"/>
          <w:lang w:val="pt-BR"/>
        </w:rPr>
      </w:pP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3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3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bCs/>
          <w:color w:val="000000" w:themeColor="text1"/>
          <w:lang w:val="pt-BR"/>
        </w:rPr>
        <w:t xml:space="preserve">Giấy chứng nhận quyền sử dụng đất số: AI 201454, Số vào sổ cấp GCN: 014 do Ủy ban nhân dân huyện Gia Lâm cấp ngày 18/4/2008; Chủ tài sản là Ông Nguyễn Văn Đồng và Bà Vũ Thị Ngan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dịch vụ thẩm định giá số 275/2026/0557/VFI-HĐTĐ.44.A ngày 11/4/2026 giữa Ông Nguyễn Văn Thành với Công ty Cổ phần Thẩm định và Đầu tư Tài chính Hoa Sen;</w:t>
      </w:r>
      <w:r>
        <w:rPr>
          <w:b/>
          <w:lang w:val="pt-BR"/>
        </w:rPr>
      </w:r>
      <w:r>
        <w:rPr>
          <w:b/>
          <w:lang w:val="pt-BR"/>
        </w:rPr>
      </w:r>
    </w:p>
    <w:p>
      <w:pPr>
        <w:pStyle w:val="103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before="0" w:line="276" w:lineRule="auto"/>
        <w:ind w:right="0" w:firstLine="283" w:left="0"/>
        <w:jc w:val="both"/>
        <w:rPr>
          <w:rFonts w:ascii="Times New Roman" w:hAnsi="Times New Roman" w:cs="Times New Roman"/>
        </w:rPr>
      </w:pPr>
      <w:r>
        <w:rPr>
          <w:rFonts w:ascii="Times New Roman" w:hAnsi="Times New Roman" w:eastAsia="Times New Roman" w:cs="Times New Roman"/>
          <w:b/>
          <w:color w:val="001d35"/>
          <w:sz w:val="24"/>
        </w:rPr>
        <w:t xml:space="preserve">Bất động sản Gia Lâm đang chuyển mình mạnh mẽ, trở thành tâm điểm phía Đông Hà Nội nhờ hạ tầng đồng bộ và lộ trình lên quận</w:t>
      </w:r>
      <w:r>
        <w:rPr>
          <w:rFonts w:ascii="Times New Roman" w:hAnsi="Times New Roman" w:eastAsia="Times New Roman" w:cs="Times New Roman"/>
          <w:color w:val="0a0a0a"/>
          <w:sz w:val="24"/>
        </w:rPr>
        <w:t xml:space="preserve">. Với lợi thế cửa ngõ, kết nối thuận tiện, khu vực thu hút các "ông lớn" như Vinhomes, Ecopark tạo nên các khu đô thị lớn (Vinhomes Ocean Park). Giá đất tăng cao, tập trung phân khúc cao cấp, căn hộ và shophouse.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Tổng quan thị trường BĐS Gia Lâm:</w:t>
      </w:r>
      <w:r>
        <w:rPr>
          <w:rFonts w:ascii="Times New Roman" w:hAnsi="Times New Roman" w:cs="Times New Roman"/>
        </w:rPr>
      </w:r>
      <w:r>
        <w:rPr>
          <w:rFonts w:ascii="Times New Roman" w:hAnsi="Times New Roman" w:cs="Times New Roman"/>
        </w:rPr>
      </w:r>
    </w:p>
    <w:p>
      <w:pPr>
        <w:pStyle w:val="1037"/>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276" w:lineRule="auto"/>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Vị trí chiến lược:</w:t>
      </w:r>
      <w:r>
        <w:rPr>
          <w:rFonts w:ascii="Times New Roman" w:hAnsi="Times New Roman" w:eastAsia="Times New Roman" w:cs="Times New Roman"/>
          <w:color w:val="0a0a0a"/>
          <w:sz w:val="24"/>
        </w:rPr>
        <w:t xml:space="preserve"> Nằm ở cửa ngõ phía Đông Hà Nội, là đầu mối giao thông kết nối các tỉnh thành ven biển (Hải Phòng, Quảng Ninh) qua các tuyến đường trọng điểm như QL5A, QL5B (Cao tốc Hà Nội - Hải Phòng), cầu Thanh Trì.</w:t>
      </w:r>
      <w:r>
        <w:rPr>
          <w:rFonts w:ascii="Times New Roman" w:hAnsi="Times New Roman" w:cs="Times New Roman"/>
        </w:rPr>
      </w:r>
      <w:r>
        <w:rPr>
          <w:rFonts w:ascii="Times New Roman" w:hAnsi="Times New Roman" w:cs="Times New Roman"/>
        </w:rPr>
      </w:r>
    </w:p>
    <w:p>
      <w:pPr>
        <w:pStyle w:val="1037"/>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276" w:lineRule="auto"/>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Đô thị hóa và Quy hoạch:</w:t>
      </w:r>
      <w:r>
        <w:rPr>
          <w:rFonts w:ascii="Times New Roman" w:hAnsi="Times New Roman" w:eastAsia="Times New Roman" w:cs="Times New Roman"/>
          <w:color w:val="0a0a0a"/>
          <w:sz w:val="24"/>
        </w:rPr>
        <w:t xml:space="preserve"> Huyện đang hoàn thiện các tiêu chí lên quận, đẩy mạnh quy hoạch đô thị, chuyển đổi từ đất nông nghiệp sang đô thị hiện đại.</w:t>
      </w:r>
      <w:r>
        <w:rPr>
          <w:rFonts w:ascii="Times New Roman" w:hAnsi="Times New Roman" w:cs="Times New Roman"/>
        </w:rPr>
      </w:r>
      <w:r>
        <w:rPr>
          <w:rFonts w:ascii="Times New Roman" w:hAnsi="Times New Roman" w:cs="Times New Roman"/>
        </w:rPr>
      </w:r>
    </w:p>
    <w:p>
      <w:pPr>
        <w:pStyle w:val="1037"/>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276" w:lineRule="auto"/>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Các loại hình BĐS nổi bật:</w:t>
      </w:r>
      <w:r>
        <w:rPr>
          <w:rFonts w:ascii="Times New Roman" w:hAnsi="Times New Roman" w:cs="Times New Roman"/>
        </w:rPr>
      </w:r>
      <w:r>
        <w:rPr>
          <w:rFonts w:ascii="Times New Roman" w:hAnsi="Times New Roman" w:cs="Times New Roman"/>
        </w:rPr>
      </w:r>
    </w:p>
    <w:p>
      <w:pPr>
        <w:pStyle w:val="1037"/>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276" w:lineRule="auto"/>
        <w:ind w:right="0" w:firstLine="283" w:left="0"/>
        <w:jc w:val="both"/>
        <w:rPr>
          <w:rFonts w:ascii="Times New Roman" w:hAnsi="Times New Roman" w:cs="Times New Roman"/>
        </w:rPr>
      </w:pPr>
      <w:r>
        <w:rPr>
          <w:rFonts w:ascii="Times New Roman" w:hAnsi="Times New Roman" w:eastAsia="Times New Roman" w:cs="Times New Roman"/>
        </w:rPr>
      </w:r>
      <w:hyperlink r:id="rId17" w:tooltip="https://www.google.com/search?q=C%C4%83n+h%E1%BB%99+chung+c%C6%B0&amp;oq=t%E1%BB%95ng+quan+B%C4%90S+Gia+L%C3%A2m&amp;gs_lcrp=EgZjaHJvbWUyBggAEEUYOTIGCAEQRRg70gEINjk5NmowajSoAgCwAgE&amp;sourceid=chrome&amp;ie=UTF-8&amp;mstk=AUtExfAiOpsyiQaMNrLvXyH2ZT294U47axchoG_6-OP1xmEwynswy4s_eCx9R3RQel5H8TJouxCz7GWMxrTQLYUjbB0YYeZXlReCHi0QLeGEOXUnSP2IU24y1q0sVDNSL--moJI&amp;csui=3&amp;ved=2ahUKEwif9caZqeeTAxVvsFYBHR9qKiYQgK4QegQIBBAE" w:history="1">
        <w:r>
          <w:rPr>
            <w:rStyle w:val="1027"/>
            <w:rFonts w:ascii="Times New Roman" w:hAnsi="Times New Roman" w:eastAsia="Times New Roman" w:cs="Times New Roman"/>
            <w:b/>
            <w:color w:val="0a0a0a"/>
            <w:sz w:val="24"/>
            <w:u w:val="single"/>
          </w:rPr>
          <w:t xml:space="preserve">Căn hộ chung cư</w:t>
        </w:r>
      </w:hyperlink>
      <w:r>
        <w:rPr>
          <w:rFonts w:ascii="Times New Roman" w:hAnsi="Times New Roman" w:eastAsia="Times New Roman" w:cs="Times New Roman"/>
          <w:b/>
          <w:color w:val="0a0a0a"/>
          <w:sz w:val="24"/>
        </w:rPr>
        <w:t xml:space="preserve">:</w:t>
      </w:r>
      <w:r>
        <w:rPr>
          <w:rFonts w:ascii="Times New Roman" w:hAnsi="Times New Roman" w:eastAsia="Times New Roman" w:cs="Times New Roman"/>
          <w:color w:val="0a0a0a"/>
          <w:sz w:val="24"/>
        </w:rPr>
        <w:t xml:space="preserve"> Tập trung tại các khu đô thị lớn như Vinhomes Ocean Park (Trâu Quỳ, Kiêu Kỵ, Đa Tốn), Vinhomes Ocean Park 2, 3 (vùng giáp ranh).</w:t>
      </w:r>
      <w:r>
        <w:rPr>
          <w:rFonts w:ascii="Times New Roman" w:hAnsi="Times New Roman" w:cs="Times New Roman"/>
        </w:rPr>
      </w:r>
      <w:r>
        <w:rPr>
          <w:rFonts w:ascii="Times New Roman" w:hAnsi="Times New Roman" w:cs="Times New Roman"/>
        </w:rPr>
      </w:r>
    </w:p>
    <w:p>
      <w:pPr>
        <w:pStyle w:val="1037"/>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276" w:lineRule="auto"/>
        <w:ind w:right="0" w:firstLine="283" w:left="0"/>
        <w:jc w:val="both"/>
        <w:rPr>
          <w:rFonts w:ascii="Times New Roman" w:hAnsi="Times New Roman" w:cs="Times New Roman"/>
        </w:rPr>
      </w:pPr>
      <w:r>
        <w:rPr>
          <w:rFonts w:ascii="Times New Roman" w:hAnsi="Times New Roman" w:eastAsia="Times New Roman" w:cs="Times New Roman"/>
        </w:rPr>
      </w:r>
      <w:hyperlink r:id="rId18" w:tooltip="https://www.google.com/search?q=Bi%E1%BB%87t+th%E1%BB%B1%2C+Shophouse&amp;oq=t%E1%BB%95ng+quan+B%C4%90S+Gia+L%C3%A2m&amp;gs_lcrp=EgZjaHJvbWUyBggAEEUYOTIGCAEQRRg70gEINjk5NmowajSoAgCwAgE&amp;sourceid=chrome&amp;ie=UTF-8&amp;mstk=AUtExfAiOpsyiQaMNrLvXyH2ZT294U47axchoG_6-OP1xmEwynswy4s_eCx9R3RQel5H8TJouxCz7GWMxrTQLYUjbB0YYeZXlReCHi0QLeGEOXUnSP2IU24y1q0sVDNSL--moJI&amp;csui=3&amp;ved=2ahUKEwif9caZqeeTAxVvsFYBHR9qKiYQgK4QegQIBBAG" w:history="1">
        <w:r>
          <w:rPr>
            <w:rStyle w:val="1027"/>
            <w:rFonts w:ascii="Times New Roman" w:hAnsi="Times New Roman" w:eastAsia="Times New Roman" w:cs="Times New Roman"/>
            <w:b/>
            <w:color w:val="0a0a0a"/>
            <w:sz w:val="24"/>
            <w:u w:val="single"/>
          </w:rPr>
          <w:t xml:space="preserve">Biệt thự, Shophouse</w:t>
        </w:r>
      </w:hyperlink>
      <w:r>
        <w:rPr>
          <w:rFonts w:ascii="Times New Roman" w:hAnsi="Times New Roman" w:eastAsia="Times New Roman" w:cs="Times New Roman"/>
          <w:b/>
          <w:color w:val="0a0a0a"/>
          <w:sz w:val="24"/>
        </w:rPr>
        <w:t xml:space="preserve">:</w:t>
      </w:r>
      <w:r>
        <w:rPr>
          <w:rFonts w:ascii="Times New Roman" w:hAnsi="Times New Roman" w:eastAsia="Times New Roman" w:cs="Times New Roman"/>
          <w:color w:val="0a0a0a"/>
          <w:sz w:val="24"/>
        </w:rPr>
        <w:t xml:space="preserve"> Đa dạng tại các dự án, tiềm năng kinh doanh tốt.</w:t>
      </w:r>
      <w:r>
        <w:rPr>
          <w:rFonts w:ascii="Times New Roman" w:hAnsi="Times New Roman" w:cs="Times New Roman"/>
        </w:rPr>
      </w:r>
      <w:r>
        <w:rPr>
          <w:rFonts w:ascii="Times New Roman" w:hAnsi="Times New Roman" w:cs="Times New Roman"/>
        </w:rPr>
      </w:r>
    </w:p>
    <w:p>
      <w:pPr>
        <w:pStyle w:val="1037"/>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276" w:lineRule="auto"/>
        <w:ind w:right="0" w:firstLine="283" w:left="0"/>
        <w:jc w:val="both"/>
        <w:rPr>
          <w:rFonts w:ascii="Times New Roman" w:hAnsi="Times New Roman" w:cs="Times New Roman"/>
        </w:rPr>
      </w:pPr>
      <w:r>
        <w:rPr>
          <w:rFonts w:ascii="Times New Roman" w:hAnsi="Times New Roman" w:eastAsia="Times New Roman" w:cs="Times New Roman"/>
        </w:rPr>
      </w:r>
      <w:hyperlink r:id="rId19" w:tooltip="https://www.google.com/search?q=%C4%90%E1%BA%A5t+n%E1%BB%81n+th%E1%BB%95+c%C6%B0&amp;oq=t%E1%BB%95ng+quan+B%C4%90S+Gia+L%C3%A2m&amp;gs_lcrp=EgZjaHJvbWUyBggAEEUYOTIGCAEQRRg70gEINjk5NmowajSoAgCwAgE&amp;sourceid=chrome&amp;ie=UTF-8&amp;mstk=AUtExfAiOpsyiQaMNrLvXyH2ZT294U47axchoG_6-OP1xmEwynswy4s_eCx9R3RQel5H8TJouxCz7GWMxrTQLYUjbB0YYeZXlReCHi0QLeGEOXUnSP2IU24y1q0sVDNSL--moJI&amp;csui=3&amp;ved=2ahUKEwif9caZqeeTAxVvsFYBHR9qKiYQgK4QegQIBBAI" w:history="1">
        <w:r>
          <w:rPr>
            <w:rStyle w:val="1027"/>
            <w:rFonts w:ascii="Times New Roman" w:hAnsi="Times New Roman" w:eastAsia="Times New Roman" w:cs="Times New Roman"/>
            <w:b/>
            <w:color w:val="0a0a0a"/>
            <w:sz w:val="24"/>
            <w:u w:val="single"/>
          </w:rPr>
          <w:t xml:space="preserve">Đất nền thổ cư</w:t>
        </w:r>
      </w:hyperlink>
      <w:r>
        <w:rPr>
          <w:rFonts w:ascii="Times New Roman" w:hAnsi="Times New Roman" w:eastAsia="Times New Roman" w:cs="Times New Roman"/>
          <w:b/>
          <w:color w:val="0a0a0a"/>
          <w:sz w:val="24"/>
        </w:rPr>
        <w:t xml:space="preserve">:</w:t>
      </w:r>
      <w:r>
        <w:rPr>
          <w:rFonts w:ascii="Times New Roman" w:hAnsi="Times New Roman" w:eastAsia="Times New Roman" w:cs="Times New Roman"/>
          <w:color w:val="0a0a0a"/>
          <w:sz w:val="24"/>
        </w:rPr>
        <w:t xml:space="preserve"> Vẫn là phân khúc hấp dẫn, đặc biệt tại các khu vực ven các dự án lớn.</w:t>
      </w:r>
      <w:r>
        <w:rPr>
          <w:rFonts w:ascii="Times New Roman" w:hAnsi="Times New Roman" w:cs="Times New Roman"/>
        </w:rPr>
      </w:r>
      <w:r>
        <w:rPr>
          <w:rFonts w:ascii="Times New Roman" w:hAnsi="Times New Roman" w:cs="Times New Roman"/>
        </w:rPr>
      </w:r>
    </w:p>
    <w:p>
      <w:pPr>
        <w:pStyle w:val="1037"/>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276" w:lineRule="auto"/>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Tiềm năng và Lợi thế:</w:t>
      </w:r>
      <w:r>
        <w:rPr>
          <w:rFonts w:ascii="Times New Roman" w:hAnsi="Times New Roman" w:cs="Times New Roman"/>
        </w:rPr>
      </w:r>
      <w:r>
        <w:rPr>
          <w:rFonts w:ascii="Times New Roman" w:hAnsi="Times New Roman" w:cs="Times New Roman"/>
        </w:rPr>
      </w:r>
    </w:p>
    <w:p>
      <w:pPr>
        <w:pStyle w:val="1037"/>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276" w:lineRule="auto"/>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Hạ tầng phát triển:</w:t>
      </w:r>
      <w:r>
        <w:rPr>
          <w:rFonts w:ascii="Times New Roman" w:hAnsi="Times New Roman" w:eastAsia="Times New Roman" w:cs="Times New Roman"/>
          <w:color w:val="0a0a0a"/>
          <w:sz w:val="24"/>
        </w:rPr>
        <w:t xml:space="preserve"> Các dự án cầu mới (cầu Vĩnh Tuy 2, cầu Mễ Sở...) và các tuyến đường nâng cấp giúp kết nối trung tâm Hà Nội chỉ mất 15-20 phút.</w:t>
      </w:r>
      <w:r>
        <w:rPr>
          <w:rFonts w:ascii="Times New Roman" w:hAnsi="Times New Roman" w:cs="Times New Roman"/>
        </w:rPr>
      </w:r>
      <w:r>
        <w:rPr>
          <w:rFonts w:ascii="Times New Roman" w:hAnsi="Times New Roman" w:cs="Times New Roman"/>
        </w:rPr>
      </w:r>
    </w:p>
    <w:p>
      <w:pPr>
        <w:pStyle w:val="1037"/>
        <w:numPr>
          <w:ilvl w:val="1"/>
          <w:numId w:val="39"/>
        </w:numPr>
        <w:pBdr>
          <w:top w:val="none" w:color="000000" w:sz="4" w:space="0"/>
          <w:left w:val="none" w:color="000000" w:sz="4" w:space="0"/>
          <w:bottom w:val="none" w:color="000000" w:sz="4" w:space="0"/>
          <w:right w:val="none" w:color="000000" w:sz="4" w:space="0"/>
        </w:pBdr>
        <w:shd w:val="clear" w:color="ffffff" w:fill="ffffff"/>
        <w:spacing w:after="180" w:before="0" w:line="276" w:lineRule="auto"/>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Cộng đồng cư dân mới:</w:t>
      </w:r>
      <w:r>
        <w:rPr>
          <w:rFonts w:ascii="Times New Roman" w:hAnsi="Times New Roman" w:eastAsia="Times New Roman" w:cs="Times New Roman"/>
          <w:color w:val="0a0a0a"/>
          <w:sz w:val="24"/>
        </w:rPr>
        <w:t xml:space="preserve"> Sự xuất hiện của các dự án đại đô thị tạo ra cộng đồng cư dân văn minh, hiện đại, thúc đẩy dịch vụ, thương mại phát triển.</w:t>
      </w:r>
      <w:r>
        <w:rPr>
          <w:rFonts w:ascii="Times New Roman" w:hAnsi="Times New Roman" w:cs="Times New Roman"/>
        </w:rPr>
      </w:r>
      <w:r>
        <w:rPr>
          <w:rFonts w:ascii="Times New Roman" w:hAnsi="Times New Roman" w:cs="Times New Roman"/>
        </w:rPr>
      </w:r>
    </w:p>
    <w:p>
      <w:pPr>
        <w:pStyle w:val="1037"/>
        <w:numPr>
          <w:ilvl w:val="0"/>
          <w:numId w:val="39"/>
        </w:numPr>
        <w:pBdr>
          <w:top w:val="none" w:color="000000" w:sz="4" w:space="0"/>
          <w:left w:val="none" w:color="000000" w:sz="4" w:space="0"/>
          <w:bottom w:val="none" w:color="000000" w:sz="4" w:space="0"/>
          <w:right w:val="none" w:color="000000" w:sz="4" w:space="0"/>
        </w:pBdr>
        <w:shd w:val="clear" w:color="ffffff" w:fill="ffffff"/>
        <w:spacing w:after="180" w:before="0" w:line="276" w:lineRule="auto"/>
        <w:ind w:right="0" w:firstLine="283" w:left="0"/>
        <w:jc w:val="both"/>
        <w:rPr>
          <w:rFonts w:ascii="Times New Roman" w:hAnsi="Times New Roman" w:cs="Times New Roman"/>
        </w:rPr>
      </w:pPr>
      <w:r>
        <w:rPr>
          <w:rFonts w:ascii="Times New Roman" w:hAnsi="Times New Roman" w:eastAsia="Times New Roman" w:cs="Times New Roman"/>
          <w:b/>
          <w:color w:val="0a0a0a"/>
          <w:sz w:val="24"/>
        </w:rPr>
        <w:t xml:space="preserve">Thách thức:</w:t>
      </w:r>
      <w:r>
        <w:rPr>
          <w:rFonts w:ascii="Times New Roman" w:hAnsi="Times New Roman" w:eastAsia="Times New Roman" w:cs="Times New Roman"/>
          <w:color w:val="0a0a0a"/>
          <w:sz w:val="24"/>
        </w:rPr>
        <w:t xml:space="preserve"> Giá đất tại một số khu vực đã tăng khá cao, đặc biệt sau thông tin lên quận. Thị trường có thể gặp tình trạng trầm lắng tạm thời ở phân khúc đất nền tự phát. </w:t>
      </w:r>
      <w:r>
        <w:rPr>
          <w:rFonts w:ascii="Times New Roman" w:hAnsi="Times New Roman" w:cs="Times New Roman"/>
        </w:rPr>
      </w:r>
      <w:r>
        <w:rPr>
          <w:rFonts w:ascii="Times New Roman" w:hAnsi="Times New Roman" w:cs="Times New Roman"/>
        </w:rPr>
      </w:r>
    </w:p>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283" w:left="0"/>
        <w:jc w:val="both"/>
        <w:rPr>
          <w:rFonts w:ascii="Times New Roman" w:hAnsi="Times New Roman" w:cs="Times New Roman"/>
        </w:rPr>
      </w:pPr>
      <w:r>
        <w:rPr>
          <w:rFonts w:ascii="Times New Roman" w:hAnsi="Times New Roman" w:eastAsia="Times New Roman" w:cs="Times New Roman"/>
          <w:color w:val="0a0a0a"/>
          <w:sz w:val="24"/>
        </w:rPr>
        <w:t xml:space="preserve">Gia Lâm được xem là "mỏ vàng" đầu tư phía Đông nhờ sự đầu tư bài bản và tiềm năng trở thành đô thị trung tâm mới của Thủ đô</w:t>
      </w:r>
      <w:r>
        <w:rPr>
          <w:rFonts w:ascii="Times New Roman" w:hAnsi="Times New Roman" w:cs="Times New Roman"/>
        </w:rPr>
      </w:r>
      <w:r>
        <w:rPr>
          <w:rFonts w:ascii="Times New Roman" w:hAnsi="Times New Roman" w:cs="Times New Roman"/>
        </w:rPr>
      </w:r>
    </w:p>
    <w:p>
      <w:pPr>
        <w:pStyle w:val="103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4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617"/>
        <w:gridCol w:w="2497"/>
        <w:gridCol w:w="2410"/>
        <w:gridCol w:w="2126"/>
        <w:gridCol w:w="1984"/>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8" w:space="0"/>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218a+219+1b, tờ bản đồ: 10+13, địa chỉ: Xóm 4, xã Trung Mầu, huyện Gia Lâm </w:t>
            </w:r>
            <w:r>
              <w:rPr>
                <w:rFonts w:ascii="Times New Roman" w:hAnsi="Times New Roman" w:eastAsia="Times New Roman" w:cs="Times New Roman"/>
                <w:b/>
                <w:i/>
                <w:color w:val="000000"/>
                <w:sz w:val="24"/>
              </w:rPr>
              <w:t xml:space="preserve">(nay là xã Phù Đổng</w:t>
            </w:r>
            <w:r>
              <w:rPr>
                <w:rFonts w:ascii="Times New Roman" w:hAnsi="Times New Roman" w:eastAsia="Times New Roman" w:cs="Times New Roman"/>
                <w:b/>
                <w:color w:val="000000"/>
                <w:sz w:val="24"/>
              </w:rPr>
              <w:t xml:space="preserve">), thành phố Hà Nội theo Giấy chứng nhận quyền sử dụng đất số: AI 201454, Số vào sổ cấp GCN: 014 do Ủy ban nhân dân huyện Gia Lâm cấp ngày 18/4/2008; Chủ tài sản là Ông Nguyễn Văn Đồng và Bà Vũ Thị Ngan.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w:t>
            </w:r>
            <w:r/>
          </w:p>
        </w:tc>
        <w:tc>
          <w:tcPr>
            <w:gridSpan w:val="4"/>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Nội dung Thửa đất theo Hồ sơ pháp lý</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1.1</w:t>
            </w:r>
            <w:r/>
          </w:p>
        </w:tc>
        <w:tc>
          <w:tcPr>
            <w:gridSpan w:val="4"/>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Thửa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Thửa đất số:</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218a+219+1b</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10+13</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w:t>
            </w:r>
            <w:r/>
          </w:p>
        </w:tc>
        <w:tc>
          <w:tcPr>
            <w:gridSpan w:val="3"/>
            <w:tcBorders>
              <w:bottom w:val="single" w:color="000000" w:sz="8" w:space="0"/>
              <w:right w:val="single" w:color="000000" w:sz="8" w:space="0"/>
            </w:tcBorders>
            <w:tcMar>
              <w:left w:w="108" w:type="dxa"/>
              <w:top w:w="0" w:type="dxa"/>
              <w:right w:w="108" w:type="dxa"/>
              <w:bottom w:w="0" w:type="dxa"/>
            </w:tcMar>
            <w:tcW w:w="6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Xóm 4, xã Trung Mầu, huyện Gia Lâm (</w:t>
            </w:r>
            <w:r>
              <w:rPr>
                <w:rFonts w:ascii="Times New Roman" w:hAnsi="Times New Roman" w:eastAsia="Times New Roman" w:cs="Times New Roman"/>
                <w:i/>
                <w:iCs/>
                <w:color w:val="000000"/>
                <w:sz w:val="24"/>
              </w:rPr>
              <w:t xml:space="preserve">nay là xã Phù Đồng</w:t>
            </w:r>
            <w:r>
              <w:rPr>
                <w:rFonts w:ascii="Times New Roman" w:hAnsi="Times New Roman" w:eastAsia="Times New Roman" w:cs="Times New Roman"/>
                <w:color w:val="000000"/>
                <w:sz w:val="24"/>
              </w:rPr>
              <w:t xml:space="preserve">),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676,0</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szCs w:val="24"/>
              </w:rPr>
              <w:t xml:space="preserve">Đất ONT: 390m</w:t>
            </w:r>
            <w:r>
              <w:rPr>
                <w:rFonts w:ascii="Times New Roman" w:hAnsi="Times New Roman" w:eastAsia="Times New Roman" w:cs="Times New Roman"/>
                <w:color w:val="000000"/>
                <w:sz w:val="24"/>
                <w:szCs w:val="24"/>
                <w:vertAlign w:val="superscript"/>
              </w:rPr>
              <w:t xml:space="preserve">2</w:t>
            </w:r>
            <w:r>
              <w:rPr>
                <w:rFonts w:ascii="Times New Roman" w:hAnsi="Times New Roman" w:eastAsia="Times New Roman" w:cs="Times New Roman"/>
                <w:color w:val="000000"/>
                <w:sz w:val="24"/>
                <w:szCs w:val="24"/>
              </w:rPr>
              <w:t xml:space="preserve">;</w:t>
              <w:br/>
              <w:t xml:space="preserve"> Đất CLN: 286m</w:t>
            </w:r>
            <w:r>
              <w:rPr>
                <w:rFonts w:ascii="Times New Roman" w:hAnsi="Times New Roman" w:eastAsia="Times New Roman" w:cs="Times New Roman"/>
                <w:color w:val="000000"/>
                <w:sz w:val="18"/>
                <w:vertAlign w:val="superscript"/>
              </w:rPr>
              <w:t xml:space="preserve">2</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bottom w:val="single" w:color="000000" w:sz="8" w:space="0"/>
              <w:right w:val="single" w:color="000000" w:sz="8" w:space="0"/>
            </w:tcBorders>
            <w:tcMar>
              <w:left w:w="108" w:type="dxa"/>
              <w:top w:w="0" w:type="dxa"/>
              <w:right w:w="108" w:type="dxa"/>
              <w:bottom w:w="0" w:type="dxa"/>
            </w:tcMar>
            <w:tcW w:w="6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Nhà nước công nhận QSDĐ như Nhà nước giao đất có thu tiền sử dụng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1.2</w:t>
            </w:r>
            <w:r/>
          </w:p>
        </w:tc>
        <w:tc>
          <w:tcPr>
            <w:gridSpan w:val="4"/>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Ghi chú: -/-</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w:t>
            </w:r>
            <w:r/>
          </w:p>
        </w:tc>
        <w:tc>
          <w:tcPr>
            <w:gridSpan w:val="4"/>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Về đất: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2.1</w:t>
            </w:r>
            <w:r/>
          </w:p>
        </w:tc>
        <w:tc>
          <w:tcPr>
            <w:gridSpan w:val="4"/>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Vị trí; Giao thông: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Địa chỉ thực tế: </w:t>
            </w:r>
            <w:r/>
          </w:p>
        </w:tc>
        <w:tc>
          <w:tcPr>
            <w:gridSpan w:val="3"/>
            <w:tcBorders>
              <w:bottom w:val="single" w:color="000000" w:sz="8" w:space="0"/>
              <w:right w:val="single" w:color="000000" w:sz="8" w:space="0"/>
            </w:tcBorders>
            <w:tcMar>
              <w:left w:w="108" w:type="dxa"/>
              <w:top w:w="0" w:type="dxa"/>
              <w:right w:w="108" w:type="dxa"/>
              <w:bottom w:w="0" w:type="dxa"/>
            </w:tcMar>
            <w:tcW w:w="6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Xóm 4, xã Phù Đổng, thành phố Hà Nội</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Đường tiếp giáp chính:</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Ngõ giao thông</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01 mặt tiền</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rộng 2m</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 rộng 2m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Khoảng cách đến trục đường chính:</w:t>
            </w:r>
            <w:r/>
          </w:p>
        </w:tc>
        <w:tc>
          <w:tcPr>
            <w:gridSpan w:val="3"/>
            <w:tcBorders>
              <w:bottom w:val="single" w:color="000000" w:sz="8" w:space="0"/>
              <w:right w:val="single" w:color="000000" w:sz="8" w:space="0"/>
            </w:tcBorders>
            <w:tcMar>
              <w:left w:w="108" w:type="dxa"/>
              <w:top w:w="0" w:type="dxa"/>
              <w:right w:w="108" w:type="dxa"/>
              <w:bottom w:w="0" w:type="dxa"/>
            </w:tcMar>
            <w:tcW w:w="652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Cách đường Trung Hưng khoảng 275m.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Các hướng tiếp giáp:</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52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 Hướng Đông Nam: tiếp giáp với đường giao thông;</w:t>
              <w:br/>
              <w:t xml:space="preserve"> + Các hướng còn lại: tiếp giáp với thửa đất khác.</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Vị trí trên bản đồ vệ tinh: 21.059603, 105.985420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mc:AlternateContent>
                <mc:Choice Requires="wpg">
                  <w:drawing>
                    <wp:inline xmlns:wp="http://schemas.openxmlformats.org/drawingml/2006/wordprocessingDrawing" distT="0" distB="0" distL="0" distR="0">
                      <wp:extent cx="5524500" cy="253363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136180" name=""/>
                              <pic:cNvPicPr>
                                <a:picLocks noChangeAspect="1"/>
                              </pic:cNvPicPr>
                              <pic:nvPr/>
                            </pic:nvPicPr>
                            <pic:blipFill rotWithShape="1">
                              <a:blip r:embed="rId20"/>
                              <a:stretch/>
                            </pic:blipFill>
                            <pic:spPr bwMode="auto">
                              <a:xfrm flipH="0" flipV="0">
                                <a:off x="0" y="0"/>
                                <a:ext cx="5524499" cy="25336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5.00pt;height:199.50pt;mso-wrap-distance-left:0.00pt;mso-wrap-distance-top:0.00pt;mso-wrap-distance-right:0.00pt;mso-wrap-distance-bottom:0.00pt;z-index:1;" stroked="false">
                      <v:imagedata r:id="rId20" o:title=""/>
                      <o:lock v:ext="edit" rotation="t"/>
                    </v:shape>
                  </w:pict>
                </mc:Fallback>
              </mc:AlternateContent>
            </w:r>
            <w:r>
              <w:rPr>
                <w:rFonts w:ascii="Times New Roman" w:hAnsi="Times New Roman" w:eastAsia="Times New Roman" w:cs="Times New Roman"/>
                <w:color w:val="000000"/>
                <w:sz w:val="24"/>
              </w:r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2.2.</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Diện tích; Kích thước; Hình dáng</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riêng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676,0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KT 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Chiều sâu (m):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17,2</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Hình dáng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Đa giác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4"/>
              </w:rPr>
              <w:t xml:space="preserve">Hướng chính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Đông Nam</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2.3.</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Mật độ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Tương đối</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Phù hợp để ở</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249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241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Hạ tầng khu dân cư thông thường: hệ thống cấp điện, cấp thoát nước đầy đủ</w:t>
            </w:r>
            <w:r/>
          </w:p>
        </w:tc>
        <w:tc>
          <w:tcPr>
            <w:tcBorders>
              <w:bottom w:val="single" w:color="000000" w:sz="8" w:space="0"/>
              <w:right w:val="single" w:color="000000" w:sz="8" w:space="0"/>
            </w:tcBorders>
            <w:tcMar>
              <w:left w:w="108" w:type="dxa"/>
              <w:top w:w="0" w:type="dxa"/>
              <w:right w:w="108" w:type="dxa"/>
              <w:bottom w:w="0" w:type="dxa"/>
            </w:tcMar>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Điều kiện môi trường an ninh:</w:t>
            </w:r>
            <w:r/>
          </w:p>
        </w:tc>
        <w:tc>
          <w:tcPr>
            <w:tcBorders>
              <w:bottom w:val="single" w:color="000000" w:sz="8" w:space="0"/>
              <w:right w:val="single" w:color="000000" w:sz="8" w:space="0"/>
            </w:tcBorders>
            <w:tcMar>
              <w:left w:w="108" w:type="dxa"/>
              <w:top w:w="0" w:type="dxa"/>
              <w:right w:w="108" w:type="dxa"/>
              <w:bottom w:w="0" w:type="dxa"/>
            </w:tcMar>
            <w:tcW w:w="1984"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4"/>
              </w:rPr>
              <w:t xml:space="preserve">3.</w:t>
            </w:r>
            <w:r/>
          </w:p>
        </w:tc>
        <w:tc>
          <w:tcPr>
            <w:gridSpan w:val="4"/>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 Tài sản gắn liền với đất: 04 ngôi Nhà ở riêng lẻ (02 nhà 03 tầng; và 02 nhà cấp 4).</w:t>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gridSpan w:val="4"/>
            <w:tcBorders>
              <w:bottom w:val="single" w:color="000000" w:sz="8" w:space="0"/>
              <w:right w:val="single" w:color="000000" w:sz="8" w:space="0"/>
            </w:tcBorders>
            <w:tcMar>
              <w:left w:w="108" w:type="dxa"/>
              <w:top w:w="0" w:type="dxa"/>
              <w:right w:w="108" w:type="dxa"/>
              <w:bottom w:w="0" w:type="dxa"/>
            </w:tcMar>
            <w:tcW w:w="901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Tại thời điểm thẩm định, trên tài sản có công trình:</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 </w:t>
            </w:r>
            <w:r>
              <w:rPr>
                <w:rFonts w:ascii="Times New Roman" w:hAnsi="Times New Roman" w:eastAsia="Times New Roman" w:cs="Times New Roman"/>
                <w:b/>
                <w:color w:val="000000"/>
                <w:sz w:val="24"/>
              </w:rPr>
              <w:t xml:space="preserve">Nhà ở 03 tầng:</w:t>
            </w:r>
            <w:r>
              <w:rPr>
                <w:rFonts w:ascii="Times New Roman" w:hAnsi="Times New Roman" w:eastAsia="Times New Roman" w:cs="Times New Roman"/>
                <w:color w:val="000000"/>
                <w:sz w:val="24"/>
              </w:rPr>
              <w:t xml:space="preserve"> Diện tích xây dựng khoảng 55m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tổng diện tích sàn khoảng 165m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kết cấu BTCT, ngoại quan khá, hoàn thiện năm 2011. </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Nhà ở 03 tầng</w:t>
            </w:r>
            <w:r>
              <w:rPr>
                <w:rFonts w:ascii="Times New Roman" w:hAnsi="Times New Roman" w:eastAsia="Times New Roman" w:cs="Times New Roman"/>
                <w:color w:val="000000"/>
                <w:sz w:val="24"/>
              </w:rPr>
              <w:t xml:space="preserve">: Diện tích xây dựng khoảng 40m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tổng diện tích sàn khoảng 120m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kết cấu BTCT,  ngoại quan khá,  hoàn thiện năm 2006. </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Nhà cấp 4 lợp ngói</w:t>
            </w:r>
            <w:r>
              <w:rPr>
                <w:rFonts w:ascii="Times New Roman" w:hAnsi="Times New Roman" w:eastAsia="Times New Roman" w:cs="Times New Roman"/>
                <w:color w:val="000000"/>
                <w:sz w:val="24"/>
              </w:rPr>
              <w:t xml:space="preserve">: diện tích xây dựng khoảng 70m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hoàn thiện năm 1972 đã xuống cấp. </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Nhà cấp 4 lợp ngói</w:t>
            </w:r>
            <w:r>
              <w:rPr>
                <w:rFonts w:ascii="Times New Roman" w:hAnsi="Times New Roman" w:eastAsia="Times New Roman" w:cs="Times New Roman"/>
                <w:color w:val="000000"/>
                <w:sz w:val="24"/>
              </w:rPr>
              <w:t xml:space="preserve">:  diện tích xây dựng khoảng 50m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hoàn thiện năm 1970 đã xuống cấp. </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Các CTXD (04 ngôi nhà) trên hiện chưa được công nhận trên GCN QSDĐ.</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7"/>
        <w:numPr>
          <w:ilvl w:val="0"/>
          <w:numId w:val="3"/>
        </w:numPr>
        <w:pBdr/>
        <w:tabs>
          <w:tab w:val="left" w:leader="none" w:pos="993"/>
        </w:tabs>
        <w:spacing w:after="120" w:before="120" w:line="264" w:lineRule="auto"/>
        <w:ind/>
        <w:jc w:val="both"/>
        <w:rPr>
          <w:spacing w:val="-2"/>
          <w:lang w:val="pt-BR"/>
        </w:rPr>
      </w:pPr>
      <w:r>
        <w:rPr>
          <w:spacing w:val="-2"/>
          <w:lang w:val="pt-BR"/>
        </w:rPr>
      </w:r>
      <w:r>
        <w:rPr>
          <w:rFonts w:ascii="Times New Roman" w:hAnsi="Times New Roman" w:eastAsia="Times New Roman" w:cs="Times New Roman"/>
          <w:color w:val="000000"/>
          <w:sz w:val="24"/>
        </w:rPr>
        <w:t xml:space="preserve">Tại thời điểm khảo sát, trên đất có 4 công trình xây dựng là: </w:t>
      </w:r>
      <w:r>
        <w:rPr>
          <w:rFonts w:ascii="Times New Roman" w:hAnsi="Times New Roman" w:eastAsia="Times New Roman" w:cs="Times New Roman"/>
          <w:color w:val="ff0000"/>
          <w:sz w:val="24"/>
        </w:rPr>
        <w:t xml:space="preserve">Nhà 03 tầng, diện tích xây dung 55m</w:t>
      </w:r>
      <w:r>
        <w:rPr>
          <w:rFonts w:ascii="Times New Roman" w:hAnsi="Times New Roman" w:eastAsia="Times New Roman" w:cs="Times New Roman"/>
          <w:color w:val="ff0000"/>
          <w:sz w:val="20"/>
          <w:vertAlign w:val="superscript"/>
        </w:rPr>
        <w:t xml:space="preserve">2</w:t>
      </w:r>
      <w:r>
        <w:rPr>
          <w:rFonts w:ascii="Times New Roman" w:hAnsi="Times New Roman" w:eastAsia="Times New Roman" w:cs="Times New Roman"/>
          <w:color w:val="ff0000"/>
          <w:sz w:val="24"/>
        </w:rPr>
        <w:t xml:space="preserve">, tổng diện tích sàn: 165m</w:t>
      </w:r>
      <w:r>
        <w:rPr>
          <w:rFonts w:ascii="Times New Roman" w:hAnsi="Times New Roman" w:eastAsia="Times New Roman" w:cs="Times New Roman"/>
          <w:color w:val="ff0000"/>
          <w:sz w:val="20"/>
          <w:vertAlign w:val="superscript"/>
        </w:rPr>
        <w:t xml:space="preserve">2</w:t>
      </w:r>
      <w:r>
        <w:rPr>
          <w:rFonts w:ascii="Times New Roman" w:hAnsi="Times New Roman" w:eastAsia="Times New Roman" w:cs="Times New Roman"/>
          <w:color w:val="ff0000"/>
          <w:sz w:val="24"/>
        </w:rPr>
        <w:t xml:space="preserve">; Nhà 03 tầng, tổng diện tích xây dựng: 40m</w:t>
      </w:r>
      <w:r>
        <w:rPr>
          <w:rFonts w:ascii="Times New Roman" w:hAnsi="Times New Roman" w:eastAsia="Times New Roman" w:cs="Times New Roman"/>
          <w:color w:val="ff0000"/>
          <w:sz w:val="20"/>
          <w:vertAlign w:val="superscript"/>
        </w:rPr>
        <w:t xml:space="preserve">2</w:t>
      </w:r>
      <w:r>
        <w:rPr>
          <w:rFonts w:ascii="Times New Roman" w:hAnsi="Times New Roman" w:eastAsia="Times New Roman" w:cs="Times New Roman"/>
          <w:color w:val="ff0000"/>
          <w:sz w:val="24"/>
        </w:rPr>
        <w:t xml:space="preserve">, diện tích sàn: 120m</w:t>
      </w:r>
      <w:r>
        <w:rPr>
          <w:rFonts w:ascii="Times New Roman" w:hAnsi="Times New Roman" w:eastAsia="Times New Roman" w:cs="Times New Roman"/>
          <w:color w:val="ff0000"/>
          <w:sz w:val="20"/>
          <w:vertAlign w:val="superscript"/>
        </w:rPr>
        <w:t xml:space="preserve">2</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Nhà cấp 4 diện tích xây dựng khoảng 70m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Nhà cấp 4 diện tích xây dựng khoảng 50m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các công trình xây dựng này đều chưa được chứng nhận trên GCN QSDĐ số AI 201454. Ngoài ra, Tổ thẩm định không nhận được các hồ sơ pháp lý khác liên quan đến các công trình xây dựng này. Do vậy, theo yêu cầu của Ngân hàng/khách hàng, Tổ thẩm định chỉ ước </w:t>
      </w:r>
      <w:r>
        <w:rPr>
          <w:rFonts w:ascii="Times New Roman" w:hAnsi="Times New Roman" w:eastAsia="Times New Roman" w:cs="Times New Roman"/>
          <w:color w:val="000000"/>
          <w:sz w:val="24"/>
        </w:rPr>
        <w:t xml:space="preserve">tính giá trị của 02 công trình là Nhà 03 tầng (</w:t>
      </w:r>
      <w:r>
        <w:rPr>
          <w:rFonts w:ascii="Times New Roman" w:hAnsi="Times New Roman" w:eastAsia="Times New Roman" w:cs="Times New Roman"/>
          <w:i/>
          <w:color w:val="000000"/>
          <w:sz w:val="24"/>
        </w:rPr>
        <w:t xml:space="preserve">diện tích xây dựng khoảng 55m2, tổng diện tích sàn khoảng 165m</w:t>
      </w:r>
      <w:r>
        <w:rPr>
          <w:rFonts w:ascii="Times New Roman" w:hAnsi="Times New Roman" w:eastAsia="Times New Roman" w:cs="Times New Roman"/>
          <w:i/>
          <w:color w:val="000000"/>
          <w:sz w:val="20"/>
          <w:vertAlign w:val="superscript"/>
        </w:rPr>
        <w:t xml:space="preserve">2</w:t>
      </w:r>
      <w:r>
        <w:rPr>
          <w:rFonts w:ascii="Times New Roman" w:hAnsi="Times New Roman" w:eastAsia="Times New Roman" w:cs="Times New Roman"/>
          <w:i/>
          <w:color w:val="000000"/>
          <w:sz w:val="24"/>
        </w:rPr>
        <w:t xml:space="preserve">, hoàn thiện năm 2011; và Nhà 03 tầng, diện tích xây dựng khoảng 40m</w:t>
      </w:r>
      <w:r>
        <w:rPr>
          <w:rFonts w:ascii="Times New Roman" w:hAnsi="Times New Roman" w:eastAsia="Times New Roman" w:cs="Times New Roman"/>
          <w:i/>
          <w:color w:val="000000"/>
          <w:sz w:val="20"/>
          <w:vertAlign w:val="superscript"/>
        </w:rPr>
        <w:t xml:space="preserve">2</w:t>
      </w:r>
      <w:r>
        <w:rPr>
          <w:rFonts w:ascii="Times New Roman" w:hAnsi="Times New Roman" w:eastAsia="Times New Roman" w:cs="Times New Roman"/>
          <w:i/>
          <w:color w:val="000000"/>
          <w:sz w:val="24"/>
        </w:rPr>
        <w:t xml:space="preserve">, tổng diện tích sàn khoảng 120m2, hoàn thiện năm 2006</w:t>
      </w:r>
      <w:r>
        <w:rPr>
          <w:rFonts w:ascii="Times New Roman" w:hAnsi="Times New Roman" w:eastAsia="Times New Roman" w:cs="Times New Roman"/>
          <w:color w:val="000000"/>
          <w:sz w:val="24"/>
        </w:rPr>
        <w:t xml:space="preserve">) theo khảo sát và đo đạc thực tế, giá trị công trình xây dựng chỉ mang tính chất tham khảo. Ngoài ra, Tổ thẩm định không có trách nhiệm xác minh chủ sở hữu công trình xây dựng trên. Kính đề nghị đơn vị sử dụng kết quả lưu ý. Đối với 02 công trình nhà cấp </w:t>
      </w:r>
      <w:r>
        <w:rPr>
          <w:rFonts w:ascii="Times New Roman" w:hAnsi="Times New Roman" w:eastAsia="Times New Roman" w:cs="Times New Roman"/>
          <w:color w:val="000000"/>
          <w:sz w:val="24"/>
        </w:rPr>
        <w:t xml:space="preserve">4 xây dựng đã lâu và xuống cấp nghiêm trọng, do vậy, theo yêu cầu của Ngân hàng/khách hàng</w:t>
      </w:r>
      <w:r>
        <w:rPr>
          <w:rFonts w:ascii="Times New Roman" w:hAnsi="Times New Roman" w:eastAsia="Times New Roman" w:cs="Times New Roman"/>
          <w:color w:val="000000"/>
          <w:spacing w:val="2"/>
          <w:sz w:val="24"/>
        </w:rPr>
        <w:t xml:space="preserve"> Tổ thẩm định không xác định giá trị 02 công trình còn lại này vào tổng giá trị tài sản, nhưng vẫn coi đó là phần không thể tách rời của tài sản thẩm định.</w:t>
      </w:r>
      <w:r>
        <w:rPr>
          <w:spacing w:val="-2"/>
          <w:lang w:val="pt-BR"/>
        </w:rPr>
      </w:r>
      <w:r>
        <w:rPr>
          <w:spacing w:val="-2"/>
          <w:lang w:val="pt-BR"/>
        </w:rPr>
      </w:r>
    </w:p>
    <w:p>
      <w:pPr>
        <w:pStyle w:val="103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7"/>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7"/>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7"/>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ở (</w:t>
      </w:r>
      <w:r>
        <w:rPr>
          <w:b/>
          <w:i/>
          <w:iCs/>
          <w:lang w:val="pt-BR"/>
        </w:rPr>
        <w:t xml:space="preserve">Phần diện tích 390m</w:t>
      </w:r>
      <w:r>
        <w:rPr>
          <w:b/>
          <w:i/>
          <w:iCs/>
          <w:vertAlign w:val="superscript"/>
          <w:lang w:val="pt-BR"/>
        </w:rPr>
        <w:t xml:space="preserve">2</w:t>
      </w:r>
      <w:r>
        <w:rPr>
          <w:b/>
          <w:i/>
          <w:iCs/>
          <w:lang w:val="pt-BR"/>
        </w:rPr>
        <w:t xml:space="preserve">)</w:t>
      </w:r>
      <w:r>
        <w:rPr>
          <w:b/>
          <w:lang w:val="pt-BR"/>
        </w:rPr>
        <w:t xml:space="preserve">:</w:t>
      </w:r>
      <w:r>
        <w:rPr>
          <w:b/>
          <w:lang w:val="pt-BR"/>
        </w:rPr>
      </w:r>
      <w:r>
        <w:rPr>
          <w:b/>
          <w:lang w:val="pt-BR"/>
        </w:rPr>
      </w:r>
    </w:p>
    <w:p>
      <w:pPr>
        <w:pStyle w:val="103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01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Xóm 4, xã Phù Đổng,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w:t>
            </w:r>
            <w:r>
              <w:rPr>
                <w:color w:val="000000" w:themeColor="text1"/>
                <w:sz w:val="22"/>
                <w:szCs w:val="22"/>
              </w:rPr>
              <w:t xml:space="preserve">Phù Đổng,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w:t>
            </w:r>
            <w:r>
              <w:rPr>
                <w:color w:val="000000" w:themeColor="text1"/>
                <w:sz w:val="22"/>
                <w:szCs w:val="22"/>
              </w:rPr>
              <w:t xml:space="preserve">Phù Đổng,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w:t>
            </w:r>
            <w:r>
              <w:rPr>
                <w:color w:val="000000" w:themeColor="text1"/>
                <w:sz w:val="22"/>
                <w:szCs w:val="22"/>
              </w:rPr>
              <w:t xml:space="preserve">Phù Đổng,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https://batdongsan.com.vn/ban-dat-xa-phu-dong-1/ban-gap-nen-54-7m2-tai-xom-1-vien-gia-lam-ha-noi-gia-cuc-chat-3-5-ty-pr44439044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https://batdongsan.com.vn/ban-dat-xa-phu-dong-1/ban-126-8-m2-no-hau-sieu-vip-khu-gia-lam-ha-noi-pr45107338?gidzl=OSV1LzqGL3vdtSTNtGjTEMFPp5x0MrnZVecR2SjS3p5_Y9jRobe8CoIDcLcQNWXa8zwONcADuw9UtXTIFm</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0972.651584</w:t>
            </w:r>
            <w:r>
              <w:rPr>
                <w:sz w:val="22"/>
                <w:szCs w:val="22"/>
              </w:rPr>
              <w:t xml:space="preserve"> </w:t>
            </w:r>
            <w:r>
              <w:rPr>
                <w:sz w:val="22"/>
                <w:szCs w:val="22"/>
              </w:rPr>
              <w:br/>
              <w:t xml:space="preserve">(</w:t>
            </w:r>
            <w:r>
              <w:rPr>
                <w:sz w:val="22"/>
                <w:szCs w:val="22"/>
              </w:rPr>
              <w:t xml:space="preserve">Chung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0356.426543</w:t>
            </w:r>
            <w:r>
              <w:rPr>
                <w:sz w:val="22"/>
                <w:szCs w:val="22"/>
              </w:rPr>
              <w:br/>
            </w:r>
            <w:r>
              <w:rPr>
                <w:sz w:val="22"/>
                <w:szCs w:val="22"/>
              </w:rPr>
              <w:t xml:space="preserve">(</w:t>
            </w:r>
            <w:r>
              <w:rPr>
                <w:sz w:val="22"/>
                <w:szCs w:val="22"/>
              </w:rPr>
              <w:t xml:space="preserve">Huong Hoa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0356.426543</w:t>
            </w:r>
            <w:r>
              <w:rPr>
                <w:sz w:val="22"/>
                <w:szCs w:val="22"/>
              </w:rPr>
              <w:br/>
            </w:r>
            <w:r>
              <w:rPr>
                <w:sz w:val="22"/>
                <w:szCs w:val="22"/>
              </w:rPr>
              <w:t xml:space="preserve">(</w:t>
            </w:r>
            <w:r>
              <w:rPr>
                <w:sz w:val="22"/>
                <w:szCs w:val="22"/>
              </w:rPr>
              <w:t xml:space="preserve">Hương Hoa</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4/2025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04/2026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Khu dân cư xã Phù Đổng,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Khu dân cư xã Phù Đổng,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Khu dân cư xã Phù Đổng, Thành phố Hà Nội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Khu dân cư xã Phù Đổng, Thành phố Hà Nội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390,0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99,1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126,8</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26,86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thông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6.300.000.000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3.150.000.000</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5.400.000.000</w:t>
            </w:r>
            <w:r>
              <w:rPr>
                <w:b/>
                <w:bCs/>
                <w:color w:val="000000"/>
                <w:sz w:val="22"/>
                <w:szCs w:val="22"/>
              </w:rPr>
            </w:r>
            <w:r>
              <w:rPr>
                <w:b/>
                <w:bCs/>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63.572.149</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58.225.508</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b/>
                <w:bCs/>
                <w:color w:val="000000"/>
                <w:sz w:val="22"/>
                <w:szCs w:val="22"/>
              </w:rPr>
            </w:pPr>
            <w:r>
              <w:rPr>
                <w:b/>
                <w:bCs/>
                <w:color w:val="000000" w:themeColor="text1"/>
                <w:sz w:val="22"/>
                <w:szCs w:val="22"/>
              </w:rPr>
              <w:t xml:space="preserve">42.586.751</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6.300.000.000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3.150.000.000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5.400.000.000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63.572.149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58.225.508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42.586.751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63,572.149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58.225.508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42.586.751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Khu dân cư xã Phù Đổng, Thành phố Hà Nội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Khu dân cư xã Phù Đổng, Thành phố Hà Nội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Khu dân cư xã Phù Đổng, Thành phố Hà Nội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Khu dân cư xã Phù Đổng, Thành phố Hà Nội</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63,572.149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58.225.508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42.586.751</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1.271.443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1.164.510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851.735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64.843,592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59.390.018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43.438.486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themeColor="text1"/>
                <w:sz w:val="22"/>
                <w:szCs w:val="22"/>
              </w:rPr>
              <w:t xml:space="preserve">(m)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-12.714.430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-8.733.826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-6.388.013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52.129.162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50.656.192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37.050.473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r>
            <w:r>
              <w:rPr>
                <w:b/>
                <w:bCs/>
                <w:color w:val="000000" w:themeColor="text1"/>
                <w:sz w:val="22"/>
                <w:szCs w:val="22"/>
              </w:rPr>
              <w:t xml:space="preserve">(m²)</w:t>
            </w: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390,0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99,1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126,8</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-10.171.544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-11.645.102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-4.258.675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41.957.618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39.011.090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32.791.798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themeColor="text1"/>
                <w:sz w:val="22"/>
                <w:szCs w:val="22"/>
              </w:rPr>
              <w:t xml:space="preserve">(m)</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7,07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-6.357.215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-5.822.551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-2.129.338</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35.600.403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33.188.539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30.662.460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35.600.403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33.188.539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30.662.460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-9.535.822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-8.733.826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-6.388.013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26.064.581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24.454.713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24.274.447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Ngõ thông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Ngõ thông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Ngõ thông</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-6.357.215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-5.822.551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-4.258.675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19.707.366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18.632.162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20.015.772</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19.707.366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18.632.162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20.015.772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19.451.767</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-4,21%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46.407.669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41.922.366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24.274.449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43.864.783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39.593.346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22.570.979</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-4,21</w:t>
      </w:r>
      <w:r>
        <w:t xml:space="preserve">% đến</w:t>
      </w:r>
      <w:r>
        <w:t xml:space="preserve"> </w:t>
      </w:r>
      <w:r>
        <w:t xml:space="preserve"> </w:t>
      </w:r>
      <w:r>
        <w:t xml:space="preserve">2,9</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19.707.366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6,570.436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18.632.162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6.210.100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20.015.772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6.671.257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19.451.793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19.500.000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19.500.000</w:t>
      </w:r>
      <w:r>
        <w:rPr>
          <w:b/>
          <w:bCs/>
          <w:color w:val="000000" w:themeColor="text1"/>
        </w:rPr>
        <w:t xml:space="preserve"> </w:t>
      </w:r>
      <w:r>
        <w:rPr>
          <w:b/>
          <w:bCs/>
        </w:rPr>
        <w:t xml:space="preserve">đồng/m².</w:t>
      </w:r>
      <w:r>
        <w:rPr>
          <w:b/>
          <w:bCs/>
        </w:rPr>
      </w:r>
      <w:r>
        <w:rPr>
          <w:b/>
          <w:bCs/>
        </w:rPr>
      </w:r>
    </w:p>
    <w:p>
      <w:pPr>
        <w:pStyle w:val="1037"/>
        <w:numPr>
          <w:ilvl w:val="0"/>
          <w:numId w:val="26"/>
        </w:numPr>
        <w:pBdr/>
        <w:spacing w:after="120" w:before="120" w:line="276" w:lineRule="auto"/>
        <w:ind w:hanging="357" w:left="357"/>
        <w:jc w:val="both"/>
        <w:rPr>
          <w:b/>
          <w:bCs/>
        </w:rPr>
      </w:pPr>
      <w:r>
        <w:rPr>
          <w:b/>
          <w:bCs/>
        </w:rPr>
        <w:t xml:space="preserve">Xác định đơn giá đất trồng cây lâu năm (</w:t>
      </w:r>
      <w:r>
        <w:rPr>
          <w:b/>
          <w:bCs/>
          <w:i/>
          <w:iCs/>
        </w:rPr>
        <w:t xml:space="preserve">Phần diện tích 286m</w:t>
      </w:r>
      <w:r>
        <w:rPr>
          <w:b/>
          <w:bCs/>
          <w:i/>
          <w:iCs/>
          <w:vertAlign w:val="superscript"/>
        </w:rPr>
        <w:t xml:space="preserve">2</w:t>
      </w:r>
      <w:r>
        <w:rPr>
          <w:b/>
          <w:bCs/>
        </w:rPr>
        <w:t xml:space="preserve">):</w:t>
      </w:r>
      <w:r>
        <w:rPr>
          <w:b/>
          <w:bCs/>
        </w:rPr>
      </w:r>
      <w:r>
        <w:rPr>
          <w:b/>
          <w:bCs/>
        </w:rP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Khu vực tài sản thẩm định tọa lạc hạn chế giao dịch đất trồng cây lâu năm mà hầu như chỉ có các giao dịch đất ở, do vậy, cho mục đích định giá tại báo cáo này, Tổ thẩm định ước tính giá trị đất trồng cây lâu năm theo đơn giá UBND.</w:t>
      </w:r>
      <w:r/>
    </w:p>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Vận dụng </w:t>
      </w:r>
      <w:r>
        <w:rPr>
          <w:rFonts w:ascii="Times New Roman" w:hAnsi="Times New Roman" w:eastAsia="Times New Roman" w:cs="Times New Roman"/>
          <w:color w:val="000000"/>
          <w:sz w:val="24"/>
          <w:szCs w:val="24"/>
        </w:rPr>
        <w:t xml:space="preserve">Nghị quyết 52/2025/NQ-HĐND</w:t>
      </w:r>
      <w:r>
        <w:rPr>
          <w:rFonts w:ascii="Times New Roman" w:hAnsi="Times New Roman" w:eastAsia="Times New Roman" w:cs="Times New Roman"/>
          <w:color w:val="000000"/>
          <w:sz w:val="24"/>
        </w:rPr>
        <w:t xml:space="preserve"> ngày 26/11/2025 của Ủy ban nhân dân thành phố Hà Nội ban hành Quy định bảng giá đất trên địa bàn thành phố Hà Nội áp dụng từ ngày 01/01/2026, Tổ thẩm định ước tính đơn giá đất trồng cây lâu năm là: </w:t>
      </w:r>
      <w:r>
        <w:rPr>
          <w:rFonts w:ascii="Times New Roman" w:hAnsi="Times New Roman" w:eastAsia="Times New Roman" w:cs="Times New Roman"/>
          <w:b/>
          <w:color w:val="000000"/>
          <w:spacing w:val="-2"/>
          <w:sz w:val="24"/>
        </w:rPr>
        <w:t xml:space="preserve">218</w:t>
      </w:r>
      <w:r>
        <w:rPr>
          <w:rFonts w:ascii="Times New Roman" w:hAnsi="Times New Roman" w:eastAsia="Times New Roman" w:cs="Times New Roman"/>
          <w:b/>
          <w:color w:val="000000"/>
          <w:sz w:val="24"/>
        </w:rPr>
        <w:t xml:space="preserve">.000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color w:val="000000"/>
          <w:sz w:val="24"/>
        </w:rPr>
        <w:t xml:space="preserve">.</w:t>
      </w:r>
      <w:r/>
    </w:p>
    <w:p>
      <w:pPr>
        <w:pStyle w:val="1037"/>
        <w:numPr>
          <w:ilvl w:val="0"/>
          <w:numId w:val="26"/>
        </w:numPr>
        <w:pBdr/>
        <w:spacing w:after="120" w:before="120" w:line="276" w:lineRule="auto"/>
        <w:ind w:hanging="357" w:left="357"/>
        <w:jc w:val="both"/>
        <w:rPr>
          <w:b/>
          <w:bCs/>
          <w14:ligatures w14:val="none"/>
        </w:rPr>
      </w:pPr>
      <w:r>
        <w:rPr>
          <w:b/>
          <w:bCs/>
        </w:rPr>
        <w:t xml:space="preserve">Xác định giá trị công trình xây dựng:</w:t>
      </w:r>
      <w:r>
        <w:rPr>
          <w:b/>
          <w:bCs/>
          <w14:ligatures w14:val="none"/>
        </w:rPr>
      </w:r>
      <w:r>
        <w:rPr>
          <w:b/>
          <w:bCs/>
          <w14:ligatures w14:val="none"/>
        </w:rP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highlight w:val="white"/>
        </w:rPr>
        <w:t xml:space="preserve">Xác định đơn giá xây mới công trình xây dựng:</w:t>
      </w: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riêng lẻ 03 tầng, cân nhắc và xem xét với mức độ hoàn thiện của công trình xây dựng hiện có, Tổ thẩm định nhận thấy đơn giá vận dụng theo Quyết định số 425/QĐ-BXD ngày 30/3/2026 của Bộ</w:t>
      </w:r>
      <w:r>
        <w:rPr>
          <w:rFonts w:ascii="Times New Roman" w:hAnsi="Times New Roman" w:eastAsia="Times New Roman" w:cs="Times New Roman"/>
          <w:color w:val="000000"/>
          <w:sz w:val="24"/>
        </w:rPr>
        <w:t xml:space="preserve"> trưởng Bộ Xây dựng về việc công bố suất vốn đầu tư xây dựng và giá xây dựng tổng hợp bộ phận kết cấu công trình năm 2025 là khá phù hợp với thị trường, theo đó:</w:t>
      </w:r>
      <w:r>
        <w:rPr>
          <w:rFonts w:ascii="Times New Roman" w:hAnsi="Times New Roman" w:eastAsia="Times New Roman" w:cs="Times New Roman"/>
          <w:color w:val="000000"/>
          <w:sz w:val="24"/>
          <w:highlight w:val="white"/>
        </w:rPr>
        <w:t xml:space="preserve"> </w:t>
      </w: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rFonts w:ascii="Times New Roman" w:hAnsi="Times New Roman" w:eastAsia="Times New Roman" w:cs="Times New Roman"/>
          <w:sz w:val="24"/>
        </w:rPr>
      </w:pPr>
      <w:r>
        <w:rPr>
          <w:rFonts w:ascii="Times New Roman" w:hAnsi="Times New Roman" w:eastAsia="Times New Roman" w:cs="Times New Roman"/>
          <w:i/>
          <w:color w:val="000000"/>
          <w:sz w:val="24"/>
          <w:highlight w:val="white"/>
        </w:rPr>
        <w:t xml:space="preserve">“</w:t>
      </w:r>
      <w:r>
        <w:rPr>
          <w:rFonts w:ascii="Times New Roman" w:hAnsi="Times New Roman" w:eastAsia="Times New Roman" w:cs="Times New Roman"/>
          <w:i/>
          <w:color w:val="000000"/>
          <w:sz w:val="24"/>
        </w:rPr>
        <w:t xml:space="preserve">Nhà từ 2 đến 3 tầng, kết cấu khung chịu lực BTCT; tường bao xây gạch; sàn, mái BTCT đổ tại chỗ, không có tầng hầm </w:t>
      </w:r>
      <w:r>
        <w:rPr>
          <w:rFonts w:ascii="Times New Roman" w:hAnsi="Times New Roman" w:eastAsia="Times New Roman" w:cs="Times New Roman"/>
          <w:i/>
          <w:color w:val="000000"/>
          <w:sz w:val="24"/>
          <w:highlight w:val="white"/>
        </w:rPr>
        <w:t xml:space="preserve">là</w:t>
      </w:r>
      <w:r>
        <w:rPr>
          <w:rFonts w:ascii="Times New Roman" w:hAnsi="Times New Roman" w:eastAsia="Times New Roman" w:cs="Times New Roman"/>
          <w:i/>
          <w:color w:val="000000"/>
          <w:sz w:val="24"/>
        </w:rPr>
        <w:t xml:space="preserve"> 8.370.000 </w:t>
      </w:r>
      <w:r>
        <w:rPr>
          <w:rFonts w:ascii="Times New Roman" w:hAnsi="Times New Roman" w:eastAsia="Times New Roman" w:cs="Times New Roman"/>
          <w:i/>
          <w:color w:val="000000"/>
          <w:sz w:val="24"/>
          <w:highlight w:val="white"/>
        </w:rPr>
        <w:t xml:space="preserve">đồng/m² sàn, hệ số vùng 7 – TP Hà Nội là 0,952, tương đương đơn giá: </w:t>
      </w:r>
      <w:r>
        <w:rPr>
          <w:rFonts w:ascii="Times New Roman" w:hAnsi="Times New Roman" w:eastAsia="Times New Roman" w:cs="Times New Roman"/>
          <w:i/>
          <w:color w:val="000000"/>
          <w:sz w:val="24"/>
          <w:highlight w:val="white"/>
        </w:rPr>
        <w:t xml:space="preserve">7.968.240</w:t>
      </w:r>
      <w:r>
        <w:rPr>
          <w:rFonts w:ascii="Times New Roman" w:hAnsi="Times New Roman" w:eastAsia="Times New Roman" w:cs="Times New Roman"/>
          <w:i/>
          <w:color w:val="000000"/>
          <w:sz w:val="24"/>
          <w:highlight w:val="white"/>
        </w:rPr>
        <w:t xml:space="preserve"> đồng/m</w:t>
      </w:r>
      <w:r>
        <w:rPr>
          <w:rFonts w:ascii="Times New Roman" w:hAnsi="Times New Roman" w:eastAsia="Times New Roman" w:cs="Times New Roman"/>
          <w:i/>
          <w:color w:val="000000"/>
          <w:sz w:val="20"/>
          <w:highlight w:val="white"/>
          <w:vertAlign w:val="superscript"/>
        </w:rPr>
        <w:t xml:space="preserve">2 </w:t>
      </w:r>
      <w:r>
        <w:rPr>
          <w:rFonts w:ascii="Times New Roman" w:hAnsi="Times New Roman" w:eastAsia="Times New Roman" w:cs="Times New Roman"/>
          <w:i/>
          <w:color w:val="000000"/>
          <w:sz w:val="24"/>
          <w:highlight w:val="white"/>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rPr/>
      </w:pPr>
      <w:r>
        <w:rPr>
          <w:rFonts w:ascii="Times New Roman" w:hAnsi="Times New Roman" w:eastAsia="Times New Roman" w:cs="Times New Roman"/>
          <w:color w:val="000000"/>
          <w:sz w:val="24"/>
        </w:rPr>
        <w:t xml:space="preserve">Do đó, Tổ thẩm định xác định đơn giá xây mới của công trình là</w:t>
      </w: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color w:val="000000"/>
          <w:sz w:val="24"/>
        </w:rPr>
        <w:t xml:space="preserve"> </w:t>
      </w:r>
      <w:r>
        <w:rPr>
          <w:rFonts w:ascii="Times New Roman" w:hAnsi="Times New Roman" w:eastAsia="Times New Roman" w:cs="Times New Roman"/>
          <w:b/>
          <w:color w:val="000000"/>
          <w:sz w:val="24"/>
        </w:rPr>
        <w:t xml:space="preserve">7.968.240</w:t>
      </w:r>
      <w:r>
        <w:rPr>
          <w:rFonts w:ascii="Times New Roman" w:hAnsi="Times New Roman" w:eastAsia="Times New Roman" w:cs="Times New Roman"/>
          <w:b/>
          <w:color w:val="000000"/>
          <w:sz w:val="24"/>
        </w:rPr>
        <w:t xml:space="preserve"> đ</w:t>
      </w:r>
      <w:r>
        <w:rPr>
          <w:rFonts w:ascii="Times New Roman" w:hAnsi="Times New Roman" w:eastAsia="Times New Roman" w:cs="Times New Roman"/>
          <w:b/>
          <w:color w:val="000000"/>
          <w:sz w:val="24"/>
          <w:highlight w:val="white"/>
        </w:rPr>
        <w:t xml:space="preserve">ồng/m²</w:t>
      </w:r>
      <w:r>
        <w:rPr>
          <w:rFonts w:ascii="Times New Roman" w:hAnsi="Times New Roman" w:eastAsia="Times New Roman" w:cs="Times New Roman"/>
          <w:color w:val="000000"/>
          <w:sz w:val="24"/>
          <w:highlight w:val="white"/>
        </w:rPr>
        <w:t xml:space="preserve">.</w:t>
      </w:r>
      <w:r/>
    </w:p>
    <w:p>
      <w:pPr>
        <w:numPr>
          <w:ilvl w:val="0"/>
          <w:numId w:val="41"/>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highlight w:val="white"/>
        </w:rPr>
        <w:t xml:space="preserve">Xác định giá trị hao mòn:</w:t>
      </w:r>
      <w:r>
        <w:rPr>
          <w:rFonts w:ascii="Times New Roman" w:hAnsi="Times New Roman" w:eastAsia="Times New Roman" w:cs="Times New Roman"/>
          <w:sz w:val="24"/>
        </w:rPr>
      </w:r>
      <w:r/>
    </w:p>
    <w:p>
      <w:pPr>
        <w:pBdr>
          <w:top w:val="none" w:color="000000" w:sz="4" w:space="0"/>
          <w:left w:val="none" w:color="000000" w:sz="4" w:space="0"/>
          <w:bottom w:val="none" w:color="000000" w:sz="4" w:space="0"/>
          <w:right w:val="none" w:color="000000" w:sz="4" w:space="0"/>
        </w:pBdr>
        <w:spacing w:after="80" w:before="80" w:line="276" w:lineRule="auto"/>
        <w:ind w:right="0" w:firstLine="426"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pacing w:val="2"/>
          <w:sz w:val="24"/>
        </w:rPr>
        <w:t xml:space="preserve">Công thức: Tỉ lệ hao mòn = Tuổi đời hiệu quả/Tuổi đời kinh tế</w:t>
      </w:r>
      <w:r/>
    </w:p>
    <w:p>
      <w:pPr>
        <w:pBdr>
          <w:top w:val="none" w:color="000000" w:sz="4" w:space="0"/>
          <w:left w:val="none" w:color="000000" w:sz="4" w:space="0"/>
          <w:bottom w:val="none" w:color="000000" w:sz="4" w:space="0"/>
          <w:right w:val="none" w:color="000000" w:sz="4" w:space="0"/>
        </w:pBdr>
        <w:spacing w:after="80" w:before="80" w:line="276" w:lineRule="auto"/>
        <w:ind w:right="0" w:firstLine="426" w:left="0"/>
        <w:jc w:val="both"/>
        <w:rPr/>
      </w:pPr>
      <w:r>
        <w:rPr>
          <w:rFonts w:ascii="Times New Roman" w:hAnsi="Times New Roman" w:eastAsia="Times New Roman" w:cs="Times New Roman"/>
          <w:color w:val="000000"/>
          <w:spacing w:val="2"/>
          <w:sz w:val="24"/>
        </w:rPr>
        <w:t xml:space="preserve">Tổ thẩm định giả định rằng công trình xây dựng trong khoảng thời gian trích khấu hao được duy tu, sửa chữa định kỳ và đúng quy trình nên tuổi đời hiệu quả bằng tuổi đời thực tế. Theo thông tin khách hàng cung cấp, công trình xây dựng:</w:t>
      </w:r>
      <w:r/>
    </w:p>
    <w:p>
      <w:pPr>
        <w:pBdr>
          <w:top w:val="none" w:color="000000" w:sz="4" w:space="0"/>
          <w:left w:val="none" w:color="000000" w:sz="4" w:space="0"/>
          <w:bottom w:val="none" w:color="000000" w:sz="4" w:space="0"/>
          <w:right w:val="none" w:color="000000" w:sz="4" w:space="0"/>
        </w:pBdr>
        <w:spacing w:after="80" w:before="80" w:line="276" w:lineRule="auto"/>
        <w:ind w:right="0" w:firstLine="426" w:left="0"/>
        <w:jc w:val="both"/>
        <w:rPr/>
      </w:pPr>
      <w:r>
        <w:rPr>
          <w:rFonts w:ascii="Times New Roman" w:hAnsi="Times New Roman" w:eastAsia="Times New Roman" w:cs="Times New Roman"/>
          <w:color w:val="000000"/>
          <w:spacing w:val="2"/>
          <w:sz w:val="24"/>
        </w:rPr>
        <w:t xml:space="preserve">+ Nhà ở 03 tầng có diện tích xây dựng là 55m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diện tích sàn là 165m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được hoàn thành khoảng đầu năm 2011, do đó, Tổ thẩm định ước tính tuổi đời hiệu quả của công trình là khoảng  15 năm.</w:t>
      </w:r>
      <w:r/>
    </w:p>
    <w:p>
      <w:pPr>
        <w:pBdr>
          <w:top w:val="none" w:color="000000" w:sz="4" w:space="0"/>
          <w:left w:val="none" w:color="000000" w:sz="4" w:space="0"/>
          <w:bottom w:val="none" w:color="000000" w:sz="4" w:space="0"/>
          <w:right w:val="none" w:color="000000" w:sz="4" w:space="0"/>
        </w:pBdr>
        <w:spacing w:after="80" w:before="80" w:line="276" w:lineRule="auto"/>
        <w:ind w:right="0" w:firstLine="426" w:left="0"/>
        <w:jc w:val="both"/>
        <w:rPr/>
      </w:pPr>
      <w:r>
        <w:rPr>
          <w:rFonts w:ascii="Times New Roman" w:hAnsi="Times New Roman" w:eastAsia="Times New Roman" w:cs="Times New Roman"/>
          <w:color w:val="000000"/>
          <w:spacing w:val="2"/>
          <w:sz w:val="24"/>
        </w:rPr>
        <w:t xml:space="preserve">+ Nhà ở 03 tầng có diện tích xây dựng là 40m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diện tích sàn là 120m</w:t>
      </w:r>
      <w:r>
        <w:rPr>
          <w:rFonts w:ascii="Times New Roman" w:hAnsi="Times New Roman" w:eastAsia="Times New Roman" w:cs="Times New Roman"/>
          <w:color w:val="000000"/>
          <w:spacing w:val="2"/>
          <w:sz w:val="20"/>
          <w:vertAlign w:val="superscript"/>
        </w:rPr>
        <w:t xml:space="preserve">2</w:t>
      </w:r>
      <w:r>
        <w:rPr>
          <w:rFonts w:ascii="Times New Roman" w:hAnsi="Times New Roman" w:eastAsia="Times New Roman" w:cs="Times New Roman"/>
          <w:color w:val="000000"/>
          <w:spacing w:val="2"/>
          <w:sz w:val="24"/>
        </w:rPr>
        <w:t xml:space="preserve">, được hoàn thành khoảng đầu năm 2006, do đó, Tổ thẩm định ước tính tuổi đời hiệu quả của công trình là khoảng  20 năm.</w:t>
      </w:r>
      <w:r/>
    </w:p>
    <w:p>
      <w:pPr>
        <w:pBdr>
          <w:top w:val="none" w:color="000000" w:sz="4" w:space="0"/>
          <w:left w:val="none" w:color="000000" w:sz="4" w:space="0"/>
          <w:bottom w:val="none" w:color="000000" w:sz="4" w:space="0"/>
          <w:right w:val="none" w:color="000000" w:sz="4" w:space="0"/>
        </w:pBdr>
        <w:spacing w:after="120" w:before="120" w:line="276" w:lineRule="auto"/>
        <w:ind w:right="0" w:firstLine="426" w:left="0"/>
        <w:jc w:val="both"/>
        <w:rPr/>
      </w:pPr>
      <w:r>
        <w:rPr>
          <w:rFonts w:ascii="Times New Roman" w:hAnsi="Times New Roman" w:eastAsia="Times New Roman" w:cs="Times New Roman"/>
          <w:color w:val="000000"/>
          <w:sz w:val="24"/>
        </w:rPr>
        <w:t xml:space="preserve">Vận dụng khung thời gian trích khấu hao TSCĐ tại Thông tư 45/2013/TT-BTC ngày 25/4/2013 của Bộ Tài chính về việc hướng dẫn chế độ quản lý, sử dụng và trích khấu hao tài sản cố định, kết hợp với khảo sát thông tin thị trường và quan sát hiện trạng thực tế c</w:t>
      </w:r>
      <w:r>
        <w:rPr>
          <w:rFonts w:ascii="Times New Roman" w:hAnsi="Times New Roman" w:eastAsia="Times New Roman" w:cs="Times New Roman"/>
          <w:color w:val="000000"/>
          <w:sz w:val="24"/>
        </w:rPr>
        <w:t xml:space="preserve">ông trình, Tổ thẩm định xác định tuổi đời kinh tế của tài sản thẩm định là 50 năm. </w:t>
      </w:r>
      <w:r/>
    </w:p>
    <w:tbl>
      <w:tblPr>
        <w:tblStyle w:val="1041"/>
        <w:tblInd w:w="108" w:type="dxa"/>
        <w:tblW w:w="49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33633"/>
        <w:gridCol w:w="24816"/>
        <w:gridCol w:w="20275"/>
        <w:gridCol w:w="20275"/>
        <w:gridCol w:w="20275"/>
        <w:gridCol w:w="25812"/>
      </w:tblGrid>
      <w:tr>
        <w:trPr>
          <w:trHeight w:val="18"/>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33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pPr>
            <w:r>
              <w:rPr>
                <w:rFonts w:ascii="Times New Roman" w:hAnsi="Times New Roman" w:eastAsia="Times New Roman" w:cs="Times New Roman"/>
                <w:b/>
                <w:color w:val="000000"/>
                <w:sz w:val="24"/>
              </w:rPr>
              <w:t xml:space="preserve">Tên 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48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pPr>
            <w:r>
              <w:rPr>
                <w:rFonts w:ascii="Times New Roman" w:hAnsi="Times New Roman" w:eastAsia="Times New Roman" w:cs="Times New Roman"/>
                <w:b/>
                <w:color w:val="000000"/>
                <w:sz w:val="24"/>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2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pPr>
            <w:r>
              <w:rPr>
                <w:rFonts w:ascii="Times New Roman" w:hAnsi="Times New Roman" w:eastAsia="Times New Roman" w:cs="Times New Roman"/>
                <w:b/>
                <w:color w:val="000000"/>
                <w:sz w:val="24"/>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2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pPr>
            <w:r>
              <w:rPr>
                <w:rFonts w:ascii="Times New Roman" w:hAnsi="Times New Roman" w:eastAsia="Times New Roman" w:cs="Times New Roman"/>
                <w:b/>
                <w:color w:val="000000"/>
                <w:sz w:val="24"/>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02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pPr>
            <w:r>
              <w:rPr>
                <w:rFonts w:ascii="Times New Roman" w:hAnsi="Times New Roman" w:eastAsia="Times New Roman" w:cs="Times New Roman"/>
                <w:b/>
                <w:color w:val="000000"/>
                <w:sz w:val="24"/>
              </w:rPr>
              <w:t xml:space="preserve">Tỉ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8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pPr>
            <w:r>
              <w:rPr>
                <w:rFonts w:ascii="Times New Roman" w:hAnsi="Times New Roman" w:eastAsia="Times New Roman" w:cs="Times New Roman"/>
                <w:b/>
                <w:color w:val="000000"/>
                <w:sz w:val="24"/>
              </w:rPr>
              <w:t xml:space="preserve">Giá trị hao mòn (đồng)</w:t>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33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both"/>
              <w:rPr/>
            </w:pPr>
            <w:r>
              <w:rPr>
                <w:rFonts w:ascii="Times New Roman" w:hAnsi="Times New Roman" w:eastAsia="Times New Roman" w:cs="Times New Roman"/>
                <w:color w:val="000000"/>
                <w:sz w:val="24"/>
              </w:rPr>
              <w:t xml:space="preserve">Nhà 03 tầng (hoàn thiện năm 2011)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8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pPr>
            <w:r>
              <w:rPr>
                <w:rFonts w:ascii="Times New Roman" w:hAnsi="Times New Roman" w:eastAsia="Times New Roman" w:cs="Times New Roman"/>
                <w:color w:val="000000"/>
                <w:sz w:val="24"/>
              </w:rPr>
              <w:t xml:space="preserve">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pPr>
            <w:r>
              <w:rPr>
                <w:rFonts w:ascii="Times New Roman" w:hAnsi="Times New Roman" w:eastAsia="Times New Roman" w:cs="Times New Roman"/>
                <w:color w:val="000000"/>
                <w:sz w:val="24"/>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pPr>
            <w:r>
              <w:rPr>
                <w:rFonts w:ascii="Times New Roman" w:hAnsi="Times New Roman" w:eastAsia="Times New Roman" w:cs="Times New Roman"/>
                <w:color w:val="000000"/>
                <w:sz w:val="24"/>
              </w:rPr>
              <w:t xml:space="preserve">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8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pPr>
            <w:r>
              <w:rPr>
                <w:rFonts w:ascii="Times New Roman" w:hAnsi="Times New Roman" w:eastAsia="Times New Roman" w:cs="Times New Roman"/>
                <w:color w:val="000000"/>
                <w:sz w:val="24"/>
              </w:rPr>
              <w:t xml:space="preserve">394.427.880</w:t>
            </w:r>
            <w:r/>
          </w:p>
        </w:tc>
      </w:tr>
      <w:tr>
        <w:trPr>
          <w:trHeight w:val="18"/>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33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both"/>
              <w:rPr/>
            </w:pPr>
            <w:r>
              <w:rPr>
                <w:rFonts w:ascii="Times New Roman" w:hAnsi="Times New Roman" w:eastAsia="Times New Roman" w:cs="Times New Roman"/>
                <w:color w:val="000000"/>
                <w:sz w:val="24"/>
              </w:rPr>
              <w:t xml:space="preserve">Nhà 03 tầng (hoàn thiện năm 2006)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481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pPr>
            <w:r>
              <w:rPr>
                <w:rFonts w:ascii="Times New Roman" w:hAnsi="Times New Roman" w:eastAsia="Times New Roman" w:cs="Times New Roman"/>
                <w:color w:val="000000"/>
                <w:sz w:val="24"/>
              </w:rPr>
              <w:t xml:space="preserve">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pPr>
            <w:r>
              <w:rPr>
                <w:rFonts w:ascii="Times New Roman" w:hAnsi="Times New Roman" w:eastAsia="Times New Roman" w:cs="Times New Roman"/>
                <w:color w:val="000000"/>
                <w:sz w:val="24"/>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027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pPr>
            <w:r>
              <w:rPr>
                <w:rFonts w:ascii="Times New Roman" w:hAnsi="Times New Roman" w:eastAsia="Times New Roman" w:cs="Times New Roman"/>
                <w:color w:val="000000"/>
                <w:sz w:val="24"/>
              </w:rPr>
              <w:t xml:space="preserve">40%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8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pPr>
            <w:r>
              <w:rPr>
                <w:rFonts w:ascii="Times New Roman" w:hAnsi="Times New Roman" w:eastAsia="Times New Roman" w:cs="Times New Roman"/>
                <w:color w:val="000000"/>
                <w:sz w:val="24"/>
              </w:rPr>
              <w:t xml:space="preserve">382.475.520</w:t>
            </w:r>
            <w:r/>
          </w:p>
        </w:tc>
      </w:tr>
    </w:tbl>
    <w:p>
      <w:pPr>
        <w:pBdr/>
        <w:shd w:val="nil" w:color="000000"/>
        <w:spacing/>
        <w:ind/>
        <w:rPr>
          <w:rFonts w:ascii="Times New Roman" w:hAnsi="Times New Roman" w:eastAsia="Times New Roman" w:cs="Times New Roman"/>
          <w:sz w:val="24"/>
          <w:szCs w:val="24"/>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Style w:val="1037"/>
        <w:numPr>
          <w:ilvl w:val="0"/>
          <w:numId w:val="43"/>
        </w:numPr>
        <w:pBdr/>
        <w:shd w:val="nil" w:color="auto"/>
        <w:spacing/>
        <w:ind/>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highlight w:val="white"/>
        </w:rPr>
        <w:t xml:space="preserve">Xác định giá trị công trình xây dựng: </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after="80" w:before="80" w:line="276" w:lineRule="auto"/>
        <w:ind w:right="0" w:firstLine="0" w:left="360"/>
        <w:jc w:val="both"/>
        <w:rPr/>
      </w:pPr>
      <w:r>
        <w:rPr>
          <w:rFonts w:ascii="Times New Roman" w:hAnsi="Times New Roman" w:eastAsia="Times New Roman" w:cs="Times New Roman"/>
          <w:color w:val="000000"/>
          <w:spacing w:val="2"/>
          <w:sz w:val="24"/>
        </w:rPr>
        <w:t xml:space="preserve">Công thức:</w:t>
      </w:r>
      <w:r/>
    </w:p>
    <w:tbl>
      <w:tblPr>
        <w:tblStyle w:val="1041"/>
        <w:tblInd w:w="142"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fixed"/>
        <w:tblLook w:val="04A0" w:firstRow="1" w:lastRow="0" w:firstColumn="1" w:lastColumn="0" w:noHBand="0" w:noVBand="1"/>
      </w:tblPr>
      <w:tblGrid>
        <w:gridCol w:w="2376"/>
        <w:gridCol w:w="746"/>
        <w:gridCol w:w="246"/>
        <w:gridCol w:w="119"/>
        <w:gridCol w:w="1440"/>
        <w:gridCol w:w="1726"/>
        <w:gridCol w:w="1462"/>
        <w:gridCol w:w="1599"/>
      </w:tblGrid>
      <w:tr>
        <w:trPr>
          <w:trHeight w:val="794"/>
        </w:trPr>
        <w:tc>
          <w:tcPr>
            <w:gridSpan w:val="2"/>
            <w:tcBorders>
              <w:bottom w:val="single" w:color="000000" w:sz="8" w:space="0"/>
            </w:tcBorders>
            <w:tcMar>
              <w:left w:w="108" w:type="dxa"/>
              <w:top w:w="0" w:type="dxa"/>
              <w:right w:w="108" w:type="dxa"/>
              <w:bottom w:w="0" w:type="dxa"/>
            </w:tcMar>
            <w:tcW w:w="312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gridSpan w:val="2"/>
            <w:tcBorders>
              <w:bottom w:val="single" w:color="000000" w:sz="8" w:space="0"/>
            </w:tcBorders>
            <w:tcMar>
              <w:left w:w="108" w:type="dxa"/>
              <w:top w:w="0" w:type="dxa"/>
              <w:right w:w="108" w:type="dxa"/>
              <w:bottom w:w="0" w:type="dxa"/>
            </w:tcMar>
            <w:tcW w:w="36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gridSpan w:val="2"/>
            <w:tcBorders>
              <w:bottom w:val="single" w:color="000000" w:sz="8" w:space="0"/>
            </w:tcBorders>
            <w:tcMar>
              <w:left w:w="108" w:type="dxa"/>
              <w:top w:w="0" w:type="dxa"/>
              <w:right w:w="108" w:type="dxa"/>
              <w:bottom w:w="0" w:type="dxa"/>
            </w:tcMar>
            <w:tcW w:w="31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before="0"/>
              <w:ind w:right="0" w:firstLine="0" w:left="0"/>
              <w:jc w:val="center"/>
              <w:rPr/>
            </w:pPr>
            <w:r>
              <w:rPr>
                <w:rFonts w:ascii="Times New Roman" w:hAnsi="Times New Roman" w:eastAsia="Times New Roman" w:cs="Times New Roman"/>
                <w:color w:val="000000"/>
                <w:sz w:val="24"/>
              </w:rPr>
              <w:t xml:space="preserve">(Giá trị xây mới tài sản đã bao gồm lợi nhuận của nhà sản xuất/nhà đầu tư)</w:t>
            </w:r>
            <w:r/>
          </w:p>
        </w:tc>
        <w:tc>
          <w:tcPr>
            <w:tcBorders>
              <w:bottom w:val="single" w:color="000000" w:sz="8" w:space="0"/>
            </w:tcBorders>
            <w:tcMar>
              <w:left w:w="108" w:type="dxa"/>
              <w:top w:w="0" w:type="dxa"/>
              <w:right w:w="108" w:type="dxa"/>
              <w:bottom w:w="0" w:type="dxa"/>
            </w:tcMar>
            <w:tcW w:w="14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159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Tổng giá trị hao mòn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Tài sản</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Diện tích sàn (m²)</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Đơn giá xây dựng mới (đồng/m² sàn)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Chi phí thay thế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hao mòn (đồng)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9"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Giá trị tại thời điểm thẩm định giá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(1)</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(2)</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(4) = (2) * (3)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99" w:type="dxa"/>
            <w:vAlign w:val="top"/>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4"/>
              </w:rPr>
              <w:t xml:space="preserve">(6) = (4) - (5)</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rPr/>
            </w:pPr>
            <w:r>
              <w:rPr>
                <w:rFonts w:ascii="Times New Roman" w:hAnsi="Times New Roman" w:eastAsia="Times New Roman" w:cs="Times New Roman"/>
                <w:color w:val="000000"/>
                <w:sz w:val="24"/>
              </w:rPr>
              <w:t xml:space="preserve">Nhà 03 tầng (hoàn thiện năm 2011)</w:t>
            </w:r>
            <w:r/>
          </w:p>
        </w:tc>
        <w:tc>
          <w:tcPr>
            <w:gridSpan w:val="2"/>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165,0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b w:val="0"/>
                <w:bCs w:val="0"/>
              </w:rPr>
            </w:pP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t xml:space="preserve">7.968.240</w:t>
            </w:r>
            <w:r>
              <w:rPr>
                <w:b w:val="0"/>
                <w:bCs w:val="0"/>
              </w:rPr>
            </w:r>
            <w:r>
              <w:rPr>
                <w:b w:val="0"/>
                <w:bCs w:val="0"/>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2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1.314.759.600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394.427.880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9"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920.331.720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237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rPr/>
            </w:pPr>
            <w:r>
              <w:rPr>
                <w:rFonts w:ascii="Times New Roman" w:hAnsi="Times New Roman" w:eastAsia="Times New Roman" w:cs="Times New Roman"/>
                <w:color w:val="000000"/>
                <w:sz w:val="24"/>
              </w:rPr>
              <w:t xml:space="preserve">Nhà 03 tầng (hoàn thiện năm 2006)</w:t>
            </w:r>
            <w:r/>
          </w:p>
        </w:tc>
        <w:tc>
          <w:tcPr>
            <w:gridSpan w:val="2"/>
            <w:tcBorders>
              <w:bottom w:val="single" w:color="000000" w:sz="8" w:space="0"/>
              <w:right w:val="single" w:color="000000" w:sz="8" w:space="0"/>
            </w:tcBorders>
            <w:tcMar>
              <w:left w:w="108" w:type="dxa"/>
              <w:top w:w="0" w:type="dxa"/>
              <w:right w:w="108" w:type="dxa"/>
              <w:bottom w:w="0" w:type="dxa"/>
            </w:tcMar>
            <w:tcW w:w="992"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120,0</w:t>
            </w:r>
            <w:r/>
          </w:p>
        </w:tc>
        <w:tc>
          <w:tcPr>
            <w:gridSpan w:val="2"/>
            <w:shd w:val="clear" w:color="ffffff" w:fill="ffffff"/>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b w:val="0"/>
                <w:bCs w:val="0"/>
              </w:rPr>
            </w:pPr>
            <w:r>
              <w:rPr>
                <w:rFonts w:ascii="Times New Roman" w:hAnsi="Times New Roman" w:eastAsia="Times New Roman" w:cs="Times New Roman"/>
                <w:b w:val="0"/>
                <w:bCs w:val="0"/>
                <w:color w:val="000000"/>
                <w:sz w:val="24"/>
              </w:rPr>
            </w:r>
            <w:r>
              <w:rPr>
                <w:rFonts w:ascii="Times New Roman" w:hAnsi="Times New Roman" w:eastAsia="Times New Roman" w:cs="Times New Roman"/>
                <w:b w:val="0"/>
                <w:bCs w:val="0"/>
                <w:color w:val="000000"/>
                <w:sz w:val="24"/>
              </w:rPr>
              <w:t xml:space="preserve">7.968.240</w:t>
            </w:r>
            <w:r>
              <w:rPr>
                <w:b w:val="0"/>
                <w:bCs w:val="0"/>
              </w:rPr>
            </w:r>
            <w:r>
              <w:rPr>
                <w:b w:val="0"/>
                <w:bCs w:val="0"/>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72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956.188.800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382.475.520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99"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573.713.280</w:t>
            </w:r>
            <w:r/>
          </w:p>
        </w:tc>
      </w:tr>
    </w:tbl>
    <w:p>
      <w:pPr>
        <w:pStyle w:val="103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7"/>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4/2026</w:t>
      </w:r>
      <w:r>
        <w:t xml:space="preserve"> </w:t>
      </w:r>
      <w:r>
        <w:t xml:space="preserve">ước tính </w:t>
      </w:r>
      <w:r>
        <w:t xml:space="preserve">như sau</w:t>
      </w:r>
      <w:r>
        <w:t xml:space="preserve">:</w:t>
      </w:r>
      <w:r>
        <w:rPr>
          <w:highlight w:val="none"/>
        </w:rPr>
      </w:r>
      <w:r>
        <w:rPr>
          <w:highlight w:val="none"/>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590"/>
        <w:gridCol w:w="982"/>
        <w:gridCol w:w="2244"/>
        <w:gridCol w:w="1242"/>
        <w:gridCol w:w="1384"/>
        <w:gridCol w:w="1276"/>
        <w:gridCol w:w="1809"/>
      </w:tblGrid>
      <w:tr>
        <w:trPr>
          <w:trHeight w:val="20"/>
        </w:trPr>
        <w:tc>
          <w:tcPr>
            <w:shd w:val="clear" w:color="000000" w:fill="ffffff"/>
            <w:tcBorders/>
            <w:tcW w:w="590" w:type="dxa"/>
            <w:vAlign w:val="center"/>
            <w:textDirection w:val="lrTb"/>
            <w:noWrap w:val="false"/>
          </w:tcPr>
          <w:p>
            <w:pPr>
              <w:pBdr/>
              <w:spacing w:after="40" w:before="40" w:line="240" w:lineRule="auto"/>
              <w:ind/>
              <w:jc w:val="center"/>
              <w:rPr>
                <w:b/>
                <w:bCs/>
              </w:rPr>
            </w:pPr>
            <w:r>
              <w:rPr>
                <w:b/>
                <w:bCs/>
              </w:rPr>
              <w:t xml:space="preserve">TT</w:t>
            </w:r>
            <w:r>
              <w:rPr>
                <w:b/>
                <w:bCs/>
              </w:rPr>
            </w:r>
            <w:r>
              <w:rPr>
                <w:b/>
                <w:bCs/>
              </w:rPr>
            </w:r>
          </w:p>
        </w:tc>
        <w:tc>
          <w:tcPr>
            <w:gridSpan w:val="2"/>
            <w:shd w:val="clear" w:color="000000" w:fill="ffffff"/>
            <w:tcBorders/>
            <w:tcW w:w="3226" w:type="dxa"/>
            <w:vAlign w:val="center"/>
            <w:textDirection w:val="lrTb"/>
            <w:noWrap w:val="false"/>
          </w:tcPr>
          <w:p>
            <w:pPr>
              <w:pBdr/>
              <w:spacing w:after="40" w:before="40" w:line="240" w:lineRule="auto"/>
              <w:ind/>
              <w:jc w:val="center"/>
              <w:rPr>
                <w:b/>
                <w:bCs/>
              </w:rPr>
            </w:pPr>
            <w:r>
              <w:rPr>
                <w:b/>
                <w:bCs/>
              </w:rPr>
              <w:t xml:space="preserve">Tài sản</w:t>
            </w:r>
            <w:r>
              <w:rPr>
                <w:b/>
                <w:bCs/>
              </w:rPr>
            </w:r>
            <w:r>
              <w:rPr>
                <w:b/>
                <w:bCs/>
              </w:rPr>
            </w:r>
          </w:p>
        </w:tc>
        <w:tc>
          <w:tcPr>
            <w:shd w:val="clear" w:color="000000" w:fill="ffffff"/>
            <w:tcBorders/>
            <w:tcW w:w="1242" w:type="dxa"/>
            <w:vAlign w:val="center"/>
            <w:textDirection w:val="lrTb"/>
            <w:noWrap w:val="false"/>
          </w:tcPr>
          <w:p>
            <w:pPr>
              <w:pBdr/>
              <w:spacing w:after="40" w:before="40" w:line="240" w:lineRule="auto"/>
              <w:ind/>
              <w:jc w:val="center"/>
              <w:rPr>
                <w:b/>
                <w:bCs/>
              </w:rPr>
            </w:pPr>
            <w:r>
              <w:rPr>
                <w:b/>
                <w:bCs/>
              </w:rPr>
              <w:t xml:space="preserve">Diện tích (m²)</w:t>
            </w:r>
            <w:r>
              <w:rPr>
                <w:b/>
                <w:bCs/>
              </w:rPr>
            </w:r>
            <w:r>
              <w:rPr>
                <w:b/>
                <w:bCs/>
              </w:rPr>
            </w:r>
          </w:p>
        </w:tc>
        <w:tc>
          <w:tcPr>
            <w:shd w:val="clear" w:color="000000" w:fill="ffffff"/>
            <w:tcBorders/>
            <w:tcW w:w="1384" w:type="dxa"/>
            <w:vAlign w:val="center"/>
            <w:textDirection w:val="lrTb"/>
            <w:noWrap w:val="false"/>
          </w:tcPr>
          <w:p>
            <w:pPr>
              <w:pBdr/>
              <w:spacing w:after="40" w:before="40" w:line="240" w:lineRule="auto"/>
              <w:ind/>
              <w:jc w:val="center"/>
              <w:rPr>
                <w:b/>
                <w:bCs/>
              </w:rPr>
            </w:pPr>
            <w:r>
              <w:rPr>
                <w:b/>
                <w:bCs/>
              </w:rPr>
              <w:t xml:space="preserve">Đơn giá (đồng/m²)</w:t>
            </w:r>
            <w:r>
              <w:rPr>
                <w:b/>
                <w:bCs/>
              </w:rPr>
            </w:r>
            <w:r>
              <w:rPr>
                <w:b/>
                <w:bCs/>
              </w:rPr>
            </w:r>
          </w:p>
        </w:tc>
        <w:tc>
          <w:tcPr>
            <w:shd w:val="clear" w:color="000000" w:fill="ffffff"/>
            <w:tcBorders/>
            <w:tcW w:w="1276" w:type="dxa"/>
            <w:vAlign w:val="center"/>
            <w:textDirection w:val="lrTb"/>
            <w:noWrap w:val="false"/>
          </w:tcPr>
          <w:p>
            <w:pPr>
              <w:pBdr/>
              <w:spacing w:line="240" w:lineRule="auto"/>
              <w:ind/>
              <w:jc w:val="center"/>
              <w:rPr>
                <w:b/>
                <w:bCs/>
              </w:rPr>
            </w:pPr>
            <w:r>
              <w:rPr>
                <w:b/>
                <w:bCs/>
              </w:rPr>
              <w:t xml:space="preserve">Hệ số/CLCL (%)</w:t>
            </w:r>
            <w:r>
              <w:rPr>
                <w:b/>
                <w:bCs/>
              </w:rPr>
            </w:r>
            <w:r>
              <w:rPr>
                <w:b/>
                <w:bCs/>
              </w:rPr>
            </w:r>
          </w:p>
        </w:tc>
        <w:tc>
          <w:tcPr>
            <w:shd w:val="clear" w:color="000000" w:fill="ffffff"/>
            <w:tcBorders/>
            <w:tcW w:w="1809" w:type="dxa"/>
            <w:vAlign w:val="center"/>
            <w:textDirection w:val="lrTb"/>
            <w:noWrap w:val="false"/>
          </w:tcPr>
          <w:p>
            <w:pPr>
              <w:pBdr/>
              <w:spacing w:after="40" w:before="40" w:line="240"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90" w:type="dxa"/>
            <w:vAlign w:val="center"/>
            <w:textDirection w:val="lrTb"/>
            <w:noWrap w:val="false"/>
          </w:tcPr>
          <w:p>
            <w:pPr>
              <w:pBdr/>
              <w:spacing w:after="40" w:before="40" w:line="240" w:lineRule="auto"/>
              <w:ind/>
              <w:jc w:val="center"/>
              <w:rPr>
                <w:b/>
                <w:bCs/>
              </w:rPr>
            </w:pPr>
            <w:r>
              <w:rPr>
                <w:b/>
                <w:bCs/>
              </w:rPr>
              <w:t xml:space="preserve"> </w:t>
            </w:r>
            <w:r>
              <w:rPr>
                <w:b/>
                <w:bCs/>
              </w:rPr>
            </w:r>
            <w:r>
              <w:rPr>
                <w:b/>
                <w:bCs/>
              </w:rPr>
            </w:r>
          </w:p>
        </w:tc>
        <w:tc>
          <w:tcPr>
            <w:gridSpan w:val="5"/>
            <w:shd w:val="clear" w:color="000000" w:fill="ffffff"/>
            <w:tcBorders/>
            <w:tcW w:w="7127" w:type="dxa"/>
            <w:vAlign w:val="center"/>
            <w:textDirection w:val="lrTb"/>
            <w:noWrap w:val="false"/>
          </w:tcPr>
          <w:p>
            <w:pPr>
              <w:pBdr/>
              <w:spacing w:after="40" w:before="40" w:line="240" w:lineRule="auto"/>
              <w:ind/>
              <w:jc w:val="both"/>
              <w:rPr>
                <w:b/>
                <w:bCs/>
              </w:rPr>
            </w:pPr>
            <w:r>
              <w:rPr>
                <w:b/>
                <w:bCs/>
                <w:color w:val="000000"/>
              </w:rPr>
              <w:t xml:space="preserve">Quyền sử dụng đất và tài sản gắn liền với đất tại thửa đất số: 218a+219+1b, tờ bản đồ: 10+13, địa chỉ:</w:t>
            </w:r>
            <w:r>
              <w:rPr>
                <w:b/>
                <w:bCs/>
                <w:color w:val="000000"/>
              </w:rPr>
              <w:t xml:space="preserve"> Xóm 4, xã Trung Mầu, huyện Gia Lâm (</w:t>
            </w:r>
            <w:r>
              <w:rPr>
                <w:b/>
                <w:bCs/>
                <w:i/>
                <w:iCs/>
                <w:color w:val="000000"/>
              </w:rPr>
              <w:t xml:space="preserve">nay là xã Phù Đổng),</w:t>
            </w:r>
            <w:r>
              <w:rPr>
                <w:b/>
                <w:bCs/>
                <w:color w:val="000000"/>
              </w:rPr>
              <w:t xml:space="preserve"> thành phố Hà Nội theo Giấy chứng nhận quyền sử dụng đất số: AI 201454, Số vào sổ cấp GCN: 014 do Ủy ban nhân dân huyện Gia Lâm cấp ngày 18/4/2008; Chủ tài sản là Ông Nguyễn Văn Đồng và Bà Vũ Thị Ngan</w:t>
            </w:r>
            <w:r>
              <w:rPr>
                <w:b/>
                <w:bCs/>
              </w:rPr>
              <w:t xml:space="preserve">.</w:t>
            </w:r>
            <w:r>
              <w:rPr>
                <w:b/>
                <w:bCs/>
              </w:rPr>
            </w:r>
            <w:r>
              <w:rPr>
                <w:b/>
                <w:bCs/>
              </w:rPr>
            </w:r>
          </w:p>
        </w:tc>
        <w:tc>
          <w:tcPr>
            <w:shd w:val="clear" w:color="000000" w:fill="ffffff"/>
            <w:tcBorders/>
            <w:tcW w:w="1809" w:type="dxa"/>
            <w:vAlign w:val="center"/>
            <w:textDirection w:val="lrTb"/>
            <w:noWrap w:val="false"/>
          </w:tcPr>
          <w:p>
            <w:pPr>
              <w:pBdr/>
              <w:spacing w:after="40" w:before="40" w:line="240" w:lineRule="auto"/>
              <w:ind/>
              <w:jc w:val="right"/>
              <w:rPr>
                <w:b/>
                <w:bCs/>
              </w:rPr>
            </w:pPr>
            <w:r>
              <w:rPr>
                <w:b/>
                <w:bCs/>
              </w:rPr>
              <w:t xml:space="preserve"> </w:t>
            </w:r>
            <w:r>
              <w:rPr>
                <w:b/>
                <w:bCs/>
              </w:rPr>
            </w:r>
            <w:r>
              <w:rPr>
                <w:b/>
                <w:bCs/>
              </w:rPr>
            </w:r>
          </w:p>
        </w:tc>
      </w:tr>
      <w:tr>
        <w:trPr>
          <w:trHeight w:val="20"/>
        </w:trPr>
        <w:tc>
          <w:tcPr>
            <w:shd w:val="clear" w:color="000000" w:fill="ffffff"/>
            <w:tcBorders/>
            <w:tcW w:w="590" w:type="dxa"/>
            <w:vAlign w:val="center"/>
            <w:textDirection w:val="lrTb"/>
            <w:noWrap w:val="false"/>
          </w:tcPr>
          <w:p>
            <w:pPr>
              <w:pBdr/>
              <w:spacing w:after="40" w:before="40" w:line="240" w:lineRule="auto"/>
              <w:ind/>
              <w:jc w:val="center"/>
              <w:rPr/>
            </w:pPr>
            <w:r>
              <w:rPr>
                <w:b/>
                <w:bCs/>
              </w:rPr>
              <w:t xml:space="preserve">I</w:t>
            </w:r>
            <w:r/>
          </w:p>
        </w:tc>
        <w:tc>
          <w:tcPr>
            <w:gridSpan w:val="5"/>
            <w:shd w:val="clear" w:color="000000" w:fill="ffffff"/>
            <w:tcBorders/>
            <w:tcW w:w="7127" w:type="dxa"/>
            <w:vAlign w:val="center"/>
            <w:textDirection w:val="lrTb"/>
            <w:noWrap w:val="false"/>
          </w:tcPr>
          <w:p>
            <w:pPr>
              <w:pBdr/>
              <w:spacing w:after="40" w:before="40" w:line="240" w:lineRule="auto"/>
              <w:ind/>
              <w:rPr/>
            </w:pPr>
            <w:r>
              <w:rPr>
                <w:b/>
                <w:bCs/>
              </w:rPr>
            </w:r>
            <w:r>
              <w:rPr>
                <w:rFonts w:ascii="Times New Roman" w:hAnsi="Times New Roman" w:eastAsia="Times New Roman" w:cs="Times New Roman"/>
                <w:b/>
                <w:color w:val="000000"/>
                <w:sz w:val="24"/>
              </w:rPr>
              <w:t xml:space="preserve">Giá trị quyền sử dụng đất</w:t>
            </w:r>
            <w:r/>
          </w:p>
        </w:tc>
        <w:tc>
          <w:tcPr>
            <w:shd w:val="clear" w:color="000000" w:fill="ffffff"/>
            <w:tcBorders/>
            <w:tcW w:w="1809" w:type="dxa"/>
            <w:vAlign w:val="center"/>
            <w:textDirection w:val="lrTb"/>
            <w:noWrap w:val="false"/>
          </w:tcPr>
          <w:p>
            <w:pPr>
              <w:pBdr/>
              <w:spacing w:after="40" w:before="40" w:line="240" w:lineRule="auto"/>
              <w:ind/>
              <w:jc w:val="right"/>
              <w:rPr>
                <w:b/>
                <w:bCs/>
              </w:rPr>
            </w:pPr>
            <w:r>
              <w:rPr>
                <w:b/>
                <w:bCs/>
                <w:color w:val="000000" w:themeColor="text1"/>
              </w:rPr>
              <w:t xml:space="preserve">7.667.348.000</w:t>
            </w:r>
            <w:r>
              <w:rPr>
                <w:b/>
                <w:bCs/>
              </w:rPr>
            </w:r>
            <w:r>
              <w:rPr>
                <w:b/>
                <w:bCs/>
              </w:rPr>
            </w:r>
          </w:p>
        </w:tc>
      </w:tr>
      <w:tr>
        <w:trPr>
          <w:trHeight w:val="20"/>
        </w:trPr>
        <w:tc>
          <w:tcPr>
            <w:shd w:val="clear" w:color="000000" w:fill="ffffff"/>
            <w:tcBorders/>
            <w:tcW w:w="590" w:type="dxa"/>
            <w:vAlign w:val="center"/>
            <w:vMerge w:val="restart"/>
            <w:textDirection w:val="lrTb"/>
            <w:noWrap w:val="false"/>
          </w:tcPr>
          <w:p>
            <w:pPr>
              <w:pBdr/>
              <w:spacing w:after="40" w:before="40" w:line="240" w:lineRule="auto"/>
              <w:ind/>
              <w:jc w:val="center"/>
              <w:rPr>
                <w:b/>
                <w:bCs/>
              </w:rPr>
            </w:pPr>
            <w:r>
              <w:rPr>
                <w:b/>
                <w:bCs/>
              </w:rPr>
              <w:t xml:space="preserve">01</w:t>
            </w:r>
            <w:r>
              <w:rPr>
                <w:b/>
                <w:bCs/>
              </w:rPr>
            </w:r>
            <w:r>
              <w:rPr>
                <w:b/>
                <w:bCs/>
              </w:rPr>
            </w:r>
          </w:p>
        </w:tc>
        <w:tc>
          <w:tcPr>
            <w:gridSpan w:val="2"/>
            <w:shd w:val="clear" w:color="000000" w:fill="ffffff"/>
            <w:tcBorders/>
            <w:tcW w:w="32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rPr/>
            </w:pPr>
            <w:r>
              <w:rPr>
                <w:rFonts w:ascii="Times New Roman" w:hAnsi="Times New Roman" w:eastAsia="Times New Roman" w:cs="Times New Roman"/>
                <w:color w:val="000000"/>
                <w:sz w:val="24"/>
              </w:rPr>
              <w:t xml:space="preserve">Đất ở nông thôn.</w:t>
            </w:r>
            <w:r/>
          </w:p>
        </w:tc>
        <w:tc>
          <w:tcPr>
            <w:tcBorders/>
            <w:tcW w:w="1242"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left"/>
              <w:rPr/>
            </w:pPr>
            <w:r>
              <w:rPr>
                <w:rFonts w:ascii="Times New Roman" w:hAnsi="Times New Roman" w:eastAsia="Times New Roman" w:cs="Times New Roman"/>
                <w:color w:val="000000"/>
                <w:sz w:val="24"/>
              </w:rPr>
              <w:t xml:space="preserve">       390,0</w:t>
            </w:r>
            <w:r/>
          </w:p>
        </w:tc>
        <w:tc>
          <w:tcPr>
            <w:shd w:val="clear" w:color="000000" w:fill="ffffff"/>
            <w:tcBorders/>
            <w:tcW w:w="1384" w:type="dxa"/>
            <w:vAlign w:val="center"/>
            <w:vMerge w:val="restart"/>
            <w:textDirection w:val="lrTb"/>
            <w:noWrap w:val="false"/>
          </w:tcPr>
          <w:p>
            <w:pPr>
              <w:pBdr/>
              <w:spacing w:after="40" w:before="40" w:line="240" w:lineRule="auto"/>
              <w:ind/>
              <w:jc w:val="right"/>
              <w:rPr>
                <w:color w:val="000000" w:themeColor="text1"/>
              </w:rPr>
            </w:pPr>
            <w:r>
              <w:rPr>
                <w:color w:val="000000" w:themeColor="text1"/>
              </w:rPr>
              <w:t xml:space="preserve">19.500.000</w:t>
            </w:r>
            <w:r>
              <w:rPr>
                <w:color w:val="000000" w:themeColor="text1"/>
              </w:rPr>
            </w:r>
            <w:r>
              <w:rPr>
                <w:color w:val="000000" w:themeColor="text1"/>
              </w:rPr>
            </w:r>
          </w:p>
        </w:tc>
        <w:tc>
          <w:tcPr>
            <w:shd w:val="clear" w:color="000000" w:fill="ffffff"/>
            <w:tcBorders/>
            <w:tcW w:w="1276" w:type="dxa"/>
            <w:vAlign w:val="center"/>
            <w:textDirection w:val="lrTb"/>
            <w:noWrap w:val="false"/>
          </w:tcPr>
          <w:p>
            <w:pPr>
              <w:pBdr/>
              <w:spacing w:line="240" w:lineRule="auto"/>
              <w:ind/>
              <w:jc w:val="center"/>
              <w:rPr>
                <w:color w:val="000000" w:themeColor="text1"/>
              </w:rPr>
            </w:pPr>
            <w:r>
              <w:rPr>
                <w:color w:val="000000" w:themeColor="text1"/>
              </w:rPr>
              <w:t xml:space="preserve">100%</w:t>
            </w:r>
            <w:r>
              <w:rPr>
                <w:color w:val="000000" w:themeColor="text1"/>
              </w:rPr>
            </w:r>
            <w:r>
              <w:rPr>
                <w:color w:val="000000" w:themeColor="text1"/>
              </w:rPr>
            </w:r>
          </w:p>
        </w:tc>
        <w:tc>
          <w:tcPr>
            <w:shd w:val="clear" w:color="000000" w:fill="ffffff"/>
            <w:tcBorders/>
            <w:tcW w:w="1809" w:type="dxa"/>
            <w:vAlign w:val="center"/>
            <w:vMerge w:val="restart"/>
            <w:textDirection w:val="lrTb"/>
            <w:noWrap w:val="false"/>
          </w:tcPr>
          <w:p>
            <w:pPr>
              <w:pBdr/>
              <w:spacing w:after="40" w:before="40" w:line="240" w:lineRule="auto"/>
              <w:ind/>
              <w:jc w:val="right"/>
              <w:rPr>
                <w:color w:val="000000" w:themeColor="text1"/>
              </w:rPr>
            </w:pPr>
            <w:r>
              <w:rPr>
                <w:color w:val="000000" w:themeColor="text1"/>
              </w:rPr>
              <w:t xml:space="preserve">7.605.000.000</w:t>
            </w:r>
            <w:r>
              <w:rPr>
                <w:color w:val="000000" w:themeColor="text1"/>
              </w:rPr>
            </w:r>
            <w:r>
              <w:rPr>
                <w:color w:val="000000" w:themeColor="text1"/>
              </w:rPr>
            </w:r>
          </w:p>
        </w:tc>
      </w:tr>
      <w:tr>
        <w:trPr>
          <w:trHeight w:val="20"/>
        </w:trPr>
        <w:tc>
          <w:tcPr>
            <w:shd w:val="clear" w:color="000000" w:fill="ffffff"/>
            <w:tcBorders/>
            <w:tcW w:w="590" w:type="dxa"/>
            <w:vAlign w:val="center"/>
            <w:vMerge w:val="restart"/>
            <w:textDirection w:val="lrTb"/>
            <w:noWrap w:val="false"/>
          </w:tcPr>
          <w:p>
            <w:pPr>
              <w:pBdr/>
              <w:spacing w:after="40" w:before="40" w:line="240" w:lineRule="auto"/>
              <w:ind/>
              <w:jc w:val="center"/>
              <w:rPr>
                <w:b/>
                <w:bCs/>
              </w:rPr>
            </w:pPr>
            <w:r>
              <w:rPr>
                <w:b/>
                <w:bCs/>
              </w:rPr>
              <w:t xml:space="preserve">02</w:t>
            </w:r>
            <w:r>
              <w:rPr>
                <w:b/>
                <w:bCs/>
              </w:rPr>
            </w:r>
            <w:r>
              <w:rPr>
                <w:b/>
                <w:bCs/>
              </w:rPr>
            </w:r>
          </w:p>
        </w:tc>
        <w:tc>
          <w:tcPr>
            <w:gridSpan w:val="2"/>
            <w:shd w:val="clear" w:color="000000" w:fill="ffffff"/>
            <w:tcBorders/>
            <w:tcW w:w="32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rPr/>
            </w:pPr>
            <w:r>
              <w:rPr>
                <w:rFonts w:ascii="Times New Roman" w:hAnsi="Times New Roman" w:eastAsia="Times New Roman" w:cs="Times New Roman"/>
                <w:color w:val="000000"/>
                <w:sz w:val="24"/>
              </w:rPr>
              <w:t xml:space="preserve">Đất CLN.</w:t>
            </w:r>
            <w:r/>
          </w:p>
        </w:tc>
        <w:tc>
          <w:tcPr>
            <w:tcBorders/>
            <w:tcW w:w="1242"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left"/>
              <w:rPr/>
            </w:pPr>
            <w:r>
              <w:rPr>
                <w:rFonts w:ascii="Times New Roman" w:hAnsi="Times New Roman" w:eastAsia="Times New Roman" w:cs="Times New Roman"/>
                <w:color w:val="000000"/>
                <w:sz w:val="24"/>
              </w:rPr>
              <w:t xml:space="preserve">       286,0 </w:t>
            </w:r>
            <w:r/>
          </w:p>
        </w:tc>
        <w:tc>
          <w:tcPr>
            <w:shd w:val="clear" w:color="000000" w:fill="ffffff"/>
            <w:tcBorders/>
            <w:tcW w:w="1384" w:type="dxa"/>
            <w:vAlign w:val="center"/>
            <w:vMerge w:val="restart"/>
            <w:textDirection w:val="lrTb"/>
            <w:noWrap w:val="false"/>
          </w:tcPr>
          <w:p>
            <w:pPr>
              <w:pBdr/>
              <w:spacing w:after="40" w:before="40" w:line="240" w:lineRule="auto"/>
              <w:ind/>
              <w:jc w:val="right"/>
              <w:rPr>
                <w:color w:val="000000" w:themeColor="text1"/>
              </w:rPr>
            </w:pPr>
            <w:r>
              <w:rPr>
                <w:color w:val="000000" w:themeColor="text1"/>
              </w:rPr>
              <w:t xml:space="preserve">218.000</w:t>
            </w:r>
            <w:r>
              <w:rPr>
                <w:color w:val="000000" w:themeColor="text1"/>
              </w:rPr>
            </w:r>
            <w:r>
              <w:rPr>
                <w:color w:val="000000" w:themeColor="text1"/>
              </w:rPr>
            </w:r>
          </w:p>
        </w:tc>
        <w:tc>
          <w:tcPr>
            <w:shd w:val="clear" w:color="000000" w:fill="ffffff"/>
            <w:tcBorders/>
            <w:tcW w:w="1276" w:type="dxa"/>
            <w:vAlign w:val="center"/>
            <w:textDirection w:val="lrTb"/>
            <w:noWrap w:val="false"/>
          </w:tcPr>
          <w:p>
            <w:pPr>
              <w:pBdr/>
              <w:spacing w:line="240" w:lineRule="auto"/>
              <w:ind/>
              <w:jc w:val="center"/>
              <w:rPr>
                <w:color w:val="000000" w:themeColor="text1"/>
              </w:rPr>
            </w:pPr>
            <w:r>
              <w:rPr>
                <w:color w:val="000000" w:themeColor="text1"/>
              </w:rPr>
              <w:t xml:space="preserve">100%</w:t>
            </w:r>
            <w:r>
              <w:rPr>
                <w:color w:val="000000" w:themeColor="text1"/>
              </w:rPr>
            </w:r>
            <w:r>
              <w:rPr>
                <w:color w:val="000000" w:themeColor="text1"/>
              </w:rPr>
            </w:r>
          </w:p>
        </w:tc>
        <w:tc>
          <w:tcPr>
            <w:shd w:val="clear" w:color="000000" w:fill="ffffff"/>
            <w:tcBorders/>
            <w:tcW w:w="1809" w:type="dxa"/>
            <w:vAlign w:val="center"/>
            <w:vMerge w:val="restart"/>
            <w:textDirection w:val="lrTb"/>
            <w:noWrap w:val="false"/>
          </w:tcPr>
          <w:p>
            <w:pPr>
              <w:pBdr/>
              <w:spacing w:after="40" w:before="40" w:line="240" w:lineRule="auto"/>
              <w:ind/>
              <w:jc w:val="right"/>
              <w:rPr>
                <w:color w:val="000000" w:themeColor="text1"/>
              </w:rPr>
            </w:pPr>
            <w:r>
              <w:rPr>
                <w:color w:val="000000" w:themeColor="text1"/>
              </w:rPr>
              <w:t xml:space="preserve">62.348.000</w:t>
            </w:r>
            <w:r>
              <w:rPr>
                <w:color w:val="000000" w:themeColor="text1"/>
              </w:rPr>
            </w:r>
            <w:r>
              <w:rPr>
                <w:color w:val="000000" w:themeColor="text1"/>
              </w:rPr>
            </w:r>
          </w:p>
        </w:tc>
      </w:tr>
      <w:tr>
        <w:trPr>
          <w:trHeight w:val="20"/>
        </w:trPr>
        <w:tc>
          <w:tcPr>
            <w:shd w:val="clear" w:color="000000" w:fill="ffffff"/>
            <w:tcBorders/>
            <w:tcW w:w="590" w:type="dxa"/>
            <w:vAlign w:val="center"/>
            <w:vMerge w:val="restart"/>
            <w:textDirection w:val="lrTb"/>
            <w:noWrap w:val="false"/>
          </w:tcPr>
          <w:p>
            <w:pPr>
              <w:pBdr/>
              <w:spacing w:after="40" w:before="40" w:line="240" w:lineRule="auto"/>
              <w:ind/>
              <w:jc w:val="center"/>
              <w:rPr>
                <w:b/>
                <w:bCs/>
              </w:rPr>
            </w:pPr>
            <w:r>
              <w:rPr>
                <w:b/>
                <w:bCs/>
              </w:rPr>
              <w:t xml:space="preserve">II</w:t>
            </w:r>
            <w:r>
              <w:rPr>
                <w:b/>
                <w:bCs/>
              </w:rPr>
            </w:r>
            <w:r>
              <w:rPr>
                <w:b/>
                <w:bCs/>
              </w:rPr>
            </w:r>
          </w:p>
        </w:tc>
        <w:tc>
          <w:tcPr>
            <w:gridSpan w:val="5"/>
            <w:shd w:val="clear" w:color="000000" w:fill="ffffff"/>
            <w:tcBorders/>
            <w:tcW w:w="7127" w:type="dxa"/>
            <w:vAlign w:val="center"/>
            <w:vMerge w:val="restart"/>
            <w:textDirection w:val="lrTb"/>
            <w:noWrap w:val="false"/>
          </w:tcPr>
          <w:p>
            <w:pPr>
              <w:pBdr/>
              <w:spacing w:after="40" w:before="40" w:line="240" w:lineRule="auto"/>
              <w:ind/>
              <w:jc w:val="left"/>
              <w:rPr>
                <w:b/>
                <w:bCs/>
                <w:color w:val="000000" w:themeColor="text1"/>
              </w:rPr>
            </w:pPr>
            <w:r>
              <w:rPr>
                <w:b/>
                <w:bCs/>
                <w:color w:val="000000" w:themeColor="text1"/>
              </w:rPr>
              <w:t xml:space="preserve">Giá trị công trình xây dựng trên đất</w:t>
            </w:r>
            <w:r>
              <w:rPr>
                <w:b/>
                <w:bCs/>
                <w:color w:val="000000" w:themeColor="text1"/>
              </w:rPr>
            </w:r>
            <w:r>
              <w:rPr>
                <w:b/>
                <w:bCs/>
                <w:color w:val="000000" w:themeColor="text1"/>
              </w:rPr>
            </w:r>
          </w:p>
        </w:tc>
        <w:tc>
          <w:tcPr>
            <w:shd w:val="clear" w:color="000000" w:fill="ffffff"/>
            <w:tcBorders/>
            <w:tcW w:w="1809" w:type="dxa"/>
            <w:vAlign w:val="center"/>
            <w:vMerge w:val="restart"/>
            <w:textDirection w:val="lrTb"/>
            <w:noWrap w:val="false"/>
          </w:tcPr>
          <w:p>
            <w:pPr>
              <w:pBdr/>
              <w:spacing w:after="40" w:before="40" w:line="240" w:lineRule="auto"/>
              <w:ind/>
              <w:jc w:val="right"/>
              <w:rPr>
                <w:b/>
                <w:bCs/>
                <w:color w:val="000000" w:themeColor="text1"/>
              </w:rPr>
            </w:pPr>
            <w:r>
              <w:rPr>
                <w:b/>
                <w:bCs/>
                <w:color w:val="000000" w:themeColor="text1"/>
              </w:rPr>
              <w:t xml:space="preserve">1.494.045.000</w:t>
            </w:r>
            <w:r>
              <w:rPr>
                <w:b/>
                <w:bCs/>
                <w:color w:val="000000" w:themeColor="text1"/>
              </w:rPr>
            </w:r>
            <w:r>
              <w:rPr>
                <w:b/>
                <w:bCs/>
                <w:color w:val="000000" w:themeColor="text1"/>
              </w:rPr>
            </w:r>
          </w:p>
        </w:tc>
      </w:tr>
      <w:tr>
        <w:trPr>
          <w:trHeight w:val="397"/>
        </w:trPr>
        <w:tc>
          <w:tcPr>
            <w:shd w:val="clear" w:color="000000" w:fill="ffffff"/>
            <w:tcBorders/>
            <w:tcW w:w="590" w:type="dxa"/>
            <w:vAlign w:val="center"/>
            <w:vMerge w:val="restart"/>
            <w:textDirection w:val="lrTb"/>
            <w:noWrap w:val="false"/>
          </w:tcPr>
          <w:p>
            <w:pPr>
              <w:pBdr/>
              <w:spacing w:after="40" w:before="40" w:line="240" w:lineRule="auto"/>
              <w:ind/>
              <w:jc w:val="center"/>
              <w:rPr>
                <w:b/>
                <w:bCs/>
              </w:rPr>
            </w:pPr>
            <w:r>
              <w:rPr>
                <w:b/>
                <w:bCs/>
              </w:rPr>
              <w:t xml:space="preserve">03</w:t>
            </w:r>
            <w:r>
              <w:rPr>
                <w:b/>
                <w:bCs/>
              </w:rPr>
            </w:r>
            <w:r>
              <w:rPr>
                <w:b/>
                <w:bCs/>
              </w:rPr>
            </w:r>
          </w:p>
        </w:tc>
        <w:tc>
          <w:tcPr>
            <w:gridSpan w:val="2"/>
            <w:shd w:val="clear" w:color="000000" w:fill="ffffff"/>
            <w:tcBorders/>
            <w:tcW w:w="32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jc w:val="both"/>
              <w:rPr/>
            </w:pPr>
            <w:r>
              <w:rPr>
                <w:rFonts w:ascii="Times New Roman" w:hAnsi="Times New Roman" w:eastAsia="Times New Roman" w:cs="Times New Roman"/>
                <w:color w:val="000000"/>
                <w:sz w:val="24"/>
              </w:rPr>
              <w:t xml:space="preserve">Nhà 03 tầng (xây năm 2011).</w:t>
            </w:r>
            <w:r/>
          </w:p>
        </w:tc>
        <w:tc>
          <w:tcPr>
            <w:tcBorders/>
            <w:tcW w:w="1242"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left"/>
              <w:rPr/>
            </w:pPr>
            <w:r>
              <w:rPr>
                <w:rFonts w:ascii="Times New Roman" w:hAnsi="Times New Roman" w:eastAsia="Times New Roman" w:cs="Times New Roman"/>
                <w:color w:val="000000"/>
                <w:sz w:val="24"/>
              </w:rPr>
              <w:t xml:space="preserve">       165,0 </w:t>
            </w:r>
            <w:r/>
          </w:p>
        </w:tc>
        <w:tc>
          <w:tcPr>
            <w:shd w:val="clear" w:color="000000" w:fill="ffffff"/>
            <w:tcBorders/>
            <w:tcW w:w="13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right"/>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t xml:space="preserve">7.968.240</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shd w:val="clear" w:color="000000" w:fill="ffffff"/>
            <w:tcBorders/>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70%</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shd w:val="clear" w:color="000000" w:fill="ffffff"/>
            <w:tcBorders/>
            <w:tcW w:w="1809" w:type="dxa"/>
            <w:vAlign w:val="center"/>
            <w:vMerge w:val="restart"/>
            <w:textDirection w:val="lrTb"/>
            <w:noWrap w:val="false"/>
          </w:tcPr>
          <w:p>
            <w:pPr>
              <w:pBdr/>
              <w:spacing w:after="40" w:before="40" w:line="240" w:lineRule="auto"/>
              <w:ind/>
              <w:jc w:val="right"/>
              <w:rPr>
                <w:color w:val="000000" w:themeColor="text1"/>
              </w:rPr>
            </w:pPr>
            <w:r>
              <w:rPr>
                <w:color w:val="000000" w:themeColor="text1"/>
              </w:rPr>
              <w:t xml:space="preserve">920.331.720</w:t>
            </w:r>
            <w:r>
              <w:rPr>
                <w:color w:val="000000" w:themeColor="text1"/>
              </w:rPr>
            </w:r>
            <w:r>
              <w:rPr>
                <w:color w:val="000000" w:themeColor="text1"/>
              </w:rPr>
            </w:r>
          </w:p>
        </w:tc>
      </w:tr>
      <w:tr>
        <w:trPr>
          <w:trHeight w:val="20"/>
        </w:trPr>
        <w:tc>
          <w:tcPr>
            <w:shd w:val="clear" w:color="000000" w:fill="ffffff"/>
            <w:tcBorders/>
            <w:tcW w:w="590" w:type="dxa"/>
            <w:vAlign w:val="center"/>
            <w:vMerge w:val="restart"/>
            <w:textDirection w:val="lrTb"/>
            <w:noWrap w:val="false"/>
          </w:tcPr>
          <w:p>
            <w:pPr>
              <w:pBdr/>
              <w:spacing w:after="40" w:before="40" w:line="240" w:lineRule="auto"/>
              <w:ind/>
              <w:jc w:val="center"/>
              <w:rPr>
                <w:b/>
                <w:bCs/>
              </w:rPr>
            </w:pPr>
            <w:r>
              <w:rPr>
                <w:b/>
                <w:bCs/>
              </w:rPr>
              <w:t xml:space="preserve">04</w:t>
            </w:r>
            <w:r>
              <w:rPr>
                <w:b/>
                <w:bCs/>
              </w:rPr>
            </w:r>
            <w:r>
              <w:rPr>
                <w:b/>
                <w:bCs/>
              </w:rPr>
            </w:r>
          </w:p>
        </w:tc>
        <w:tc>
          <w:tcPr>
            <w:gridSpan w:val="2"/>
            <w:shd w:val="clear" w:color="000000" w:fill="ffffff"/>
            <w:tcBorders/>
            <w:tcW w:w="3226"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40" w:lineRule="auto"/>
              <w:ind w:right="0" w:firstLine="0" w:left="0"/>
              <w:jc w:val="both"/>
              <w:rPr/>
            </w:pPr>
            <w:r>
              <w:rPr>
                <w:rFonts w:ascii="Times New Roman" w:hAnsi="Times New Roman" w:eastAsia="Times New Roman" w:cs="Times New Roman"/>
                <w:color w:val="000000"/>
                <w:sz w:val="24"/>
              </w:rPr>
              <w:t xml:space="preserve">Nhà 03 tầng (xây năm 2006).</w:t>
            </w:r>
            <w:r/>
          </w:p>
        </w:tc>
        <w:tc>
          <w:tcPr>
            <w:tcBorders/>
            <w:tcW w:w="1242" w:type="dxa"/>
            <w:vAlign w:val="center"/>
            <w:vMerge w:val="restart"/>
            <w:textDirection w:val="lrTb"/>
            <w:noWrap/>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left"/>
              <w:rPr/>
            </w:pPr>
            <w:r>
              <w:rPr>
                <w:rFonts w:ascii="Times New Roman" w:hAnsi="Times New Roman" w:eastAsia="Times New Roman" w:cs="Times New Roman"/>
                <w:color w:val="000000"/>
                <w:sz w:val="24"/>
              </w:rPr>
              <w:t xml:space="preserve">       120,0 </w:t>
            </w:r>
            <w:r/>
          </w:p>
        </w:tc>
        <w:tc>
          <w:tcPr>
            <w:shd w:val="clear" w:color="000000" w:fill="ffffff"/>
            <w:tcBorders/>
            <w:tcW w:w="13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right"/>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t xml:space="preserve">7.968.240</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shd w:val="clear" w:color="000000" w:fill="ffffff"/>
            <w:tcBorders/>
            <w:tcW w:w="127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40" w:lineRule="auto"/>
              <w:ind w:right="0" w:firstLine="0" w:left="0"/>
              <w:jc w:val="center"/>
              <w:rPr>
                <w:rFonts w:ascii="Times New Roman" w:hAnsi="Times New Roman" w:eastAsia="Times New Roman" w:cs="Times New Roman"/>
                <w:color w:val="000000"/>
                <w:sz w:val="24"/>
                <w:szCs w:val="24"/>
                <w14:ligatures w14:val="none"/>
              </w:rPr>
            </w:pPr>
            <w:r>
              <w:rPr>
                <w:rFonts w:ascii="Times New Roman" w:hAnsi="Times New Roman" w:eastAsia="Times New Roman" w:cs="Times New Roman"/>
                <w:color w:val="000000"/>
                <w:sz w:val="24"/>
                <w:szCs w:val="24"/>
              </w:rPr>
              <w:t xml:space="preserve">60%</w:t>
            </w:r>
            <w:r>
              <w:rPr>
                <w:rFonts w:ascii="Times New Roman" w:hAnsi="Times New Roman" w:eastAsia="Times New Roman" w:cs="Times New Roman"/>
                <w:color w:val="000000"/>
                <w:sz w:val="24"/>
                <w:szCs w:val="24"/>
                <w14:ligatures w14:val="none"/>
              </w:rPr>
            </w:r>
            <w:r>
              <w:rPr>
                <w:rFonts w:ascii="Times New Roman" w:hAnsi="Times New Roman" w:eastAsia="Times New Roman" w:cs="Times New Roman"/>
                <w:color w:val="000000"/>
                <w:sz w:val="24"/>
                <w:szCs w:val="24"/>
                <w14:ligatures w14:val="none"/>
              </w:rPr>
            </w:r>
          </w:p>
        </w:tc>
        <w:tc>
          <w:tcPr>
            <w:shd w:val="clear" w:color="000000" w:fill="ffffff"/>
            <w:tcBorders/>
            <w:tcW w:w="1809" w:type="dxa"/>
            <w:vAlign w:val="center"/>
            <w:vMerge w:val="restart"/>
            <w:textDirection w:val="lrTb"/>
            <w:noWrap w:val="false"/>
          </w:tcPr>
          <w:p>
            <w:pPr>
              <w:pBdr/>
              <w:spacing w:after="40" w:before="40" w:line="240" w:lineRule="auto"/>
              <w:ind/>
              <w:jc w:val="right"/>
              <w:rPr>
                <w:color w:val="000000" w:themeColor="text1"/>
              </w:rPr>
            </w:pPr>
            <w:r>
              <w:rPr>
                <w:color w:val="000000" w:themeColor="text1"/>
              </w:rPr>
              <w:t xml:space="preserve">573.713.280</w:t>
            </w:r>
            <w:r>
              <w:rPr>
                <w:color w:val="000000" w:themeColor="text1"/>
              </w:rPr>
            </w:r>
            <w:r>
              <w:rPr>
                <w:color w:val="000000" w:themeColor="text1"/>
              </w:rPr>
            </w:r>
          </w:p>
        </w:tc>
      </w:tr>
      <w:tr>
        <w:trPr>
          <w:trHeight w:val="20"/>
        </w:trPr>
        <w:tc>
          <w:tcPr>
            <w:gridSpan w:val="5"/>
            <w:tcBorders/>
            <w:tcW w:w="6442" w:type="dxa"/>
            <w:vAlign w:val="center"/>
            <w:textDirection w:val="lrTb"/>
            <w:noWrap/>
          </w:tcPr>
          <w:p>
            <w:pPr>
              <w:pBdr/>
              <w:spacing w:after="40" w:before="40" w:line="240" w:lineRule="auto"/>
              <w:ind/>
              <w:jc w:val="center"/>
              <w:rPr>
                <w:b/>
                <w:bCs/>
                <w:color w:val="000000"/>
              </w:rPr>
            </w:pPr>
            <w:r>
              <w:rPr>
                <w:b/>
                <w:bCs/>
                <w:color w:val="000000"/>
              </w:rPr>
              <w:t xml:space="preserve">TỔNG CỘNG:</w:t>
            </w:r>
            <w:r>
              <w:rPr>
                <w:b/>
                <w:bCs/>
                <w:color w:val="000000"/>
              </w:rPr>
            </w:r>
            <w:r>
              <w:rPr>
                <w:b/>
                <w:bCs/>
                <w:color w:val="000000"/>
              </w:rPr>
            </w:r>
          </w:p>
        </w:tc>
        <w:tc>
          <w:tcPr>
            <w:tcBorders/>
            <w:tcW w:w="1276" w:type="dxa"/>
            <w:vAlign w:val="center"/>
            <w:textDirection w:val="lrTb"/>
            <w:noWrap/>
          </w:tcPr>
          <w:p>
            <w:pPr>
              <w:pBdr/>
              <w:spacing w:line="240" w:lineRule="auto"/>
              <w:ind/>
              <w:rPr/>
            </w:pPr>
            <w:r/>
            <w:r/>
          </w:p>
        </w:tc>
        <w:tc>
          <w:tcPr>
            <w:tcBorders/>
            <w:tcW w:w="1809" w:type="dxa"/>
            <w:vAlign w:val="center"/>
            <w:textDirection w:val="lrTb"/>
            <w:noWrap/>
          </w:tcPr>
          <w:p>
            <w:pPr>
              <w:pBdr/>
              <w:spacing w:after="40" w:before="40" w:line="240" w:lineRule="auto"/>
              <w:ind/>
              <w:jc w:val="right"/>
              <w:rPr>
                <w:b/>
                <w:bCs/>
                <w:color w:val="000000"/>
              </w:rPr>
            </w:pPr>
            <w:r>
              <w:rPr>
                <w:b/>
                <w:bCs/>
              </w:rPr>
              <w:t xml:space="preserve">9.161.393.000</w:t>
            </w:r>
            <w:r>
              <w:rPr>
                <w:b/>
                <w:bCs/>
                <w:color w:val="000000"/>
              </w:rPr>
            </w:r>
            <w:r>
              <w:rPr>
                <w:b/>
                <w:bCs/>
                <w:color w:val="000000"/>
              </w:rPr>
            </w:r>
          </w:p>
        </w:tc>
      </w:tr>
      <w:tr>
        <w:trPr>
          <w:trHeight w:val="20"/>
        </w:trPr>
        <w:tc>
          <w:tcPr>
            <w:gridSpan w:val="5"/>
            <w:tcBorders/>
            <w:tcW w:w="6442" w:type="dxa"/>
            <w:vAlign w:val="center"/>
            <w:textDirection w:val="lrTb"/>
            <w:noWrap/>
          </w:tcPr>
          <w:p>
            <w:pPr>
              <w:pBdr/>
              <w:spacing w:after="40" w:before="40" w:line="240" w:lineRule="auto"/>
              <w:ind/>
              <w:jc w:val="center"/>
              <w:rPr>
                <w:b/>
                <w:bCs/>
                <w:color w:val="000000"/>
              </w:rPr>
            </w:pPr>
            <w:r>
              <w:rPr>
                <w:b/>
                <w:bCs/>
                <w:color w:val="000000"/>
              </w:rPr>
              <w:t xml:space="preserve">LÀM TRÒN:</w:t>
            </w:r>
            <w:r>
              <w:rPr>
                <w:b/>
                <w:bCs/>
                <w:color w:val="000000"/>
              </w:rPr>
            </w:r>
            <w:r>
              <w:rPr>
                <w:b/>
                <w:bCs/>
                <w:color w:val="000000"/>
              </w:rPr>
            </w:r>
          </w:p>
        </w:tc>
        <w:tc>
          <w:tcPr>
            <w:tcBorders/>
            <w:tcW w:w="1276" w:type="dxa"/>
            <w:vAlign w:val="center"/>
            <w:textDirection w:val="lrTb"/>
            <w:noWrap/>
          </w:tcPr>
          <w:p>
            <w:pPr>
              <w:pBdr/>
              <w:spacing w:line="240" w:lineRule="auto"/>
              <w:ind/>
              <w:rPr>
                <w:b/>
                <w:bCs/>
                <w:color w:val="000000"/>
              </w:rPr>
            </w:pPr>
            <w:r>
              <w:rPr>
                <w:b/>
                <w:bCs/>
                <w:color w:val="000000"/>
              </w:rPr>
            </w:r>
            <w:r>
              <w:rPr>
                <w:b/>
                <w:bCs/>
                <w:color w:val="000000"/>
              </w:rPr>
            </w:r>
            <w:r>
              <w:rPr>
                <w:b/>
                <w:bCs/>
                <w:color w:val="000000"/>
              </w:rPr>
            </w:r>
          </w:p>
        </w:tc>
        <w:tc>
          <w:tcPr>
            <w:tcBorders/>
            <w:tcW w:w="1809" w:type="dxa"/>
            <w:vAlign w:val="center"/>
            <w:textDirection w:val="lrTb"/>
            <w:noWrap/>
          </w:tcPr>
          <w:p>
            <w:pPr>
              <w:pBdr/>
              <w:spacing w:after="40" w:before="40" w:line="240" w:lineRule="auto"/>
              <w:ind/>
              <w:jc w:val="right"/>
              <w:rPr>
                <w:b/>
                <w:bCs/>
                <w:color w:val="000000"/>
              </w:rPr>
            </w:pPr>
            <w:r>
              <w:rPr>
                <w:b/>
                <w:bCs/>
                <w:color w:val="000000"/>
              </w:rPr>
              <w:t xml:space="preserve">9.161.000.000</w:t>
            </w:r>
            <w:r>
              <w:rPr>
                <w:b/>
                <w:bCs/>
                <w:color w:val="000000"/>
              </w:rPr>
            </w:r>
            <w:r>
              <w:rPr>
                <w:b/>
                <w:bCs/>
                <w:color w:val="000000"/>
              </w:rPr>
            </w:r>
          </w:p>
        </w:tc>
      </w:tr>
      <w:tr>
        <w:trPr>
          <w:trHeight w:val="20"/>
        </w:trPr>
        <w:tc>
          <w:tcPr>
            <w:gridSpan w:val="7"/>
            <w:tcBorders/>
            <w:tcW w:w="9526" w:type="dxa"/>
            <w:vAlign w:val="center"/>
            <w:textDirection w:val="lrTb"/>
            <w:noWrap w:val="false"/>
          </w:tcPr>
          <w:p>
            <w:pPr>
              <w:pBdr/>
              <w:spacing w:after="40" w:before="40" w:line="240" w:lineRule="auto"/>
              <w:ind/>
              <w:jc w:val="center"/>
              <w:rPr>
                <w:b/>
                <w:bCs/>
                <w:i/>
                <w:iCs/>
                <w:color w:val="000000"/>
              </w:rPr>
            </w:pPr>
            <w:r>
              <w:rPr>
                <w:b/>
                <w:bCs/>
                <w:i/>
                <w:iCs/>
                <w:color w:val="000000"/>
              </w:rPr>
              <w:t xml:space="preserve">(Bằng chữ: </w:t>
            </w:r>
            <w:r>
              <w:rPr>
                <w:b/>
                <w:bCs/>
                <w:i/>
                <w:iCs/>
                <w:color w:val="000000"/>
              </w:rPr>
              <w:t xml:space="preserve">Chín tỷ, một trăm sáu mươi mốt triệu đồng chẵn</w:t>
            </w:r>
            <w:r>
              <w:rPr>
                <w:b/>
                <w:bCs/>
                <w:i/>
                <w:iCs/>
                <w:color w:val="000000"/>
              </w:rPr>
              <w:t xml:space="preserve">./.)</w:t>
            </w:r>
            <w:r>
              <w:rPr>
                <w:b/>
                <w:bCs/>
                <w:i/>
                <w:iCs/>
                <w:color w:val="000000"/>
              </w:rPr>
            </w:r>
            <w:r>
              <w:rPr>
                <w:b/>
                <w:bCs/>
                <w:i/>
                <w:iCs/>
                <w:color w:val="000000"/>
              </w:rPr>
            </w:r>
          </w:p>
        </w:tc>
      </w:tr>
    </w:tbl>
    <w:p>
      <w:pPr>
        <w:pStyle w:val="1037"/>
        <w:pBdr/>
        <w:tabs>
          <w:tab w:val="left" w:leader="none" w:pos="993"/>
        </w:tabs>
        <w:spacing w:after="120" w:before="120" w:line="312"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7"/>
        <w:numPr>
          <w:ilvl w:val="0"/>
          <w:numId w:val="4"/>
        </w:numPr>
        <w:pBdr/>
        <w:tabs>
          <w:tab w:val="left" w:leader="none" w:pos="993"/>
        </w:tabs>
        <w:spacing w:after="120" w:before="120" w:line="312"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7"/>
        <w:pBdr/>
        <w:tabs>
          <w:tab w:val="left" w:leader="none" w:pos="993"/>
        </w:tabs>
        <w:spacing w:after="120" w:before="120" w:line="312"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7"/>
        <w:numPr>
          <w:ilvl w:val="0"/>
          <w:numId w:val="5"/>
        </w:numPr>
        <w:pBdr/>
        <w:tabs>
          <w:tab w:val="left" w:leader="none" w:pos="993"/>
        </w:tabs>
        <w:spacing w:after="120" w:before="120" w:line="312"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7"/>
        <w:numPr>
          <w:ilvl w:val="0"/>
          <w:numId w:val="5"/>
        </w:numPr>
        <w:pBdr/>
        <w:tabs>
          <w:tab w:val="left" w:leader="none" w:pos="993"/>
        </w:tabs>
        <w:spacing w:after="120" w:before="120" w:line="312"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7"/>
        <w:numPr>
          <w:ilvl w:val="0"/>
          <w:numId w:val="5"/>
        </w:numPr>
        <w:pBdr/>
        <w:tabs>
          <w:tab w:val="left" w:leader="none" w:pos="993"/>
        </w:tabs>
        <w:spacing w:after="120" w:before="120" w:line="312"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7"/>
        <w:numPr>
          <w:ilvl w:val="0"/>
          <w:numId w:val="5"/>
        </w:numPr>
        <w:pBdr/>
        <w:tabs>
          <w:tab w:val="left" w:leader="none" w:pos="993"/>
        </w:tabs>
        <w:spacing w:after="120" w:before="120" w:line="312"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7"/>
        <w:numPr>
          <w:ilvl w:val="0"/>
          <w:numId w:val="10"/>
        </w:numPr>
        <w:pBdr/>
        <w:spacing w:after="120" w:before="120" w:line="312"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7"/>
        <w:numPr>
          <w:ilvl w:val="0"/>
          <w:numId w:val="10"/>
        </w:numPr>
        <w:pBdr/>
        <w:spacing w:after="120" w:before="120" w:line="312"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7"/>
        <w:numPr>
          <w:ilvl w:val="0"/>
          <w:numId w:val="10"/>
        </w:numPr>
        <w:pBdr/>
        <w:spacing w:after="120" w:before="120" w:line="312"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7"/>
        <w:pBdr/>
        <w:tabs>
          <w:tab w:val="left" w:leader="none" w:pos="993"/>
        </w:tabs>
        <w:spacing w:after="120" w:before="120" w:line="312"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7"/>
        <w:numPr>
          <w:ilvl w:val="0"/>
          <w:numId w:val="5"/>
        </w:numPr>
        <w:pBdr/>
        <w:tabs>
          <w:tab w:val="left" w:leader="none" w:pos="993"/>
        </w:tabs>
        <w:spacing w:after="120" w:before="120" w:line="312"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7"/>
        <w:numPr>
          <w:ilvl w:val="0"/>
          <w:numId w:val="5"/>
        </w:numPr>
        <w:pBdr/>
        <w:tabs>
          <w:tab w:val="left" w:leader="none" w:pos="993"/>
        </w:tabs>
        <w:spacing w:after="120" w:before="120" w:line="312"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7"/>
        <w:numPr>
          <w:ilvl w:val="0"/>
          <w:numId w:val="5"/>
        </w:numPr>
        <w:pBdr/>
        <w:tabs>
          <w:tab w:val="left" w:leader="none" w:pos="993"/>
        </w:tabs>
        <w:spacing w:after="120" w:before="120" w:line="312"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7"/>
        <w:numPr>
          <w:ilvl w:val="0"/>
          <w:numId w:val="5"/>
        </w:numPr>
        <w:pBdr/>
        <w:tabs>
          <w:tab w:val="left" w:leader="none" w:pos="993"/>
        </w:tabs>
        <w:spacing w:after="120" w:before="120" w:line="312"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7"/>
        <w:numPr>
          <w:ilvl w:val="0"/>
          <w:numId w:val="5"/>
        </w:numPr>
        <w:pBdr/>
        <w:tabs>
          <w:tab w:val="left" w:leader="none" w:pos="993"/>
        </w:tabs>
        <w:spacing w:after="120" w:before="120" w:line="312"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7"/>
        <w:numPr>
          <w:ilvl w:val="0"/>
          <w:numId w:val="5"/>
        </w:numPr>
        <w:pBdr/>
        <w:tabs>
          <w:tab w:val="left" w:leader="none" w:pos="993"/>
        </w:tabs>
        <w:spacing w:after="120" w:before="120" w:line="312"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7"/>
        <w:numPr>
          <w:ilvl w:val="0"/>
          <w:numId w:val="5"/>
        </w:numPr>
        <w:pBdr/>
        <w:spacing w:after="120" w:before="120" w:line="312"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7"/>
        <w:numPr>
          <w:ilvl w:val="0"/>
          <w:numId w:val="5"/>
        </w:numPr>
        <w:pBdr/>
        <w:tabs>
          <w:tab w:val="left" w:leader="none" w:pos="993"/>
        </w:tabs>
        <w:spacing w:after="120" w:before="120" w:line="312"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7"/>
        <w:numPr>
          <w:ilvl w:val="0"/>
          <w:numId w:val="5"/>
        </w:numPr>
        <w:pBdr/>
        <w:spacing w:after="120" w:before="120" w:line="312"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7"/>
        <w:numPr>
          <w:ilvl w:val="0"/>
          <w:numId w:val="5"/>
        </w:numPr>
        <w:pBdr/>
        <w:spacing w:after="120" w:before="120" w:line="312" w:lineRule="auto"/>
        <w:ind/>
        <w:jc w:val="both"/>
        <w:rPr>
          <w:rFonts w:ascii="Times New Roman" w:hAnsi="Times New Roman" w:eastAsia="Times New Roman" w:cs="Times New Roman"/>
          <w:color w:val="000000"/>
          <w:spacing w:val="2"/>
          <w:sz w:val="24"/>
          <w:szCs w:val="24"/>
        </w:rPr>
      </w:pPr>
      <w:r>
        <w:rPr>
          <w:lang w:val="vi-VN"/>
        </w:rPr>
      </w:r>
      <w:r>
        <w:rPr>
          <w:rFonts w:ascii="Times New Roman" w:hAnsi="Times New Roman" w:eastAsia="Times New Roman" w:cs="Times New Roman"/>
          <w:color w:val="000000"/>
          <w:spacing w:val="2"/>
          <w:sz w:val="24"/>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w:t>
      </w:r>
      <w:r>
        <w:rPr>
          <w:rFonts w:ascii="Times New Roman" w:hAnsi="Times New Roman" w:eastAsia="Times New Roman" w:cs="Times New Roman"/>
          <w:color w:val="000000"/>
          <w:spacing w:val="2"/>
          <w:sz w:val="24"/>
        </w:rPr>
        <w:t xml:space="preserve">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w:t>
      </w:r>
      <w:r>
        <w:rPr>
          <w:rFonts w:ascii="Times New Roman" w:hAnsi="Times New Roman" w:eastAsia="Times New Roman" w:cs="Times New Roman"/>
          <w:color w:val="000000"/>
          <w:spacing w:val="2"/>
          <w:sz w:val="24"/>
        </w:rPr>
        <w:t xml:space="preserve">t thiết phải trùng khớp kết quả với bất kỳ bên thứ ba nào khác cùng đưa ra các đánh giá này. Việc ảnh hưởng của các ước lượng này (nếu có) nó không thuộc nghĩa vụ bắt buộc liên quan đến chúng tôi vì chúng tôi không phải là đơn vị có chức năng thực hiện kiể</w:t>
      </w:r>
      <w:r>
        <w:rPr>
          <w:rFonts w:ascii="Times New Roman" w:hAnsi="Times New Roman" w:eastAsia="Times New Roman" w:cs="Times New Roman"/>
          <w:color w:val="000000"/>
          <w:spacing w:val="2"/>
          <w:sz w:val="24"/>
        </w:rPr>
        <w:t xml:space="preserve">m định hay những chuyên gia kỹ thuật thuộc các lĩnh vực này.</w:t>
      </w:r>
      <w:r>
        <w:rPr>
          <w:rFonts w:ascii="Times New Roman" w:hAnsi="Times New Roman" w:eastAsia="Times New Roman" w:cs="Times New Roman"/>
          <w:color w:val="000000"/>
          <w:spacing w:val="2"/>
          <w:sz w:val="24"/>
          <w:szCs w:val="24"/>
        </w:rPr>
      </w:r>
      <w:r>
        <w:rPr>
          <w:rFonts w:ascii="Times New Roman" w:hAnsi="Times New Roman" w:eastAsia="Times New Roman" w:cs="Times New Roman"/>
          <w:color w:val="000000"/>
          <w:spacing w:val="2"/>
          <w:sz w:val="24"/>
          <w:szCs w:val="24"/>
        </w:rPr>
      </w:r>
    </w:p>
    <w:p>
      <w:pPr>
        <w:pStyle w:val="1037"/>
        <w:numPr>
          <w:ilvl w:val="0"/>
          <w:numId w:val="5"/>
        </w:numPr>
        <w:pBdr/>
        <w:spacing w:after="120" w:before="120" w:line="312" w:lineRule="auto"/>
        <w:ind/>
        <w:jc w:val="both"/>
        <w:rPr>
          <w:lang w:val="vi-VN"/>
        </w:rPr>
      </w:pPr>
      <w:r>
        <w:rPr>
          <w:rFonts w:ascii="Times New Roman" w:hAnsi="Times New Roman" w:eastAsia="Times New Roman" w:cs="Times New Roman"/>
          <w:color w:val="000000"/>
          <w:spacing w:val="2"/>
          <w:sz w:val="24"/>
        </w:rPr>
      </w:r>
      <w:r>
        <w:rPr>
          <w:rFonts w:ascii="Times New Roman" w:hAnsi="Times New Roman" w:eastAsia="Times New Roman" w:cs="Times New Roman"/>
          <w:color w:val="000000"/>
          <w:sz w:val="24"/>
        </w:rPr>
        <w:t xml:space="preserve">Tại thời điểm khảo sát, trên đất có 4 công trình xây dựng là: </w:t>
      </w:r>
      <w:r>
        <w:rPr>
          <w:rFonts w:ascii="Times New Roman" w:hAnsi="Times New Roman" w:eastAsia="Times New Roman" w:cs="Times New Roman"/>
          <w:color w:val="ff0000"/>
          <w:sz w:val="24"/>
        </w:rPr>
        <w:t xml:space="preserve">Nhà 03 tầng, diện tích xây dung 55m</w:t>
      </w:r>
      <w:r>
        <w:rPr>
          <w:rFonts w:ascii="Times New Roman" w:hAnsi="Times New Roman" w:eastAsia="Times New Roman" w:cs="Times New Roman"/>
          <w:color w:val="ff0000"/>
          <w:sz w:val="20"/>
          <w:vertAlign w:val="superscript"/>
        </w:rPr>
        <w:t xml:space="preserve">2</w:t>
      </w:r>
      <w:r>
        <w:rPr>
          <w:rFonts w:ascii="Times New Roman" w:hAnsi="Times New Roman" w:eastAsia="Times New Roman" w:cs="Times New Roman"/>
          <w:color w:val="ff0000"/>
          <w:sz w:val="24"/>
        </w:rPr>
        <w:t xml:space="preserve">, tổng diện tích sàn: 165m</w:t>
      </w:r>
      <w:r>
        <w:rPr>
          <w:rFonts w:ascii="Times New Roman" w:hAnsi="Times New Roman" w:eastAsia="Times New Roman" w:cs="Times New Roman"/>
          <w:color w:val="ff0000"/>
          <w:sz w:val="20"/>
          <w:vertAlign w:val="superscript"/>
        </w:rPr>
        <w:t xml:space="preserve">2</w:t>
      </w:r>
      <w:r>
        <w:rPr>
          <w:rFonts w:ascii="Times New Roman" w:hAnsi="Times New Roman" w:eastAsia="Times New Roman" w:cs="Times New Roman"/>
          <w:color w:val="ff0000"/>
          <w:sz w:val="24"/>
        </w:rPr>
        <w:t xml:space="preserve">; Nhà 03 tầng, tổng diện tích xây dựng: 40m</w:t>
      </w:r>
      <w:r>
        <w:rPr>
          <w:rFonts w:ascii="Times New Roman" w:hAnsi="Times New Roman" w:eastAsia="Times New Roman" w:cs="Times New Roman"/>
          <w:color w:val="ff0000"/>
          <w:sz w:val="20"/>
          <w:vertAlign w:val="superscript"/>
        </w:rPr>
        <w:t xml:space="preserve">2</w:t>
      </w:r>
      <w:r>
        <w:rPr>
          <w:rFonts w:ascii="Times New Roman" w:hAnsi="Times New Roman" w:eastAsia="Times New Roman" w:cs="Times New Roman"/>
          <w:color w:val="ff0000"/>
          <w:sz w:val="24"/>
        </w:rPr>
        <w:t xml:space="preserve">, diện tích sàn: 120m</w:t>
      </w:r>
      <w:r>
        <w:rPr>
          <w:rFonts w:ascii="Times New Roman" w:hAnsi="Times New Roman" w:eastAsia="Times New Roman" w:cs="Times New Roman"/>
          <w:color w:val="ff0000"/>
          <w:sz w:val="20"/>
          <w:vertAlign w:val="superscript"/>
        </w:rPr>
        <w:t xml:space="preserve">2</w:t>
      </w:r>
      <w:r>
        <w:rPr>
          <w:rFonts w:ascii="Times New Roman" w:hAnsi="Times New Roman" w:eastAsia="Times New Roman" w:cs="Times New Roman"/>
          <w:color w:val="ff0000"/>
          <w:sz w:val="24"/>
        </w:rPr>
        <w:t xml:space="preserve">; </w:t>
      </w:r>
      <w:r>
        <w:rPr>
          <w:rFonts w:ascii="Times New Roman" w:hAnsi="Times New Roman" w:eastAsia="Times New Roman" w:cs="Times New Roman"/>
          <w:color w:val="000000"/>
          <w:sz w:val="24"/>
        </w:rPr>
        <w:t xml:space="preserve">Nhà cấp 4 diện tích xây dựng khoảng 70m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Nhà cấp 4 diện tích xây dựng khoảng 50m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rPr>
        <w:t xml:space="preserve">, các công trình xây dựng này đều chưa được chứng nhận trên GCN QSDĐ số AI 201454. Ngoài ra, Tổ thẩm định không nhận được các hồ sơ pháp lý khác liên quan đến các công trình xây dựng này. Do vậy, theo yêu cầu của Ngân hàng/khách hàng, Tổ thẩm định chỉ ước </w:t>
      </w:r>
      <w:r>
        <w:rPr>
          <w:rFonts w:ascii="Times New Roman" w:hAnsi="Times New Roman" w:eastAsia="Times New Roman" w:cs="Times New Roman"/>
          <w:color w:val="000000"/>
          <w:sz w:val="24"/>
        </w:rPr>
        <w:t xml:space="preserve">tính giá trị của 02 công trình là Nhà 03 tầng (</w:t>
      </w:r>
      <w:r>
        <w:rPr>
          <w:rFonts w:ascii="Times New Roman" w:hAnsi="Times New Roman" w:eastAsia="Times New Roman" w:cs="Times New Roman"/>
          <w:i/>
          <w:color w:val="000000"/>
          <w:sz w:val="24"/>
        </w:rPr>
        <w:t xml:space="preserve">diện tích xây dựng khoảng 55m2, tổng diện tích sàn khoảng 165m</w:t>
      </w:r>
      <w:r>
        <w:rPr>
          <w:rFonts w:ascii="Times New Roman" w:hAnsi="Times New Roman" w:eastAsia="Times New Roman" w:cs="Times New Roman"/>
          <w:i/>
          <w:color w:val="000000"/>
          <w:sz w:val="20"/>
          <w:vertAlign w:val="superscript"/>
        </w:rPr>
        <w:t xml:space="preserve">2</w:t>
      </w:r>
      <w:r>
        <w:rPr>
          <w:rFonts w:ascii="Times New Roman" w:hAnsi="Times New Roman" w:eastAsia="Times New Roman" w:cs="Times New Roman"/>
          <w:i/>
          <w:color w:val="000000"/>
          <w:sz w:val="24"/>
        </w:rPr>
        <w:t xml:space="preserve">, hoàn thiện năm 2011; và Nhà 03 tầng, diện tích xây dựng khoảng 40m</w:t>
      </w:r>
      <w:r>
        <w:rPr>
          <w:rFonts w:ascii="Times New Roman" w:hAnsi="Times New Roman" w:eastAsia="Times New Roman" w:cs="Times New Roman"/>
          <w:i/>
          <w:color w:val="000000"/>
          <w:sz w:val="20"/>
          <w:vertAlign w:val="superscript"/>
        </w:rPr>
        <w:t xml:space="preserve">2</w:t>
      </w:r>
      <w:r>
        <w:rPr>
          <w:rFonts w:ascii="Times New Roman" w:hAnsi="Times New Roman" w:eastAsia="Times New Roman" w:cs="Times New Roman"/>
          <w:i/>
          <w:color w:val="000000"/>
          <w:sz w:val="24"/>
        </w:rPr>
        <w:t xml:space="preserve">, tổng diện tích sàn khoảng 120m2, hoàn thiện năm 2006</w:t>
      </w:r>
      <w:r>
        <w:rPr>
          <w:rFonts w:ascii="Times New Roman" w:hAnsi="Times New Roman" w:eastAsia="Times New Roman" w:cs="Times New Roman"/>
          <w:color w:val="000000"/>
          <w:sz w:val="24"/>
        </w:rPr>
        <w:t xml:space="preserve">) theo khảo sát và đo đạc thực tế, giá trị công trình xây dựng chỉ mang tính chất tham khảo. Ngoài ra, Tổ thẩm định không có trách nhiệm xác minh chủ sở hữu công trình xây dựng trên. Kính đề nghị đơn vị sử dụng kết quả lưu ý. Đối với 02 công trình nhà cấp </w:t>
      </w:r>
      <w:r>
        <w:rPr>
          <w:rFonts w:ascii="Times New Roman" w:hAnsi="Times New Roman" w:eastAsia="Times New Roman" w:cs="Times New Roman"/>
          <w:color w:val="000000"/>
          <w:sz w:val="24"/>
        </w:rPr>
        <w:t xml:space="preserve">4 xây dựng đã lâu và xuống cấp nghiêm trọng, do vậy, theo yêu cầu của Ngân hàng/khách hàng</w:t>
      </w:r>
      <w:r>
        <w:rPr>
          <w:rFonts w:ascii="Times New Roman" w:hAnsi="Times New Roman" w:eastAsia="Times New Roman" w:cs="Times New Roman"/>
          <w:color w:val="000000"/>
          <w:spacing w:val="2"/>
          <w:sz w:val="24"/>
        </w:rPr>
        <w:t xml:space="preserve"> Tổ thẩm định không xác định giá trị 02 công trình còn lại này vào tổng giá trị tài sản, nhưng vẫn coi đó là phần không thể tách rời của tài sản thẩm định.</w:t>
      </w:r>
      <w:r>
        <w:rPr>
          <w:lang w:val="vi-VN"/>
        </w:rPr>
      </w:r>
      <w:r>
        <w:rPr>
          <w:lang w:val="vi-VN"/>
        </w:rPr>
      </w:r>
    </w:p>
    <w:p>
      <w:pPr>
        <w:pStyle w:val="1037"/>
        <w:numPr>
          <w:ilvl w:val="0"/>
          <w:numId w:val="3"/>
        </w:numPr>
        <w:pBdr/>
        <w:tabs>
          <w:tab w:val="left" w:leader="none" w:pos="993"/>
        </w:tabs>
        <w:spacing w:after="120" w:before="120" w:line="312"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7"/>
        <w:numPr>
          <w:ilvl w:val="0"/>
          <w:numId w:val="5"/>
        </w:numPr>
        <w:pBdr/>
        <w:tabs>
          <w:tab w:val="left" w:leader="none" w:pos="993"/>
        </w:tabs>
        <w:spacing w:after="120" w:before="120" w:line="312"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7"/>
        <w:numPr>
          <w:ilvl w:val="0"/>
          <w:numId w:val="5"/>
        </w:numPr>
        <w:pBdr/>
        <w:tabs>
          <w:tab w:val="left" w:leader="none" w:pos="993"/>
        </w:tabs>
        <w:spacing w:after="120" w:before="120" w:line="312"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312"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7"/>
        <w:pBdr/>
        <w:tabs>
          <w:tab w:val="left" w:leader="none" w:pos="993"/>
        </w:tabs>
        <w:spacing w:after="120" w:before="120" w:line="312"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7"/>
        <w:pBdr/>
        <w:tabs>
          <w:tab w:val="left" w:leader="none" w:pos="993"/>
        </w:tabs>
        <w:spacing w:after="120" w:before="120" w:line="312"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Bdr/>
        <w:shd w:val="nil" w:color="auto"/>
        <w:spacing/>
        <w:ind/>
        <w:rPr>
          <w:lang w:val="pt-BR"/>
        </w:rPr>
      </w:pPr>
      <w:r>
        <w:rPr>
          <w:lang w:val="pt-BR"/>
        </w:rPr>
        <w:br w:type="page" w:clear="all"/>
      </w:r>
      <w:r>
        <w:rPr>
          <w:lang w:val="pt-BR"/>
        </w:rPr>
      </w:r>
      <w:r>
        <w:rPr>
          <w:lang w:val="pt-BR"/>
        </w:rPr>
      </w:r>
    </w:p>
    <w:p>
      <w:pPr>
        <w:pStyle w:val="103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275/2026/0557/VFI-CT.44.A</w:t>
      </w:r>
      <w:r>
        <w:rPr>
          <w:color w:val="ff0000"/>
          <w:lang w:val="vi-VN"/>
        </w:rPr>
        <w:t xml:space="preserve"> </w:t>
      </w:r>
      <w:r>
        <w:rPr>
          <w:color w:val="000000" w:themeColor="text1"/>
        </w:rPr>
        <w:t xml:space="preserve">ngày 10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Đình Duy</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275/2026/0557/VFI-BC.44.A</w:t>
      </w:r>
      <w:r>
        <w:rPr>
          <w:i/>
          <w:lang w:val="pt-BR"/>
        </w:rPr>
        <w:t xml:space="preserve"> </w:t>
      </w:r>
      <w:r>
        <w:rPr>
          <w:i/>
          <w:lang w:val="pt-BR"/>
        </w:rPr>
        <w:t xml:space="preserve">ngày 10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24619" cy="2043464"/>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616866" name=""/>
                              <pic:cNvPicPr>
                                <a:picLocks noChangeAspect="1"/>
                              </pic:cNvPicPr>
                              <pic:nvPr/>
                            </pic:nvPicPr>
                            <pic:blipFill rotWithShape="1">
                              <a:blip r:embed="rId21"/>
                              <a:stretch/>
                            </pic:blipFill>
                            <pic:spPr bwMode="auto">
                              <a:xfrm flipH="0" flipV="0">
                                <a:off x="0" y="0"/>
                                <a:ext cx="2724618" cy="20434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14.54pt;height:160.90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69284" cy="215196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52271" name=""/>
                              <pic:cNvPicPr>
                                <a:picLocks noChangeAspect="1"/>
                              </pic:cNvPicPr>
                              <pic:nvPr/>
                            </pic:nvPicPr>
                            <pic:blipFill rotWithShape="1">
                              <a:blip r:embed="rId22"/>
                              <a:stretch/>
                            </pic:blipFill>
                            <pic:spPr bwMode="auto">
                              <a:xfrm flipH="0" flipV="0">
                                <a:off x="0" y="0"/>
                                <a:ext cx="2869283" cy="215196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25.93pt;height:169.45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58860" cy="199414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134443" name=""/>
                              <pic:cNvPicPr>
                                <a:picLocks noChangeAspect="1"/>
                              </pic:cNvPicPr>
                              <pic:nvPr/>
                            </pic:nvPicPr>
                            <pic:blipFill rotWithShape="1">
                              <a:blip r:embed="rId23"/>
                              <a:stretch/>
                            </pic:blipFill>
                            <pic:spPr bwMode="auto">
                              <a:xfrm flipH="0" flipV="0">
                                <a:off x="0" y="0"/>
                                <a:ext cx="2658860" cy="199414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9.36pt;height:157.02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33645" cy="212523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620955" name=""/>
                              <pic:cNvPicPr>
                                <a:picLocks noChangeAspect="1"/>
                              </pic:cNvPicPr>
                              <pic:nvPr/>
                            </pic:nvPicPr>
                            <pic:blipFill rotWithShape="1">
                              <a:blip r:embed="rId24"/>
                              <a:stretch/>
                            </pic:blipFill>
                            <pic:spPr bwMode="auto">
                              <a:xfrm flipH="0" flipV="0">
                                <a:off x="0" y="0"/>
                                <a:ext cx="2833644" cy="21252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3.12pt;height:167.34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658796" cy="199409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689338" name=""/>
                              <pic:cNvPicPr>
                                <a:picLocks noChangeAspect="1"/>
                              </pic:cNvPicPr>
                              <pic:nvPr/>
                            </pic:nvPicPr>
                            <pic:blipFill rotWithShape="1">
                              <a:blip r:embed="rId25"/>
                              <a:stretch/>
                            </pic:blipFill>
                            <pic:spPr bwMode="auto">
                              <a:xfrm flipH="0" flipV="0">
                                <a:off x="0" y="0"/>
                                <a:ext cx="2658796" cy="199409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9.35pt;height:157.02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tabs>
                <w:tab w:val="left" w:leader="none" w:pos="3542"/>
              </w:tabs>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71286" cy="207846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417250" name=""/>
                              <pic:cNvPicPr>
                                <a:picLocks noChangeAspect="1"/>
                              </pic:cNvPicPr>
                              <pic:nvPr/>
                            </pic:nvPicPr>
                            <pic:blipFill rotWithShape="1">
                              <a:blip r:embed="rId26"/>
                              <a:stretch/>
                            </pic:blipFill>
                            <pic:spPr bwMode="auto">
                              <a:xfrm flipH="0" flipV="0">
                                <a:off x="0" y="0"/>
                                <a:ext cx="2771286" cy="20784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8.21pt;height:163.66pt;mso-wrap-distance-left:0.00pt;mso-wrap-distance-top:0.00pt;mso-wrap-distance-right:0.00pt;mso-wrap-distance-bottom:0.00pt;z-index:1;" stroked="false">
                      <v:imagedata r:id="rId26" o:title=""/>
                      <o:lock v:ext="edit" rotation="t"/>
                    </v:shape>
                  </w:pict>
                </mc:Fallback>
              </mc:AlternateContent>
            </w:r>
            <w:r>
              <w:rPr>
                <w:b/>
                <w:bCs/>
                <w:i/>
                <w:lang w:val="pt-BR"/>
              </w:rPr>
              <w:tab/>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16479" cy="1662359"/>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066863" name=""/>
                              <pic:cNvPicPr>
                                <a:picLocks noChangeAspect="1"/>
                              </pic:cNvPicPr>
                              <pic:nvPr/>
                            </pic:nvPicPr>
                            <pic:blipFill rotWithShape="1">
                              <a:blip r:embed="rId27"/>
                              <a:stretch/>
                            </pic:blipFill>
                            <pic:spPr bwMode="auto">
                              <a:xfrm flipH="0" flipV="0">
                                <a:off x="0" y="0"/>
                                <a:ext cx="2216478" cy="16623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74.53pt;height:130.89pt;mso-wrap-distance-left:0.00pt;mso-wrap-distance-top:0.00pt;mso-wrap-distance-right:0.00pt;mso-wrap-distance-bottom:0.00pt;z-index:1;" stroked="false">
                      <v:imagedata r:id="rId27"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403716" cy="180278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117929" name=""/>
                              <pic:cNvPicPr>
                                <a:picLocks noChangeAspect="1"/>
                              </pic:cNvPicPr>
                              <pic:nvPr/>
                            </pic:nvPicPr>
                            <pic:blipFill rotWithShape="1">
                              <a:blip r:embed="rId28"/>
                              <a:stretch/>
                            </pic:blipFill>
                            <pic:spPr bwMode="auto">
                              <a:xfrm flipH="0" flipV="0">
                                <a:off x="0" y="0"/>
                                <a:ext cx="2403716" cy="180278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89.27pt;height:141.95pt;mso-wrap-distance-left:0.00pt;mso-wrap-distance-top:0.00pt;mso-wrap-distance-right:0.00pt;mso-wrap-distance-bottom:0.00pt;z-index:1;" stroked="false">
                      <v:imagedata r:id="rId28" o:title=""/>
                      <o:lock v:ext="edit" rotation="t"/>
                    </v:shape>
                  </w:pict>
                </mc:Fallback>
              </mc:AlternateContent>
            </w:r>
            <w:r>
              <w:rPr>
                <w:i/>
                <w:lang w:val="pt-BR"/>
              </w:rPr>
            </w:r>
            <w:r>
              <w:rPr>
                <w:i/>
                <w:lang w:val="pt-BR"/>
              </w:rPr>
            </w:r>
          </w:p>
        </w:tc>
      </w:tr>
    </w:tbl>
    <w:p>
      <w:pPr>
        <w:pBdr/>
        <w:spacing/>
        <w:ind/>
        <w:jc w:val="center"/>
        <w:rPr>
          <w:highlight w:val="none"/>
        </w:rPr>
      </w:pPr>
      <w:r>
        <mc:AlternateContent>
          <mc:Choice Requires="wpg">
            <w:drawing>
              <wp:inline xmlns:wp="http://schemas.openxmlformats.org/drawingml/2006/wordprocessingDrawing" distT="0" distB="0" distL="0" distR="0">
                <wp:extent cx="2894524" cy="3807676"/>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079733" name=""/>
                        <pic:cNvPicPr>
                          <a:picLocks noChangeAspect="1"/>
                        </pic:cNvPicPr>
                        <pic:nvPr/>
                      </pic:nvPicPr>
                      <pic:blipFill rotWithShape="1">
                        <a:blip r:embed="rId29"/>
                        <a:srcRect l="0" t="9426" r="8265" b="0"/>
                        <a:stretch/>
                      </pic:blipFill>
                      <pic:spPr bwMode="auto">
                        <a:xfrm flipH="0" flipV="0">
                          <a:off x="0" y="0"/>
                          <a:ext cx="2894523" cy="38076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7.92pt;height:299.82pt;mso-wrap-distance-left:0.00pt;mso-wrap-distance-top:0.00pt;mso-wrap-distance-right:0.00pt;mso-wrap-distance-bottom:0.00pt;z-index:1;" stroked="false">
                <v:imagedata r:id="rId29" o:title="" croptop="6177f" cropleft="0f" cropbottom="0f" cropright="5417f"/>
                <o:lock v:ext="edit" rotation="t"/>
              </v:shape>
            </w:pict>
          </mc:Fallback>
        </mc:AlternateContent>
      </w:r>
      <w:r>
        <w:rPr>
          <w:highlight w:val="none"/>
        </w:rPr>
      </w:r>
      <w:r>
        <w:rPr>
          <w:highlight w:val="none"/>
        </w:rPr>
      </w:r>
    </w:p>
    <w:p>
      <w:pPr>
        <w:pBdr/>
        <w:spacing/>
        <w:ind/>
        <w:jc w:val="center"/>
        <w:rPr/>
      </w:pPr>
      <w:r>
        <w:rPr>
          <w:highlight w:val="none"/>
        </w:rPr>
      </w:r>
      <w:r>
        <mc:AlternateContent>
          <mc:Choice Requires="wpg">
            <w:drawing>
              <wp:inline xmlns:wp="http://schemas.openxmlformats.org/drawingml/2006/wordprocessingDrawing" distT="0" distB="0" distL="0" distR="0">
                <wp:extent cx="5992331" cy="4207796"/>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544565" name=""/>
                        <pic:cNvPicPr>
                          <a:picLocks noChangeAspect="1"/>
                        </pic:cNvPicPr>
                        <pic:nvPr/>
                      </pic:nvPicPr>
                      <pic:blipFill rotWithShape="1">
                        <a:blip r:embed="rId30"/>
                        <a:srcRect l="0" t="8300" r="2108" b="0"/>
                        <a:stretch/>
                      </pic:blipFill>
                      <pic:spPr bwMode="auto">
                        <a:xfrm flipH="0" flipV="0">
                          <a:off x="0" y="0"/>
                          <a:ext cx="5992331" cy="42077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1.84pt;height:331.32pt;mso-wrap-distance-left:0.00pt;mso-wrap-distance-top:0.00pt;mso-wrap-distance-right:0.00pt;mso-wrap-distance-bottom:0.00pt;z-index:1;" stroked="false">
                <v:imagedata r:id="rId30" o:title="" croptop="5439f" cropleft="0f" cropbottom="0f" cropright="1381f"/>
                <o:lock v:ext="edit" rotation="t"/>
              </v:shape>
            </w:pict>
          </mc:Fallback>
        </mc:AlternateContent>
      </w:r>
      <w:r>
        <w:rPr>
          <w:highlight w:val="none"/>
        </w:r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275/2026/0557/VFI-BC.44.A</w:t>
      </w:r>
      <w:r>
        <w:rPr>
          <w:i/>
          <w:lang w:val="pt-BR"/>
        </w:rPr>
        <w:t xml:space="preserve"> ngày </w:t>
      </w:r>
      <w:r>
        <w:rPr>
          <w:i/>
          <w:lang w:val="pt-BR"/>
        </w:rPr>
        <w:t xml:space="preserve">10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0972.651584</w:t>
            </w:r>
            <w:r>
              <w:rPr>
                <w:sz w:val="22"/>
                <w:szCs w:val="22"/>
              </w:rPr>
              <w:t xml:space="preserve"> </w:t>
            </w:r>
            <w:r>
              <w:rPr>
                <w:sz w:val="22"/>
                <w:szCs w:val="22"/>
              </w:rPr>
              <w:br/>
              <w:t xml:space="preserve">(Chung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(99,1m²)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Khu dân cư Xã Phù Đổng, Thành phố Hà Nội, độ rộng đường trước mặt tài sản 5m, mặt tiền 6,5m, 21.052198882920226, 105.97348512830533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 ngõ thông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99,1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highlight w:val="none"/>
              </w:rPr>
            </w:pPr>
            <w:r>
              <w:rPr>
                <w:b/>
                <w:bCs/>
                <w:color w:val="000000"/>
                <w:sz w:val="22"/>
                <w:szCs w:val="22"/>
              </w:rPr>
              <w:t xml:space="preserve"> </w:t>
            </w:r>
            <w:r>
              <mc:AlternateContent>
                <mc:Choice Requires="wpg">
                  <w:drawing>
                    <wp:inline xmlns:wp="http://schemas.openxmlformats.org/drawingml/2006/wordprocessingDrawing" distT="0" distB="0" distL="0" distR="0">
                      <wp:extent cx="5286960" cy="3420266"/>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095932" name=""/>
                              <pic:cNvPicPr>
                                <a:picLocks noChangeAspect="1"/>
                              </pic:cNvPicPr>
                              <pic:nvPr/>
                            </pic:nvPicPr>
                            <pic:blipFill rotWithShape="1">
                              <a:blip r:embed="rId31"/>
                              <a:stretch/>
                            </pic:blipFill>
                            <pic:spPr bwMode="auto">
                              <a:xfrm rot="0" flipH="0" flipV="0">
                                <a:off x="0" y="0"/>
                                <a:ext cx="5286960" cy="34202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16.30pt;height:269.31pt;mso-wrap-distance-left:0.00pt;mso-wrap-distance-top:0.00pt;mso-wrap-distance-right:0.00pt;mso-wrap-distance-bottom:0.00pt;rotation:0;z-index:1;" stroked="false">
                      <v:imagedata r:id="rId31" o:title=""/>
                      <o:lock v:ext="edit" rotation="t"/>
                    </v:shape>
                  </w:pict>
                </mc:Fallback>
              </mc:AlternateContent>
            </w:r>
            <w:r>
              <w:rPr>
                <w:highlight w:val="none"/>
              </w:rPr>
            </w:r>
            <w:r>
              <w:rPr>
                <w:highlight w:val="none"/>
              </w:rPr>
            </w:r>
          </w:p>
          <w:p>
            <w:pPr>
              <w:pBdr/>
              <w:spacing w:line="276" w:lineRule="auto"/>
              <w:ind/>
              <w:rPr>
                <w:color w:val="000000"/>
                <w:sz w:val="22"/>
                <w:szCs w:val="22"/>
              </w:rPr>
            </w:pPr>
            <w:r>
              <w:rPr>
                <w:highlight w:val="none"/>
              </w:rPr>
            </w:r>
            <w:r>
              <mc:AlternateContent>
                <mc:Choice Requires="wpg">
                  <w:drawing>
                    <wp:inline xmlns:wp="http://schemas.openxmlformats.org/drawingml/2006/wordprocessingDrawing" distT="0" distB="0" distL="0" distR="0">
                      <wp:extent cx="4996428" cy="6661904"/>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002421" name=""/>
                              <pic:cNvPicPr>
                                <a:picLocks noChangeAspect="1"/>
                              </pic:cNvPicPr>
                              <pic:nvPr/>
                            </pic:nvPicPr>
                            <pic:blipFill rotWithShape="1">
                              <a:blip r:embed="rId32"/>
                              <a:stretch/>
                            </pic:blipFill>
                            <pic:spPr bwMode="auto">
                              <a:xfrm rot="0" flipH="0" flipV="0">
                                <a:off x="0" y="0"/>
                                <a:ext cx="4996426" cy="66619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93.42pt;height:524.56pt;mso-wrap-distance-left:0.00pt;mso-wrap-distance-top:0.00pt;mso-wrap-distance-right:0.00pt;mso-wrap-distance-bottom:0.00pt;rotation:0;z-index:1;" stroked="false">
                      <v:imagedata r:id="rId32" o:title=""/>
                      <o:lock v:ext="edit" rotation="t"/>
                    </v:shape>
                  </w:pict>
                </mc:Fallback>
              </mc:AlternateConten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b/>
          <w:bCs/>
          <w:iCs/>
          <w:lang w:val="pt-BR"/>
        </w:rPr>
      </w:pPr>
      <w:r>
        <w:rPr>
          <w:b/>
          <w:bCs/>
          <w:iCs/>
          <w:lang w:val="pt-BR"/>
        </w:rPr>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https://batdongsan.com.vn/ban-dat-xa-phu-dong-1/ban-gap-nen-54-7m2-tai-xom-1-vien-gia-lam-ha-noi-gia-cuc-chat-3-5-ty-pr44439044</w:t>
            </w:r>
            <w:r>
              <w:rPr>
                <w:color w:val="000000" w:themeColor="text1"/>
                <w:sz w:val="22"/>
                <w:szCs w:val="22"/>
              </w:rPr>
              <w:br/>
              <w:t xml:space="preserve">0356.426543</w:t>
            </w:r>
            <w:r>
              <w:rPr>
                <w:sz w:val="22"/>
                <w:szCs w:val="22"/>
              </w:rPr>
              <w:t xml:space="preserve"> </w:t>
            </w:r>
            <w:r>
              <w:rPr>
                <w:sz w:val="22"/>
                <w:szCs w:val="22"/>
              </w:rPr>
              <w:br/>
              <w:t xml:space="preserve">(Huong Hoa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4/2025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(54,1m²)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 Khu dân cư Xã Phù Đổng, Thành phố Hà Nộ</w:t>
            </w:r>
            <w:r>
              <w:rPr>
                <w:color w:val="000000" w:themeColor="text1"/>
                <w:sz w:val="22"/>
                <w:szCs w:val="22"/>
              </w:rPr>
              <w:t xml:space="preserve">i, độ rộng đường trước mặt tài sản 3,5m, mặt tiền 7,07m, 21.053684096467066, 105.976342575085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 đường thông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highlight w:val="none"/>
              </w:rPr>
            </w:pPr>
            <w:r>
              <w:rPr>
                <w:b/>
                <w:bCs/>
                <w:color w:val="000000"/>
                <w:sz w:val="22"/>
                <w:szCs w:val="22"/>
              </w:rPr>
              <w:t xml:space="preserve"> </w:t>
            </w:r>
            <w:r>
              <mc:AlternateContent>
                <mc:Choice Requires="wpg">
                  <w:drawing>
                    <wp:inline xmlns:wp="http://schemas.openxmlformats.org/drawingml/2006/wordprocessingDrawing" distT="0" distB="0" distL="0" distR="0">
                      <wp:extent cx="6048375" cy="4452184"/>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834234" name=""/>
                              <pic:cNvPicPr>
                                <a:picLocks noChangeAspect="1"/>
                              </pic:cNvPicPr>
                              <pic:nvPr/>
                            </pic:nvPicPr>
                            <pic:blipFill rotWithShape="1">
                              <a:blip r:embed="rId33"/>
                              <a:stretch/>
                            </pic:blipFill>
                            <pic:spPr bwMode="auto">
                              <a:xfrm>
                                <a:off x="0" y="0"/>
                                <a:ext cx="6048374" cy="44521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350.57pt;mso-wrap-distance-left:0.00pt;mso-wrap-distance-top:0.00pt;mso-wrap-distance-right:0.00pt;mso-wrap-distance-bottom:0.00pt;z-index:1;" stroked="false">
                      <v:imagedata r:id="rId33" o:title=""/>
                      <o:lock v:ext="edit" rotation="t"/>
                    </v:shape>
                  </w:pict>
                </mc:Fallback>
              </mc:AlternateContent>
            </w:r>
            <w:r>
              <w:rPr>
                <w:highlight w:val="none"/>
              </w:rPr>
            </w:r>
            <w:r>
              <w:rPr>
                <w:highlight w:val="none"/>
              </w:rPr>
            </w:r>
          </w:p>
          <w:p>
            <w:pPr>
              <w:pBdr/>
              <w:spacing w:line="276" w:lineRule="auto"/>
              <w:ind/>
              <w:rPr>
                <w:color w:val="000000"/>
                <w:sz w:val="22"/>
                <w:szCs w:val="22"/>
              </w:rPr>
            </w:pPr>
            <w:r>
              <w:rPr>
                <w:highlight w:val="none"/>
              </w:rPr>
            </w:r>
            <w:r>
              <mc:AlternateContent>
                <mc:Choice Requires="wpg">
                  <w:drawing>
                    <wp:inline xmlns:wp="http://schemas.openxmlformats.org/drawingml/2006/wordprocessingDrawing" distT="0" distB="0" distL="0" distR="0">
                      <wp:extent cx="5560008" cy="741334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070495" name=""/>
                              <pic:cNvPicPr>
                                <a:picLocks noChangeAspect="1"/>
                              </pic:cNvPicPr>
                              <pic:nvPr/>
                            </pic:nvPicPr>
                            <pic:blipFill rotWithShape="1">
                              <a:blip r:embed="rId34"/>
                              <a:stretch/>
                            </pic:blipFill>
                            <pic:spPr bwMode="auto">
                              <a:xfrm flipH="0" flipV="0">
                                <a:off x="0" y="0"/>
                                <a:ext cx="5560008" cy="741334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37.80pt;height:583.73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https://batdongsan.com.vn/ban-dat-xa-phu-dong-1/ban-126-8-m2-no-hau-sieu-vip-khu-gia-lam-ha-noi-pr45107338?gidzl=OSV1LzqGL3vdtSTNtGjTEMFPp5x0MrnZVecR2SjS3p5_Y9jRobe8CoIDcLcQNWXa8zwONcADuw9UtXTIFm</w:t>
            </w:r>
            <w:r>
              <w:rPr>
                <w:color w:val="000000" w:themeColor="text1"/>
                <w:sz w:val="22"/>
                <w:szCs w:val="22"/>
              </w:rPr>
              <w:br/>
            </w:r>
            <w:r>
              <w:rPr>
                <w:sz w:val="22"/>
                <w:szCs w:val="22"/>
              </w:rPr>
              <w:t xml:space="preserve">SĐT: </w:t>
            </w:r>
            <w:r>
              <w:rPr>
                <w:color w:val="000000" w:themeColor="text1"/>
                <w:sz w:val="22"/>
                <w:szCs w:val="22"/>
              </w:rPr>
              <w:t xml:space="preserve">0356.426543</w:t>
            </w:r>
            <w:r>
              <w:rPr>
                <w:sz w:val="22"/>
                <w:szCs w:val="22"/>
              </w:rPr>
              <w:t xml:space="preserve"> </w:t>
            </w:r>
            <w:r>
              <w:rPr>
                <w:sz w:val="22"/>
                <w:szCs w:val="22"/>
              </w:rPr>
              <w:br/>
              <w:t xml:space="preserve">(Hương Hoa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(126,8m²)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 Khu dân cư Xã Phù Đổng, Thành phố Hà Nội</w:t>
            </w:r>
            <w:r>
              <w:rPr>
                <w:color w:val="000000" w:themeColor="text1"/>
                <w:sz w:val="22"/>
                <w:szCs w:val="22"/>
              </w:rPr>
              <w:t xml:space="preserve">, độ rộng đường trước mặt tài sản 4m, mặt tiền 4.72m, 21.06803616046568, 105.99355985323922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  ngõ thông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126,8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120655"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5120655"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03.20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547486"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354748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79.33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0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Lê Đình Duy</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rPr>
      </w:pPr>
      <w:r>
        <w:rPr>
          <w:b/>
          <w:bCs/>
          <w:iCs/>
          <w:lang w:val="pt-BR"/>
        </w:rPr>
        <w:t xml:space="preserve">BIÊN BẢN KHẢO SÁT</w:t>
      </w:r>
      <w:r>
        <w:rPr>
          <w:b/>
          <w:bCs/>
          <w:iCs/>
        </w:rPr>
      </w:r>
      <w:r>
        <w:rPr>
          <w:b/>
          <w:bCs/>
          <w:i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5E7B96C2"/>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03E20B0D"/>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7C66128A"/>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0">
    <w:nsid w:val="3C3E8F86"/>
    <w:lvl w:ilvl="0">
      <w:isLgl w:val="false"/>
      <w:lvlJc w:val="left"/>
      <w:lvlText w:val="-"/>
      <w:numFmt w:val="bullet"/>
      <w:pPr>
        <w:pBdr/>
        <w:spacing/>
        <w:ind w:hanging="360" w:left="63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41">
    <w:nsid w:val="6AE29800"/>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761E3BAF"/>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9">
    <w:name w:val="Table Grid Light"/>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1"/>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2"/>
    <w:basedOn w:val="102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3"/>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Plain Table 4"/>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5"/>
    <w:basedOn w:val="102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w:basedOn w:val="102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w:basedOn w:val="102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1"/>
    <w:basedOn w:val="102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5"/>
    <w:basedOn w:val="102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6"/>
    <w:basedOn w:val="102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w:basedOn w:val="102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1"/>
    <w:basedOn w:val="102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2"/>
    <w:basedOn w:val="102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3"/>
    <w:basedOn w:val="102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4"/>
    <w:basedOn w:val="102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5"/>
    <w:basedOn w:val="102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6"/>
    <w:basedOn w:val="102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Accent 1"/>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 Accent 2"/>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3"/>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Accent 4"/>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 Accent 5"/>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6"/>
    <w:basedOn w:val="102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1">
    <w:name w:val="Grid Table 6 Colorful - Accent 1"/>
    <w:basedOn w:val="102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2">
    <w:name w:val="Grid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3">
    <w:name w:val="Grid Table 6 Colorful - Accent 3"/>
    <w:basedOn w:val="102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4">
    <w:name w:val="Grid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5">
    <w:name w:val="Grid Table 6 Colorful - Accent 5"/>
    <w:basedOn w:val="102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6">
    <w:name w:val="Grid Table 6 Colorful - Accent 6"/>
    <w:basedOn w:val="102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7">
    <w:name w:val="Grid Table 7 Colorful"/>
    <w:basedOn w:val="102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1"/>
    <w:basedOn w:val="102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2"/>
    <w:basedOn w:val="102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3"/>
    <w:basedOn w:val="102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4"/>
    <w:basedOn w:val="102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5"/>
    <w:basedOn w:val="102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6"/>
    <w:basedOn w:val="102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1"/>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2"/>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3"/>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4"/>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5"/>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6"/>
    <w:basedOn w:val="102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w:basedOn w:val="102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1"/>
    <w:basedOn w:val="102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2"/>
    <w:basedOn w:val="102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3"/>
    <w:basedOn w:val="102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4"/>
    <w:basedOn w:val="102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5"/>
    <w:basedOn w:val="102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6"/>
    <w:basedOn w:val="102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1"/>
    <w:basedOn w:val="102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2"/>
    <w:basedOn w:val="102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3"/>
    <w:basedOn w:val="102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4"/>
    <w:basedOn w:val="102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5"/>
    <w:basedOn w:val="102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6"/>
    <w:basedOn w:val="102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w:basedOn w:val="102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1"/>
    <w:basedOn w:val="102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2"/>
    <w:basedOn w:val="102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3"/>
    <w:basedOn w:val="102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4"/>
    <w:basedOn w:val="102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5"/>
    <w:basedOn w:val="102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6"/>
    <w:basedOn w:val="102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5 Dark"/>
    <w:basedOn w:val="102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1"/>
    <w:basedOn w:val="102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2"/>
    <w:basedOn w:val="102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3"/>
    <w:basedOn w:val="102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4"/>
    <w:basedOn w:val="102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5"/>
    <w:basedOn w:val="102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6"/>
    <w:basedOn w:val="102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6 Colorful"/>
    <w:basedOn w:val="102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1"/>
    <w:basedOn w:val="102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2"/>
    <w:basedOn w:val="102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3"/>
    <w:basedOn w:val="102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4"/>
    <w:basedOn w:val="102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5"/>
    <w:basedOn w:val="102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6"/>
    <w:basedOn w:val="102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7 Colorful"/>
    <w:basedOn w:val="102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7">
    <w:name w:val="List Table 7 Colorful - Accent 1"/>
    <w:basedOn w:val="102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8">
    <w:name w:val="List Table 7 Colorful - Accent 2"/>
    <w:basedOn w:val="102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9">
    <w:name w:val="List Table 7 Colorful - Accent 3"/>
    <w:basedOn w:val="102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0">
    <w:name w:val="List Table 7 Colorful - Accent 4"/>
    <w:basedOn w:val="102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1">
    <w:name w:val="List Table 7 Colorful - Accent 5"/>
    <w:basedOn w:val="102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2">
    <w:name w:val="List Table 7 Colorful - Accent 6"/>
    <w:basedOn w:val="102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3">
    <w:name w:val="Lined - Accent"/>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1"/>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2"/>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3"/>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4"/>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5"/>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6"/>
    <w:basedOn w:val="102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w:basedOn w:val="102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1"/>
    <w:basedOn w:val="102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2"/>
    <w:basedOn w:val="102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3"/>
    <w:basedOn w:val="102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4"/>
    <w:basedOn w:val="102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5"/>
    <w:basedOn w:val="102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6"/>
    <w:basedOn w:val="102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w:basedOn w:val="102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1"/>
    <w:basedOn w:val="102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2"/>
    <w:basedOn w:val="102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3"/>
    <w:basedOn w:val="102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4"/>
    <w:basedOn w:val="102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5"/>
    <w:basedOn w:val="102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6"/>
    <w:basedOn w:val="102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4">
    <w:name w:val="Heading 5"/>
    <w:basedOn w:val="1015"/>
    <w:next w:val="1015"/>
    <w:link w:val="97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5">
    <w:name w:val="Heading 6"/>
    <w:basedOn w:val="1015"/>
    <w:next w:val="1015"/>
    <w:link w:val="98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6">
    <w:name w:val="Heading 7"/>
    <w:basedOn w:val="1015"/>
    <w:next w:val="1015"/>
    <w:link w:val="98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7">
    <w:name w:val="Heading 8"/>
    <w:basedOn w:val="1015"/>
    <w:next w:val="1015"/>
    <w:link w:val="98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8">
    <w:name w:val="Heading 9"/>
    <w:basedOn w:val="1015"/>
    <w:next w:val="1015"/>
    <w:link w:val="98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9">
    <w:name w:val="Heading 5 Char"/>
    <w:basedOn w:val="1020"/>
    <w:link w:val="974"/>
    <w:uiPriority w:val="9"/>
    <w:pPr>
      <w:pBdr/>
      <w:spacing/>
      <w:ind/>
    </w:pPr>
    <w:rPr>
      <w:rFonts w:ascii="Arial" w:hAnsi="Arial" w:eastAsia="Arial" w:cs="Arial"/>
      <w:color w:val="0f4761" w:themeColor="accent1" w:themeShade="BF"/>
    </w:rPr>
  </w:style>
  <w:style w:type="character" w:styleId="980">
    <w:name w:val="Heading 6 Char"/>
    <w:basedOn w:val="1020"/>
    <w:link w:val="975"/>
    <w:uiPriority w:val="9"/>
    <w:pPr>
      <w:pBdr/>
      <w:spacing/>
      <w:ind/>
    </w:pPr>
    <w:rPr>
      <w:rFonts w:ascii="Arial" w:hAnsi="Arial" w:eastAsia="Arial" w:cs="Arial"/>
      <w:i/>
      <w:iCs/>
      <w:color w:val="595959" w:themeColor="text1" w:themeTint="A6"/>
    </w:rPr>
  </w:style>
  <w:style w:type="character" w:styleId="981">
    <w:name w:val="Heading 7 Char"/>
    <w:basedOn w:val="1020"/>
    <w:link w:val="976"/>
    <w:uiPriority w:val="9"/>
    <w:pPr>
      <w:pBdr/>
      <w:spacing/>
      <w:ind/>
    </w:pPr>
    <w:rPr>
      <w:rFonts w:ascii="Arial" w:hAnsi="Arial" w:eastAsia="Arial" w:cs="Arial"/>
      <w:color w:val="595959" w:themeColor="text1" w:themeTint="A6"/>
    </w:rPr>
  </w:style>
  <w:style w:type="character" w:styleId="982">
    <w:name w:val="Heading 8 Char"/>
    <w:basedOn w:val="1020"/>
    <w:link w:val="977"/>
    <w:uiPriority w:val="9"/>
    <w:pPr>
      <w:pBdr/>
      <w:spacing/>
      <w:ind/>
    </w:pPr>
    <w:rPr>
      <w:rFonts w:ascii="Arial" w:hAnsi="Arial" w:eastAsia="Arial" w:cs="Arial"/>
      <w:i/>
      <w:iCs/>
      <w:color w:val="272727" w:themeColor="text1" w:themeTint="D8"/>
    </w:rPr>
  </w:style>
  <w:style w:type="character" w:styleId="983">
    <w:name w:val="Heading 9 Char"/>
    <w:basedOn w:val="1020"/>
    <w:link w:val="978"/>
    <w:uiPriority w:val="9"/>
    <w:pPr>
      <w:pBdr/>
      <w:spacing/>
      <w:ind/>
    </w:pPr>
    <w:rPr>
      <w:rFonts w:ascii="Arial" w:hAnsi="Arial" w:eastAsia="Arial" w:cs="Arial"/>
      <w:i/>
      <w:iCs/>
      <w:color w:val="272727" w:themeColor="text1" w:themeTint="D8"/>
    </w:rPr>
  </w:style>
  <w:style w:type="paragraph" w:styleId="984">
    <w:name w:val="Subtitle"/>
    <w:basedOn w:val="1015"/>
    <w:next w:val="1015"/>
    <w:link w:val="985"/>
    <w:uiPriority w:val="11"/>
    <w:qFormat/>
    <w:pPr>
      <w:numPr>
        <w:ilvl w:val="1"/>
      </w:numPr>
      <w:pBdr/>
      <w:spacing/>
      <w:ind/>
    </w:pPr>
    <w:rPr>
      <w:color w:val="595959" w:themeColor="text1" w:themeTint="A6"/>
      <w:spacing w:val="15"/>
      <w:sz w:val="28"/>
      <w:szCs w:val="28"/>
    </w:rPr>
  </w:style>
  <w:style w:type="character" w:styleId="985">
    <w:name w:val="Subtitle Char"/>
    <w:basedOn w:val="1020"/>
    <w:link w:val="984"/>
    <w:uiPriority w:val="11"/>
    <w:pPr>
      <w:pBdr/>
      <w:spacing/>
      <w:ind/>
    </w:pPr>
    <w:rPr>
      <w:color w:val="595959" w:themeColor="text1" w:themeTint="A6"/>
      <w:spacing w:val="15"/>
      <w:sz w:val="28"/>
      <w:szCs w:val="28"/>
    </w:rPr>
  </w:style>
  <w:style w:type="paragraph" w:styleId="986">
    <w:name w:val="Quote"/>
    <w:basedOn w:val="1015"/>
    <w:next w:val="1015"/>
    <w:link w:val="987"/>
    <w:uiPriority w:val="29"/>
    <w:qFormat/>
    <w:pPr>
      <w:pBdr/>
      <w:spacing w:before="160"/>
      <w:ind/>
      <w:jc w:val="center"/>
    </w:pPr>
    <w:rPr>
      <w:i/>
      <w:iCs/>
      <w:color w:val="404040" w:themeColor="text1" w:themeTint="BF"/>
    </w:rPr>
  </w:style>
  <w:style w:type="character" w:styleId="987">
    <w:name w:val="Quote Char"/>
    <w:basedOn w:val="1020"/>
    <w:link w:val="986"/>
    <w:uiPriority w:val="29"/>
    <w:pPr>
      <w:pBdr/>
      <w:spacing/>
      <w:ind/>
    </w:pPr>
    <w:rPr>
      <w:i/>
      <w:iCs/>
      <w:color w:val="404040" w:themeColor="text1" w:themeTint="BF"/>
    </w:rPr>
  </w:style>
  <w:style w:type="character" w:styleId="988">
    <w:name w:val="Intense Emphasis"/>
    <w:basedOn w:val="1020"/>
    <w:uiPriority w:val="21"/>
    <w:qFormat/>
    <w:pPr>
      <w:pBdr/>
      <w:spacing/>
      <w:ind/>
    </w:pPr>
    <w:rPr>
      <w:i/>
      <w:iCs/>
      <w:color w:val="0f4761" w:themeColor="accent1" w:themeShade="BF"/>
    </w:rPr>
  </w:style>
  <w:style w:type="paragraph" w:styleId="989">
    <w:name w:val="Intense Quote"/>
    <w:basedOn w:val="1015"/>
    <w:next w:val="1015"/>
    <w:link w:val="99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0">
    <w:name w:val="Intense Quote Char"/>
    <w:basedOn w:val="1020"/>
    <w:link w:val="989"/>
    <w:uiPriority w:val="30"/>
    <w:pPr>
      <w:pBdr/>
      <w:spacing/>
      <w:ind/>
    </w:pPr>
    <w:rPr>
      <w:i/>
      <w:iCs/>
      <w:color w:val="0f4761" w:themeColor="accent1" w:themeShade="BF"/>
    </w:rPr>
  </w:style>
  <w:style w:type="character" w:styleId="991">
    <w:name w:val="Intense Reference"/>
    <w:basedOn w:val="1020"/>
    <w:uiPriority w:val="32"/>
    <w:qFormat/>
    <w:pPr>
      <w:pBdr/>
      <w:spacing/>
      <w:ind/>
    </w:pPr>
    <w:rPr>
      <w:b/>
      <w:bCs/>
      <w:smallCaps/>
      <w:color w:val="0f4761" w:themeColor="accent1" w:themeShade="BF"/>
      <w:spacing w:val="5"/>
    </w:rPr>
  </w:style>
  <w:style w:type="paragraph" w:styleId="992">
    <w:name w:val="No Spacing"/>
    <w:basedOn w:val="1015"/>
    <w:uiPriority w:val="1"/>
    <w:qFormat/>
    <w:pPr>
      <w:pBdr/>
      <w:spacing w:after="0" w:line="240" w:lineRule="auto"/>
      <w:ind/>
    </w:pPr>
  </w:style>
  <w:style w:type="character" w:styleId="993">
    <w:name w:val="Subtle Emphasis"/>
    <w:basedOn w:val="1020"/>
    <w:uiPriority w:val="19"/>
    <w:qFormat/>
    <w:pPr>
      <w:pBdr/>
      <w:spacing/>
      <w:ind/>
    </w:pPr>
    <w:rPr>
      <w:i/>
      <w:iCs/>
      <w:color w:val="404040" w:themeColor="text1" w:themeTint="BF"/>
    </w:rPr>
  </w:style>
  <w:style w:type="character" w:styleId="994">
    <w:name w:val="Subtle Reference"/>
    <w:basedOn w:val="1020"/>
    <w:uiPriority w:val="31"/>
    <w:qFormat/>
    <w:pPr>
      <w:pBdr/>
      <w:spacing/>
      <w:ind/>
    </w:pPr>
    <w:rPr>
      <w:smallCaps/>
      <w:color w:val="5a5a5a" w:themeColor="text1" w:themeTint="A5"/>
    </w:rPr>
  </w:style>
  <w:style w:type="character" w:styleId="995">
    <w:name w:val="Book Title"/>
    <w:basedOn w:val="1020"/>
    <w:uiPriority w:val="33"/>
    <w:qFormat/>
    <w:pPr>
      <w:pBdr/>
      <w:spacing/>
      <w:ind/>
    </w:pPr>
    <w:rPr>
      <w:b/>
      <w:bCs/>
      <w:i/>
      <w:iCs/>
      <w:spacing w:val="5"/>
    </w:rPr>
  </w:style>
  <w:style w:type="paragraph" w:styleId="996">
    <w:name w:val="Caption"/>
    <w:basedOn w:val="1015"/>
    <w:next w:val="1015"/>
    <w:uiPriority w:val="35"/>
    <w:unhideWhenUsed/>
    <w:qFormat/>
    <w:pPr>
      <w:pBdr/>
      <w:spacing w:after="200" w:line="240" w:lineRule="auto"/>
      <w:ind/>
    </w:pPr>
    <w:rPr>
      <w:i/>
      <w:iCs/>
      <w:color w:val="0e2841" w:themeColor="text2"/>
      <w:sz w:val="18"/>
      <w:szCs w:val="18"/>
    </w:rPr>
  </w:style>
  <w:style w:type="paragraph" w:styleId="997">
    <w:name w:val="footnote text"/>
    <w:basedOn w:val="1015"/>
    <w:link w:val="998"/>
    <w:uiPriority w:val="99"/>
    <w:semiHidden/>
    <w:unhideWhenUsed/>
    <w:pPr>
      <w:pBdr/>
      <w:spacing w:after="0" w:line="240" w:lineRule="auto"/>
      <w:ind/>
    </w:pPr>
    <w:rPr>
      <w:sz w:val="20"/>
      <w:szCs w:val="20"/>
    </w:rPr>
  </w:style>
  <w:style w:type="character" w:styleId="998">
    <w:name w:val="Footnote Text Char"/>
    <w:basedOn w:val="1020"/>
    <w:link w:val="997"/>
    <w:uiPriority w:val="99"/>
    <w:semiHidden/>
    <w:pPr>
      <w:pBdr/>
      <w:spacing/>
      <w:ind/>
    </w:pPr>
    <w:rPr>
      <w:sz w:val="20"/>
      <w:szCs w:val="20"/>
    </w:rPr>
  </w:style>
  <w:style w:type="character" w:styleId="999">
    <w:name w:val="footnote reference"/>
    <w:basedOn w:val="1020"/>
    <w:uiPriority w:val="99"/>
    <w:semiHidden/>
    <w:unhideWhenUsed/>
    <w:pPr>
      <w:pBdr/>
      <w:spacing/>
      <w:ind/>
    </w:pPr>
    <w:rPr>
      <w:vertAlign w:val="superscript"/>
    </w:rPr>
  </w:style>
  <w:style w:type="paragraph" w:styleId="1000">
    <w:name w:val="endnote text"/>
    <w:basedOn w:val="1015"/>
    <w:link w:val="1001"/>
    <w:uiPriority w:val="99"/>
    <w:semiHidden/>
    <w:unhideWhenUsed/>
    <w:pPr>
      <w:pBdr/>
      <w:spacing w:after="0" w:line="240" w:lineRule="auto"/>
      <w:ind/>
    </w:pPr>
    <w:rPr>
      <w:sz w:val="20"/>
      <w:szCs w:val="20"/>
    </w:rPr>
  </w:style>
  <w:style w:type="character" w:styleId="1001">
    <w:name w:val="Endnote Text Char"/>
    <w:basedOn w:val="1020"/>
    <w:link w:val="1000"/>
    <w:uiPriority w:val="99"/>
    <w:semiHidden/>
    <w:pPr>
      <w:pBdr/>
      <w:spacing/>
      <w:ind/>
    </w:pPr>
    <w:rPr>
      <w:sz w:val="20"/>
      <w:szCs w:val="20"/>
    </w:rPr>
  </w:style>
  <w:style w:type="character" w:styleId="1002">
    <w:name w:val="endnote reference"/>
    <w:basedOn w:val="1020"/>
    <w:uiPriority w:val="99"/>
    <w:semiHidden/>
    <w:unhideWhenUsed/>
    <w:pPr>
      <w:pBdr/>
      <w:spacing/>
      <w:ind/>
    </w:pPr>
    <w:rPr>
      <w:vertAlign w:val="superscript"/>
    </w:rPr>
  </w:style>
  <w:style w:type="paragraph" w:styleId="1003">
    <w:name w:val="toc 1"/>
    <w:basedOn w:val="1015"/>
    <w:next w:val="1015"/>
    <w:uiPriority w:val="39"/>
    <w:unhideWhenUsed/>
    <w:pPr>
      <w:pBdr/>
      <w:spacing w:after="100"/>
      <w:ind/>
    </w:pPr>
  </w:style>
  <w:style w:type="paragraph" w:styleId="1004">
    <w:name w:val="toc 2"/>
    <w:basedOn w:val="1015"/>
    <w:next w:val="1015"/>
    <w:uiPriority w:val="39"/>
    <w:unhideWhenUsed/>
    <w:pPr>
      <w:pBdr/>
      <w:spacing w:after="100"/>
      <w:ind w:left="220"/>
    </w:pPr>
  </w:style>
  <w:style w:type="paragraph" w:styleId="1005">
    <w:name w:val="toc 3"/>
    <w:basedOn w:val="1015"/>
    <w:next w:val="1015"/>
    <w:uiPriority w:val="39"/>
    <w:unhideWhenUsed/>
    <w:pPr>
      <w:pBdr/>
      <w:spacing w:after="100"/>
      <w:ind w:left="440"/>
    </w:pPr>
  </w:style>
  <w:style w:type="paragraph" w:styleId="1006">
    <w:name w:val="toc 4"/>
    <w:basedOn w:val="1015"/>
    <w:next w:val="1015"/>
    <w:uiPriority w:val="39"/>
    <w:unhideWhenUsed/>
    <w:pPr>
      <w:pBdr/>
      <w:spacing w:after="100"/>
      <w:ind w:left="660"/>
    </w:pPr>
  </w:style>
  <w:style w:type="paragraph" w:styleId="1007">
    <w:name w:val="toc 5"/>
    <w:basedOn w:val="1015"/>
    <w:next w:val="1015"/>
    <w:uiPriority w:val="39"/>
    <w:unhideWhenUsed/>
    <w:pPr>
      <w:pBdr/>
      <w:spacing w:after="100"/>
      <w:ind w:left="880"/>
    </w:pPr>
  </w:style>
  <w:style w:type="paragraph" w:styleId="1008">
    <w:name w:val="toc 6"/>
    <w:basedOn w:val="1015"/>
    <w:next w:val="1015"/>
    <w:uiPriority w:val="39"/>
    <w:unhideWhenUsed/>
    <w:pPr>
      <w:pBdr/>
      <w:spacing w:after="100"/>
      <w:ind w:left="1100"/>
    </w:pPr>
  </w:style>
  <w:style w:type="paragraph" w:styleId="1009">
    <w:name w:val="toc 7"/>
    <w:basedOn w:val="1015"/>
    <w:next w:val="1015"/>
    <w:uiPriority w:val="39"/>
    <w:unhideWhenUsed/>
    <w:pPr>
      <w:pBdr/>
      <w:spacing w:after="100"/>
      <w:ind w:left="1320"/>
    </w:pPr>
  </w:style>
  <w:style w:type="paragraph" w:styleId="1010">
    <w:name w:val="toc 8"/>
    <w:basedOn w:val="1015"/>
    <w:next w:val="1015"/>
    <w:uiPriority w:val="39"/>
    <w:unhideWhenUsed/>
    <w:pPr>
      <w:pBdr/>
      <w:spacing w:after="100"/>
      <w:ind w:left="1540"/>
    </w:pPr>
  </w:style>
  <w:style w:type="paragraph" w:styleId="1011">
    <w:name w:val="toc 9"/>
    <w:basedOn w:val="1015"/>
    <w:next w:val="1015"/>
    <w:uiPriority w:val="39"/>
    <w:unhideWhenUsed/>
    <w:pPr>
      <w:pBdr/>
      <w:spacing w:after="100"/>
      <w:ind w:left="1760"/>
    </w:pPr>
  </w:style>
  <w:style w:type="character" w:styleId="1012">
    <w:name w:val="Placeholder Text"/>
    <w:basedOn w:val="1020"/>
    <w:uiPriority w:val="99"/>
    <w:semiHidden/>
    <w:pPr>
      <w:pBdr/>
      <w:spacing/>
      <w:ind/>
    </w:pPr>
    <w:rPr>
      <w:color w:val="666666"/>
    </w:rPr>
  </w:style>
  <w:style w:type="paragraph" w:styleId="1013">
    <w:name w:val="TOC Heading"/>
    <w:uiPriority w:val="39"/>
    <w:unhideWhenUsed/>
    <w:pPr>
      <w:pBdr/>
      <w:spacing/>
      <w:ind/>
    </w:pPr>
  </w:style>
  <w:style w:type="paragraph" w:styleId="1014">
    <w:name w:val="table of figures"/>
    <w:basedOn w:val="1015"/>
    <w:next w:val="1015"/>
    <w:uiPriority w:val="99"/>
    <w:unhideWhenUsed/>
    <w:pPr>
      <w:pBdr/>
      <w:spacing w:after="0" w:afterAutospacing="0"/>
      <w:ind/>
    </w:pPr>
  </w:style>
  <w:style w:type="paragraph" w:styleId="1015" w:default="1">
    <w:name w:val="Normal"/>
    <w:qFormat/>
    <w:pPr>
      <w:pBdr/>
      <w:spacing w:after="0" w:line="240" w:lineRule="auto"/>
      <w:ind/>
    </w:pPr>
    <w:rPr>
      <w:rFonts w:ascii="Times New Roman" w:hAnsi="Times New Roman" w:eastAsia="Times New Roman" w:cs="Times New Roman"/>
      <w:sz w:val="24"/>
      <w:szCs w:val="24"/>
    </w:rPr>
  </w:style>
  <w:style w:type="paragraph" w:styleId="1016">
    <w:name w:val="Heading 1"/>
    <w:basedOn w:val="1015"/>
    <w:next w:val="1015"/>
    <w:link w:val="1023"/>
    <w:qFormat/>
    <w:pPr>
      <w:keepNext w:val="true"/>
      <w:pBdr/>
      <w:spacing w:after="120" w:before="120"/>
      <w:ind/>
      <w:jc w:val="center"/>
      <w:outlineLvl w:val="0"/>
    </w:pPr>
    <w:rPr>
      <w:b/>
      <w:bCs/>
      <w:sz w:val="27"/>
      <w:szCs w:val="27"/>
    </w:rPr>
  </w:style>
  <w:style w:type="paragraph" w:styleId="1017">
    <w:name w:val="Heading 2"/>
    <w:basedOn w:val="1015"/>
    <w:next w:val="1015"/>
    <w:link w:val="102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8">
    <w:name w:val="Heading 3"/>
    <w:basedOn w:val="1015"/>
    <w:next w:val="1015"/>
    <w:link w:val="1025"/>
    <w:qFormat/>
    <w:pPr>
      <w:keepNext w:val="true"/>
      <w:pBdr/>
      <w:spacing w:before="60"/>
      <w:ind/>
      <w:outlineLvl w:val="2"/>
    </w:pPr>
    <w:rPr>
      <w:sz w:val="28"/>
      <w:szCs w:val="28"/>
    </w:rPr>
  </w:style>
  <w:style w:type="paragraph" w:styleId="1019">
    <w:name w:val="Heading 4"/>
    <w:basedOn w:val="1015"/>
    <w:next w:val="1015"/>
    <w:link w:val="1026"/>
    <w:qFormat/>
    <w:pPr>
      <w:keepNext w:val="true"/>
      <w:pBdr/>
      <w:spacing/>
      <w:ind/>
      <w:jc w:val="center"/>
      <w:outlineLvl w:val="3"/>
    </w:pPr>
    <w:rPr>
      <w:b/>
      <w:bCs/>
    </w:rPr>
  </w:style>
  <w:style w:type="character" w:styleId="1020" w:default="1">
    <w:name w:val="Default Paragraph Font"/>
    <w:uiPriority w:val="1"/>
    <w:semiHidden/>
    <w:unhideWhenUsed/>
    <w:pPr>
      <w:pBdr/>
      <w:spacing/>
      <w:ind/>
    </w:pPr>
  </w:style>
  <w:style w:type="table" w:styleId="102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2" w:default="1">
    <w:name w:val="No List"/>
    <w:uiPriority w:val="99"/>
    <w:semiHidden/>
    <w:unhideWhenUsed/>
    <w:pPr>
      <w:pBdr/>
      <w:spacing/>
      <w:ind/>
    </w:pPr>
  </w:style>
  <w:style w:type="character" w:styleId="1023" w:customStyle="1">
    <w:name w:val="Heading 1 Char"/>
    <w:basedOn w:val="1020"/>
    <w:link w:val="1016"/>
    <w:pPr>
      <w:pBdr/>
      <w:spacing/>
      <w:ind/>
    </w:pPr>
    <w:rPr>
      <w:rFonts w:ascii="Times New Roman" w:hAnsi="Times New Roman" w:eastAsia="Times New Roman" w:cs="Times New Roman"/>
      <w:b/>
      <w:bCs/>
      <w:sz w:val="27"/>
      <w:szCs w:val="27"/>
    </w:rPr>
  </w:style>
  <w:style w:type="character" w:styleId="1024" w:customStyle="1">
    <w:name w:val="Heading 2 Char"/>
    <w:basedOn w:val="1020"/>
    <w:link w:val="1017"/>
    <w:uiPriority w:val="9"/>
    <w:pPr>
      <w:pBdr/>
      <w:spacing/>
      <w:ind/>
    </w:pPr>
    <w:rPr>
      <w:rFonts w:asciiTheme="majorHAnsi" w:hAnsiTheme="majorHAnsi" w:eastAsiaTheme="majorEastAsia" w:cstheme="majorBidi"/>
      <w:color w:val="365f91" w:themeColor="accent1" w:themeShade="BF"/>
      <w:sz w:val="26"/>
      <w:szCs w:val="26"/>
    </w:rPr>
  </w:style>
  <w:style w:type="character" w:styleId="1025" w:customStyle="1">
    <w:name w:val="Heading 3 Char"/>
    <w:basedOn w:val="1020"/>
    <w:link w:val="1018"/>
    <w:pPr>
      <w:pBdr/>
      <w:spacing/>
      <w:ind/>
    </w:pPr>
    <w:rPr>
      <w:rFonts w:ascii="Times New Roman" w:hAnsi="Times New Roman" w:eastAsia="Times New Roman" w:cs="Times New Roman"/>
      <w:sz w:val="28"/>
      <w:szCs w:val="28"/>
    </w:rPr>
  </w:style>
  <w:style w:type="character" w:styleId="1026" w:customStyle="1">
    <w:name w:val="Heading 4 Char"/>
    <w:basedOn w:val="1020"/>
    <w:link w:val="1019"/>
    <w:pPr>
      <w:pBdr/>
      <w:spacing/>
      <w:ind/>
    </w:pPr>
    <w:rPr>
      <w:rFonts w:ascii="Times New Roman" w:hAnsi="Times New Roman" w:eastAsia="Times New Roman" w:cs="Times New Roman"/>
      <w:b/>
      <w:bCs/>
      <w:sz w:val="24"/>
      <w:szCs w:val="24"/>
    </w:rPr>
  </w:style>
  <w:style w:type="character" w:styleId="1027">
    <w:name w:val="Hyperlink"/>
    <w:uiPriority w:val="99"/>
    <w:pPr>
      <w:pBdr/>
      <w:spacing/>
      <w:ind/>
    </w:pPr>
    <w:rPr>
      <w:color w:val="000000"/>
      <w:u w:val="single"/>
    </w:rPr>
  </w:style>
  <w:style w:type="character" w:styleId="1028">
    <w:name w:val="Strong"/>
    <w:uiPriority w:val="22"/>
    <w:qFormat/>
    <w:pPr>
      <w:pBdr/>
      <w:spacing/>
      <w:ind/>
    </w:pPr>
    <w:rPr>
      <w:b/>
      <w:bCs/>
    </w:rPr>
  </w:style>
  <w:style w:type="paragraph" w:styleId="1029">
    <w:name w:val="Balloon Text"/>
    <w:basedOn w:val="1015"/>
    <w:link w:val="1030"/>
    <w:uiPriority w:val="99"/>
    <w:semiHidden/>
    <w:unhideWhenUsed/>
    <w:pPr>
      <w:pBdr/>
      <w:spacing/>
      <w:ind/>
    </w:pPr>
    <w:rPr>
      <w:rFonts w:ascii="Tahoma" w:hAnsi="Tahoma" w:cs="Tahoma"/>
      <w:sz w:val="16"/>
      <w:szCs w:val="16"/>
    </w:rPr>
  </w:style>
  <w:style w:type="character" w:styleId="1030" w:customStyle="1">
    <w:name w:val="Balloon Text Char"/>
    <w:basedOn w:val="1020"/>
    <w:link w:val="1029"/>
    <w:uiPriority w:val="99"/>
    <w:semiHidden/>
    <w:pPr>
      <w:pBdr/>
      <w:spacing/>
      <w:ind/>
    </w:pPr>
    <w:rPr>
      <w:rFonts w:ascii="Tahoma" w:hAnsi="Tahoma" w:eastAsia="Times New Roman" w:cs="Tahoma"/>
      <w:sz w:val="16"/>
      <w:szCs w:val="16"/>
    </w:rPr>
  </w:style>
  <w:style w:type="paragraph" w:styleId="1031">
    <w:name w:val="Header"/>
    <w:basedOn w:val="1015"/>
    <w:link w:val="1032"/>
    <w:unhideWhenUsed/>
    <w:pPr>
      <w:pBdr/>
      <w:tabs>
        <w:tab w:val="center" w:leader="none" w:pos="4680"/>
        <w:tab w:val="right" w:leader="none" w:pos="9360"/>
      </w:tabs>
      <w:spacing/>
      <w:ind/>
    </w:pPr>
  </w:style>
  <w:style w:type="character" w:styleId="1032" w:customStyle="1">
    <w:name w:val="Header Char"/>
    <w:basedOn w:val="1020"/>
    <w:link w:val="1031"/>
    <w:pPr>
      <w:pBdr/>
      <w:spacing/>
      <w:ind/>
    </w:pPr>
    <w:rPr>
      <w:rFonts w:ascii="Times New Roman" w:hAnsi="Times New Roman" w:eastAsia="Times New Roman" w:cs="Times New Roman"/>
      <w:sz w:val="24"/>
      <w:szCs w:val="24"/>
    </w:rPr>
  </w:style>
  <w:style w:type="paragraph" w:styleId="1033">
    <w:name w:val="Footer"/>
    <w:basedOn w:val="1015"/>
    <w:link w:val="1034"/>
    <w:uiPriority w:val="99"/>
    <w:unhideWhenUsed/>
    <w:pPr>
      <w:pBdr/>
      <w:tabs>
        <w:tab w:val="center" w:leader="none" w:pos="4680"/>
        <w:tab w:val="right" w:leader="none" w:pos="9360"/>
      </w:tabs>
      <w:spacing/>
      <w:ind/>
    </w:pPr>
  </w:style>
  <w:style w:type="character" w:styleId="1034" w:customStyle="1">
    <w:name w:val="Footer Char"/>
    <w:basedOn w:val="1020"/>
    <w:link w:val="1033"/>
    <w:uiPriority w:val="99"/>
    <w:pPr>
      <w:pBdr/>
      <w:spacing/>
      <w:ind/>
    </w:pPr>
    <w:rPr>
      <w:rFonts w:ascii="Times New Roman" w:hAnsi="Times New Roman" w:eastAsia="Times New Roman" w:cs="Times New Roman"/>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normal-p"/>
    <w:basedOn w:val="1015"/>
    <w:pPr>
      <w:pBdr/>
      <w:spacing/>
      <w:ind/>
      <w:jc w:val="both"/>
    </w:pPr>
    <w:rPr>
      <w:sz w:val="20"/>
      <w:szCs w:val="20"/>
    </w:rPr>
  </w:style>
  <w:style w:type="paragraph" w:styleId="1037">
    <w:name w:val="List Paragraph"/>
    <w:basedOn w:val="1015"/>
    <w:link w:val="1124"/>
    <w:uiPriority w:val="34"/>
    <w:qFormat/>
    <w:pPr>
      <w:pBdr/>
      <w:spacing/>
      <w:ind w:left="720"/>
    </w:pPr>
  </w:style>
  <w:style w:type="paragraph" w:styleId="1038">
    <w:name w:val="Normal (Web)"/>
    <w:basedOn w:val="1015"/>
    <w:uiPriority w:val="99"/>
    <w:pPr>
      <w:pBdr/>
      <w:spacing w:after="100" w:afterAutospacing="1" w:before="100" w:beforeAutospacing="1"/>
      <w:ind/>
    </w:pPr>
  </w:style>
  <w:style w:type="paragraph" w:styleId="1039">
    <w:name w:val="Body Text"/>
    <w:basedOn w:val="1015"/>
    <w:link w:val="1040"/>
    <w:pPr>
      <w:pBdr/>
      <w:spacing w:after="120"/>
      <w:ind/>
      <w:jc w:val="both"/>
    </w:pPr>
  </w:style>
  <w:style w:type="character" w:styleId="1040" w:customStyle="1">
    <w:name w:val="Body Text Char"/>
    <w:basedOn w:val="1020"/>
    <w:link w:val="1039"/>
    <w:pPr>
      <w:pBdr/>
      <w:spacing/>
      <w:ind/>
    </w:pPr>
    <w:rPr>
      <w:rFonts w:ascii="Times New Roman" w:hAnsi="Times New Roman" w:eastAsia="Times New Roman" w:cs="Times New Roman"/>
      <w:sz w:val="24"/>
      <w:szCs w:val="24"/>
    </w:rPr>
  </w:style>
  <w:style w:type="table" w:styleId="1041">
    <w:name w:val="Table Grid"/>
    <w:basedOn w:val="102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3">
    <w:name w:val="annotation reference"/>
    <w:basedOn w:val="1020"/>
    <w:uiPriority w:val="99"/>
    <w:semiHidden/>
    <w:unhideWhenUsed/>
    <w:pPr>
      <w:pBdr/>
      <w:spacing/>
      <w:ind/>
    </w:pPr>
    <w:rPr>
      <w:sz w:val="16"/>
      <w:szCs w:val="16"/>
    </w:rPr>
  </w:style>
  <w:style w:type="paragraph" w:styleId="1044">
    <w:name w:val="annotation text"/>
    <w:basedOn w:val="1015"/>
    <w:link w:val="1045"/>
    <w:uiPriority w:val="99"/>
    <w:unhideWhenUsed/>
    <w:pPr>
      <w:pBdr/>
      <w:spacing/>
      <w:ind/>
    </w:pPr>
    <w:rPr>
      <w:sz w:val="20"/>
      <w:szCs w:val="20"/>
    </w:rPr>
  </w:style>
  <w:style w:type="character" w:styleId="1045" w:customStyle="1">
    <w:name w:val="Comment Text Char"/>
    <w:basedOn w:val="1020"/>
    <w:link w:val="1044"/>
    <w:uiPriority w:val="99"/>
    <w:pPr>
      <w:pBdr/>
      <w:spacing/>
      <w:ind/>
    </w:pPr>
    <w:rPr>
      <w:rFonts w:ascii="Times New Roman" w:hAnsi="Times New Roman" w:eastAsia="Times New Roman" w:cs="Times New Roman"/>
      <w:sz w:val="20"/>
      <w:szCs w:val="20"/>
    </w:rPr>
  </w:style>
  <w:style w:type="paragraph" w:styleId="1046">
    <w:name w:val="annotation subject"/>
    <w:basedOn w:val="1044"/>
    <w:next w:val="1044"/>
    <w:link w:val="1047"/>
    <w:uiPriority w:val="99"/>
    <w:semiHidden/>
    <w:unhideWhenUsed/>
    <w:pPr>
      <w:pBdr/>
      <w:spacing/>
      <w:ind/>
    </w:pPr>
    <w:rPr>
      <w:b/>
      <w:bCs/>
    </w:rPr>
  </w:style>
  <w:style w:type="character" w:styleId="1047" w:customStyle="1">
    <w:name w:val="Comment Subject Char"/>
    <w:basedOn w:val="1045"/>
    <w:link w:val="1046"/>
    <w:uiPriority w:val="99"/>
    <w:semiHidden/>
    <w:pPr>
      <w:pBdr/>
      <w:spacing/>
      <w:ind/>
    </w:pPr>
    <w:rPr>
      <w:rFonts w:ascii="Times New Roman" w:hAnsi="Times New Roman" w:eastAsia="Times New Roman" w:cs="Times New Roman"/>
      <w:b/>
      <w:bCs/>
      <w:sz w:val="20"/>
      <w:szCs w:val="20"/>
    </w:rPr>
  </w:style>
  <w:style w:type="paragraph" w:styleId="1048" w:customStyle="1">
    <w:name w:val="font5"/>
    <w:basedOn w:val="1015"/>
    <w:pPr>
      <w:pBdr/>
      <w:spacing w:after="100" w:afterAutospacing="1" w:before="100" w:beforeAutospacing="1"/>
      <w:ind/>
    </w:pPr>
    <w:rPr>
      <w:rFonts w:ascii="Tahoma" w:hAnsi="Tahoma" w:cs="Tahoma"/>
      <w:color w:val="000000"/>
      <w:sz w:val="18"/>
      <w:szCs w:val="18"/>
    </w:rPr>
  </w:style>
  <w:style w:type="paragraph" w:styleId="1049" w:customStyle="1">
    <w:name w:val="font6"/>
    <w:basedOn w:val="1015"/>
    <w:pPr>
      <w:pBdr/>
      <w:spacing w:after="100" w:afterAutospacing="1" w:before="100" w:beforeAutospacing="1"/>
      <w:ind/>
    </w:pPr>
    <w:rPr>
      <w:rFonts w:ascii="Tahoma" w:hAnsi="Tahoma" w:cs="Tahoma"/>
      <w:b/>
      <w:bCs/>
      <w:color w:val="000000"/>
      <w:sz w:val="18"/>
      <w:szCs w:val="18"/>
    </w:rPr>
  </w:style>
  <w:style w:type="paragraph" w:styleId="1050" w:customStyle="1">
    <w:name w:val="xl23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1" w:customStyle="1">
    <w:name w:val="xl234"/>
    <w:basedOn w:val="1015"/>
    <w:pPr>
      <w:pBdr/>
      <w:spacing w:after="100" w:afterAutospacing="1" w:before="100" w:beforeAutospacing="1"/>
      <w:ind/>
      <w:jc w:val="center"/>
    </w:pPr>
  </w:style>
  <w:style w:type="paragraph" w:styleId="1052" w:customStyle="1">
    <w:name w:val="xl235"/>
    <w:basedOn w:val="1015"/>
    <w:pPr>
      <w:pBdr/>
      <w:spacing w:after="100" w:afterAutospacing="1" w:before="100" w:beforeAutospacing="1"/>
      <w:ind/>
      <w:jc w:val="center"/>
    </w:pPr>
    <w:rPr>
      <w:b/>
      <w:bCs/>
    </w:rPr>
  </w:style>
  <w:style w:type="paragraph" w:styleId="1053" w:customStyle="1">
    <w:name w:val="xl236"/>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4" w:customStyle="1">
    <w:name w:val="xl23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5" w:customStyle="1">
    <w:name w:val="xl238"/>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6" w:customStyle="1">
    <w:name w:val="xl23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7" w:customStyle="1">
    <w:name w:val="xl240"/>
    <w:basedOn w:val="1015"/>
    <w:pPr>
      <w:pBdr/>
      <w:spacing w:after="100" w:afterAutospacing="1" w:before="100" w:beforeAutospacing="1"/>
      <w:ind/>
    </w:pPr>
  </w:style>
  <w:style w:type="paragraph" w:styleId="1058" w:customStyle="1">
    <w:name w:val="xl241"/>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42"/>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43"/>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44"/>
    <w:basedOn w:val="1015"/>
    <w:pPr>
      <w:pBdr/>
      <w:spacing w:after="100" w:afterAutospacing="1" w:before="100" w:beforeAutospacing="1"/>
      <w:ind/>
    </w:pPr>
    <w:rPr>
      <w:b/>
      <w:bCs/>
    </w:rPr>
  </w:style>
  <w:style w:type="paragraph" w:styleId="1062" w:customStyle="1">
    <w:name w:val="xl245"/>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4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47"/>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5" w:customStyle="1">
    <w:name w:val="xl24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6" w:customStyle="1">
    <w:name w:val="xl24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7" w:customStyle="1">
    <w:name w:val="xl25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8" w:customStyle="1">
    <w:name w:val="xl25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9" w:customStyle="1">
    <w:name w:val="xl25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3"/>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54"/>
    <w:basedOn w:val="101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2" w:customStyle="1">
    <w:name w:val="xl255"/>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3" w:customStyle="1">
    <w:name w:val="xl256"/>
    <w:basedOn w:val="101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5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8"/>
    <w:basedOn w:val="101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6" w:customStyle="1">
    <w:name w:val="xl25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7" w:customStyle="1">
    <w:name w:val="xl260"/>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8" w:customStyle="1">
    <w:name w:val="xl261"/>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9" w:customStyle="1">
    <w:name w:val="xl262"/>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3"/>
    <w:basedOn w:val="1015"/>
    <w:pPr>
      <w:pBdr/>
      <w:shd w:val="clear" w:color="000000" w:fill="ffffff"/>
      <w:spacing w:after="100" w:afterAutospacing="1" w:before="100" w:beforeAutospacing="1"/>
      <w:ind/>
    </w:pPr>
  </w:style>
  <w:style w:type="paragraph" w:styleId="1081" w:customStyle="1">
    <w:name w:val="xl264"/>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65"/>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3" w:customStyle="1">
    <w:name w:val="xl26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4" w:customStyle="1">
    <w:name w:val="xl267"/>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68"/>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6" w:customStyle="1">
    <w:name w:val="xl269"/>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7" w:customStyle="1">
    <w:name w:val="xl27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71"/>
    <w:basedOn w:val="101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9" w:customStyle="1">
    <w:name w:val="xl27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73"/>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74"/>
    <w:basedOn w:val="101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5"/>
    <w:basedOn w:val="1015"/>
    <w:pPr>
      <w:pBdr/>
      <w:spacing w:after="100" w:afterAutospacing="1" w:before="100" w:beforeAutospacing="1"/>
      <w:ind/>
    </w:pPr>
  </w:style>
  <w:style w:type="paragraph" w:styleId="1093" w:customStyle="1">
    <w:name w:val="xl27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4" w:customStyle="1">
    <w:name w:val="xl277"/>
    <w:basedOn w:val="101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78"/>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79"/>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0"/>
    <w:basedOn w:val="101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81"/>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9" w:customStyle="1">
    <w:name w:val="xl282"/>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83"/>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84"/>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02" w:customStyle="1">
    <w:name w:val="xl285"/>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3" w:customStyle="1">
    <w:name w:val="xl286"/>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87"/>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8"/>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06" w:customStyle="1">
    <w:name w:val="xl289"/>
    <w:basedOn w:val="1015"/>
    <w:pPr>
      <w:pBdr>
        <w:left w:val="single" w:color="000000" w:sz="4" w:space="0"/>
        <w:right w:val="single" w:color="000000" w:sz="4" w:space="0"/>
      </w:pBdr>
      <w:spacing w:after="100" w:afterAutospacing="1" w:before="100" w:beforeAutospacing="1"/>
      <w:ind/>
    </w:pPr>
    <w:rPr>
      <w:b/>
      <w:bCs/>
    </w:rPr>
  </w:style>
  <w:style w:type="paragraph" w:styleId="1107" w:customStyle="1">
    <w:name w:val="xl290"/>
    <w:basedOn w:val="101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8" w:customStyle="1">
    <w:name w:val="xl291"/>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9" w:customStyle="1">
    <w:name w:val="xl292"/>
    <w:basedOn w:val="1015"/>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93"/>
    <w:basedOn w:val="1015"/>
    <w:pPr>
      <w:pBdr>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94"/>
    <w:basedOn w:val="101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name w:val="Title"/>
    <w:basedOn w:val="1015"/>
    <w:link w:val="1113"/>
    <w:qFormat/>
    <w:pPr>
      <w:pBdr/>
      <w:spacing/>
      <w:ind/>
      <w:jc w:val="center"/>
    </w:pPr>
    <w:rPr>
      <w:b/>
      <w:bCs/>
      <w:sz w:val="32"/>
      <w:szCs w:val="26"/>
    </w:rPr>
  </w:style>
  <w:style w:type="character" w:styleId="1113" w:customStyle="1">
    <w:name w:val="Title Char"/>
    <w:basedOn w:val="1020"/>
    <w:link w:val="1112"/>
    <w:pPr>
      <w:pBdr/>
      <w:spacing/>
      <w:ind/>
    </w:pPr>
    <w:rPr>
      <w:rFonts w:ascii="Times New Roman" w:hAnsi="Times New Roman" w:eastAsia="Times New Roman" w:cs="Times New Roman"/>
      <w:b/>
      <w:bCs/>
      <w:sz w:val="32"/>
      <w:szCs w:val="26"/>
    </w:rPr>
  </w:style>
  <w:style w:type="character" w:styleId="1114" w:customStyle="1">
    <w:name w:val="Unresolved Mention1"/>
    <w:basedOn w:val="1020"/>
    <w:uiPriority w:val="99"/>
    <w:semiHidden/>
    <w:unhideWhenUsed/>
    <w:pPr>
      <w:pBdr/>
      <w:spacing/>
      <w:ind/>
    </w:pPr>
    <w:rPr>
      <w:color w:val="605e5c"/>
      <w:shd w:val="clear" w:color="auto" w:fill="e1dfdd"/>
    </w:rPr>
  </w:style>
  <w:style w:type="character" w:styleId="1115" w:customStyle="1">
    <w:name w:val="Body text (3)_"/>
    <w:link w:val="1116"/>
    <w:pPr>
      <w:pBdr/>
      <w:spacing/>
      <w:ind/>
    </w:pPr>
    <w:rPr>
      <w:rFonts w:ascii="Times New Roman" w:hAnsi="Times New Roman" w:cs="Times New Roman"/>
      <w:i/>
      <w:iCs/>
      <w:spacing w:val="4"/>
      <w:shd w:val="clear" w:color="auto" w:fill="ffffff"/>
    </w:rPr>
  </w:style>
  <w:style w:type="paragraph" w:styleId="1116" w:customStyle="1">
    <w:name w:val="Body text (3)1"/>
    <w:basedOn w:val="1015"/>
    <w:link w:val="111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7" w:customStyle="1">
    <w:name w:val="t-j"/>
    <w:basedOn w:val="1015"/>
    <w:pPr>
      <w:pBdr/>
      <w:spacing w:after="100" w:afterAutospacing="1" w:before="100" w:beforeAutospacing="1"/>
      <w:ind/>
    </w:pPr>
  </w:style>
  <w:style w:type="character" w:styleId="1118" w:customStyle="1">
    <w:name w:val="Unresolved Mention2"/>
    <w:basedOn w:val="1020"/>
    <w:uiPriority w:val="99"/>
    <w:semiHidden/>
    <w:unhideWhenUsed/>
    <w:pPr>
      <w:pBdr/>
      <w:spacing/>
      <w:ind/>
    </w:pPr>
    <w:rPr>
      <w:color w:val="605e5c"/>
      <w:shd w:val="clear" w:color="auto" w:fill="e1dfdd"/>
    </w:rPr>
  </w:style>
  <w:style w:type="character" w:styleId="1119">
    <w:name w:val="FollowedHyperlink"/>
    <w:basedOn w:val="1020"/>
    <w:uiPriority w:val="99"/>
    <w:semiHidden/>
    <w:unhideWhenUsed/>
    <w:pPr>
      <w:pBdr/>
      <w:spacing/>
      <w:ind/>
    </w:pPr>
    <w:rPr>
      <w:color w:val="800080" w:themeColor="followedHyperlink"/>
      <w:u w:val="single"/>
    </w:rPr>
  </w:style>
  <w:style w:type="character" w:styleId="1120" w:customStyle="1">
    <w:name w:val="text"/>
    <w:basedOn w:val="1020"/>
    <w:pPr>
      <w:pBdr/>
      <w:spacing/>
      <w:ind/>
    </w:pPr>
  </w:style>
  <w:style w:type="character" w:styleId="1121" w:customStyle="1">
    <w:name w:val="card-send-time__sendtime"/>
    <w:basedOn w:val="1020"/>
    <w:pPr>
      <w:pBdr/>
      <w:spacing/>
      <w:ind/>
    </w:pPr>
  </w:style>
  <w:style w:type="character" w:styleId="1122" w:customStyle="1">
    <w:name w:val="Đề cập Chưa giải quyết1"/>
    <w:basedOn w:val="1020"/>
    <w:uiPriority w:val="99"/>
    <w:semiHidden/>
    <w:unhideWhenUsed/>
    <w:pPr>
      <w:pBdr/>
      <w:spacing/>
      <w:ind/>
    </w:pPr>
    <w:rPr>
      <w:color w:val="605e5c"/>
      <w:shd w:val="clear" w:color="auto" w:fill="e1dfdd"/>
    </w:rPr>
  </w:style>
  <w:style w:type="paragraph" w:styleId="1123" w:customStyle="1">
    <w:name w:val="nqtitle"/>
    <w:basedOn w:val="1015"/>
    <w:pPr>
      <w:pBdr/>
      <w:spacing w:after="100" w:afterAutospacing="1" w:before="100" w:beforeAutospacing="1"/>
      <w:ind/>
    </w:pPr>
    <w:rPr>
      <w:lang w:val="vi-VN" w:eastAsia="vi-VN"/>
    </w:rPr>
  </w:style>
  <w:style w:type="character" w:styleId="1124" w:customStyle="1">
    <w:name w:val="List Paragraph Char"/>
    <w:link w:val="1037"/>
    <w:uiPriority w:val="34"/>
    <w:qFormat/>
    <w:pPr>
      <w:pBdr/>
      <w:spacing/>
      <w:ind/>
    </w:pPr>
    <w:rPr>
      <w:rFonts w:ascii="Times New Roman" w:hAnsi="Times New Roman" w:eastAsia="Times New Roman" w:cs="Times New Roman"/>
      <w:sz w:val="24"/>
      <w:szCs w:val="24"/>
    </w:rPr>
  </w:style>
  <w:style w:type="character" w:styleId="1125" w:customStyle="1">
    <w:name w:val="Đề cập Chưa giải quyết2"/>
    <w:basedOn w:val="1020"/>
    <w:uiPriority w:val="99"/>
    <w:semiHidden/>
    <w:unhideWhenUsed/>
    <w:pPr>
      <w:pBdr/>
      <w:spacing/>
      <w:ind/>
    </w:pPr>
    <w:rPr>
      <w:color w:val="605e5c"/>
      <w:shd w:val="clear" w:color="auto" w:fill="e1dfdd"/>
    </w:rPr>
  </w:style>
  <w:style w:type="character" w:styleId="1126" w:customStyle="1">
    <w:name w:val="Unresolved Mention3"/>
    <w:basedOn w:val="1020"/>
    <w:uiPriority w:val="99"/>
    <w:semiHidden/>
    <w:unhideWhenUsed/>
    <w:pPr>
      <w:pBdr/>
      <w:spacing/>
      <w:ind/>
    </w:pPr>
    <w:rPr>
      <w:color w:val="605e5c"/>
      <w:shd w:val="clear" w:color="auto" w:fill="e1dfdd"/>
    </w:rPr>
  </w:style>
  <w:style w:type="character" w:styleId="1127" w:customStyle="1">
    <w:name w:val="copy"/>
    <w:basedOn w:val="1020"/>
    <w:pPr>
      <w:pBdr/>
      <w:spacing/>
      <w:ind/>
    </w:pPr>
  </w:style>
  <w:style w:type="paragraph" w:styleId="1128" w:customStyle="1">
    <w:name w:val="align-justify"/>
    <w:basedOn w:val="1015"/>
    <w:pPr>
      <w:pBdr/>
      <w:spacing w:after="100" w:afterAutospacing="1" w:before="100" w:beforeAutospacing="1"/>
      <w:ind/>
    </w:pPr>
  </w:style>
  <w:style w:type="character" w:styleId="1129" w:customStyle="1">
    <w:name w:val="btn"/>
    <w:basedOn w:val="1020"/>
    <w:pPr>
      <w:pBdr/>
      <w:spacing/>
      <w:ind/>
    </w:pPr>
  </w:style>
  <w:style w:type="character" w:styleId="1130" w:customStyle="1">
    <w:name w:val="hide_mobile"/>
    <w:basedOn w:val="1020"/>
    <w:pPr>
      <w:pBdr/>
      <w:spacing/>
      <w:ind/>
    </w:pPr>
  </w:style>
  <w:style w:type="character" w:styleId="1131">
    <w:name w:val="Emphasis"/>
    <w:basedOn w:val="1020"/>
    <w:uiPriority w:val="20"/>
    <w:qFormat/>
    <w:pPr>
      <w:pBdr/>
      <w:spacing/>
      <w:ind/>
    </w:pPr>
    <w:rPr>
      <w:i/>
      <w:iCs/>
    </w:rPr>
  </w:style>
  <w:style w:type="character" w:styleId="1132" w:customStyle="1">
    <w:name w:val="t1"/>
    <w:basedOn w:val="1020"/>
    <w:pPr>
      <w:pBdr/>
      <w:spacing/>
      <w:ind/>
    </w:pPr>
  </w:style>
  <w:style w:type="character" w:styleId="1133" w:customStyle="1">
    <w:name w:val="Unresolved Mention4"/>
    <w:basedOn w:val="1020"/>
    <w:uiPriority w:val="99"/>
    <w:semiHidden/>
    <w:unhideWhenUsed/>
    <w:pPr>
      <w:pBdr/>
      <w:spacing/>
      <w:ind/>
    </w:pPr>
    <w:rPr>
      <w:color w:val="605e5c"/>
      <w:shd w:val="clear" w:color="auto" w:fill="e1dfdd"/>
    </w:rPr>
  </w:style>
  <w:style w:type="character" w:styleId="1134">
    <w:name w:val="Unresolved Mention"/>
    <w:basedOn w:val="102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www.google.com/search?q=C%C4%83n+h%E1%BB%99+chung+c%C6%B0&amp;oq=t%E1%BB%95ng+quan+B%C4%90S+Gia+L%C3%A2m&amp;gs_lcrp=EgZjaHJvbWUyBggAEEUYOTIGCAEQRRg70gEINjk5NmowajSoAgCwAgE&amp;sourceid=chrome&amp;ie=UTF-8&amp;mstk=AUtExfAiOpsyiQaMNrLvXyH2ZT294U47axchoG_6-OP1xmEwynswy4s_eCx9R3RQel5H8TJouxCz7GWMxrTQLYUjbB0YYeZXlReCHi0QLeGEOXUnSP2IU24y1q0sVDNSL--moJI&amp;csui=3&amp;ved=2ahUKEwif9caZqeeTAxVvsFYBHR9qKiYQgK4QegQIBBAE" TargetMode="External"/><Relationship Id="rId18" Type="http://schemas.openxmlformats.org/officeDocument/2006/relationships/hyperlink" Target="https://www.google.com/search?q=Bi%E1%BB%87t+th%E1%BB%B1%2C+Shophouse&amp;oq=t%E1%BB%95ng+quan+B%C4%90S+Gia+L%C3%A2m&amp;gs_lcrp=EgZjaHJvbWUyBggAEEUYOTIGCAEQRRg70gEINjk5NmowajSoAgCwAgE&amp;sourceid=chrome&amp;ie=UTF-8&amp;mstk=AUtExfAiOpsyiQaMNrLvXyH2ZT294U47axchoG_6-OP1xmEwynswy4s_eCx9R3RQel5H8TJouxCz7GWMxrTQLYUjbB0YYeZXlReCHi0QLeGEOXUnSP2IU24y1q0sVDNSL--moJI&amp;csui=3&amp;ved=2ahUKEwif9caZqeeTAxVvsFYBHR9qKiYQgK4QegQIBBAG" TargetMode="External"/><Relationship Id="rId19" Type="http://schemas.openxmlformats.org/officeDocument/2006/relationships/hyperlink" Target="https://www.google.com/search?q=%C4%90%E1%BA%A5t+n%E1%BB%81n+th%E1%BB%95+c%C6%B0&amp;oq=t%E1%BB%95ng+quan+B%C4%90S+Gia+L%C3%A2m&amp;gs_lcrp=EgZjaHJvbWUyBggAEEUYOTIGCAEQRRg70gEINjk5NmowajSoAgCwAgE&amp;sourceid=chrome&amp;ie=UTF-8&amp;mstk=AUtExfAiOpsyiQaMNrLvXyH2ZT294U47axchoG_6-OP1xmEwynswy4s_eCx9R3RQel5H8TJouxCz7GWMxrTQLYUjbB0YYeZXlReCHi0QLeGEOXUnSP2IU24y1q0sVDNSL--moJI&amp;csui=3&amp;ved=2ahUKEwif9caZqeeTAxVvsFYBHR9qKiYQgK4QegQIBBAI" TargetMode="External"/><Relationship Id="rId20" Type="http://schemas.openxmlformats.org/officeDocument/2006/relationships/image" Target="media/image3.png"/><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image" Target="media/image7.png"/><Relationship Id="rId25" Type="http://schemas.openxmlformats.org/officeDocument/2006/relationships/image" Target="media/image8.png"/><Relationship Id="rId26" Type="http://schemas.openxmlformats.org/officeDocument/2006/relationships/image" Target="media/image9.png"/><Relationship Id="rId27" Type="http://schemas.openxmlformats.org/officeDocument/2006/relationships/image" Target="media/image10.png"/><Relationship Id="rId28" Type="http://schemas.openxmlformats.org/officeDocument/2006/relationships/image" Target="media/image11.png"/><Relationship Id="rId29" Type="http://schemas.openxmlformats.org/officeDocument/2006/relationships/image" Target="media/image12.png"/><Relationship Id="rId30" Type="http://schemas.openxmlformats.org/officeDocument/2006/relationships/image" Target="media/image13.png"/><Relationship Id="rId31" Type="http://schemas.openxmlformats.org/officeDocument/2006/relationships/image" Target="media/image14.png"/><Relationship Id="rId32" Type="http://schemas.openxmlformats.org/officeDocument/2006/relationships/image" Target="media/image15.jpg"/><Relationship Id="rId33" Type="http://schemas.openxmlformats.org/officeDocument/2006/relationships/image" Target="media/image16.png"/><Relationship Id="rId34" Type="http://schemas.openxmlformats.org/officeDocument/2006/relationships/image" Target="media/image17.jpg"/><Relationship Id="rId35" Type="http://schemas.openxmlformats.org/officeDocument/2006/relationships/image" Target="media/image18.png"/><Relationship Id="rId36" Type="http://schemas.openxmlformats.org/officeDocument/2006/relationships/image" Target="media/image19.png"/><Relationship Id="rId37" Type="http://schemas.openxmlformats.org/officeDocument/2006/relationships/image" Target="media/image20.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282</cp:revision>
  <dcterms:created xsi:type="dcterms:W3CDTF">2025-09-15T09:58:00Z</dcterms:created>
  <dcterms:modified xsi:type="dcterms:W3CDTF">2026-04-13T02:15:53Z</dcterms:modified>
</cp:coreProperties>
</file>