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highlight w:val="white"/>
        </w:rPr>
      </w:pPr>
      <w:r>
        <w:rPr>
          <w:b/>
          <w:sz w:val="28"/>
          <w:highlight w:val="white"/>
          <w:lang w:val="vi-VN"/>
        </w:rPr>
      </w:r>
      <w:r>
        <w:rPr>
          <w:b/>
          <w:sz w:val="28"/>
          <w:highlight w:val="white"/>
          <w:lang w:val="vi-VN"/>
        </w:rPr>
      </w:r>
      <w:r>
        <w:rPr>
          <w:b/>
          <w:sz w:val="28"/>
          <w:highlight w:val="white"/>
          <w:lang w:val="vi-VN"/>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58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58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Xuân Lượng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162, tờ bản đồ số: 22, có địa chỉ: Phố Khánh Bình, phường Ninh Khánh, thành phố Ninh Bình (nay là phường Hoa Lư), tỉnh Ninh Bì</w:t>
                            </w:r>
                            <w:r>
                              <w:rPr>
                                <w:color w:val="000000"/>
                              </w:rPr>
                              <w:t xml:space="preserve">nh theo Giấy chứng nhận quyền sử dụng đất quyền sở hữu nhà ở và tài sản khác gắn liền với đất số: DQ 099840, Số vào sổ cấp GCN: VP6978 do Văn phòng đăng ký đất đai tỉnh Ninh Bình cấp ngày 04/11/2024; chủ sử dụng đất là Ông Vũ Xuân Lượng và Bà Vũ Thị Nguyệt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Xuân Lượng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162, tờ bản đồ số: 22, có địa chỉ: Phố Khánh Bình, phường Ninh Khánh, thành phố Ninh Bình (nay là phường Hoa Lư), tỉnh Ninh Bì</w:t>
                      </w:r>
                      <w:r>
                        <w:rPr>
                          <w:color w:val="000000"/>
                        </w:rPr>
                        <w:t xml:space="preserve">nh theo Giấy chứng nhận quyền sử dụng đất quyền sở hữu nhà ở và tài sản khác gắn liền với đất số: DQ 099840, Số vào sổ cấp GCN: VP6978 do Văn phòng đăng ký đất đai tỉnh Ninh Bình cấp ngày 04/11/2024; chủ sử dụng đất là Ông Vũ Xuân Lượng và Bà Vũ Thị Nguyệt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4-20</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 + Pháp lý</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21-22</w:t>
            </w:r>
            <w:r>
              <w:rPr>
                <w:b/>
                <w:bCs/>
                <w:highlight w:val="white"/>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 + BBKS</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23-28</w:t>
            </w:r>
            <w:r>
              <w:rPr>
                <w:b/>
                <w:bCs/>
                <w:highlight w:val="white"/>
              </w:rPr>
            </w:r>
            <w:r>
              <w:rPr>
                <w:b/>
                <w:bCs/>
                <w:highlight w:val="white"/>
              </w:rPr>
            </w:r>
          </w:p>
        </w:tc>
      </w:tr>
    </w:tbl>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25"/>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16"/>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highlight w:val="white"/>
              </w:rPr>
            </w:pPr>
            <w:r>
              <w:rPr>
                <w:rStyle w:val="1024"/>
                <w:rFonts w:ascii="Times New Roman" w:hAnsi="Times New Roman"/>
                <w:color w:val="000000" w:themeColor="text1"/>
                <w:highlight w:val="white"/>
                <w:lang w:val="pt-BR"/>
              </w:rPr>
              <w:t xml:space="preserve">Số: </w:t>
            </w:r>
            <w:r>
              <w:rPr>
                <w:rStyle w:val="1024"/>
                <w:rFonts w:ascii="Times New Roman" w:hAnsi="Times New Roman"/>
                <w:color w:val="000000" w:themeColor="text1"/>
                <w:highlight w:val="white"/>
                <w:lang w:val="pt-BR"/>
              </w:rPr>
              <w:t xml:space="preserve">275/2026/0538/VFI-CT.44.A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highlight w:val="white"/>
              </w:rPr>
            </w:pPr>
            <w:r>
              <w:rPr>
                <w:rStyle w:val="1024"/>
                <w:rFonts w:ascii="Times New Roman" w:hAnsi="Times New Roman"/>
                <w:i/>
                <w:color w:val="auto"/>
                <w:highlight w:val="white"/>
              </w:rPr>
              <w:t xml:space="preserve">TP. Hà Nội</w:t>
            </w:r>
            <w:r>
              <w:rPr>
                <w:rStyle w:val="1024"/>
                <w:rFonts w:ascii="Times New Roman" w:hAnsi="Times New Roman"/>
                <w:i/>
                <w:color w:val="auto"/>
                <w:highlight w:val="white"/>
                <w:lang w:val="vi-VN"/>
              </w:rPr>
              <w:t xml:space="preserve">, </w:t>
            </w:r>
            <w:r>
              <w:rPr>
                <w:rStyle w:val="1024"/>
                <w:rFonts w:ascii="Times New Roman" w:hAnsi="Times New Roman"/>
                <w:i/>
                <w:color w:val="000000" w:themeColor="text1"/>
                <w:highlight w:val="white"/>
                <w:lang w:val="vi-VN"/>
              </w:rPr>
              <w:t xml:space="preserve">ngày 7 tháng 4 năm 2026</w:t>
            </w:r>
            <w:r>
              <w:rPr>
                <w:color w:val="000000" w:themeColor="text1"/>
                <w:sz w:val="24"/>
                <w:szCs w:val="24"/>
                <w:highlight w:val="white"/>
                <w:lang w:val="vi-VN"/>
              </w:rPr>
            </w:r>
            <w:r>
              <w:rPr>
                <w:color w:val="000000" w:themeColor="text1"/>
                <w:sz w:val="24"/>
                <w:szCs w:val="24"/>
                <w:highlight w:val="white"/>
                <w:lang w:val="vi-VN"/>
              </w:rPr>
            </w:r>
          </w:p>
        </w:tc>
      </w:tr>
    </w:tbl>
    <w:p>
      <w:pPr>
        <w:pStyle w:val="1025"/>
        <w:pBdr/>
        <w:spacing w:after="120" w:before="200" w:line="288" w:lineRule="auto"/>
        <w:ind/>
        <w:jc w:val="center"/>
        <w:rPr>
          <w:rStyle w:val="1024"/>
          <w:rFonts w:ascii="Times New Roman" w:hAnsi="Times New Roman"/>
          <w:b/>
          <w:bCs/>
          <w:color w:val="auto"/>
          <w:sz w:val="30"/>
          <w:szCs w:val="30"/>
          <w:highlight w:val="white"/>
        </w:rPr>
      </w:pPr>
      <w:r>
        <w:rPr>
          <w:rStyle w:val="1024"/>
          <w:rFonts w:ascii="Times New Roman" w:hAnsi="Times New Roman"/>
          <w:b/>
          <w:bCs/>
          <w:color w:val="auto"/>
          <w:sz w:val="30"/>
          <w:szCs w:val="30"/>
          <w:highlight w:val="white"/>
          <w:lang w:val="vi-VN"/>
        </w:rPr>
        <w:t xml:space="preserve">CHỨNG THƯ THẨM ĐỊNH GIÁ</w:t>
      </w:r>
      <w:r>
        <w:rPr>
          <w:rStyle w:val="1024"/>
          <w:rFonts w:ascii="Times New Roman" w:hAnsi="Times New Roman"/>
          <w:b/>
          <w:bCs/>
          <w:color w:val="auto"/>
          <w:sz w:val="30"/>
          <w:szCs w:val="30"/>
          <w:highlight w:val="white"/>
          <w:lang w:val="vi-VN"/>
        </w:rPr>
      </w:r>
      <w:r>
        <w:rPr>
          <w:rStyle w:val="1024"/>
          <w:rFonts w:ascii="Times New Roman" w:hAnsi="Times New Roman"/>
          <w:b/>
          <w:bCs/>
          <w:color w:val="auto"/>
          <w:sz w:val="30"/>
          <w:szCs w:val="30"/>
          <w:highlight w:val="white"/>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Vũ Xuân Lượng</w:t>
      </w:r>
      <w:r>
        <w:rPr>
          <w:rFonts w:ascii="Times New Roman Bold" w:hAnsi="Times New Roman Bold"/>
          <w:b/>
          <w:highlight w:val="white"/>
          <w:lang w:val="pt-BR"/>
        </w:rPr>
      </w:r>
      <w:r>
        <w:rPr>
          <w:rFonts w:ascii="Times New Roman Bold" w:hAnsi="Times New Roman Bold"/>
          <w:b/>
          <w:highlight w:val="white"/>
          <w:lang w:val="pt-BR"/>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275/2026/0538/VFI-HĐTĐ.44.A</w:t>
      </w:r>
      <w:r>
        <w:rPr>
          <w:spacing w:val="-4"/>
          <w:highlight w:val="white"/>
          <w:lang w:val="vi-VN"/>
        </w:rPr>
        <w:t xml:space="preserve"> ký ngày </w:t>
      </w:r>
      <w:r>
        <w:rPr>
          <w:color w:val="000000" w:themeColor="text1"/>
          <w:spacing w:val="-4"/>
          <w:highlight w:val="white"/>
        </w:rPr>
        <w:t xml:space="preserve">1 tháng 4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Vũ Xuân Lượng</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275/2026/0538/VFI-BC.44.A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7 tháng 4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634" w:type="dxa"/>
            <w:vAlign w:val="center"/>
            <w:textDirection w:val="lrTb"/>
            <w:noWrap w:val="false"/>
          </w:tcPr>
          <w:p>
            <w:pPr>
              <w:pBdr/>
              <w:spacing/>
              <w:ind/>
              <w:rPr>
                <w:highlight w:val="white"/>
              </w:rPr>
            </w:pPr>
            <w:r>
              <w:rPr>
                <w:b/>
                <w:bCs/>
                <w:highlight w:val="white"/>
              </w:rPr>
              <w:t xml:space="preserve">Ông Vũ Xuân Lượng</w:t>
            </w:r>
            <w:r>
              <w:rPr>
                <w:highlight w:val="white"/>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lang w:val="pt-BR"/>
              </w:rPr>
            </w:r>
            <w:r>
              <w:rPr>
                <w:bCs/>
                <w:color w:val="000000" w:themeColor="text1"/>
                <w:highlight w:val="white"/>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634"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037097000093</w:t>
            </w:r>
            <w:r>
              <w:rPr>
                <w:color w:val="ff0000"/>
                <w:highlight w:val="white"/>
                <w:lang w:val="pt-BR"/>
              </w:rPr>
            </w:r>
            <w:r>
              <w:rPr>
                <w:color w:val="ff0000"/>
                <w:highlight w:val="white"/>
                <w:lang w:val="pt-BR"/>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162, tờ bản đồ số: 22, có địa chỉ: Phố Khánh Bình, phường Ninh Khánh, thành phố Ninh Bình (nay là phường Hoa Lư), tỉnh Ninh Bì</w:t>
      </w:r>
      <w:r>
        <w:rPr>
          <w:color w:val="000000" w:themeColor="text1"/>
          <w:highlight w:val="white"/>
        </w:rPr>
        <w:t xml:space="preserve">nh theo Giấy chứng nhận quyền sử dụng đất quyền sở hữu nhà ở và tài sản khác gắn liền với đất số: DQ 099840, Số vào sổ cấp GCN: VP6978 do Văn phòng đăng ký đất đai tỉnh Ninh Bình cấp ngày 04/11/2024; chủ sử dụng đất là Ông Vũ Xuân Lượng và Bà Vũ Thị Nguyệt</w:t>
      </w:r>
      <w:r>
        <w:rPr>
          <w:i/>
          <w:iCs/>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04/2026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04/2026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025"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408" w:type="dxa"/>
            <w:vAlign w:val="center"/>
            <w:textDirection w:val="lrTb"/>
            <w:noWrap w:val="false"/>
          </w:tcPr>
          <w:p>
            <w:pPr>
              <w:pBdr/>
              <w:spacing w:after="40" w:before="40" w:line="288" w:lineRule="auto"/>
              <w:ind/>
              <w:jc w:val="both"/>
              <w:rPr>
                <w:b/>
                <w:bCs/>
                <w:highlight w:val="white"/>
              </w:rPr>
            </w:pPr>
            <w:r>
              <w:rPr>
                <w:color w:val="000000"/>
                <w:highlight w:val="white"/>
              </w:rPr>
              <w:t xml:space="preserve">Quyền sử dụng đất tại thửa đất số: 162, tờ bản đồ số: 22, có địa chỉ: Phố Khánh Bình, phường Ninh Khánh, thành phố Ninh Bình (nay là phường Hoa Lư), tỉnh Ninh Bì</w:t>
            </w:r>
            <w:r>
              <w:rPr>
                <w:color w:val="000000"/>
                <w:highlight w:val="white"/>
              </w:rPr>
              <w:t xml:space="preserve">nh theo Giấy chứng nhận quyền sử dụng đất quyền sở hữu nhà ở và tài sản khác gắn liền với đất số: DQ 099840, Số vào sổ cấp GCN: VP6978 do Văn phòng đăng ký đất đai tỉnh Ninh Bình cấp ngày 04/11/2024; chủ sử dụng đất là Ông Vũ Xuân Lượng và Bà Vũ Thị Nguyệt</w:t>
            </w:r>
            <w:r>
              <w:rPr>
                <w:b/>
                <w:b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p>
        </w:tc>
        <w:tc>
          <w:tcPr>
            <w:shd w:val="clear" w:color="000000" w:fill="ffffff"/>
            <w:tcBorders/>
            <w:tcW w:w="2025"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đô thị</w:t>
            </w:r>
            <w:r>
              <w:rPr>
                <w:b w:val="0"/>
                <w:bCs w:val="0"/>
                <w:highlight w:val="white"/>
              </w:rPr>
            </w:r>
          </w:p>
        </w:tc>
        <w:tc>
          <w:tcPr>
            <w:tcBorders/>
            <w:tcW w:w="1802"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98,3</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125.000.000</w:t>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12.287.500.000</w:t>
            </w:r>
            <w:r>
              <w:rPr>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12.287.500.000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Mười hai tỷ hai trăm tám mươi bảy triệu năm trăm nghìn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pPr>
        <w:pBdr/>
        <w:spacing w:after="200" w:line="276" w:lineRule="auto"/>
        <w:ind/>
        <w:rPr>
          <w:highlight w:val="white"/>
        </w:rPr>
      </w:pPr>
      <w:r>
        <w:rPr>
          <w:highlight w:val="white"/>
        </w:rPr>
        <w:br w:type="page" w:clear="all"/>
      </w:r>
      <w:r>
        <w:rPr>
          <w:highlight w:val="whit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8057"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16"/>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5"/>
              <w:pBdr/>
              <w:spacing w:after="60"/>
              <w:ind/>
              <w:rPr>
                <w:color w:val="000000" w:themeColor="text1"/>
                <w:sz w:val="24"/>
                <w:szCs w:val="24"/>
                <w:highlight w:val="white"/>
              </w:rPr>
            </w:pPr>
            <w:r>
              <w:rPr>
                <w:rStyle w:val="1024"/>
                <w:rFonts w:ascii="Times New Roman" w:hAnsi="Times New Roman"/>
                <w:color w:val="000000" w:themeColor="text1"/>
                <w:highlight w:val="white"/>
                <w:lang w:val="pt-BR"/>
              </w:rPr>
              <w:t xml:space="preserve">Số: </w:t>
            </w:r>
            <w:r>
              <w:rPr>
                <w:rStyle w:val="1024"/>
                <w:rFonts w:ascii="Times New Roman" w:hAnsi="Times New Roman"/>
                <w:color w:val="000000" w:themeColor="text1"/>
                <w:highlight w:val="white"/>
                <w:lang w:val="pt-BR"/>
              </w:rPr>
              <w:t xml:space="preserve">275/2026/0538/VFI-</w:t>
            </w:r>
            <w:r>
              <w:rPr>
                <w:rStyle w:val="1024"/>
                <w:rFonts w:ascii="Times New Roman" w:hAnsi="Times New Roman"/>
                <w:color w:val="000000" w:themeColor="text1"/>
                <w:highlight w:val="white"/>
                <w:lang w:val="pt-BR"/>
              </w:rPr>
              <w:t xml:space="preserve">BC.44.A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25"/>
              <w:pBdr/>
              <w:spacing w:after="60"/>
              <w:ind w:right="-56"/>
              <w:jc w:val="right"/>
              <w:rPr>
                <w:color w:val="000000" w:themeColor="text1"/>
                <w:sz w:val="24"/>
                <w:szCs w:val="24"/>
                <w:highlight w:val="white"/>
              </w:rPr>
            </w:pPr>
            <w:r>
              <w:rPr>
                <w:rStyle w:val="1024"/>
                <w:rFonts w:ascii="Times New Roman" w:hAnsi="Times New Roman"/>
                <w:i/>
                <w:color w:val="auto"/>
                <w:highlight w:val="white"/>
              </w:rPr>
              <w:t xml:space="preserve">TP. Hà Nội</w:t>
            </w:r>
            <w:r>
              <w:rPr>
                <w:rStyle w:val="1024"/>
                <w:rFonts w:ascii="Times New Roman" w:hAnsi="Times New Roman"/>
                <w:i/>
                <w:color w:val="auto"/>
                <w:highlight w:val="white"/>
                <w:lang w:val="vi-VN"/>
              </w:rPr>
              <w:t xml:space="preserve">, </w:t>
            </w:r>
            <w:r>
              <w:rPr>
                <w:rStyle w:val="1024"/>
                <w:rFonts w:ascii="Times New Roman" w:hAnsi="Times New Roman"/>
                <w:i/>
                <w:color w:val="000000" w:themeColor="text1"/>
                <w:highlight w:val="white"/>
                <w:lang w:val="vi-VN"/>
              </w:rPr>
              <w:t xml:space="preserve">ngày 7 tháng 4 năm 2026</w:t>
            </w:r>
            <w:r>
              <w:rPr>
                <w:color w:val="000000" w:themeColor="text1"/>
                <w:sz w:val="24"/>
                <w:szCs w:val="24"/>
                <w:highlight w:val="white"/>
                <w:lang w:val="vi-VN"/>
              </w:rPr>
            </w:r>
            <w:r>
              <w:rPr>
                <w:color w:val="000000" w:themeColor="text1"/>
                <w:sz w:val="24"/>
                <w:szCs w:val="24"/>
                <w:highlight w:val="white"/>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5"/>
              <w:pBdr/>
              <w:spacing w:after="60"/>
              <w:ind/>
              <w:rPr>
                <w:rStyle w:val="1024"/>
                <w:rFonts w:ascii="Times New Roman" w:hAnsi="Times New Roman"/>
                <w:color w:val="000000" w:themeColor="text1"/>
                <w:highlight w:val="white"/>
              </w:rPr>
            </w:pPr>
            <w:r>
              <w:rPr>
                <w:rStyle w:val="1024"/>
                <w:rFonts w:ascii="Times New Roman" w:hAnsi="Times New Roman"/>
                <w:color w:val="000000" w:themeColor="text1"/>
                <w:highlight w:val="white"/>
                <w:lang w:val="pt-BR"/>
              </w:rPr>
            </w:r>
            <w:r>
              <w:rPr>
                <w:rStyle w:val="1024"/>
                <w:rFonts w:ascii="Times New Roman" w:hAnsi="Times New Roman"/>
                <w:color w:val="000000" w:themeColor="text1"/>
                <w:highlight w:val="white"/>
                <w:lang w:val="pt-BR"/>
              </w:rPr>
            </w:r>
            <w:r>
              <w:rPr>
                <w:rStyle w:val="1024"/>
                <w:rFonts w:ascii="Times New Roman" w:hAnsi="Times New Roman"/>
                <w:color w:val="000000" w:themeColor="text1"/>
                <w:highlight w:val="white"/>
                <w:lang w:val="pt-BR"/>
              </w:rPr>
            </w:r>
          </w:p>
        </w:tc>
        <w:tc>
          <w:tcPr>
            <w:shd w:val="clear" w:color="auto" w:fill="auto"/>
            <w:tcBorders/>
            <w:tcMar>
              <w:left w:w="108" w:type="dxa"/>
              <w:top w:w="0" w:type="dxa"/>
              <w:right w:w="108" w:type="dxa"/>
              <w:bottom w:w="0" w:type="dxa"/>
            </w:tcMar>
            <w:tcW w:w="5412" w:type="dxa"/>
            <w:textDirection w:val="lrTb"/>
            <w:noWrap w:val="false"/>
          </w:tcPr>
          <w:p>
            <w:pPr>
              <w:pStyle w:val="1025"/>
              <w:pBdr/>
              <w:spacing w:after="60"/>
              <w:ind w:right="-56"/>
              <w:rPr>
                <w:rStyle w:val="1024"/>
                <w:rFonts w:ascii="Times New Roman" w:hAnsi="Times New Roman"/>
                <w:i/>
                <w:color w:val="auto"/>
                <w:highlight w:val="white"/>
              </w:rPr>
            </w:pPr>
            <w:r>
              <w:rPr>
                <w:rFonts w:ascii="Times New Roman" w:hAnsi="Times New Roman"/>
                <w:i/>
                <w:color w:val="auto"/>
                <w:highlight w:val="white"/>
              </w:rPr>
            </w:r>
            <w:r>
              <w:rPr>
                <w:rStyle w:val="1024"/>
                <w:rFonts w:ascii="Times New Roman" w:hAnsi="Times New Roman"/>
                <w:i/>
                <w:color w:val="auto"/>
                <w:highlight w:val="white"/>
              </w:rPr>
            </w:r>
            <w:r>
              <w:rPr>
                <w:rStyle w:val="1024"/>
                <w:rFonts w:ascii="Times New Roman" w:hAnsi="Times New Roman"/>
                <w:i/>
                <w:color w:val="auto"/>
                <w:highlight w:val="white"/>
              </w:rPr>
            </w:r>
          </w:p>
        </w:tc>
      </w:tr>
    </w:tbl>
    <w:p>
      <w:pPr>
        <w:pStyle w:val="1025"/>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05"/>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275/2026/0538/VFI-CT.44.A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7 tháng 4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05"/>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26"/>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ind/>
              <w:rPr>
                <w:highlight w:val="white"/>
              </w:rPr>
            </w:pPr>
            <w:r>
              <w:rPr>
                <w:b/>
                <w:bCs/>
                <w:highlight w:val="white"/>
              </w:rPr>
              <w:t xml:space="preserve">Ông Vũ Xuân Lượng</w:t>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037097000093</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162, tờ bản đồ số: 22, có địa chỉ: Phố Khánh Bình, phường Ninh Khánh, thành phố Ninh Bình (nay là phường Hoa Lư), tỉnh Ninh Bì</w:t>
            </w:r>
            <w:r>
              <w:rPr>
                <w:bCs/>
                <w:color w:val="000000" w:themeColor="text1"/>
                <w:highlight w:val="white"/>
                <w:lang w:val="pt-BR"/>
              </w:rPr>
              <w:t xml:space="preserve">nh theo Giấy chứng nhận quyền sử dụng đất quyền sở hữu nhà ở và tài sản khác gắn liền với đất số: DQ 099840, Số vào sổ cấp GCN: VP6978 do Văn phòng đăng ký đất đai tỉnh Ninh Bình cấp ngày 04/11/2024; chủ sử dụng đất là Ông Vũ Xuân Lượng và Bà Vũ Thị Nguyệt</w:t>
            </w:r>
            <w:r>
              <w:rPr>
                <w:bCs/>
                <w:spacing w:val="2"/>
                <w:highlight w:val="white"/>
              </w:rPr>
              <w:t xml:space="preserve">.</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04/2026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Phường Hoa Lư, Tỉnh Ninh Bình</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20.276166666667, 105.96302777778</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2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04/2026</w:t>
            </w:r>
            <w:r>
              <w:rPr>
                <w:highlight w:val="white"/>
                <w:lang w:val="pt-BR"/>
              </w:rPr>
              <w:t xml:space="preserve">.</w:t>
            </w:r>
            <w:r>
              <w:rPr>
                <w:highlight w:val="white"/>
                <w:lang w:val="pt-BR"/>
              </w:rPr>
            </w:r>
            <w:r>
              <w:rPr>
                <w:highlight w:val="white"/>
                <w:lang w:val="pt-BR"/>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26"/>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26"/>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26"/>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26"/>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26"/>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26"/>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pStyle w:val="1026"/>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425/QĐ-BXD ngày 30/3/2026 của Bộ Xây dựng về việc Công bố suất vốn đầu tư xây dựng công trình và giá xây dựng tổng hợp bộ phận kết cấu công trình năm 2024;</w:t>
      </w:r>
      <w:r>
        <w:rPr>
          <w:bCs/>
          <w:spacing w:val="-4"/>
          <w:highlight w:val="white"/>
          <w:lang w:val="pt-BR"/>
        </w:rPr>
      </w:r>
      <w:r>
        <w:rPr>
          <w:bCs/>
          <w:spacing w:val="-4"/>
          <w:highlight w:val="white"/>
          <w:lang w:val="pt-BR"/>
        </w:rPr>
      </w:r>
    </w:p>
    <w:p>
      <w:pPr>
        <w:pStyle w:val="1026"/>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lang w:val="pt-BR"/>
        </w:rPr>
      </w:r>
    </w:p>
    <w:p>
      <w:pPr>
        <w:pStyle w:val="1026"/>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26"/>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nhà ở và tài sản khác gắn liền với đất số: DQ 099840, Số vào sổ cấp GCN: VP6978 do Văn phòng đăng ký đất đai tỉnh Ninh Bình cấp ngày 04/11/2024; chủ sử dụng đất là Ông Vũ Xuân Lượng và Bà Vũ Thị Nguyệt</w:t>
      </w:r>
      <w:r>
        <w:rPr>
          <w:highlight w:val="white"/>
          <w:lang w:val="pt-BR"/>
        </w:rPr>
        <w:t xml:space="preserve">.</w:t>
      </w:r>
      <w:r>
        <w:rPr>
          <w:i/>
          <w:iCs/>
          <w:highlight w:val="white"/>
          <w:lang w:val="pt-BR"/>
        </w:rPr>
      </w:r>
      <w:r>
        <w:rPr>
          <w:i/>
          <w:iCs/>
          <w:highlight w:val="white"/>
          <w:lang w:val="pt-BR"/>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26"/>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275/2026/0538/VFI-HĐTĐ.44.A ngày 06/04/2026 giữa Ông Vũ Xuân Lượng với Công ty Cổ phần Thẩm định và Đầu tư Tài chính Hoa Sen.</w:t>
      </w:r>
      <w:r>
        <w:rPr>
          <w:b/>
          <w:highlight w:val="white"/>
          <w:lang w:val="pt-BR"/>
        </w:rPr>
      </w:r>
      <w:r>
        <w:rPr>
          <w:b/>
          <w:highlight w:val="white"/>
          <w:lang w:val="pt-BR"/>
        </w:rPr>
      </w:r>
    </w:p>
    <w:p>
      <w:pPr>
        <w:pStyle w:val="1026"/>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highlight w:val="white"/>
        </w:rPr>
      </w:pPr>
      <w:r>
        <w:rPr>
          <w:highlight w:val="white"/>
          <w:lang w:val="pt-BR"/>
        </w:rPr>
        <w:tab/>
      </w:r>
      <w:r>
        <w:rPr>
          <w:rFonts w:ascii="Times New Roman" w:hAnsi="Times New Roman" w:eastAsia="Times New Roman" w:cs="Times New Roman"/>
          <w:color w:val="0a0a0a"/>
          <w:sz w:val="24"/>
          <w:highlight w:val="white"/>
        </w:rPr>
        <w:t xml:space="preserve">Thị trường bất động sản (BĐS) Ninh Bình năm 2025-2026 đang có sức bật lớn nhờ hạ tầng giao thông kết nối, tiềm năng du lịch di sản (Tràng An) và tác động của việc sáp nhập, quy hoạch mới. </w:t>
      </w:r>
      <w:r>
        <w:rPr>
          <w:rFonts w:ascii="Times New Roman" w:hAnsi="Times New Roman" w:eastAsia="Times New Roman" w:cs="Times New Roman"/>
          <w:b/>
          <w:color w:val="001d35"/>
          <w:sz w:val="24"/>
          <w:highlight w:val="white"/>
        </w:rPr>
        <w:t xml:space="preserve">Giá đất dao động rộng (từ 1 triệu - 250 triệu đồng/m²) với phân khúc đất đấu giá pháp lý sạch được quan tâm cao</w:t>
      </w:r>
      <w:r>
        <w:rPr>
          <w:rFonts w:ascii="Times New Roman" w:hAnsi="Times New Roman" w:eastAsia="Times New Roman" w:cs="Times New Roman"/>
          <w:color w:val="0a0a0a"/>
          <w:sz w:val="24"/>
          <w:highlight w:val="white"/>
        </w:rPr>
        <w:t xml:space="preserve">. </w:t>
      </w:r>
      <w:r>
        <w:rPr>
          <w:rFonts w:ascii="Times New Roman" w:hAnsi="Times New Roman" w:eastAsia="Times New Roman" w:cs="Times New Roman"/>
          <w:highlight w:val="white"/>
        </w:rPr>
      </w:r>
      <w:r>
        <w:rPr>
          <w:rFonts w:ascii="Times New Roman" w:hAnsi="Times New Roman" w:cs="Times New Roman"/>
          <w:highlight w:val="white"/>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Tổng quan BĐS Ninh Bình:</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Vị trí chiến lược:</w:t>
      </w:r>
      <w:r>
        <w:rPr>
          <w:rFonts w:ascii="Times New Roman" w:hAnsi="Times New Roman" w:eastAsia="Times New Roman" w:cs="Times New Roman"/>
          <w:color w:val="0a0a0a"/>
          <w:sz w:val="24"/>
          <w:highlight w:val="white"/>
        </w:rPr>
        <w:t xml:space="preserve"> Nằm giữa 3 vùng kinh tế (Hà Nội, Duyên hải Bắc Bộ, Duyên hải Trung Bộ), Ninh Bình sở hữu lợi thế kết nối vùng mạnh mẽ.</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Tiềm năng chính:</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Du lịch di sản:</w:t>
      </w:r>
      <w:r>
        <w:rPr>
          <w:rFonts w:ascii="Times New Roman" w:hAnsi="Times New Roman" w:eastAsia="Times New Roman" w:cs="Times New Roman"/>
          <w:color w:val="0a0a0a"/>
          <w:sz w:val="24"/>
          <w:highlight w:val="white"/>
        </w:rPr>
        <w:t xml:space="preserve"> Tràng An là động lực chính thúc đẩy BĐS nghỉ dưỡng và dịch vụ.</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Quy hoạch mới:</w:t>
      </w:r>
      <w:r>
        <w:rPr>
          <w:rFonts w:ascii="Times New Roman" w:hAnsi="Times New Roman" w:eastAsia="Times New Roman" w:cs="Times New Roman"/>
          <w:color w:val="0a0a0a"/>
          <w:sz w:val="24"/>
          <w:highlight w:val="white"/>
        </w:rPr>
        <w:t xml:space="preserve"> Tác động từ việc sáp nhập (Hà Nam, Nam Định, Ninh Bình) tạo ra làn sóng mới và tâm lý kỳ vọng tăng giá.</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Hạ tầng:</w:t>
      </w:r>
      <w:r>
        <w:rPr>
          <w:rFonts w:ascii="Times New Roman" w:hAnsi="Times New Roman" w:eastAsia="Times New Roman" w:cs="Times New Roman"/>
          <w:color w:val="0a0a0a"/>
          <w:sz w:val="24"/>
          <w:highlight w:val="white"/>
        </w:rPr>
        <w:t xml:space="preserve"> Phát triển các trục đường chính giúp kết nối các vùng liên huyện, đặc biệt là phía Tây Bắc.</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Thực trạng giá và phân khúc:</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Đất đấu giá:</w:t>
      </w:r>
      <w:r>
        <w:rPr>
          <w:rFonts w:ascii="Times New Roman" w:hAnsi="Times New Roman" w:eastAsia="Times New Roman" w:cs="Times New Roman"/>
          <w:color w:val="0a0a0a"/>
          <w:sz w:val="24"/>
          <w:highlight w:val="white"/>
        </w:rPr>
        <w:t xml:space="preserve"> Các khu vực như phường Hồng Quang có giá khởi điểm từ 5,5 triệu - 28,6 triệu đồng/m².</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Giá đất nền:</w:t>
      </w:r>
      <w:r>
        <w:rPr>
          <w:rFonts w:ascii="Times New Roman" w:hAnsi="Times New Roman" w:eastAsia="Times New Roman" w:cs="Times New Roman"/>
          <w:color w:val="0a0a0a"/>
          <w:sz w:val="24"/>
          <w:highlight w:val="white"/>
        </w:rPr>
        <w:t xml:space="preserve"> Dao động từ 1 triệu đến 250 triệu đồng/m² tùy vị trí.</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Phân khúc đa dạng:</w:t>
      </w:r>
      <w:r>
        <w:rPr>
          <w:rFonts w:ascii="Times New Roman" w:hAnsi="Times New Roman" w:eastAsia="Times New Roman" w:cs="Times New Roman"/>
          <w:color w:val="0a0a0a"/>
          <w:sz w:val="24"/>
          <w:highlight w:val="white"/>
        </w:rPr>
        <w:t xml:space="preserve"> Đất phân lô (ví dụ tại Yên Khánh) có giá hợp lý chỉ từ hơn 1 tỷ đồng.</w:t>
      </w:r>
      <w:r>
        <w:rPr>
          <w:rFonts w:ascii="Times New Roman" w:hAnsi="Times New Roman" w:eastAsia="Times New Roman" w:cs="Times New Roman"/>
          <w:highlight w:val="white"/>
        </w:rPr>
      </w:r>
      <w:r>
        <w:rPr>
          <w:rFonts w:ascii="Times New Roman" w:hAnsi="Times New Roman" w:cs="Times New Roman"/>
          <w:highlight w:val="white"/>
        </w:rPr>
      </w:r>
    </w:p>
    <w:p>
      <w:pPr>
        <w:pStyle w:val="1026"/>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highlight w:val="white"/>
        </w:rPr>
      </w:pPr>
      <w:r>
        <w:rPr>
          <w:rFonts w:ascii="Times New Roman" w:hAnsi="Times New Roman" w:eastAsia="Times New Roman" w:cs="Times New Roman"/>
          <w:b/>
          <w:color w:val="0a0a0a"/>
          <w:sz w:val="24"/>
          <w:highlight w:val="white"/>
        </w:rPr>
        <w:t xml:space="preserve">Điểm cần lưu ý:</w:t>
      </w:r>
      <w:r>
        <w:rPr>
          <w:rFonts w:ascii="Times New Roman" w:hAnsi="Times New Roman" w:eastAsia="Times New Roman" w:cs="Times New Roman"/>
          <w:color w:val="0a0a0a"/>
          <w:sz w:val="24"/>
          <w:highlight w:val="white"/>
        </w:rPr>
        <w:t xml:space="preserve"> Nhà đầu tư đang chuyển hướng sang các dự án có pháp lý minh bạch sau những đợt kiểm soát sốt đất. </w:t>
      </w:r>
      <w:r>
        <w:rPr>
          <w:rFonts w:ascii="Times New Roman" w:hAnsi="Times New Roman" w:eastAsia="Times New Roman" w:cs="Times New Roman"/>
          <w:highlight w:val="white"/>
        </w:rPr>
      </w:r>
      <w:r>
        <w:rPr>
          <w:rFonts w:ascii="Times New Roman" w:hAnsi="Times New Roman" w:cs="Times New Roman"/>
          <w:highlight w:val="white"/>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highlight w:val="white"/>
        </w:rPr>
      </w:pPr>
      <w:r>
        <w:rPr>
          <w:rFonts w:ascii="Times New Roman" w:hAnsi="Times New Roman" w:eastAsia="Times New Roman" w:cs="Times New Roman"/>
          <w:color w:val="0a0a0a"/>
          <w:sz w:val="24"/>
          <w:highlight w:val="white"/>
        </w:rPr>
        <w:t xml:space="preserve">BĐS Ninh Bình đang chuyển mình từ thị trường tiềm năng sang thị trường tăng trưởng thực, thu hút nhà đầu tư nhờ quy hoạch bền vững</w:t>
      </w:r>
      <w:r>
        <w:rPr>
          <w:rFonts w:ascii="Times New Roman" w:hAnsi="Times New Roman" w:cs="Times New Roman"/>
          <w:sz w:val="24"/>
          <w:highlight w:val="white"/>
        </w:rPr>
      </w:r>
      <w:r>
        <w:rPr>
          <w:rFonts w:ascii="Times New Roman" w:hAnsi="Times New Roman" w:cs="Times New Roman"/>
          <w:highlight w:val="white"/>
        </w:rPr>
      </w:r>
    </w:p>
    <w:p>
      <w:pPr>
        <w:pStyle w:val="1026"/>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2"/>
        <w:gridCol w:w="2041"/>
        <w:gridCol w:w="2361"/>
        <w:gridCol w:w="2814"/>
      </w:tblGrid>
      <w:tr>
        <w:trPr>
          <w:trHeight w:val="181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b/>
                <w:color w:val="000000"/>
                <w:sz w:val="24"/>
                <w:highlight w:val="white"/>
              </w:rPr>
              <w:t xml:space="preserve"> Quyền sử dụng đất tại thửa đất số: 162, tờ bản đồ số: 22, có địa chỉ: Phố Khánh Bình, phường Ninh Khánh, thành phố Ninh Bình (nay là phường Hoa Lư), tỉnh Ninh Bình theo Giấy chứng nhận quyền sử dụng đất quyền sở hữu nhà ở và tài sản khác gắn liền với đất </w:t>
            </w:r>
            <w:r>
              <w:rPr>
                <w:rFonts w:ascii="Times New Roman" w:hAnsi="Times New Roman" w:eastAsia="Times New Roman" w:cs="Times New Roman"/>
                <w:b/>
                <w:color w:val="000000"/>
                <w:sz w:val="24"/>
                <w:highlight w:val="white"/>
              </w:rPr>
              <w:t xml:space="preserve">số: DQ 099840, Số vào sổ cấp GCN: VP6978 do Văn phòng đăng ký đất đai tỉnh Ninh Bình cấp ngày 04/11/2024; chủ sử dụng đất là Ông Vũ Xuân Lượng và Bà Vũ Thị Nguyệt</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Thửa đất:</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Thửa đất số:</w:t>
            </w:r>
            <w:r>
              <w:rPr>
                <w:highlight w:val="white"/>
              </w:rP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162</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22</w:t>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Phố Khánh Bình, phường Ninh Khánh, thành phố Ninh Bình (nay là phường Hoa Lư), tỉnh Ninh Bình</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98,30</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Riêng</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highlight w:val="white"/>
                <w14:ligatures w14:val="none"/>
              </w:rPr>
            </w:pPr>
            <w:r>
              <w:rPr>
                <w:rFonts w:ascii="Times New Roman" w:hAnsi="Times New Roman" w:eastAsia="Times New Roman" w:cs="Times New Roman"/>
                <w:color w:val="000000"/>
                <w:sz w:val="24"/>
                <w:szCs w:val="24"/>
                <w:highlight w:val="white"/>
                <w:lang w:val="undefined"/>
              </w:rPr>
              <w:t xml:space="preserve">Đất ở tại đô thị</w:t>
            </w:r>
            <w:r>
              <w:rPr>
                <w:rFonts w:ascii="Times New Roman" w:hAnsi="Times New Roman" w:eastAsia="Times New Roman" w:cs="Times New Roman"/>
                <w:color w:val="000000"/>
                <w:sz w:val="24"/>
                <w:szCs w:val="24"/>
                <w:highlight w:val="white"/>
                <w:lang w:val="undefined"/>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Lâu dài</w:t>
            </w:r>
            <w:r>
              <w:rPr>
                <w:highlight w:val="white"/>
              </w:rP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Nhận chuyển nhượng đất, được Nhà nước giao có thu tiền sử dụng đất</w:t>
            </w:r>
            <w:r>
              <w:rPr>
                <w:highlight w:val="white"/>
              </w:rP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Ghi chú:</w:t>
            </w:r>
            <w:r>
              <w:rPr>
                <w:highlight w:val="white"/>
              </w:rPr>
            </w:r>
          </w:p>
        </w:tc>
      </w:tr>
      <w:tr>
        <w:trPr>
          <w:trHeight w:val="5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Không</w:t>
            </w:r>
            <w:r>
              <w:rPr>
                <w:highlight w:val="white"/>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Thông tin quy hoạch:</w:t>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điểm thẩm định giá, tổ thẩm định không thu thập được bất kỳ thông tin quy hoạch nào của thửa đất.</w:t>
            </w:r>
            <w:r>
              <w:rPr>
                <w:highlight w:val="white"/>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Về đất:</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446 Trần Hưng Đạo, phường Hoa Lư, tỉnh Ninh Bình</w:t>
            </w:r>
            <w:r>
              <w:rPr>
                <w:highlight w:val="white"/>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Trần Hưng Đạo</w:t>
            </w:r>
            <w:r>
              <w:rPr>
                <w:highlight w:val="white"/>
              </w:rP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mặt tiền:</w:t>
            </w:r>
            <w:r>
              <w:rPr>
                <w:highlight w:val="white"/>
              </w:rPr>
            </w:r>
          </w:p>
        </w:tc>
        <w:tc>
          <w:tcPr>
            <w:tcBorders>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 mặt tiền</w:t>
            </w:r>
            <w:r>
              <w:rPr>
                <w:highlight w:val="white"/>
              </w:rP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20m</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20m</w:t>
            </w:r>
            <w:r>
              <w:rPr>
                <w:highlight w:val="white"/>
              </w:rP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Tiếp giáp đường Trần Hưng Đạo, cách trường mầm non Ninh Khánh khoảng 600m</w:t>
            </w:r>
            <w:r>
              <w:rPr>
                <w:highlight w:val="white"/>
              </w:rPr>
            </w:r>
          </w:p>
        </w:tc>
      </w:tr>
      <w:tr>
        <w:trPr>
          <w:trHeight w:val="1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Đông Bắc tiếp giáp đường giao thông;</w:t>
              <w:br/>
              <w:t xml:space="preserve">Các </w:t>
            </w:r>
            <w:r>
              <w:rPr>
                <w:rFonts w:ascii="Times New Roman" w:hAnsi="Times New Roman" w:eastAsia="Times New Roman" w:cs="Times New Roman"/>
                <w:color w:val="000000"/>
                <w:sz w:val="24"/>
                <w:highlight w:val="white"/>
              </w:rPr>
              <w:t xml:space="preserve">hướng</w:t>
            </w:r>
            <w:r>
              <w:rPr>
                <w:rFonts w:ascii="Times New Roman" w:hAnsi="Times New Roman" w:eastAsia="Times New Roman" w:cs="Times New Roman"/>
                <w:color w:val="000000"/>
                <w:sz w:val="24"/>
                <w:highlight w:val="white"/>
              </w:rPr>
              <w:t xml:space="preserve"> còn lại tiếp giáp thửa đất khác.</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20.27606391984255, 105.9629730858702</w:t>
            </w:r>
            <w:r>
              <w:rPr>
                <w:rFonts w:ascii="Times New Roman" w:hAnsi="Times New Roman" w:eastAsia="Times New Roman" w:cs="Times New Roman"/>
                <w:color w:val="000000"/>
                <w:sz w:val="24"/>
                <w:highlight w:val="white"/>
              </w:rPr>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6048375" cy="276907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7022" name=""/>
                              <pic:cNvPicPr>
                                <a:picLocks noChangeAspect="1"/>
                              </pic:cNvPicPr>
                              <pic:nvPr/>
                            </pic:nvPicPr>
                            <pic:blipFill rotWithShape="1">
                              <a:blip r:embed="rId17"/>
                              <a:stretch/>
                            </pic:blipFill>
                            <pic:spPr bwMode="auto">
                              <a:xfrm>
                                <a:off x="0" y="0"/>
                                <a:ext cx="6048374" cy="2769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8.0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highlight w:val="white"/>
              </w:rPr>
            </w:r>
            <w:r>
              <w:rPr>
                <w:highlight w:val="white"/>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98,30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0,00</w:t>
            </w:r>
            <w:r>
              <w:rPr>
                <w:highlight w:val="white"/>
              </w:rP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KT mặt tiền (m):</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4,93</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20,00</w:t>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chữ nhật</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chính</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Đông Bắc</w:t>
            </w:r>
            <w:r>
              <w:rPr>
                <w:highlight w:val="white"/>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Mật độ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Đông đúc</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Ổn định</w:t>
            </w:r>
            <w:r>
              <w:rPr>
                <w:highlight w:val="white"/>
              </w:rP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cơ sở hạ tầng kỹ thuật:</w:t>
            </w:r>
            <w:r>
              <w:rPr>
                <w:highlight w:val="white"/>
              </w:rP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khu dân cư thông thường: hệ thống cấp điện, cấp thoát nước đầy đủ</w:t>
            </w:r>
            <w:r>
              <w:rPr>
                <w:highlight w:val="white"/>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môi trường an ninh:</w:t>
            </w:r>
            <w:r>
              <w:rPr>
                <w:highlight w:val="white"/>
              </w:rP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 </w:t>
            </w:r>
            <w:r>
              <w:rPr>
                <w:highlight w:val="white"/>
              </w:rPr>
            </w:r>
          </w:p>
        </w:tc>
      </w:tr>
      <w:tr>
        <w:trPr>
          <w:trHeight w:val="154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điểm khảo sát, dưới dự hướng dẫn của chủ tài sản, trên đất có Công trình xây dựng Nhà 03 tầng, diện tích xây dựng khoảng 90m2, tổng diện tích sàn khoảng 270m2. Công trình hiện chưa được công nhận trên GCN QSDĐ.</w:t>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26"/>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26"/>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p>
    <w:p>
      <w:pPr>
        <w:pStyle w:val="1026"/>
        <w:numPr>
          <w:ilvl w:val="0"/>
          <w:numId w:val="3"/>
        </w:numPr>
        <w:pBdr/>
        <w:tabs>
          <w:tab w:val="left" w:leader="none" w:pos="993"/>
        </w:tabs>
        <w:spacing w:after="120" w:before="120" w:line="264" w:lineRule="auto"/>
        <w:ind/>
        <w:jc w:val="both"/>
        <w:rPr>
          <w:rFonts w:ascii="Times New Roman" w:hAnsi="Times New Roman" w:eastAsia="Times New Roman" w:cs="Times New Roman"/>
          <w:color w:val="000000"/>
          <w:sz w:val="24"/>
          <w:szCs w:val="24"/>
          <w:highlight w:val="white"/>
          <w14:ligatures w14:val="none"/>
        </w:rPr>
      </w:pPr>
      <w:r>
        <w:rPr>
          <w:spacing w:val="-2"/>
          <w:highlight w:val="white"/>
          <w:lang w:val="pt-BR" w:bidi="pt-BR"/>
        </w:rPr>
      </w:r>
      <w:r>
        <w:rPr>
          <w:rFonts w:ascii="Times New Roman" w:hAnsi="Times New Roman" w:eastAsia="Times New Roman" w:cs="Times New Roman"/>
          <w:color w:val="000000"/>
          <w:sz w:val="24"/>
          <w:highlight w:val="white"/>
        </w:rPr>
        <w:t xml:space="preserve">Tại thời điểm khảo sát, dưới dự hướng dẫn của chủ tài sản, trên đất có Công trình xây dựng Nhà 03 tầng, diện tích xây dựng khoảng 90m2, tổng diện tích sàn khoảng 270m2. Công trình hiện chưa được công nhận trên GCN QSDĐ</w:t>
      </w:r>
      <w:r>
        <w:rPr>
          <w:rFonts w:ascii="Arial" w:hAnsi="Arial" w:eastAsia="Arial" w:cs="Arial"/>
          <w:color w:val="000000"/>
          <w:spacing w:val="2"/>
          <w:sz w:val="22"/>
          <w:highlight w:val="white"/>
        </w:rPr>
        <w:t xml:space="preserve">.</w:t>
      </w:r>
      <w:r>
        <w:rPr>
          <w:rFonts w:ascii="Times New Roman" w:hAnsi="Times New Roman" w:eastAsia="Times New Roman" w:cs="Times New Roman"/>
          <w:color w:val="000000"/>
          <w:sz w:val="24"/>
          <w:szCs w:val="24"/>
          <w:highlight w:val="white"/>
          <w:lang w:val="undefined"/>
        </w:rPr>
        <w:t xml:space="preserve"> Đồng thời tổ thẩm định cũng không nhận được bất kỳ hồ sơ pháp lý nào liên quan tới công trình xây dựng thực tế này. Do vậy, theo đề nghị của Khách hàng/Ngân hàng,</w:t>
      </w:r>
      <w:r>
        <w:rPr>
          <w:rFonts w:ascii="Times New Roman" w:hAnsi="Times New Roman" w:eastAsia="Times New Roman" w:cs="Times New Roman"/>
          <w:color w:val="000000"/>
          <w:sz w:val="24"/>
          <w:szCs w:val="24"/>
          <w:highlight w:val="white"/>
          <w:lang w:val="undefined"/>
        </w:rPr>
        <w:t xml:space="preserve"> tổ thẩm định không xác định giá trị công trình nhưng vẫn coi đó là phần không thể tách rời của tài sản thẩm định</w:t>
      </w:r>
      <w:r>
        <w:rPr>
          <w:rFonts w:ascii="Times New Roman" w:hAnsi="Times New Roman" w:eastAsia="Times New Roman" w:cs="Times New Roman"/>
          <w:color w:val="000000"/>
          <w:sz w:val="24"/>
          <w:szCs w:val="24"/>
          <w:highlight w:val="white"/>
          <w:lang w:val="undefined" w:bidi="undefined"/>
        </w:rPr>
        <w:t xml:space="preserve">.</w:t>
      </w:r>
      <w:r>
        <w:rPr>
          <w:rFonts w:ascii="Times New Roman" w:hAnsi="Times New Roman" w:eastAsia="Times New Roman" w:cs="Times New Roman"/>
          <w:color w:val="000000"/>
          <w:sz w:val="24"/>
          <w:szCs w:val="24"/>
          <w:highlight w:val="white"/>
          <w:lang w:val="undefined"/>
        </w:rPr>
      </w:r>
    </w:p>
    <w:p>
      <w:pPr>
        <w:pStyle w:val="1026"/>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26"/>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26"/>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26"/>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26"/>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pStyle w:val="1026"/>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26"/>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26"/>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26"/>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26"/>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lang w:val="pt-BR"/>
        </w:rPr>
      </w:r>
    </w:p>
    <w:p>
      <w:pPr>
        <w:pStyle w:val="1026"/>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after="0" w:before="0" w:line="240" w:lineRule="auto"/>
              <w:ind/>
              <w:jc w:val="center"/>
              <w:rPr>
                <w:sz w:val="22"/>
                <w:szCs w:val="22"/>
                <w:highlight w:val="white"/>
              </w:rPr>
            </w:pPr>
            <w:r>
              <w:rPr>
                <w:rFonts w:ascii="Times New Roman" w:hAnsi="Times New Roman" w:eastAsia="Times New Roman" w:cs="Times New Roman"/>
                <w:color w:val="000000"/>
                <w:sz w:val="22"/>
                <w:szCs w:val="22"/>
                <w:highlight w:val="white"/>
              </w:rPr>
              <w:t xml:space="preserve">Số 466 Trần Hưng Đạo, phường Hoa Lư, tỉnh Ninh Bình</w:t>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rFonts w:ascii="Times New Roman" w:hAnsi="Times New Roman" w:eastAsia="Times New Roman" w:cs="Times New Roman"/>
                <w:color w:val="000000"/>
                <w:sz w:val="22"/>
                <w:szCs w:val="22"/>
                <w:highlight w:val="white"/>
              </w:rPr>
              <w:t xml:space="preserve">Đường Trần Hưng Đạo, phường Hoa Lư, tỉnh Ninh Bình</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rFonts w:ascii="Times New Roman" w:hAnsi="Times New Roman" w:eastAsia="Times New Roman" w:cs="Times New Roman"/>
                <w:color w:val="000000"/>
                <w:sz w:val="22"/>
                <w:szCs w:val="22"/>
                <w:highlight w:val="white"/>
              </w:rPr>
              <w:t xml:space="preserve">Đường Trần Hưng Đạo, phường Hoa Lư, tỉnh Ninh Bình</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rFonts w:ascii="Times New Roman" w:hAnsi="Times New Roman" w:eastAsia="Times New Roman" w:cs="Times New Roman"/>
                <w:color w:val="000000"/>
                <w:sz w:val="22"/>
                <w:szCs w:val="22"/>
                <w:highlight w:val="white"/>
              </w:rPr>
              <w:t xml:space="preserve">Đường Trần Hưng Đạo, phường Hoa Lư, tỉnh Ninh Bình</w:t>
            </w:r>
            <w:r>
              <w:rPr>
                <w:sz w:val="22"/>
                <w:szCs w:val="22"/>
                <w:highlight w:val="white"/>
              </w:rPr>
            </w:r>
            <w:r>
              <w:rPr>
                <w:sz w:val="22"/>
                <w:szCs w:val="22"/>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https://batdongsan.com.vn/ban-nha-mat-pho-duong-tran-hung-dao-phuong-ninh-khanh-465/ql1a-dien-tich-118-5m2-x-6m-co-them-47m2-luu-khong-pr42517492</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https://batdongsan.com.vn/ban-nha-mat-pho-duong-tran-hung-dao-phuong-ninh-khanh-465/ban-at-uong-ao-kinh-doanh-sam-uat-pr45456818</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0911001225</w:t>
            </w:r>
            <w:r>
              <w:rPr>
                <w:sz w:val="22"/>
                <w:szCs w:val="22"/>
                <w:highlight w:val="white"/>
              </w:rPr>
              <w:t xml:space="preserve"> </w:t>
            </w:r>
            <w:r>
              <w:rPr>
                <w:sz w:val="22"/>
                <w:szCs w:val="22"/>
                <w:highlight w:val="white"/>
              </w:rPr>
              <w:br/>
              <w:t xml:space="preserve">(</w:t>
            </w:r>
            <w:r>
              <w:rPr>
                <w:sz w:val="22"/>
                <w:szCs w:val="22"/>
                <w:highlight w:val="white"/>
              </w:rPr>
              <w:t xml:space="preserve">Khánh</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0975161373</w:t>
            </w:r>
            <w:r>
              <w:rPr>
                <w:sz w:val="22"/>
                <w:szCs w:val="22"/>
                <w:highlight w:val="white"/>
              </w:rPr>
              <w:br/>
            </w:r>
            <w:r>
              <w:rPr>
                <w:sz w:val="22"/>
                <w:szCs w:val="22"/>
                <w:highlight w:val="white"/>
              </w:rPr>
              <w:t xml:space="preserve">(</w:t>
            </w:r>
            <w:r>
              <w:rPr>
                <w:sz w:val="22"/>
                <w:szCs w:val="22"/>
                <w:highlight w:val="white"/>
              </w:rPr>
              <w:t xml:space="preserve">Phương</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0355712220</w:t>
            </w:r>
            <w:r>
              <w:rPr>
                <w:sz w:val="22"/>
                <w:szCs w:val="22"/>
                <w:highlight w:val="white"/>
              </w:rPr>
              <w:br/>
            </w:r>
            <w:r>
              <w:rPr>
                <w:sz w:val="22"/>
                <w:szCs w:val="22"/>
                <w:highlight w:val="white"/>
              </w:rPr>
              <w:t xml:space="preserve">(</w:t>
            </w:r>
            <w:r>
              <w:rPr>
                <w:sz w:val="22"/>
                <w:szCs w:val="22"/>
                <w:highlight w:val="white"/>
              </w:rPr>
              <w:t xml:space="preserve">Yến Bùi</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themeColor="text1"/>
                <w:sz w:val="22"/>
                <w:szCs w:val="22"/>
                <w:highlight w:val="white"/>
              </w:rPr>
              <w:t xml:space="preserve">Đang giao dịch</w:t>
            </w:r>
            <w:r>
              <w:rPr>
                <w:highlight w:val="white"/>
              </w:rPr>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98,3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118,5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19,94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19,75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đã cũ, giá trị không đáng kể</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đã cũ, giá trị không đáng kể</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đã cũ, giá trị không đáng kể</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17.200.000.000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18.000.000.000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20.000.000.000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14.620.000.000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15.300.000.000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16.000.000.000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14.620.000.000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15.300.000.000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16.000.000.000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26"/>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494"/>
        <w:gridCol w:w="28"/>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14.620.000.000</w:t>
            </w:r>
            <w:r>
              <w:rPr>
                <w:color w:val="000000"/>
                <w:sz w:val="20"/>
                <w:szCs w:val="20"/>
                <w:highlight w:val="white"/>
              </w:rPr>
            </w:r>
            <w:r>
              <w:rPr>
                <w:color w:val="000000"/>
                <w:sz w:val="20"/>
                <w:szCs w:val="20"/>
                <w:highlight w:val="white"/>
              </w:rPr>
            </w:r>
          </w:p>
        </w:tc>
        <w:tc>
          <w:tcPr>
            <w:gridSpan w:val="2"/>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15.300.000.000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16.000.000.000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 Lâu dài</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 Lâu dài</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gridSpan w:val="2"/>
            <w:shd w:val="clear" w:color="000000" w:fill="ffffff"/>
            <w:tcBorders/>
            <w:tcW w:w="155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Đường Trần Hưng Đạo, Phường Hoa Lư, Tỉnh Ninh Bình</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123.375.527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133.333.333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98,3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118,5</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6.168.776</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6.375.000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6.666.667</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129.544.303</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133.875.000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140.000.000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4,93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-8.636.287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-8.925.000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-9.333.333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120.908.016</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124.950.000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130.666.667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Chiều sâu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19,94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19,75</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120.908.016</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124.950.000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130.666.667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120.908.016</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124.950.000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130.666.667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120.908.016</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124.950.000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130.666.667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kinh doanh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120.908.016</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124.950.000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130.666.667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120.908.016</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124.950.000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130.666.667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4"/>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125.508.228</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-3,67%</w:t>
            </w:r>
            <w:r>
              <w:rPr>
                <w:color w:val="000000"/>
                <w:sz w:val="22"/>
                <w:szCs w:val="22"/>
                <w:highlight w:val="white"/>
              </w:rPr>
            </w:r>
            <w:r>
              <w:rPr>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-0,44%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4,11%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14.805.063</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15.300.000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16.000.000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c>
          <w:tcPr>
            <w:gridSpan w:val="2"/>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c>
          <w:tcPr>
            <w:gridSpan w:val="2"/>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2.467.511</w:t>
            </w:r>
            <w:r>
              <w:rPr>
                <w:sz w:val="22"/>
                <w:szCs w:val="22"/>
                <w:highlight w:val="white"/>
              </w:rPr>
            </w:r>
            <w:r>
              <w:rPr>
                <w:sz w:val="22"/>
                <w:szCs w:val="22"/>
                <w:highlight w:val="white"/>
              </w:rPr>
            </w:r>
          </w:p>
        </w:tc>
        <w:tc>
          <w:tcPr>
            <w:gridSpan w:val="2"/>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2.550.000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2.666.666</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-3,67</w:t>
      </w:r>
      <w:r>
        <w:rPr>
          <w:highlight w:val="white"/>
        </w:rPr>
        <w:t xml:space="preserve">% đến</w:t>
      </w:r>
      <w:r>
        <w:rPr>
          <w:highlight w:val="white"/>
        </w:rPr>
        <w:t xml:space="preserve"> </w:t>
      </w:r>
      <w:r>
        <w:rPr>
          <w:highlight w:val="white"/>
        </w:rPr>
        <w:t xml:space="preserve"> </w:t>
      </w:r>
      <w:r>
        <w:rPr>
          <w:highlight w:val="white"/>
        </w:rPr>
        <w:t xml:space="preserve">4,11</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120.908.016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40.310.733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124.950.000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41.645.835</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130.666.667</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43.551.200</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125.507.768</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125.000.000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125.000.000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26"/>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lang w:val="pt-BR"/>
        </w:rPr>
      </w:r>
    </w:p>
    <w:p>
      <w:pPr>
        <w:pStyle w:val="1026"/>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04/2026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090"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69"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646"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229"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605" w:type="dxa"/>
            <w:vAlign w:val="center"/>
            <w:textDirection w:val="lrTb"/>
            <w:noWrap w:val="false"/>
          </w:tcPr>
          <w:p>
            <w:pPr>
              <w:pBdr/>
              <w:spacing w:after="40" w:before="40" w:line="288" w:lineRule="auto"/>
              <w:ind/>
              <w:jc w:val="both"/>
              <w:rPr>
                <w:b/>
                <w:bCs/>
                <w:highlight w:val="white"/>
              </w:rPr>
            </w:pPr>
            <w:r>
              <w:rPr>
                <w:color w:val="000000"/>
                <w:highlight w:val="white"/>
              </w:rPr>
              <w:t xml:space="preserve">Quyền sử dụng đất tại thửa đất số: 162, tờ bản đồ số: 22, có địa chỉ: Phố Khánh Bình, phường Ninh Khánh, thành phố Ninh Bình (nay là phường Hoa Lư), tỉnh Ninh Bì</w:t>
            </w:r>
            <w:r>
              <w:rPr>
                <w:color w:val="000000"/>
                <w:highlight w:val="white"/>
              </w:rPr>
              <w:t xml:space="preserve">nh theo Giấy chứng nhận quyền sử dụng đất quyền sở hữu nhà ở và tài sản khác gắn liền với đất số: DQ 099840, Số vào sổ cấp GCN: VP6978 do Văn phòng đăng ký đất đai tỉnh Ninh Bình cấp ngày 04/11/2024; chủ sử dụng đất là Ông Vũ Xuân Lượng và Bà Vũ Thị Nguyệt</w:t>
            </w:r>
            <w:r>
              <w:rPr>
                <w:b/>
                <w:bCs/>
                <w:highlight w:val="white"/>
              </w:rPr>
              <w:t xml:space="preserve">.</w:t>
            </w:r>
            <w:r>
              <w:rPr>
                <w:b/>
                <w:bCs/>
                <w:highlight w:val="white"/>
              </w:rPr>
            </w:r>
            <w:r>
              <w:rPr>
                <w:b/>
                <w:bCs/>
                <w:highlight w:val="white"/>
              </w:rPr>
            </w:r>
          </w:p>
        </w:tc>
        <w:tc>
          <w:tcPr>
            <w:shd w:val="clear" w:color="000000" w:fill="ffffff"/>
            <w:tcBorders/>
            <w:tcW w:w="2229"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p>
        </w:tc>
        <w:tc>
          <w:tcPr>
            <w:shd w:val="clear" w:color="000000" w:fill="ffffff"/>
            <w:tcBorders/>
            <w:tcW w:w="2090"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đô thị</w:t>
            </w:r>
            <w:r>
              <w:rPr>
                <w:b w:val="0"/>
                <w:bCs w:val="0"/>
                <w:highlight w:val="white"/>
              </w:rPr>
            </w:r>
          </w:p>
        </w:tc>
        <w:tc>
          <w:tcPr>
            <w:tcBorders/>
            <w:tcW w:w="1869"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98,3</w:t>
            </w:r>
            <w:r>
              <w:rPr>
                <w:color w:val="000000"/>
                <w:highlight w:val="white"/>
              </w:rPr>
            </w:r>
            <w:r>
              <w:rPr>
                <w:color w:val="000000"/>
                <w:highlight w:val="white"/>
              </w:rPr>
            </w:r>
          </w:p>
        </w:tc>
        <w:tc>
          <w:tcPr>
            <w:shd w:val="clear" w:color="000000" w:fill="ffffff"/>
            <w:tcBorders/>
            <w:tcW w:w="2646"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125.000.000</w:t>
            </w:r>
            <w:r>
              <w:rPr>
                <w:highlight w:val="white"/>
              </w:rPr>
            </w:r>
          </w:p>
        </w:tc>
        <w:tc>
          <w:tcPr>
            <w:shd w:val="clear" w:color="000000" w:fill="ffffff"/>
            <w:tcBorders/>
            <w:tcW w:w="2229"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12.287.500.000</w:t>
            </w:r>
            <w:r>
              <w:rPr>
                <w:highlight w:val="white"/>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229" w:type="dxa"/>
            <w:vAlign w:val="center"/>
            <w:textDirection w:val="lrTb"/>
            <w:noWrap/>
          </w:tcPr>
          <w:p>
            <w:pPr>
              <w:pBdr/>
              <w:spacing w:after="40" w:before="40" w:line="288" w:lineRule="auto"/>
              <w:ind/>
              <w:jc w:val="center"/>
              <w:rPr>
                <w:b/>
                <w:bCs/>
                <w:color w:val="000000"/>
                <w:highlight w:val="white"/>
              </w:rPr>
            </w:pPr>
            <w:r>
              <w:rPr>
                <w:b/>
                <w:bCs/>
                <w:highlight w:val="white"/>
              </w:rPr>
              <w:t xml:space="preserve">12.287.500.000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Mười hai tỷ hai trăm tám mươi bảy triệu năm trăm nghìn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26"/>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26"/>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lang w:val="pt-BR"/>
        </w:rPr>
      </w:r>
    </w:p>
    <w:p>
      <w:pPr>
        <w:pStyle w:val="1026"/>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26"/>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lang w:val="pt-BR"/>
        </w:rPr>
      </w:r>
    </w:p>
    <w:p>
      <w:pPr>
        <w:pStyle w:val="1026"/>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26"/>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26"/>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26"/>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26"/>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26"/>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26"/>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26"/>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26"/>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26"/>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26"/>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26"/>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26"/>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26"/>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26"/>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lang w:val="pt-BR"/>
        </w:rPr>
      </w:r>
    </w:p>
    <w:p>
      <w:pPr>
        <w:pStyle w:val="1026"/>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26"/>
        <w:numPr>
          <w:ilvl w:val="0"/>
          <w:numId w:val="40"/>
        </w:numPr>
        <w:pBdr/>
        <w:tabs>
          <w:tab w:val="left" w:leader="none" w:pos="993"/>
        </w:tabs>
        <w:spacing w:after="120" w:before="120" w:line="264" w:lineRule="auto"/>
        <w:ind/>
        <w:jc w:val="both"/>
        <w:rPr>
          <w:rFonts w:ascii="Times New Roman" w:hAnsi="Times New Roman" w:eastAsia="Times New Roman" w:cs="Times New Roman"/>
          <w:color w:val="000000"/>
          <w:sz w:val="24"/>
          <w:szCs w:val="24"/>
          <w:highlight w:val="white"/>
          <w14:ligatures w14:val="none"/>
        </w:rPr>
      </w:pPr>
      <w:r>
        <w:rPr>
          <w:spacing w:val="-2"/>
          <w:highlight w:val="white"/>
          <w:lang w:val="pt-BR" w:bidi="pt-BR"/>
        </w:rPr>
      </w:r>
      <w:r>
        <w:rPr>
          <w:rFonts w:ascii="Times New Roman" w:hAnsi="Times New Roman" w:eastAsia="Times New Roman" w:cs="Times New Roman"/>
          <w:color w:val="000000"/>
          <w:sz w:val="24"/>
          <w:highlight w:val="white"/>
        </w:rPr>
        <w:t xml:space="preserve">Tại thời điểm khảo sát, dưới dự hướng dẫn của chủ tài sản, trên đất có Công trình xây dựng Nhà 03 tầng, diện tích xây dựng khoảng 90m2, tổng diện tích sàn khoảng 270m2. Công trình hiện chưa được công nhận trên GCN QSDĐ</w:t>
      </w:r>
      <w:r>
        <w:rPr>
          <w:rFonts w:ascii="Arial" w:hAnsi="Arial" w:eastAsia="Arial" w:cs="Arial"/>
          <w:color w:val="000000"/>
          <w:spacing w:val="2"/>
          <w:sz w:val="22"/>
          <w:highlight w:val="white"/>
        </w:rPr>
        <w:t xml:space="preserve">.</w:t>
      </w:r>
      <w:r>
        <w:rPr>
          <w:rFonts w:ascii="Times New Roman" w:hAnsi="Times New Roman" w:eastAsia="Times New Roman" w:cs="Times New Roman"/>
          <w:color w:val="000000"/>
          <w:sz w:val="24"/>
          <w:szCs w:val="24"/>
          <w:highlight w:val="white"/>
        </w:rPr>
        <w:t xml:space="preserve"> Đồng thời tổ thẩm định cũng không nhận được bất kỳ hồ sơ pháp lý nào liên quan tới công trình xây dựng thực tế này. Do vậy, theo đề nghị của Khách hàng/Ngân hàng,</w:t>
      </w:r>
      <w:r>
        <w:rPr>
          <w:rFonts w:ascii="Times New Roman" w:hAnsi="Times New Roman" w:eastAsia="Times New Roman" w:cs="Times New Roman"/>
          <w:color w:val="000000"/>
          <w:sz w:val="24"/>
          <w:szCs w:val="24"/>
          <w:highlight w:val="white"/>
        </w:rPr>
        <w:t xml:space="preserve"> tổ thẩm định không xác định giá trị công trình nhưng vẫn coi đó là phần không thể tách rời của tài sản thẩm định</w:t>
      </w:r>
      <w:r>
        <w:rPr>
          <w:rFonts w:ascii="Times New Roman" w:hAnsi="Times New Roman" w:eastAsia="Times New Roman" w:cs="Times New Roman"/>
          <w:color w:val="000000"/>
          <w:sz w:val="24"/>
          <w:szCs w:val="24"/>
          <w:highlight w:val="white"/>
        </w:rPr>
        <w:t xml:space="preserve">.</w:t>
      </w:r>
      <w:r>
        <w:rPr>
          <w:bCs/>
          <w:spacing w:val="-2"/>
          <w:highlight w:val="white"/>
          <w:lang w:val="pt-BR"/>
        </w:rPr>
      </w:r>
      <w:r>
        <w:rPr>
          <w:rFonts w:ascii="Times New Roman" w:hAnsi="Times New Roman" w:eastAsia="Times New Roman" w:cs="Times New Roman"/>
          <w:color w:val="000000"/>
          <w:sz w:val="24"/>
          <w:szCs w:val="24"/>
          <w:highlight w:val="white"/>
          <w14:ligatures w14:val="none"/>
        </w:rPr>
      </w:r>
    </w:p>
    <w:p>
      <w:pPr>
        <w:pStyle w:val="1026"/>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26"/>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26"/>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lang w:val="pt-BR"/>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26"/>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26"/>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Style w:val="1026"/>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275/2026/0538/VFI-CT.44.A</w:t>
      </w:r>
      <w:r>
        <w:rPr>
          <w:color w:val="ff0000"/>
          <w:highlight w:val="white"/>
          <w:lang w:val="vi-VN"/>
        </w:rPr>
        <w:t xml:space="preserve"> </w:t>
      </w:r>
      <w:r>
        <w:rPr>
          <w:color w:val="000000" w:themeColor="text1"/>
          <w:highlight w:val="white"/>
        </w:rPr>
        <w:t xml:space="preserve">ngày 7 tháng 4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275/2026/0538/VFI-BC.</w:t>
      </w:r>
      <w:r>
        <w:rPr>
          <w:i/>
          <w:highlight w:val="white"/>
        </w:rPr>
        <w:t xml:space="preserve">44.A</w:t>
      </w:r>
      <w:r>
        <w:rPr>
          <w:i/>
          <w:highlight w:val="white"/>
          <w:lang w:val="pt-BR"/>
        </w:rPr>
        <w:t xml:space="preserve"> ngày </w:t>
      </w:r>
      <w:r>
        <w:rPr>
          <w:i/>
          <w:highlight w:val="white"/>
          <w:lang w:val="pt-BR"/>
        </w:rPr>
        <w:t xml:space="preserve">7 tháng 4 </w:t>
      </w:r>
      <w:r>
        <w:rPr>
          <w:i/>
          <w:highlight w:val="white"/>
          <w:lang w:val="pt-BR"/>
        </w:rPr>
        <w:t xml:space="preserve">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3062"/>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278165" cy="184396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72550" name=""/>
                              <pic:cNvPicPr>
                                <a:picLocks noChangeAspect="1"/>
                              </pic:cNvPicPr>
                              <pic:nvPr/>
                            </pic:nvPicPr>
                            <pic:blipFill rotWithShape="1">
                              <a:blip r:embed="rId18"/>
                              <a:stretch/>
                            </pic:blipFill>
                            <pic:spPr bwMode="auto">
                              <a:xfrm flipH="0" flipV="0">
                                <a:off x="0" y="0"/>
                                <a:ext cx="3278165" cy="18439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58.12pt;height:145.19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411977" cy="191923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78279" name=""/>
                              <pic:cNvPicPr>
                                <a:picLocks noChangeAspect="1"/>
                              </pic:cNvPicPr>
                              <pic:nvPr/>
                            </pic:nvPicPr>
                            <pic:blipFill rotWithShape="1">
                              <a:blip r:embed="rId19"/>
                              <a:stretch/>
                            </pic:blipFill>
                            <pic:spPr bwMode="auto">
                              <a:xfrm flipH="0" flipV="0">
                                <a:off x="0" y="0"/>
                                <a:ext cx="3411977" cy="19192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8.66pt;height:151.12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98248" cy="16302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77190" name=""/>
                              <pic:cNvPicPr>
                                <a:picLocks noChangeAspect="1"/>
                              </pic:cNvPicPr>
                              <pic:nvPr/>
                            </pic:nvPicPr>
                            <pic:blipFill rotWithShape="1">
                              <a:blip r:embed="rId20"/>
                              <a:stretch/>
                            </pic:blipFill>
                            <pic:spPr bwMode="auto">
                              <a:xfrm flipH="0" flipV="0">
                                <a:off x="0" y="0"/>
                                <a:ext cx="2898247" cy="1630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21pt;height:128.37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130267" cy="17607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61832" name=""/>
                              <pic:cNvPicPr>
                                <a:picLocks noChangeAspect="1"/>
                              </pic:cNvPicPr>
                              <pic:nvPr/>
                            </pic:nvPicPr>
                            <pic:blipFill rotWithShape="1">
                              <a:blip r:embed="rId21"/>
                              <a:stretch/>
                            </pic:blipFill>
                            <pic:spPr bwMode="auto">
                              <a:xfrm flipH="0" flipV="0">
                                <a:off x="0" y="0"/>
                                <a:ext cx="3130266" cy="1760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6.48pt;height:138.64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30515" cy="17046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07551" name=""/>
                              <pic:cNvPicPr>
                                <a:picLocks noChangeAspect="1"/>
                              </pic:cNvPicPr>
                              <pic:nvPr/>
                            </pic:nvPicPr>
                            <pic:blipFill rotWithShape="1">
                              <a:blip r:embed="rId22"/>
                              <a:stretch/>
                            </pic:blipFill>
                            <pic:spPr bwMode="auto">
                              <a:xfrm flipH="0" flipV="0">
                                <a:off x="0" y="0"/>
                                <a:ext cx="3030514" cy="17046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8.62pt;height:134.23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202675" cy="18015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26438" name=""/>
                              <pic:cNvPicPr>
                                <a:picLocks noChangeAspect="1"/>
                              </pic:cNvPicPr>
                              <pic:nvPr/>
                            </pic:nvPicPr>
                            <pic:blipFill rotWithShape="1">
                              <a:blip r:embed="rId23"/>
                              <a:stretch/>
                            </pic:blipFill>
                            <pic:spPr bwMode="auto">
                              <a:xfrm flipH="0" flipV="0">
                                <a:off x="0" y="0"/>
                                <a:ext cx="3202674" cy="1801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2.18pt;height:141.85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lang w:val="pt-BR"/>
              </w:rPr>
            </w:r>
          </w:p>
        </w:tc>
      </w:tr>
    </w:tbl>
    <w:p>
      <w:pPr>
        <w:pBdr/>
        <w:spacing/>
        <w:ind/>
        <w:rPr>
          <w:highlight w:val="white"/>
        </w:rPr>
      </w:pPr>
      <w:r>
        <w:rPr>
          <w:highlight w:val="white"/>
        </w:rPr>
      </w:r>
      <w:r>
        <w:rPr>
          <w:highlight w:val="white"/>
        </w:rPr>
      </w:r>
    </w:p>
    <w:p>
      <w:pPr>
        <w:pBdr/>
        <w:spacing w:after="200" w:line="276" w:lineRule="auto"/>
        <w:ind/>
        <w:rPr>
          <w:highlight w:val="white"/>
        </w:rPr>
      </w:pPr>
      <w:r>
        <w:rPr>
          <w:highlight w:val="white"/>
        </w:rPr>
        <mc:AlternateContent>
          <mc:Choice Requires="wpg">
            <w:drawing>
              <wp:inline xmlns:wp="http://schemas.openxmlformats.org/drawingml/2006/wordprocessingDrawing" distT="0" distB="0" distL="0" distR="0">
                <wp:extent cx="6048375" cy="453628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3448" name=""/>
                        <pic:cNvPicPr>
                          <a:picLocks noChangeAspect="1"/>
                        </pic:cNvPicPr>
                        <pic:nvPr/>
                      </pic:nvPicPr>
                      <pic:blipFill rotWithShape="1">
                        <a:blip r:embed="rId24"/>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57.19pt;mso-wrap-distance-left:0.00pt;mso-wrap-distance-top:0.00pt;mso-wrap-distance-right:0.00pt;mso-wrap-distance-bottom:0.00pt;z-index:1;" stroked="false">
                <v:imagedata r:id="rId24" o:title=""/>
                <o:lock v:ext="edit" rotation="t"/>
              </v:shape>
            </w:pict>
          </mc:Fallback>
        </mc:AlternateContent>
      </w:r>
      <w:r>
        <w:rPr>
          <w:highlight w:val="white"/>
        </w:rPr>
      </w:r>
    </w:p>
    <w:p>
      <w:pPr>
        <w:pBdr/>
        <w:spacing w:after="200" w:line="276" w:lineRule="auto"/>
        <w:ind/>
        <w:rPr>
          <w:highlight w:val="white"/>
        </w:rPr>
      </w:pPr>
      <w:r>
        <w:rPr>
          <w:highlight w:val="white"/>
        </w:rPr>
        <mc:AlternateContent>
          <mc:Choice Requires="wpg">
            <w:drawing>
              <wp:inline xmlns:wp="http://schemas.openxmlformats.org/drawingml/2006/wordprocessingDrawing" distT="0" distB="0" distL="0" distR="0">
                <wp:extent cx="6048375" cy="434306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67895" name=""/>
                        <pic:cNvPicPr>
                          <a:picLocks noChangeAspect="1"/>
                        </pic:cNvPicPr>
                        <pic:nvPr/>
                      </pic:nvPicPr>
                      <pic:blipFill rotWithShape="1">
                        <a:blip r:embed="rId25"/>
                        <a:stretch/>
                      </pic:blipFill>
                      <pic:spPr bwMode="auto">
                        <a:xfrm>
                          <a:off x="0" y="0"/>
                          <a:ext cx="6048374" cy="4343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41.97pt;mso-wrap-distance-left:0.00pt;mso-wrap-distance-top:0.00pt;mso-wrap-distance-right:0.00pt;mso-wrap-distance-bottom:0.00pt;z-index:1;" stroked="false">
                <v:imagedata r:id="rId25" o:title=""/>
                <o:lock v:ext="edit" rotation="t"/>
              </v:shape>
            </w:pict>
          </mc:Fallback>
        </mc:AlternateContent>
      </w:r>
      <w:r>
        <w:rPr>
          <w:highlight w:val="white"/>
        </w:rPr>
        <w:br w:type="page" w:clear="all"/>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lang w:val="pt-BR"/>
        </w:rPr>
      </w:r>
    </w:p>
    <w:p>
      <w:pPr>
        <w:pBdr/>
        <w:spacing/>
        <w:ind/>
        <w:jc w:val="center"/>
        <w:rPr>
          <w:i/>
          <w:highlight w:val="white"/>
        </w:rPr>
      </w:pPr>
      <w:r>
        <w:rPr>
          <w:i/>
          <w:highlight w:val="white"/>
          <w:lang w:val="pt-BR"/>
        </w:rPr>
        <w:t xml:space="preserve">(Kèm theo Báo cáo thẩm định số </w:t>
      </w:r>
      <w:r>
        <w:rPr>
          <w:i/>
          <w:highlight w:val="white"/>
        </w:rPr>
        <w:t xml:space="preserve">275/2026/0538/VFI-BC.44.</w:t>
      </w:r>
      <w:r>
        <w:rPr>
          <w:i/>
          <w:highlight w:val="white"/>
        </w:rPr>
        <w:t xml:space="preserve">A</w:t>
      </w:r>
      <w:r>
        <w:rPr>
          <w:i/>
          <w:highlight w:val="white"/>
          <w:lang w:val="pt-BR"/>
        </w:rPr>
        <w:t xml:space="preserve"> </w:t>
      </w:r>
      <w:r>
        <w:rPr>
          <w:i/>
          <w:highlight w:val="white"/>
          <w:lang w:val="pt-BR"/>
        </w:rPr>
        <w:t xml:space="preserve">7 t</w:t>
      </w:r>
      <w:r>
        <w:rPr>
          <w:i/>
          <w:highlight w:val="white"/>
          <w:lang w:val="pt-BR"/>
        </w:rPr>
        <w:t xml:space="preserve">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https://batdongsan.com.vn/ban-nha-mat-pho-duong-tran-hung-dao-phuong-ninh-khanh-465/ql1a-dien-tich-118-5m2-x-6m-co-them-47m2-luu-khong-pr42517492</w:t>
            </w:r>
            <w:r>
              <w:rPr>
                <w:color w:val="000000" w:themeColor="text1"/>
                <w:sz w:val="22"/>
                <w:szCs w:val="22"/>
                <w:highlight w:val="white"/>
              </w:rPr>
              <w:br/>
              <w:t xml:space="preserve">0911001225</w:t>
            </w:r>
            <w:r>
              <w:rPr>
                <w:sz w:val="22"/>
                <w:szCs w:val="22"/>
                <w:highlight w:val="white"/>
              </w:rPr>
              <w:t xml:space="preserve"> </w:t>
            </w:r>
            <w:r>
              <w:rPr>
                <w:sz w:val="22"/>
                <w:szCs w:val="22"/>
                <w:highlight w:val="white"/>
              </w:rPr>
              <w:br/>
              <w:t xml:space="preserve">(Khánh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17.200.000.000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14.620.000.000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(118,5m²)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Phường Hoa Lư, Tỉnh Ninh Bình, độ rộng đường trước mặt tài sản 2m, mặt tiền 6m, 20.274340039169648, 105.96392900000902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118,5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val="0"/>
                <w:bCs w:val="0"/>
                <w:color w:val="000000"/>
                <w:sz w:val="22"/>
                <w:szCs w:val="22"/>
                <w:highlight w:val="white"/>
              </w:rPr>
            </w:pPr>
            <w:r>
              <w:rPr>
                <w:b w:val="0"/>
                <w:bCs w:val="0"/>
                <w:color w:val="000000"/>
                <w:sz w:val="22"/>
                <w:szCs w:val="22"/>
                <w:highlight w:val="white"/>
              </w:rPr>
              <w:t xml:space="preserve">B</w:t>
            </w:r>
            <w:r>
              <w:rPr>
                <w:b w:val="0"/>
                <w:bCs w:val="0"/>
                <w:color w:val="000000"/>
                <w:sz w:val="22"/>
                <w:szCs w:val="22"/>
                <w:highlight w:val="white"/>
              </w:rPr>
            </w:r>
            <w:r>
              <w:rPr>
                <w:b w:val="0"/>
                <w:bCs w:val="0"/>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70170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7017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70.2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70170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7017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70.2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pPr>
        <w:pBdr/>
        <w:spacing w:after="120"/>
        <w:ind/>
        <w:jc w:val="center"/>
        <w:rPr>
          <w:i/>
          <w:highlight w:val="white"/>
        </w:rPr>
      </w:pPr>
      <w:r>
        <w:rPr>
          <w:i/>
          <w:highlight w:val="white"/>
          <w:lang w:val="pt-BR"/>
        </w:rPr>
      </w:r>
      <w:r>
        <w:rPr>
          <w:i/>
          <w:highlight w:val="white"/>
          <w:lang w:val="pt-BR"/>
        </w:rPr>
      </w:r>
      <w:r>
        <w:rPr>
          <w:i/>
          <w:highlight w:val="white"/>
          <w:lang w:val="pt-BR"/>
        </w:rPr>
      </w:r>
    </w:p>
    <w:p>
      <w:pPr>
        <w:pBdr/>
        <w:spacing w:after="200" w:line="276" w:lineRule="auto"/>
        <w:ind/>
        <w:jc w:val="center"/>
        <w:rPr>
          <w:i/>
          <w:highlight w:val="white"/>
        </w:rPr>
      </w:pPr>
      <w:r>
        <w:rPr>
          <w:i/>
          <w:highlight w:val="white"/>
          <w:lang w:val="pt-BR"/>
        </w:rPr>
      </w:r>
      <w:r>
        <w:rPr>
          <w:i/>
          <w:highlight w:val="white"/>
          <w:lang w:val="pt-BR"/>
        </w:rPr>
      </w:r>
      <w:r>
        <w:rPr>
          <w:i/>
          <w:highlight w:val="white"/>
          <w:lang w:val="pt-BR"/>
        </w:rPr>
      </w:r>
    </w:p>
    <w:p>
      <w:pPr>
        <w:pBdr/>
        <w:shd w:val="nil" w:color="auto"/>
        <w:spacing/>
        <w:ind/>
        <w:rPr>
          <w:b/>
          <w:bCs/>
          <w:highlight w:val="white"/>
        </w:rPr>
      </w:pPr>
      <w:r>
        <w:rPr>
          <w:b/>
          <w:bCs/>
          <w:iCs/>
          <w:highlight w:val="white"/>
          <w:lang w:val="pt-BR"/>
        </w:rPr>
        <w:br w:type="page" w:clear="all"/>
      </w:r>
      <w:r>
        <w:rPr>
          <w:b/>
          <w:bCs/>
          <w:highlight w:val="white"/>
          <w:lang w:val="pt-BR"/>
        </w:rPr>
      </w:r>
      <w:r>
        <w:rPr>
          <w:b/>
          <w:bCs/>
          <w:highlight w:val="white"/>
          <w:lang w:val="pt-BR"/>
        </w:rPr>
      </w:r>
    </w:p>
    <w:p>
      <w:pPr>
        <w:pBdr/>
        <w:spacing w:after="200" w:line="276" w:lineRule="auto"/>
        <w:ind/>
        <w:jc w:val="center"/>
        <w:rPr>
          <w:b/>
          <w:bCs/>
          <w:iCs/>
          <w:highlight w:val="white"/>
        </w:rPr>
      </w:pPr>
      <w:r>
        <w:rPr>
          <w:b/>
          <w:bCs/>
          <w:iCs/>
          <w:highlight w:val="white"/>
          <w:lang w:val="pt-BR"/>
        </w:rPr>
      </w:r>
      <w:r>
        <w:rPr>
          <w:b/>
          <w:bCs/>
          <w:iCs/>
          <w:highlight w:val="white"/>
          <w:lang w:val="pt-BR"/>
        </w:rPr>
        <w:t xml:space="preserve">TSSS2</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0975161373</w:t>
            </w:r>
            <w:r>
              <w:rPr>
                <w:sz w:val="22"/>
                <w:szCs w:val="22"/>
                <w:highlight w:val="white"/>
              </w:rPr>
              <w:t xml:space="preserve"> </w:t>
            </w:r>
            <w:r>
              <w:rPr>
                <w:sz w:val="22"/>
                <w:szCs w:val="22"/>
                <w:highlight w:val="white"/>
              </w:rPr>
              <w:br/>
              <w:t xml:space="preserve">(Phương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18.000.000.000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15.300.000.000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(120m²)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Hoa Lư, Tỉnh Ninh Bình</w:t>
            </w:r>
            <w:r>
              <w:rPr>
                <w:color w:val="000000" w:themeColor="text1"/>
                <w:sz w:val="22"/>
                <w:szCs w:val="22"/>
                <w:highlight w:val="white"/>
              </w:rPr>
              <w:t xml:space="preserve">, Tỉnh Ninh Bình, đường Tiếp giáp đường Trần Hưng Đạo, độ rộng đường trước mặt tài sản 20m, mặt tiền 6m, 20.2764534905181, 105.96328526984544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64444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4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64444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4.4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39154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9.5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p>
      <w:pPr>
        <w:pBdr/>
        <w:spacing w:after="200" w:line="276" w:lineRule="auto"/>
        <w:ind/>
        <w:jc w:val="center"/>
        <w:rPr>
          <w:iCs/>
          <w:highlight w:val="white"/>
        </w:rPr>
      </w:pPr>
      <w:r>
        <w:rPr>
          <w:iCs/>
          <w:highlight w:val="white"/>
          <w:lang w:val="pt-BR"/>
        </w:rPr>
      </w:r>
      <w:r>
        <w:rPr>
          <w:b/>
          <w:bCs/>
          <w:iCs/>
          <w:highlight w:val="white"/>
          <w:lang w:val="pt-BR"/>
        </w:rPr>
        <w:t xml:space="preserve">TSSS 3</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https://batdongsan.com.vn/ban-nha-mat-pho-duong-tran-hung-dao-phuong-ninh-khanh-465/ban-at-uong-ao-kinh-doanh-sam-uat-pr45456818</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0355712220</w:t>
            </w:r>
            <w:r>
              <w:rPr>
                <w:sz w:val="22"/>
                <w:szCs w:val="22"/>
                <w:highlight w:val="white"/>
              </w:rPr>
              <w:t xml:space="preserve"> </w:t>
            </w:r>
            <w:r>
              <w:rPr>
                <w:sz w:val="22"/>
                <w:szCs w:val="22"/>
                <w:highlight w:val="white"/>
              </w:rPr>
              <w:br/>
              <w:t xml:space="preserve">(Yến Bùi</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20.000.000.000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16.000.000.000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(120m²)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Hoa Lư, Tỉnh Ninh Bình</w:t>
            </w:r>
            <w:r>
              <w:rPr>
                <w:color w:val="000000" w:themeColor="text1"/>
                <w:sz w:val="22"/>
                <w:szCs w:val="22"/>
                <w:highlight w:val="white"/>
              </w:rPr>
              <w:t xml:space="preserve">, Tỉnh Ninh Bình, đường Tiếp giáp đường THĐ, độ rộng đường trước mặt tài sản 20m, mặt tiền 6m, 20.275645853581327, 105.9636554146895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61803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6180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2.3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Lê Đình Duy</w:t>
            </w:r>
            <w:r>
              <w:rPr>
                <w:highlight w:val="white"/>
              </w:rPr>
            </w:r>
          </w:p>
          <w:p>
            <w:pPr>
              <w:pBdr/>
              <w:spacing/>
              <w:ind/>
              <w:jc w:val="center"/>
              <w:rPr>
                <w:highlight w:val="white"/>
              </w:rPr>
            </w:pPr>
            <w:r>
              <w:rPr>
                <w:highlight w:val="white"/>
              </w:rPr>
            </w:r>
            <w:r>
              <w:rPr>
                <w:highlight w:val="white"/>
              </w:rPr>
            </w:r>
          </w:p>
          <w:p>
            <w:pPr>
              <w:pBdr/>
              <w:spacing/>
              <w:ind/>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p>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jc w:val="center"/>
        <w:rPr>
          <w:iCs/>
          <w:highlight w:val="white"/>
        </w:rPr>
      </w:pPr>
      <w:r>
        <w:rPr>
          <w:iCs/>
          <w:highlight w:val="white"/>
          <w:lang w:val="pt-BR"/>
        </w:rPr>
        <w:t xml:space="preserve">BIÊN BẢN KHẢO SÁT</w:t>
      </w:r>
      <w:r>
        <w:rPr>
          <w:iCs/>
          <w:highlight w:val="white"/>
          <w:lang w:val="pt-BR"/>
        </w:rPr>
      </w:r>
      <w:r>
        <w:rPr>
          <w:iCs/>
          <w:highlight w:val="white"/>
          <w:lang w:val="pt-BR"/>
        </w:rPr>
      </w:r>
    </w:p>
    <w:p>
      <w:pPr>
        <w:pBdr/>
        <w:spacing w:after="200" w:line="276" w:lineRule="auto"/>
        <w:ind/>
        <w:jc w:val="center"/>
        <w:rPr>
          <w:highlight w:val="white"/>
        </w:rPr>
      </w:pPr>
      <w:r>
        <w:rPr>
          <w:iCs/>
          <w:highlight w:val="white"/>
          <w:lang w:val="pt-BR" w:bidi="pt-BR"/>
        </w:rPr>
      </w:r>
      <w:r>
        <w:rPr>
          <w:highlight w:val="white"/>
        </w:rP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9239"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iCs/>
          <w:highlight w:val="white"/>
          <w:lang w:val="pt-BR"/>
        </w:rPr>
      </w:r>
      <w:r>
        <w:rPr>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6FCC18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280</cp:revision>
  <dcterms:created xsi:type="dcterms:W3CDTF">2025-09-15T09:58:00Z</dcterms:created>
  <dcterms:modified xsi:type="dcterms:W3CDTF">2026-04-07T08:24:46Z</dcterms:modified>
</cp:coreProperties>
</file>