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14538"/>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14537"/>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275/2026/0522/VFI-CT.21.A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THÀNH HƯNG PHAN THIẾT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thuê có địa chỉ: Phường Mũi Né, thành phố Phan Thiết, tỉnh Bình Thuận </w:t>
                            </w:r>
                            <w:r>
                              <w:rPr>
                                <w:i/>
                                <w:iCs/>
                                <w:color w:val="000000"/>
                              </w:rPr>
                              <w:t xml:space="preserve">(Nay là phường Mũi Né, tỉnh Lâm Đồng)</w:t>
                            </w:r>
                            <w:r>
                              <w:rPr>
                                <w:color w:val="000000"/>
                              </w:rPr>
                              <w:t xml:space="preserve"> theo Giấy chứng nhận quyền sử dụng đất, quyền sở hữu nhà ở và tài sản gắn liền với đất số: CS 579886, BA 473980, CS 971900, CS 5798</w:t>
                            </w:r>
                            <w:r>
                              <w:rPr>
                                <w:color w:val="000000"/>
                              </w:rPr>
                              <w:t xml:space="preserve">87 và BA 473981; Chủ sử dụng đất là Công ty TNHH Thành Hưng Phan Thiết.</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29.49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275/2026/0522/VFI-CT.21.A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THÀNH HƯNG PHAN THIẾT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thuê có địa chỉ: Phường Mũi Né, thành phố Phan Thiết, tỉnh Bình Thuận </w:t>
                      </w:r>
                      <w:r>
                        <w:rPr>
                          <w:i/>
                          <w:iCs/>
                          <w:color w:val="000000"/>
                        </w:rPr>
                        <w:t xml:space="preserve">(Nay là phường Mũi Né, tỉnh Lâm Đồng)</w:t>
                      </w:r>
                      <w:r>
                        <w:rPr>
                          <w:color w:val="000000"/>
                        </w:rPr>
                        <w:t xml:space="preserve"> theo Giấy chứng nhận quyền sử dụng đất, quyền sở hữu nhà ở và tài sản gắn liền với đất số: CS 579886, BA 473980, CS 971900, CS 5798</w:t>
                      </w:r>
                      <w:r>
                        <w:rPr>
                          <w:color w:val="000000"/>
                        </w:rPr>
                        <w:t xml:space="preserve">87 và BA 473981; Chủ sử dụng đất là Công ty TNHH Thành Hưng Phan Thiết.</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22-30</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73" w:type="dxa"/>
        <w:tblBorders/>
        <w:tblLayout w:type="fixed"/>
        <w:tblLook w:val="04A0" w:firstRow="1" w:lastRow="0" w:firstColumn="1" w:lastColumn="0" w:noHBand="0" w:noVBand="1"/>
      </w:tblPr>
      <w:tblGrid>
        <w:gridCol w:w="312"/>
        <w:gridCol w:w="1417"/>
        <w:gridCol w:w="8079"/>
        <w:gridCol w:w="165"/>
      </w:tblGrid>
      <w:tr>
        <w:trPr>
          <w:trHeight w:val="1701"/>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4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42"/>
        </w:trPr>
        <w:tc>
          <w:tcPr>
            <w:gridSpan w:val="2"/>
            <w:shd w:val="clear" w:color="auto" w:fill="auto"/>
            <w:tcBorders/>
            <w:tcMar>
              <w:left w:w="108" w:type="dxa"/>
              <w:top w:w="0" w:type="dxa"/>
              <w:right w:w="108" w:type="dxa"/>
              <w:bottom w:w="0" w:type="dxa"/>
            </w:tcMar>
            <w:tcW w:w="949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275/2026/0522/VFI-CT.21.A                                  </w:t>
            </w: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03 tháng 4 năm 2026</w:t>
            </w:r>
            <w:r>
              <w:rPr>
                <w:color w:val="000000" w:themeColor="text1"/>
                <w:sz w:val="24"/>
                <w:szCs w:val="24"/>
              </w:rPr>
            </w:r>
            <w:r>
              <w:rPr>
                <w:color w:val="000000" w:themeColor="text1"/>
                <w:sz w:val="24"/>
                <w:szCs w:val="24"/>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THÀNH HƯNG PHAN THIẾT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275/2026/0522/VFI-HĐTĐ.21.A</w:t>
      </w:r>
      <w:r>
        <w:rPr>
          <w:spacing w:val="-4"/>
          <w:lang w:val="vi-VN"/>
        </w:rPr>
        <w:t xml:space="preserve"> ký ngày 02 tháng 4 năm 2026</w:t>
      </w:r>
      <w:r>
        <w:rPr>
          <w:spacing w:val="-4"/>
          <w:lang w:val="vi-VN"/>
        </w:rPr>
        <w:t xml:space="preserve"> </w:t>
      </w:r>
      <w:r>
        <w:rPr>
          <w:spacing w:val="-4"/>
          <w:lang w:val="vi-VN"/>
        </w:rPr>
        <w:t xml:space="preserve">giữa </w:t>
      </w:r>
      <w:r>
        <w:rPr>
          <w:color w:val="000000" w:themeColor="text1"/>
          <w:spacing w:val="-4"/>
        </w:rPr>
        <w:t xml:space="preserve">Công ty TNHH Thành Hưng Phan Thiết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275/2026/0522/VFI-BC.21.A</w:t>
      </w:r>
      <w:r>
        <w:rPr>
          <w:spacing w:val="-2"/>
          <w:lang w:val="pt-BR"/>
        </w:rPr>
        <w:t xml:space="preserve"> </w:t>
      </w:r>
      <w:r>
        <w:rPr>
          <w:spacing w:val="-2"/>
          <w:lang w:val="pt-BR"/>
        </w:rPr>
        <w:t xml:space="preserve">ngày 03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TNHH THÀNH HƯNG PHAN THIẾT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pacing w:val="-6"/>
                <w:sz w:val="24"/>
              </w:rPr>
              <w:t xml:space="preserve">Lô số 4, đường Xuân Thuỷ, Khu phố Suối Nước, Phường Mũi Né, tỉnh Lâm Đồng</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ffffff" w:fill="ffffff"/>
            <w:tcBorders/>
            <w:tcW w:w="248"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3401174601</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b/>
                <w:bCs/>
              </w:rPr>
            </w:pPr>
            <w:r>
              <w:rPr>
                <w:rFonts w:ascii="Times New Roman" w:hAnsi="Times New Roman" w:eastAsia="Times New Roman" w:cs="Times New Roman"/>
                <w:b/>
                <w:bCs/>
                <w:color w:val="000000"/>
                <w:sz w:val="24"/>
              </w:rPr>
              <w:t xml:space="preserve">Bà Nguyễn Thị Sinh                      </w:t>
            </w:r>
            <w:r>
              <w:rPr>
                <w:b/>
                <w:bCs/>
              </w:rPr>
            </w:r>
            <w:r>
              <w:rPr>
                <w:b/>
                <w:bCs/>
              </w:rP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b/>
                <w:bCs/>
              </w:rPr>
            </w:pPr>
            <w:r>
              <w:rPr>
                <w:rFonts w:ascii="Times New Roman" w:hAnsi="Times New Roman" w:eastAsia="Times New Roman" w:cs="Times New Roman"/>
                <w:b/>
                <w:bCs/>
                <w:color w:val="000000"/>
                <w:sz w:val="24"/>
              </w:rPr>
              <w:t xml:space="preserve">Giám đốc</w:t>
            </w:r>
            <w:r>
              <w:rPr>
                <w:b/>
                <w:bCs/>
              </w:rPr>
            </w:r>
            <w:r>
              <w:rPr>
                <w:b/>
                <w:bCs/>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thuê có địa chỉ: Phường Mũi Né, thành phố Phan Thiết, tỉnh Bình Thuận </w:t>
      </w:r>
      <w:r>
        <w:rPr>
          <w:i/>
          <w:iCs/>
          <w:color w:val="000000"/>
        </w:rPr>
        <w:t xml:space="preserve">(Nay là phường Mũi Né, tỉnh Lâm Đồng)</w:t>
      </w:r>
      <w:r>
        <w:rPr>
          <w:color w:val="000000"/>
        </w:rPr>
        <w:t xml:space="preserve"> theo Giấy chứng nhận quyền sử dụng đất, quyền sở hữu nhà ở và tài sản gắn liền với đất số: CS 579886, BA 473980, CS 971900, CS 5798</w:t>
      </w:r>
      <w:r>
        <w:rPr>
          <w:color w:val="000000"/>
        </w:rPr>
        <w:t xml:space="preserve">87 và BA 473981; Chủ sử dụng đất là Công ty TNHH Thành Hưng Phan Thiết</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3118"/>
        <w:gridCol w:w="1701"/>
        <w:gridCol w:w="1984"/>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46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pPr>
              <w:pBdr/>
              <w:spacing w:after="0" w:before="0" w:line="288" w:lineRule="auto"/>
              <w:ind/>
              <w:jc w:val="both"/>
              <w:rPr/>
            </w:pPr>
            <w:r>
              <w:rPr>
                <w:rFonts w:ascii="Times New Roman" w:hAnsi="Times New Roman" w:eastAsia="Times New Roman" w:cs="Times New Roman"/>
                <w:b/>
                <w:color w:val="000000"/>
                <w:sz w:val="24"/>
              </w:rPr>
              <w:t xml:space="preserve">Quyền sử dụng đất thuê có địa chỉ: Phường Mũi Né, thành phố Phan Thiết, tỉnh Bình Thuận </w:t>
            </w:r>
            <w:r>
              <w:rPr>
                <w:rFonts w:ascii="Times New Roman" w:hAnsi="Times New Roman" w:eastAsia="Times New Roman" w:cs="Times New Roman"/>
                <w:b/>
                <w:i/>
                <w:color w:val="000000"/>
                <w:sz w:val="24"/>
              </w:rPr>
              <w:t xml:space="preserve">(Nay là phường Mũi Né, tỉnh Lâm Đồng)</w:t>
            </w:r>
            <w:r>
              <w:rPr>
                <w:rFonts w:ascii="Times New Roman" w:hAnsi="Times New Roman" w:eastAsia="Times New Roman" w:cs="Times New Roman"/>
                <w:b/>
                <w:color w:val="000000"/>
                <w:sz w:val="24"/>
              </w:rPr>
              <w:t xml:space="preserve"> theo Giấy chứng nhận quyền sử dụng đất, quyền sở hữu nhà ở và tài sản gắn liền với đất số: CS 579886, BA 473980, CS 971900, CS 579887 và BA 473981; Chủ sử dụng đất là Công ty TNHH Thành Hưng Phan Thiết.</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88" w:lineRule="auto"/>
              <w:ind/>
              <w:rPr/>
            </w:pPr>
            <w:r>
              <w:rPr>
                <w:rFonts w:ascii="Times New Roman" w:hAnsi="Times New Roman" w:eastAsia="Times New Roman" w:cs="Times New Roman"/>
                <w:color w:val="000000"/>
                <w:sz w:val="24"/>
              </w:rPr>
              <w:t xml:space="preserve">Quyền sử dụng đất thuê trả tiền một lần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88" w:lineRule="auto"/>
              <w:ind/>
              <w:jc w:val="center"/>
              <w:rPr/>
            </w:pPr>
            <w:r>
              <w:rPr>
                <w:rFonts w:ascii="Times New Roman" w:hAnsi="Times New Roman" w:eastAsia="Times New Roman" w:cs="Times New Roman"/>
                <w:color w:val="000000"/>
                <w:sz w:val="24"/>
              </w:rPr>
              <w:t xml:space="preserve">45.487,0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227.435.000.000</w:t>
            </w:r>
            <w:r/>
          </w:p>
        </w:tc>
      </w:tr>
      <w:tr>
        <w:trPr>
          <w:trHeight w:val="14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88" w:lineRule="auto"/>
              <w:ind/>
              <w:rPr/>
            </w:pPr>
            <w:r>
              <w:rPr>
                <w:rFonts w:ascii="Times New Roman" w:hAnsi="Times New Roman" w:eastAsia="Times New Roman" w:cs="Times New Roman"/>
                <w:color w:val="000000"/>
                <w:sz w:val="24"/>
              </w:rPr>
              <w:t xml:space="preserve">Quyền sử dụng đất thuê trả tiền hàng năm thuộc hành lang bảo vệ an toàn công trình đường bộ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88" w:lineRule="auto"/>
              <w:ind/>
              <w:jc w:val="center"/>
              <w:rPr/>
            </w:pPr>
            <w:r>
              <w:rPr>
                <w:rFonts w:ascii="Times New Roman" w:hAnsi="Times New Roman" w:eastAsia="Times New Roman" w:cs="Times New Roman"/>
                <w:color w:val="000000"/>
                <w:sz w:val="24"/>
              </w:rPr>
              <w:t xml:space="preserve">2.722,9</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227.435.000.000</w:t>
            </w:r>
            <w:r>
              <w:rPr>
                <w:b/>
                <w:bCs/>
              </w:rPr>
            </w:r>
            <w:r>
              <w:rPr>
                <w:b/>
                <w:bCs/>
              </w:rP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trăm hai mươi bảy tỷ, bốn trăm ba mươi lăm triệu đồng chẵn./.)</w:t>
            </w:r>
            <w:r/>
          </w:p>
        </w:tc>
      </w:tr>
    </w:tbl>
    <w:p>
      <w:pPr>
        <w:pBdr/>
        <w:shd w:val="nil" w:color="auto"/>
        <w:spacing/>
        <w:ind/>
        <w:rPr>
          <w:b/>
          <w:bCs/>
        </w:rPr>
      </w:pPr>
      <w:r>
        <w:rPr>
          <w:b/>
          <w:bCs/>
          <w:highlight w:val="none"/>
          <w:lang w:val="vi-VN"/>
        </w:rPr>
        <w:br w:type="page" w:clear="all"/>
      </w:r>
      <w:r>
        <w:rPr>
          <w:b/>
          <w:bCs/>
        </w:rPr>
      </w:r>
      <w:r>
        <w:rPr>
          <w:b/>
          <w:bCs/>
        </w:rPr>
      </w:r>
    </w:p>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114" w:type="dxa"/>
        <w:tblW w:w="5134" w:type="pct"/>
        <w:tblBorders/>
        <w:tblLayout w:type="fixed"/>
        <w:tblLook w:val="01E0" w:firstRow="1" w:lastRow="1" w:firstColumn="1" w:lastColumn="1" w:noHBand="0" w:noVBand="0"/>
      </w:tblPr>
      <w:tblGrid>
        <w:gridCol w:w="4677"/>
        <w:gridCol w:w="5102"/>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ayout w:type="fixed"/>
        <w:tblLook w:val="04A0" w:firstRow="1" w:lastRow="0" w:firstColumn="1" w:lastColumn="0" w:noHBand="0" w:noVBand="1"/>
      </w:tblPr>
      <w:tblGrid>
        <w:gridCol w:w="244"/>
        <w:gridCol w:w="1485"/>
        <w:gridCol w:w="2422"/>
        <w:gridCol w:w="5412"/>
        <w:gridCol w:w="310"/>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14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275/2026/0522/VFI-BC.21.A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03 tháng 4 năm 2026</w:t>
            </w:r>
            <w:r>
              <w:rPr>
                <w:color w:val="000000" w:themeColor="text1"/>
                <w:sz w:val="24"/>
                <w:szCs w:val="24"/>
                <w:lang w:val="vi-VN"/>
              </w:rPr>
            </w:r>
            <w:r>
              <w:rPr>
                <w:color w:val="000000" w:themeColor="text1"/>
                <w:sz w:val="24"/>
                <w:szCs w:val="24"/>
                <w:lang w:val="vi-VN"/>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275/2026/0522/VFI-CT.21.A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03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88"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88"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88"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88"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88"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88"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88"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88"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88"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88"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88"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88"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88"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88"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88"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88"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88"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88"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vMerge w:val="restart"/>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40" w:before="40" w:line="276" w:lineRule="auto"/>
              <w:ind/>
              <w:rPr>
                <w:b/>
                <w:bCs/>
                <w:lang w:val="vi-VN"/>
              </w:rPr>
            </w:pPr>
            <w:r>
              <w:rPr>
                <w:b/>
                <w:bCs/>
                <w:lang w:val="vi-VN"/>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88"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88"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line="288" w:lineRule="auto"/>
              <w:ind/>
              <w:rPr/>
            </w:pPr>
            <w:r>
              <w:rPr>
                <w:b/>
                <w:bCs/>
              </w:rPr>
              <w:t xml:space="preserve">CÔNG TY TNHH THÀNH HƯNG PHAN THIẾT</w:t>
            </w:r>
            <w:r/>
          </w:p>
        </w:tc>
      </w:tr>
      <w:tr>
        <w:trPr>
          <w:trHeight w:val="20"/>
        </w:trPr>
        <w:tc>
          <w:tcPr>
            <w:tcBorders/>
            <w:tcW w:w="2518" w:type="dxa"/>
            <w:vAlign w:val="center"/>
            <w:textDirection w:val="lrTb"/>
            <w:noWrap w:val="false"/>
          </w:tcPr>
          <w:p>
            <w:pPr>
              <w:pBdr/>
              <w:spacing w:after="40" w:before="40" w:line="288"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88"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pacing w:val="-6"/>
                <w:sz w:val="24"/>
              </w:rPr>
              <w:t xml:space="preserve">Lô số 4, đường Xuân Thuỷ, Khu phố Suối Nước, Phường Mũi Né, tỉnh Lâm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3401174601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Bà Nguyễn Thị Sinh                      </w:t>
            </w:r>
            <w:r>
              <w:rPr>
                <w:rFonts w:ascii="Times New Roman" w:hAnsi="Times New Roman" w:eastAsia="Times New Roman" w:cs="Times New Roman"/>
                <w:b/>
                <w:bCs/>
                <w:sz w:val="24"/>
              </w:rPr>
            </w:r>
            <w:r>
              <w:rPr>
                <w:rFonts w:ascii="Times New Roman" w:hAnsi="Times New Roman" w:eastAsia="Times New Roman" w:cs="Times New Roman"/>
                <w:b/>
                <w:bCs/>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Giám đốc</w:t>
            </w:r>
            <w:r>
              <w:rPr>
                <w:rFonts w:ascii="Times New Roman" w:hAnsi="Times New Roman" w:eastAsia="Times New Roman" w:cs="Times New Roman"/>
                <w:b/>
                <w:bCs/>
                <w:sz w:val="24"/>
              </w:rPr>
            </w:r>
            <w:r>
              <w:rPr>
                <w:rFonts w:ascii="Times New Roman" w:hAnsi="Times New Roman" w:eastAsia="Times New Roman" w:cs="Times New Roman"/>
                <w:b/>
                <w:bCs/>
                <w:sz w:val="24"/>
              </w:rPr>
            </w:r>
          </w:p>
        </w:tc>
      </w:tr>
      <w:tr>
        <w:trPr>
          <w:trHeight w:val="20"/>
        </w:trPr>
        <w:tc>
          <w:tcPr>
            <w:tcBorders/>
            <w:tcW w:w="2518" w:type="dxa"/>
            <w:vAlign w:val="center"/>
            <w:textDirection w:val="lrTb"/>
            <w:noWrap w:val="false"/>
          </w:tcPr>
          <w:p>
            <w:pPr>
              <w:pBdr/>
              <w:spacing w:after="60" w:before="60" w:line="288"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88"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88" w:lineRule="auto"/>
              <w:ind/>
              <w:jc w:val="both"/>
              <w:rPr>
                <w:b/>
                <w:bCs/>
                <w:spacing w:val="2"/>
                <w:lang w:val="vi-VN"/>
              </w:rPr>
            </w:pPr>
            <w:r>
              <w:rPr>
                <w:bCs/>
                <w:color w:val="000000" w:themeColor="text1"/>
                <w:lang w:val="pt-BR"/>
              </w:rPr>
            </w:r>
            <w:r>
              <w:rPr>
                <w:color w:val="000000"/>
              </w:rPr>
              <w:t xml:space="preserve">Quyền sử dụng đất thuê có địa chỉ: Phường Mũi Né, thành phố Phan Thiết, tỉnh Bình Thuận </w:t>
            </w:r>
            <w:r>
              <w:rPr>
                <w:i/>
                <w:iCs/>
                <w:color w:val="000000"/>
              </w:rPr>
              <w:t xml:space="preserve">(Nay là phường Mũi Né, tỉnh Lâm Đồng)</w:t>
            </w:r>
            <w:r>
              <w:rPr>
                <w:color w:val="000000"/>
              </w:rPr>
              <w:t xml:space="preserve"> theo Giấy chứng nhận quyền sử dụng đất, quyền sở hữu nhà ở và tài sản gắn liền với đất số: CS 579886, BA 473980, CS 971900, CS 5798</w:t>
            </w:r>
            <w:r>
              <w:rPr>
                <w:color w:val="000000"/>
              </w:rPr>
              <w:t xml:space="preserve">87 và BA 473981; Chủ sử dụng đất là Công ty TNHH Thành Hưng Phan Thiết.</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88"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88"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88"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88"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88"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88"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88"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88"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88"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88"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88"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88" w:lineRule="auto"/>
              <w:ind/>
              <w:jc w:val="both"/>
              <w:rPr>
                <w:color w:val="ee0000"/>
                <w:lang w:val="pt-BR"/>
              </w:rPr>
            </w:pPr>
            <w:r>
              <w:rPr>
                <w:color w:val="000000" w:themeColor="text1"/>
                <w:lang w:val="pt-BR"/>
              </w:rPr>
              <w:t xml:space="preserve">Phường Mũi Né, tỉnh Lâm Đồng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88"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88"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88"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nhà ở và tài sản gắn liền với đất số: CS 579886, số vào sổ cấp giấy chứng nhận CT15624 do Sở Tài nguyên và Môi trường tỉnh Bình Thuận cấp ngày 24/9/2019; Chủ sử dụng đất là Công ty TNHH Thành Hưng Phan Thiết.</w:t>
      </w:r>
      <w:r>
        <w:rPr>
          <w:lang w:val="pt-BR"/>
          <w14:ligatures w14:val="none"/>
        </w:rPr>
      </w:r>
      <w:r>
        <w:rPr>
          <w:lang w:val="pt-BR"/>
          <w14:ligatures w14:val="none"/>
        </w:rPr>
      </w:r>
    </w:p>
    <w:p>
      <w:pPr>
        <w:pStyle w:val="1029"/>
        <w:numPr>
          <w:ilvl w:val="0"/>
          <w:numId w:val="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nhà ở và tài sản gắn liền với đất số: BA 473980, số vào sổ cấp giấy chứng nhận CT00495 do Sở Tài nguyên và Môi trường tỉnh Bình Thuận cấp ngày 05/8/2010; Chủ sử dụng đất là Công ty TNHH Thành Hưng Phan Thiết.</w:t>
      </w:r>
      <w:r>
        <w:rPr>
          <w:lang w:val="pt-BR"/>
          <w14:ligatures w14:val="none"/>
        </w:rPr>
      </w:r>
      <w:r>
        <w:rPr>
          <w:lang w:val="pt-BR"/>
          <w14:ligatures w14:val="none"/>
        </w:rPr>
      </w:r>
    </w:p>
    <w:p>
      <w:pPr>
        <w:pStyle w:val="1029"/>
        <w:numPr>
          <w:ilvl w:val="0"/>
          <w:numId w:val="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nhà ở và tài sản gắn liền với đất số: CS 971900, số vào sổ cấp giấy chứng nhận VP21980 do Sở Tài nguyên và Môi trường tỉnh Bình Thuận cấp ngày 01/12/2023; Chủ sử dụng đất là Công ty TNHH Thành Hưng Phan Thiết</w:t>
      </w:r>
      <w:r>
        <w:rPr>
          <w:lang w:val="pt-BR"/>
        </w:rPr>
        <w:t xml:space="preserve">.</w:t>
      </w:r>
      <w:r>
        <w:rPr>
          <w:lang w:val="pt-BR"/>
          <w14:ligatures w14:val="none"/>
        </w:rPr>
      </w:r>
      <w:r>
        <w:rPr>
          <w:lang w:val="pt-BR"/>
          <w14:ligatures w14:val="none"/>
        </w:rPr>
      </w:r>
    </w:p>
    <w:p>
      <w:pPr>
        <w:pStyle w:val="1029"/>
        <w:numPr>
          <w:ilvl w:val="0"/>
          <w:numId w:val="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nhà ở và tài sản gắn liền với đất số: CS 579887, số vào sổ cấp giấy chứng nhận CT15623 do Sở Tài nguyên và Môi trường tỉnh Bình Thuận cấp ngày 24/9/2019; Chủ sử dụng đất là Công ty TNHH Thành Hưng Phan Thiết.</w:t>
      </w:r>
      <w:r>
        <w:rPr>
          <w:lang w:val="pt-BR"/>
          <w14:ligatures w14:val="none"/>
        </w:rPr>
      </w:r>
      <w:r>
        <w:rPr>
          <w:lang w:val="pt-BR"/>
          <w14:ligatures w14:val="none"/>
        </w:rPr>
      </w:r>
    </w:p>
    <w:p>
      <w:pPr>
        <w:pStyle w:val="1029"/>
        <w:numPr>
          <w:ilvl w:val="0"/>
          <w:numId w:val="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lang w:val="pt-BR"/>
        </w:rPr>
        <w:t xml:space="preserve">Giấy chứng nhận quyền sử dụng đất, quyền sở hữu nhà ở và tài sản gắn liền với đất số: BA 473981, số vào sổ cấp giấy chứng nhận CT00496 do Sở Tài nguyên và Môi trường tỉnh Bìn</w:t>
      </w:r>
      <w:r>
        <w:rPr>
          <w:rFonts w:ascii="Times New Roman" w:hAnsi="Times New Roman" w:eastAsia="Times New Roman" w:cs="Times New Roman"/>
          <w:color w:val="000000"/>
          <w:sz w:val="24"/>
        </w:rPr>
        <w:t xml:space="preserve">h Thuận cấp ngày 05/8/2010; Chủ sử dụng đất là Công ty TNHH Thành Hưng Phan Thiết.</w:t>
      </w:r>
      <w:r>
        <w:rPr>
          <w:rFonts w:ascii="Times New Roman" w:hAnsi="Times New Roman" w:eastAsia="Times New Roman" w:cs="Times New Roman"/>
          <w:sz w:val="24"/>
        </w:rPr>
      </w: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275/2026/0522/VFI-HĐTĐ.21.A</w:t>
      </w:r>
      <w:r>
        <w:rPr>
          <w:spacing w:val="-4"/>
          <w:lang w:val="vi-VN"/>
        </w:rPr>
        <w:t xml:space="preserve"> ký ngày 02 tháng 4 năm 2026</w:t>
      </w:r>
      <w:r>
        <w:rPr>
          <w:spacing w:val="-4"/>
          <w:lang w:val="vi-VN"/>
        </w:rPr>
        <w:t xml:space="preserve"> </w:t>
      </w:r>
      <w:r>
        <w:rPr>
          <w:spacing w:val="-4"/>
          <w:lang w:val="vi-VN"/>
        </w:rPr>
        <w:t xml:space="preserve">giữa </w:t>
      </w:r>
      <w:r>
        <w:rPr>
          <w:color w:val="000000" w:themeColor="text1"/>
          <w:spacing w:val="-4"/>
        </w:rPr>
        <w:t xml:space="preserve">Công ty TNHH Thành Hưng Phan Thiết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i/>
          <w:iCs/>
          <w:lang w:val="pt-BR"/>
        </w:rPr>
      </w:r>
      <w:r>
        <w:rPr>
          <w:rFonts w:ascii="Times New Roman" w:hAnsi="Times New Roman" w:eastAsia="Times New Roman" w:cs="Times New Roman"/>
          <w:color w:val="000000"/>
          <w:sz w:val="24"/>
        </w:rPr>
        <w:t xml:space="preserve">Loạt dự án hạ tầng trọng điểm sắp khởi công tại Phan Thiết (tỉnh Lâm Đồng) đang trở thành động lực cho thị trường bất động sản khu vực này.</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b/>
          <w:i/>
          <w:color w:val="000000"/>
          <w:sz w:val="24"/>
        </w:rPr>
        <w:t xml:space="preserve">Từ việc “kích hoạt” hạ tầng</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Mới đây, thông tin Sân bay Phan Thiết đang trong quá trình hoàn tất các thủ tục để khởi công dịp 30/4/2026 và hoàn thành năm 2027 trở thành điểm nhấn hạ tầng cho khu vực. Việc dự án được “kích hoạt” trở lại kỳ vọng sẽ tạo cú hích, mở ra chu kỳ tăng trưởng </w:t>
      </w:r>
      <w:r>
        <w:rPr>
          <w:rFonts w:ascii="Times New Roman" w:hAnsi="Times New Roman" w:eastAsia="Times New Roman" w:cs="Times New Roman"/>
          <w:color w:val="000000"/>
          <w:sz w:val="24"/>
        </w:rPr>
        <w:t xml:space="preserve">mới cho thị trường bất động sản nghỉ dưỡng Phan Thiết.</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Sân bay Phan Thiết là dự án lưỡng dụng (quân sự kết hợp dân sự), quy hoạch từ năm 2013 trên diện tích hơn 543 ha tại xã Thiện Nghiệp (TP. Phan Thiết, tỉnh Bình Thuận cũ), nay là phường Mũi Né, tỉnh Lâm Đồng. Cuối năm 2025, UBND tỉnh Lâm Đồng chấp thuận chủ</w:t>
      </w:r>
      <w:r>
        <w:rPr>
          <w:rFonts w:ascii="Times New Roman" w:hAnsi="Times New Roman" w:eastAsia="Times New Roman" w:cs="Times New Roman"/>
          <w:color w:val="000000"/>
          <w:sz w:val="24"/>
        </w:rPr>
        <w:t xml:space="preserve"> trương đầu tư hạng mục hàng không dân dụng với tổng vốn gần 3.800 tỷ đồng. Hạng mục dân dụng quy hoạch trên diện tích 74,6 ha, khai thác máy bay cấp 4E, công suất thiết kế khoảng 2 triệu hành khách mỗi năm vào 2030. Sân bay phục vụ các chuyến bay nội địa </w:t>
      </w:r>
      <w:r>
        <w:rPr>
          <w:rFonts w:ascii="Times New Roman" w:hAnsi="Times New Roman" w:eastAsia="Times New Roman" w:cs="Times New Roman"/>
          <w:color w:val="000000"/>
          <w:sz w:val="24"/>
        </w:rPr>
        <w:t xml:space="preserve">và một số chuyến quốc tế không thường lệ.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Dự án không chỉ là cú hích hạ tầng, mà còn là đòn bẩy chiến lược thay đổi cục diện toàn bộ thị trường nghỉ dưỡng trong vòng 5-10 năm tới. Trước đây, khách du lịch phải mất 2 chặng gồm bay từ TP. Hồ Chí Minh và di chuyển ô tô đi Phan Thiết, Mũi Né. Khi sân </w:t>
      </w:r>
      <w:r>
        <w:rPr>
          <w:rFonts w:ascii="Times New Roman" w:hAnsi="Times New Roman" w:eastAsia="Times New Roman" w:cs="Times New Roman"/>
          <w:color w:val="000000"/>
          <w:sz w:val="24"/>
        </w:rPr>
        <w:t xml:space="preserve">bay Phan Thiết đi vào hoạt động, thời gian di chuyển sẽ thay đổi hoàn toàn: Từ Hà Nội đi Phan Thiết chỉ khoảng 2 giờ bay, các thị trường quốc tế có thể bay thẳng và du lịch cuối tuần từ các thành phố lớn dự báo tăng mạnh.</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Bên cạnh việc khiến du lịch nội địa và quốc tế bùng nổ thì dự án hạ tầng này còn thu hút dòng vốn đầu tư. Khi lượng khách tăng, các tập đoàn lớn sẽ đầu tư resort, khu vui chơi, đô thị du lịch, điều này đã từng xảy ra ở Phú Quốc, Đà Nẵng và Hạ Long. Từ đó t</w:t>
      </w:r>
      <w:r>
        <w:rPr>
          <w:rFonts w:ascii="Times New Roman" w:hAnsi="Times New Roman" w:eastAsia="Times New Roman" w:cs="Times New Roman"/>
          <w:color w:val="000000"/>
          <w:sz w:val="24"/>
        </w:rPr>
        <w:t xml:space="preserve">hay đổi diện mạo đô thị, kinh tế - xã hội khu vực.</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Dưới tác động của hạ tầng sân bay, thị trường bất động sản Phan Thiết sẽ bước vào chu kỳ tăng trưởng mới. Hiện tại, giai đoạn khởi công được xem là thời điểm tích lũy; khi hạ tầng dần hoàn thiện sẽ chuyển sang phục hồi, và bứt tốc khi du lịch tăng trưởng r</w:t>
      </w:r>
      <w:r>
        <w:rPr>
          <w:rFonts w:ascii="Times New Roman" w:hAnsi="Times New Roman" w:eastAsia="Times New Roman" w:cs="Times New Roman"/>
          <w:color w:val="000000"/>
          <w:sz w:val="24"/>
        </w:rPr>
        <w:t xml:space="preserve">õ nét. Theo đó, giai đoạn 2026–2027 được đánh giá là bước đệm cho chu kỳ phát triển tiếp theo của bất động sản Mũi Né – Phan Thiết. Thực tế cho thấy, sự phát triển của du lịch luôn gắn chặt với hạ tầng, và những thay đổi về kết nối thường kéo theo sự gia t</w:t>
      </w:r>
      <w:r>
        <w:rPr>
          <w:rFonts w:ascii="Times New Roman" w:hAnsi="Times New Roman" w:eastAsia="Times New Roman" w:cs="Times New Roman"/>
          <w:color w:val="000000"/>
          <w:sz w:val="24"/>
        </w:rPr>
        <w:t xml:space="preserve">ăng giá trị bất động sản.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Không chỉ sân bay, đường ven biển Phan Thiết và cầu vượt sông Cà Ty - Phú Hài đang đẩy mạnh đầu tư hình thành trục giao thông chiến lược kết nối khu vực ven biển phía Đông TP. Hồ Chí Minh. Các dự án này không chỉ tháo gỡ điểm nghẽn giao thông mà còn mở ra </w:t>
      </w:r>
      <w:r>
        <w:rPr>
          <w:rFonts w:ascii="Times New Roman" w:hAnsi="Times New Roman" w:eastAsia="Times New Roman" w:cs="Times New Roman"/>
          <w:color w:val="000000"/>
          <w:sz w:val="24"/>
        </w:rPr>
        <w:t xml:space="preserve">không gian phát triển mới với hệ thống công viên, quảng trường, dịch vụ và thương mại ven biển.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Trước đó, tuyến cao tốc Dầu Giây – Phan Thiết đi vào vận hành từ năm 2023 đã cải thiện đáng kể khả năng kết nối, tạo điều kiện thu hút dòng khách từ TP. Hồ Chí Minh và các tỉnh lân cận. Hạ tầng hoàn thiện kéo theo sự gia tăng của các dự án quy mô lớn và th</w:t>
      </w:r>
      <w:r>
        <w:rPr>
          <w:rFonts w:ascii="Times New Roman" w:hAnsi="Times New Roman" w:eastAsia="Times New Roman" w:cs="Times New Roman"/>
          <w:color w:val="000000"/>
          <w:sz w:val="24"/>
        </w:rPr>
        <w:t xml:space="preserve">ương hiệu khách sạn quốc tế, từng bước nâng cấp hệ sinh thái du lịch và lưu trú tại địa phương.</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Trong giai đoạn tới, khi sân bay Phan Thiết dự kiến khai thác từ năm 2027, khả năng kết nối trực tiếp với các thị trường nội địa và quốc tế sẽ tiếp tục được mở rộng, qua đó gia tăng tiềm năng phát triển các dự án nghỉ dưỡng cao cấp.</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Song song với hạ tầng giao thông, việc nâng cấp tiện ích du lịch như chỉnh trang bờ biển, phát triển phố đi bộ và các tổ hợp giải trí cũng góp phần đa dạng hóa trải nghiệm, kéo dài thời gian lưu trú và nâng cao hiệu quả khai thác bất động sản nghỉ dưỡng</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Thời gian qua, Phan Thiết ghi nhận sự hiện diện của nhiều doanh nghiệp bất động sản lớn như Novaland, Sun Group, Eras Land hay Sunshine Group với loạt dự án quy mô. Trong đó, Novaland đã phát triển tổ hợp đô thị du lịch NovaWorld Phan Thiết, Eras Land hướn</w:t>
      </w:r>
      <w:r>
        <w:rPr>
          <w:rFonts w:ascii="Times New Roman" w:hAnsi="Times New Roman" w:eastAsia="Times New Roman" w:cs="Times New Roman"/>
          <w:color w:val="000000"/>
          <w:sz w:val="24"/>
        </w:rPr>
        <w:t xml:space="preserve">g đến mô hình nghỉ dưỡng kết hợp khai thác vận hành thực tế với dự án Costamigo. Đáng chú ý, Sun Group đang nghiên cứu đề xuất đầu tư 20 dự án tại khu vực này, với tổng diện tích hơn 21.000 ha, trải dài từ hạ tầng giao thông, khu đô thị đến du lịch sinh th</w:t>
      </w:r>
      <w:r>
        <w:rPr>
          <w:rFonts w:ascii="Times New Roman" w:hAnsi="Times New Roman" w:eastAsia="Times New Roman" w:cs="Times New Roman"/>
          <w:color w:val="000000"/>
          <w:sz w:val="24"/>
        </w:rPr>
        <w:t xml:space="preserve">ái rừng và biển.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Diễn biến này cho thấy niềm tin của các nhà phát triển đối với tiềm năng dài hạn của Phan Thiết, trong bối cảnh hạ tầng đang được đẩy mạnh và dư địa phát triển còn lớn.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b/>
          <w:i/>
          <w:color w:val="000000"/>
          <w:sz w:val="24"/>
        </w:rPr>
        <w:t xml:space="preserve">Đến thay đổi khẩu vị đầu tư</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Ngoài lợi thế kết nối tốt với TP. Hồ Chí Minh và các trung tâm kinh tế thì Phan Thiết đang là khu vực hội tụ nhiều lợi thế: khí hậu, cảnh quan, dư địa đất đai và định hướng phát triển du lịch – nghỉ dưỡng – đô thị sinh thái. Theo đó, cơ hội nằm ở những dự </w:t>
      </w:r>
      <w:r>
        <w:rPr>
          <w:rFonts w:ascii="Times New Roman" w:hAnsi="Times New Roman" w:eastAsia="Times New Roman" w:cs="Times New Roman"/>
          <w:color w:val="000000"/>
          <w:sz w:val="24"/>
        </w:rPr>
        <w:t xml:space="preserve">án được phát triển bài bản, tôn trọng giá trị tự nhiên và văn hóa bản địa, hướng đến nhu cầu ở thực kết hợp nghỉ dưỡng dài ngày, thay vì các mô hình phát triển manh mún, ngắn hạn. Đây là thị trường cần tầm nhìn dài hạn và sự chọn lọc kỹ lưỡng để trở thành </w:t>
      </w:r>
      <w:r>
        <w:rPr>
          <w:rFonts w:ascii="Times New Roman" w:hAnsi="Times New Roman" w:eastAsia="Times New Roman" w:cs="Times New Roman"/>
          <w:color w:val="000000"/>
          <w:sz w:val="24"/>
        </w:rPr>
        <w:t xml:space="preserve">tâm điểm phát triển mới trong tương lai.</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Xu hướng này cũng phản ánh sự thay đổi trong khẩu vị đầu tư, khi dòng tiền dần chuyển sang các sản phẩm biệt thự nghỉ dưỡng nằm trong khu đô thị quy mô, đã hình thành, đáp ứng tiêu chuẩn cao về chất lượng và khả năng vận hành.</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Bà Dương Thuỳ Dung, Giám đốc điều hành CBRE Việt Nam cho rằng, giữa bối cảnh nhu cầu của người mua ngày càng chú trọng chất lượng sản phẩm thì chủ đầu tư/nhà phát triển đã thay đổi rất nhiều trong cách tiếp cận giá trị. Thay vì chỉ đưa sản phẩm ra thị trườ</w:t>
      </w:r>
      <w:r>
        <w:rPr>
          <w:rFonts w:ascii="Times New Roman" w:hAnsi="Times New Roman" w:eastAsia="Times New Roman" w:cs="Times New Roman"/>
          <w:color w:val="000000"/>
          <w:sz w:val="24"/>
        </w:rPr>
        <w:t xml:space="preserve">ng, các dự án cần được phát triển với giá trị khai thác rõ ràng, đáp ứng nhu cầu ở thực và vận hành dài hạn.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Xu hướng này kéo theo sự dịch chuyển trong khẩu vị đầu tư. Năm 2026, những loại hình bất động sản có khả năng tạo dòng tiền ổn định sẽ tiếp tục giữ vai trò chủ đạo. Đặc biệt là các sản phẩm có thể khai thác cho thuê hiệu quả và phù hợp với nhu cầu sử dụng </w:t>
      </w:r>
      <w:r>
        <w:rPr>
          <w:rFonts w:ascii="Times New Roman" w:hAnsi="Times New Roman" w:eastAsia="Times New Roman" w:cs="Times New Roman"/>
          <w:color w:val="000000"/>
          <w:sz w:val="24"/>
        </w:rPr>
        <w:t xml:space="preserve">thực. Nhà đầu tư ngày càng quan tâm đến khả năng vận hành và tính bền vững của dòng tiền, thay vì chỉ kỳ vọng vào mức tăng giá trong ngắn hạn.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Trong bối cảnh đó, các dự án được phát triển bài bản, có đơn vị vận hành chuyên nghiệp và thương hiệu quốc tế sẽ có lợi thế rõ rệt. Việc hợp tác với các thương hiệu quản lý uy tín không chỉ giúp đảm bảo chất lượng dịch vụ, mà còn nâng cao tỷ lệ khai thác, </w:t>
      </w:r>
      <w:r>
        <w:rPr>
          <w:rFonts w:ascii="Times New Roman" w:hAnsi="Times New Roman" w:eastAsia="Times New Roman" w:cs="Times New Roman"/>
          <w:color w:val="000000"/>
          <w:sz w:val="24"/>
        </w:rPr>
        <w:t xml:space="preserve">khả năng cho thuê và tính thanh khoản của sản phẩm trên thị trường thứ cấp.</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Costamigo của Eras Land tại thị trường Phan Thiết là một điểm sáng nổi bật đáp ứng trọn vẹn các tiêu chí khắt khe của sản phẩm nghỉ dưỡng. Dự án có lợi thế khi nằm ngay “tâm điểm” hạ tầng khu vực, hưởng lợi trực tiếp từ hệ thống hạ tầng đang hoàn thiện, vớ</w:t>
      </w:r>
      <w:r>
        <w:rPr>
          <w:rFonts w:ascii="Times New Roman" w:hAnsi="Times New Roman" w:eastAsia="Times New Roman" w:cs="Times New Roman"/>
          <w:color w:val="000000"/>
          <w:sz w:val="24"/>
        </w:rPr>
        <w:t xml:space="preserve">i không gian mở hướng biển và quy hoạch đồng bộ. Đặc biệt, sản phẩm đã hiện hữu - lợi thế tuyệt đối để khai thác dòng tiền ngay.</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Dự án được vận hành bởi Best Western – thương hiệu khách sạn quốc tế, góp phần đảm bảo tiêu chuẩn dịch vụ và hiệu quả khai thác. Costamigo Phan Thiết có quy mô 12,5 ha, bao gồm 96 biệt thự nghỉ dưỡng, 600 căn hộ condotel và 30 căn shoptel, phát triển theo </w:t>
      </w:r>
      <w:r>
        <w:rPr>
          <w:rFonts w:ascii="Times New Roman" w:hAnsi="Times New Roman" w:eastAsia="Times New Roman" w:cs="Times New Roman"/>
          <w:color w:val="000000"/>
          <w:sz w:val="24"/>
        </w:rPr>
        <w:t xml:space="preserve">mô hình nghỉ dưỡng kết hợp lưu trú (home resort).</w:t>
      </w:r>
      <w:r/>
    </w:p>
    <w:p>
      <w:pPr>
        <w:pBdr/>
        <w:tabs>
          <w:tab w:val="left" w:leader="none" w:pos="426"/>
        </w:tabs>
        <w:spacing w:after="120" w:before="120" w:line="276" w:lineRule="auto"/>
        <w:ind/>
        <w:jc w:val="both"/>
        <w:rPr>
          <w:highlight w:val="none"/>
          <w:lang w:val="pt-BR"/>
        </w:rPr>
      </w:pPr>
      <w:r>
        <w:rPr>
          <w:rFonts w:ascii="Times New Roman" w:hAnsi="Times New Roman" w:eastAsia="Times New Roman" w:cs="Times New Roman"/>
          <w:color w:val="000000"/>
          <w:sz w:val="24"/>
        </w:rPr>
        <w:tab/>
      </w:r>
      <w:r>
        <w:rPr>
          <w:rFonts w:ascii="Times New Roman" w:hAnsi="Times New Roman" w:eastAsia="Times New Roman" w:cs="Times New Roman"/>
          <w:color w:val="000000"/>
          <w:sz w:val="24"/>
        </w:rPr>
        <w:t xml:space="preserve">Theo các chuyên gia, bất động sản nghỉ dưỡng ven biển trong năm 2026 sẽ không tăng trưởng đại trà, mà bước vào giai đoạn chọn lọc, tập trung vào các dự án sở hữu vị trí biển khác biệt và đã sẵn sàng đưa vào khai thác. Thị trường đang chuyển dịch từ phát tr</w:t>
      </w:r>
      <w:r>
        <w:rPr>
          <w:rFonts w:ascii="Times New Roman" w:hAnsi="Times New Roman" w:eastAsia="Times New Roman" w:cs="Times New Roman"/>
          <w:color w:val="000000"/>
          <w:sz w:val="24"/>
        </w:rPr>
        <w:t xml:space="preserve">iển theo số lượng sang ưu tiên chất lượng, khi người mua chú trọng nhiều hơn đến trải nghiệm thực tế, mức độ riêng tư và giá trị sử dụng dài hạn. Nhu cầu về nghỉ dưỡng biển sẽ tiếp tục gia tăng mạnh mẽ trong giai đoạn sắp tới đòi hỏi cơ sở vật chất và các </w:t>
      </w:r>
      <w:r>
        <w:rPr>
          <w:rFonts w:ascii="Times New Roman" w:hAnsi="Times New Roman" w:eastAsia="Times New Roman" w:cs="Times New Roman"/>
          <w:color w:val="000000"/>
          <w:sz w:val="24"/>
        </w:rPr>
        <w:t xml:space="preserve">sản phẩm nghỉ dưỡng biển phải sẵn sàng để nắm bắt cơ hội tăng trưởng này.</w:t>
      </w:r>
      <w:r>
        <w:rPr>
          <w:highlight w:val="none"/>
          <w:lang w:val="pt-BR"/>
        </w:rPr>
      </w:r>
      <w:r>
        <w:rPr>
          <w:highlight w:val="none"/>
          <w:lang w:val="pt-BR"/>
        </w:rPr>
      </w:r>
    </w:p>
    <w:p>
      <w:pPr>
        <w:pBdr/>
        <w:tabs>
          <w:tab w:val="left" w:leader="none" w:pos="426"/>
        </w:tabs>
        <w:spacing w:after="120" w:before="120" w:line="276" w:lineRule="auto"/>
        <w:ind/>
        <w:jc w:val="center"/>
        <w:rPr>
          <w:bCs/>
          <w:i/>
        </w:rPr>
      </w:pPr>
      <w:r>
        <w:rPr>
          <w:i/>
          <w:iCs/>
          <w:highlight w:val="none"/>
          <w:lang w:val="pt-BR" w:bidi="pt-BR"/>
        </w:rPr>
        <w:t xml:space="preserve">(Nguồn tham khảo: </w:t>
      </w:r>
      <w:r>
        <w:rPr>
          <w:i/>
          <w:iCs/>
          <w:highlight w:val="none"/>
          <w:lang w:val="pt-BR" w:bidi="pt-BR"/>
        </w:rPr>
        <w:t xml:space="preserve">https://cafef.vn/phan-thiet-don-loat-tin-vui-dau-nam-nhieu-du-an-ha-tang-trong-diem-cung-luc-khoi-dong-188260325115901904.chn</w:t>
      </w:r>
      <w:r>
        <w:rPr>
          <w:i/>
          <w:iCs/>
          <w:highlight w:val="none"/>
          <w:lang w:val="pt-BR" w:bidi="pt-BR"/>
        </w:rPr>
        <w:t xml:space="preserve">)</w:t>
      </w:r>
      <w:r>
        <w:rPr>
          <w:bCs/>
          <w:i/>
        </w:rPr>
      </w:r>
      <w:r>
        <w:rPr>
          <w:bCs/>
          <w:i/>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Bdr/>
        <w:shd w:val="nil" w:color="auto"/>
        <w:spacing/>
        <w:ind/>
        <w:rPr>
          <w:u w:val="single"/>
        </w:rPr>
      </w:pPr>
      <w:r>
        <w:rPr>
          <w:highlight w:val="none"/>
          <w:u w:val="single"/>
        </w:rPr>
        <w:br w:type="page" w:clear="all"/>
      </w:r>
      <w:r>
        <w:rPr>
          <w:u w:val="single"/>
        </w:rPr>
      </w:r>
      <w:r>
        <w:rPr>
          <w:u w:val="single"/>
        </w:rPr>
      </w:r>
    </w:p>
    <w:p>
      <w:pPr>
        <w:pBdr/>
        <w:shd w:val="nil" w:color="auto"/>
        <w:spacing/>
        <w:ind/>
        <w:rPr>
          <w:highlight w:val="none"/>
          <w:u w:val="single"/>
        </w:rPr>
        <w:sectPr>
          <w:footerReference w:type="even" r:id="rId12"/>
          <w:footnotePr/>
          <w:endnotePr/>
          <w:type w:val="nextPage"/>
          <w:pgSz w:h="16839" w:orient="portrait" w:w="11907"/>
          <w:pgMar w:top="1134" w:right="851" w:bottom="1134" w:left="1531" w:header="709" w:footer="709" w:gutter="0"/>
          <w:pgNumType w:start="1"/>
          <w:cols w:num="1" w:sep="0" w:space="720" w:equalWidth="1"/>
        </w:sectPr>
      </w:pPr>
      <w:r>
        <w:rPr>
          <w:highlight w:val="none"/>
          <w:u w:val="single"/>
        </w:rPr>
      </w:r>
      <w:r>
        <w:rPr>
          <w:highlight w:val="none"/>
          <w:u w:val="single"/>
        </w:rPr>
      </w:r>
      <w:r>
        <w:rPr>
          <w:highlight w:val="none"/>
          <w:u w:val="single"/>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9"/>
        <w:gridCol w:w="1134"/>
        <w:gridCol w:w="992"/>
        <w:gridCol w:w="1276"/>
        <w:gridCol w:w="921"/>
        <w:gridCol w:w="921"/>
        <w:gridCol w:w="1984"/>
        <w:gridCol w:w="1134"/>
        <w:gridCol w:w="1417"/>
        <w:gridCol w:w="1417"/>
        <w:gridCol w:w="1134"/>
        <w:gridCol w:w="1532"/>
      </w:tblGrid>
      <w:tr>
        <w:trPr>
          <w:trHeight w:val="936"/>
          <w:tblHeader/>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STT</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GCN số</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Số vào sổ cấp GCN</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1276"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Chủ tài sản</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921"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Thửa đất số</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921"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Tờ bản đồ số</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Địa chỉ</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Diện tích</w:t>
              <w:br/>
              <w:t xml:space="preserve">(m2)</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Mục đích sử dụng đất</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Thời hạn sử dụng đất</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Nguồn gốc sử dụng</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1532"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Ghi chú</w:t>
            </w:r>
            <w:r>
              <w:rPr>
                <w:color w:val="000000" w:themeColor="text1"/>
              </w:rPr>
            </w:r>
            <w:r>
              <w:rPr>
                <w:color w:val="000000" w:themeColor="text1"/>
              </w:rPr>
            </w:r>
          </w:p>
        </w:tc>
      </w:tr>
      <w:tr>
        <w:trPr>
          <w:trHeight w:val="936"/>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CS 579886</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CT 15624</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276"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Công ty TNHH Thành Hưng Phan Thiết</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21"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36</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21"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90</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Phường Mũi Né, thành phố Phan Thiết, tỉnh Bình Thuận </w:t>
            </w:r>
            <w:r>
              <w:rPr>
                <w:rFonts w:ascii="Times New Roman" w:hAnsi="Times New Roman" w:eastAsia="Times New Roman" w:cs="Times New Roman"/>
                <w:i/>
                <w:color w:val="000000" w:themeColor="text1"/>
                <w:sz w:val="24"/>
              </w:rPr>
              <w:t xml:space="preserve">(Nay là phường Mũi Né, tỉnh Lâm Đồng)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color w:val="000000" w:themeColor="text1"/>
                <w:sz w:val="24"/>
              </w:rPr>
              <w:t xml:space="preserve">     1.363,1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Đất thương mại, dịch vụ</w:t>
            </w:r>
            <w:r>
              <w:rPr>
                <w:color w:val="000000" w:themeColor="text1"/>
              </w:rPr>
            </w:r>
            <w:r>
              <w:rPr>
                <w:color w:val="000000" w:themeColor="text1"/>
              </w:rPr>
            </w:r>
          </w:p>
        </w:tc>
        <w:tc>
          <w:tcPr>
            <w:tcBorders>
              <w:left w:val="single" w:color="000000" w:sz="6" w:space="0"/>
              <w:bottom w:val="single" w:color="000000" w:sz="6" w:space="0"/>
              <w:right w:val="single" w:color="000000" w:sz="6" w:space="0"/>
            </w:tcBorders>
            <w:tcMar>
              <w:left w:w="0" w:type="dxa"/>
              <w:top w:w="0" w:type="dxa"/>
              <w:right w:w="0" w:type="dxa"/>
              <w:bottom w:w="0" w:type="dxa"/>
            </w:tcMar>
            <w:tcW w:w="1417" w:type="dxa"/>
            <w:vAlign w:val="center"/>
            <w:vMerge w:val="restart"/>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Đến ngày 02/02/2055</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Nhà nước cho thuê đất trả tiền hàng năm</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532"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Thửa đất có 1.363,1m² đất thuộc hành lang bảo vệ an toàn công trình đường bộ</w:t>
            </w:r>
            <w:r>
              <w:rPr>
                <w:color w:val="000000" w:themeColor="text1"/>
              </w:rPr>
            </w:r>
            <w:r>
              <w:rPr>
                <w:color w:val="000000" w:themeColor="text1"/>
              </w:rPr>
            </w:r>
          </w:p>
        </w:tc>
      </w:tr>
      <w:tr>
        <w:trPr>
          <w:trHeight w:val="936"/>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BA 473980</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CT 00495</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276"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Công ty TNHH Thành Hưng Phan Thiết</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21"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10</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21"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02</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Phường Mũi Né, thành phố Phan Thiết, tỉnh Bình Thuận </w:t>
            </w:r>
            <w:r>
              <w:rPr>
                <w:rFonts w:ascii="Times New Roman" w:hAnsi="Times New Roman" w:eastAsia="Times New Roman" w:cs="Times New Roman"/>
                <w:i/>
                <w:color w:val="000000" w:themeColor="text1"/>
                <w:sz w:val="24"/>
              </w:rPr>
              <w:t xml:space="preserve">(Nay là phường Mũi Né, tỉnh Lâm Đồng)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color w:val="000000" w:themeColor="text1"/>
                <w:sz w:val="24"/>
              </w:rPr>
              <w:t xml:space="preserve">     2.120,0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Đất cơ sở sản xuất kinh doanh</w:t>
            </w:r>
            <w:r>
              <w:rPr>
                <w:color w:val="000000" w:themeColor="text1"/>
              </w:rPr>
            </w:r>
            <w:r>
              <w:rPr>
                <w:color w:val="000000" w:themeColor="text1"/>
              </w:rPr>
            </w:r>
          </w:p>
        </w:tc>
        <w:tc>
          <w:tcPr>
            <w:tcBorders>
              <w:left w:val="single" w:color="000000" w:sz="6" w:space="0"/>
              <w:bottom w:val="single" w:color="000000" w:sz="6"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Nhà nước cho thuê đất trả tiền một lần</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532"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r>
      <w:tr>
        <w:trPr>
          <w:trHeight w:val="936"/>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CV 971900</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VP 21980</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276"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Công ty TNHH Thành Hưng Phan Thiết</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21"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42</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21"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90</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Phường Mũi Né, thành phố Phan Thiết, tỉnh Bình Thuận </w:t>
            </w:r>
            <w:r>
              <w:rPr>
                <w:rFonts w:ascii="Times New Roman" w:hAnsi="Times New Roman" w:eastAsia="Times New Roman" w:cs="Times New Roman"/>
                <w:i/>
                <w:color w:val="000000" w:themeColor="text1"/>
                <w:sz w:val="24"/>
              </w:rPr>
              <w:t xml:space="preserve">(Nay là phường Mũi Né, tỉnh Lâm Đồng)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color w:val="000000" w:themeColor="text1"/>
                <w:sz w:val="24"/>
              </w:rPr>
              <w:t xml:space="preserve">   38.132,0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Đất thương mại, dịch vụ</w:t>
            </w:r>
            <w:r>
              <w:rPr>
                <w:color w:val="000000" w:themeColor="text1"/>
              </w:rPr>
            </w:r>
            <w:r>
              <w:rPr>
                <w:color w:val="000000" w:themeColor="text1"/>
              </w:rPr>
            </w:r>
          </w:p>
        </w:tc>
        <w:tc>
          <w:tcPr>
            <w:tcBorders>
              <w:left w:val="single" w:color="000000" w:sz="6" w:space="0"/>
              <w:bottom w:val="single" w:color="000000" w:sz="6"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Nhà nước cho thuê đất trả tiền một lần</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532"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r>
      <w:tr>
        <w:trPr>
          <w:trHeight w:val="936"/>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4</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CS 579887</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CT 15623</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276"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Công ty TNHH Thành Hưng Phan Thiết</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21"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37</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21"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90</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Phường Mũi Né, thành phố Phan Thiết, tỉnh Bình Thuận </w:t>
            </w:r>
            <w:r>
              <w:rPr>
                <w:rFonts w:ascii="Times New Roman" w:hAnsi="Times New Roman" w:eastAsia="Times New Roman" w:cs="Times New Roman"/>
                <w:i/>
                <w:color w:val="000000" w:themeColor="text1"/>
                <w:sz w:val="24"/>
              </w:rPr>
              <w:t xml:space="preserve">(Nay là phường Mũi Né, tỉnh Lâm Đồng)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color w:val="000000" w:themeColor="text1"/>
                <w:sz w:val="24"/>
              </w:rPr>
              <w:t xml:space="preserve">     1.359,8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Đất thương mại, dịch vụ</w:t>
            </w:r>
            <w:r>
              <w:rPr>
                <w:color w:val="000000" w:themeColor="text1"/>
              </w:rPr>
            </w:r>
            <w:r>
              <w:rPr>
                <w:color w:val="000000" w:themeColor="text1"/>
              </w:rPr>
            </w:r>
          </w:p>
        </w:tc>
        <w:tc>
          <w:tcPr>
            <w:tcBorders>
              <w:left w:val="single" w:color="000000" w:sz="6" w:space="0"/>
              <w:bottom w:val="single" w:color="000000" w:sz="6"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Nhà nước cho thuê đất trả tiền hàng năm</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532"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Thửa đất có 1.359,8m² đất thuộc hành lang bảo vệ an toàn công trình đường bộ</w:t>
            </w:r>
            <w:r>
              <w:rPr>
                <w:color w:val="000000" w:themeColor="text1"/>
              </w:rPr>
            </w:r>
            <w:r>
              <w:rPr>
                <w:color w:val="000000" w:themeColor="text1"/>
              </w:rPr>
            </w:r>
          </w:p>
        </w:tc>
      </w:tr>
      <w:tr>
        <w:trPr>
          <w:trHeight w:val="17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5</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BA 473981</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CT 50496</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276"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Công ty TNHH Thành Hưng Phan Thiết</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21"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13</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21"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02</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Phường Mũi Né, thành phố Phan Thiết, tỉnh Bình Thuận </w:t>
            </w:r>
            <w:r>
              <w:rPr>
                <w:rFonts w:ascii="Times New Roman" w:hAnsi="Times New Roman" w:eastAsia="Times New Roman" w:cs="Times New Roman"/>
                <w:i/>
                <w:color w:val="000000" w:themeColor="text1"/>
                <w:sz w:val="24"/>
              </w:rPr>
              <w:t xml:space="preserve">(Nay là phường Mũi Né, tỉnh Lâm Đồng)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color w:val="000000" w:themeColor="text1"/>
                <w:sz w:val="24"/>
              </w:rPr>
              <w:t xml:space="preserve">     5.235,0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Đất cơ sở sản xuất kinh doanh</w:t>
            </w:r>
            <w:r>
              <w:rPr>
                <w:color w:val="000000" w:themeColor="text1"/>
              </w:rPr>
            </w:r>
            <w:r>
              <w:rPr>
                <w:color w:val="000000" w:themeColor="text1"/>
              </w:rPr>
            </w:r>
          </w:p>
        </w:tc>
        <w:tc>
          <w:tcPr>
            <w:tcBorders>
              <w:left w:val="single" w:color="000000" w:sz="6" w:space="0"/>
              <w:bottom w:val="single" w:color="000000" w:sz="6"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Nhà nước cho thuê đất trả tiền một lần</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532" w:type="dxa"/>
            <w:vAlign w:val="center"/>
            <w:textDirection w:val="lrTb"/>
            <w:noWrap w:val="false"/>
          </w:tcPr>
          <w:p>
            <w:pPr>
              <w:pBdr/>
              <w:spacing w:after="0" w:before="0" w:line="276" w:lineRule="auto"/>
              <w:ind/>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r>
      <w:tr>
        <w:trPr>
          <w:trHeight w:val="312"/>
        </w:trPr>
        <w:tc>
          <w:tcPr>
            <w:gridSpan w:val="7"/>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7937"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TỔNG CỘNG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b/>
                <w:color w:val="000000" w:themeColor="text1"/>
                <w:sz w:val="24"/>
              </w:rPr>
              <w:t xml:space="preserve">   48.209,9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532" w:type="dxa"/>
            <w:vAlign w:val="center"/>
            <w:textDirection w:val="lrTb"/>
            <w:noWrap w:val="false"/>
          </w:tcPr>
          <w:p>
            <w:pPr>
              <w:pBdr/>
              <w:spacing w:after="0" w:before="0" w:line="276" w:lineRule="auto"/>
              <w:ind/>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r>
      <w:tr>
        <w:trPr>
          <w:trHeight w:val="648"/>
        </w:trPr>
        <w:tc>
          <w:tcPr>
            <w:gridSpan w:val="7"/>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7937"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Tổng cộng Đất thương mại dịch vụ; Đất cơ sở sản xuất kinh doanh nằm ngoài hành lang bảo vệ an toàn công trình đường bộ</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b/>
                <w:color w:val="000000" w:themeColor="text1"/>
                <w:sz w:val="24"/>
              </w:rPr>
              <w:t xml:space="preserve">   45.487,0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532" w:type="dxa"/>
            <w:vAlign w:val="center"/>
            <w:textDirection w:val="lrTb"/>
            <w:noWrap w:val="false"/>
          </w:tcPr>
          <w:p>
            <w:pPr>
              <w:pBdr/>
              <w:spacing w:after="0" w:before="0" w:line="276" w:lineRule="auto"/>
              <w:ind/>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r>
      <w:tr>
        <w:trPr>
          <w:trHeight w:val="312"/>
        </w:trPr>
        <w:tc>
          <w:tcPr>
            <w:gridSpan w:val="7"/>
            <w:tcBorders>
              <w:left w:val="single" w:color="000000" w:sz="6" w:space="0"/>
              <w:bottom w:val="single" w:color="000000" w:sz="6" w:space="0"/>
              <w:right w:val="single" w:color="000000" w:sz="6" w:space="0"/>
            </w:tcBorders>
            <w:tcMar>
              <w:left w:w="0" w:type="dxa"/>
              <w:top w:w="0" w:type="dxa"/>
              <w:right w:w="0" w:type="dxa"/>
              <w:bottom w:w="0" w:type="dxa"/>
            </w:tcMar>
            <w:tcW w:w="7937"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4"/>
              </w:rPr>
              <w:t xml:space="preserve">Tổng cộng Đất thương mại dịch vụ thuộc hành lang bảo vệc an toàn công trình đường bộ</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b/>
                <w:color w:val="000000" w:themeColor="text1"/>
                <w:sz w:val="24"/>
              </w:rPr>
              <w:t xml:space="preserve">     2.722,9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134" w:type="dxa"/>
            <w:vAlign w:val="center"/>
            <w:textDirection w:val="lrTb"/>
            <w:noWrap/>
          </w:tcPr>
          <w:p>
            <w:pPr>
              <w:pBdr/>
              <w:spacing w:after="0" w:before="0" w:line="276" w:lineRule="auto"/>
              <w:ind/>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532" w:type="dxa"/>
            <w:vAlign w:val="center"/>
            <w:textDirection w:val="lrTb"/>
            <w:noWrap w:val="false"/>
          </w:tcPr>
          <w:p>
            <w:pPr>
              <w:pBdr/>
              <w:spacing w:after="0" w:before="0" w:line="276" w:lineRule="auto"/>
              <w:ind/>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Nhận xét: 05 thửa đất liền thửa thành một khu đất có tổng diện tích 48.209,9m² với 45.487,0m² đất thuê trả tiền một lần và 2.722,9m² đất thuê trả tiền hàng năm thuộc hành lang bảo vệ an toàn công trình đường bộ:</w:t>
      </w:r>
      <w:r/>
    </w:p>
    <w:p>
      <w:pPr>
        <w:pBdr>
          <w:top w:val="none" w:color="000000" w:sz="4" w:space="0"/>
          <w:left w:val="none" w:color="000000" w:sz="4" w:space="0"/>
          <w:bottom w:val="none" w:color="000000" w:sz="4" w:space="0"/>
          <w:right w:val="none" w:color="000000" w:sz="4" w:space="0"/>
        </w:pBdr>
        <w:tabs>
          <w:tab w:val="left" w:leader="none" w:pos="993"/>
        </w:tabs>
        <w:spacing w:line="276" w:lineRule="auto"/>
        <w:ind w:right="0" w:firstLine="0" w:left="0"/>
        <w:jc w:val="both"/>
        <w:rPr/>
      </w:pPr>
      <w:r>
        <w:rPr>
          <w:rFonts w:ascii="Times New Roman" w:hAnsi="Times New Roman" w:eastAsia="Times New Roman" w:cs="Times New Roman"/>
          <w:color w:val="000000"/>
          <w:sz w:val="24"/>
        </w:rPr>
        <w:t xml:space="preserve">- Địa chỉ: Đường Xuân Thuỷ, Phường Mũi Né, thành phố Phan Thiết, tỉnh Bình Thuận </w:t>
      </w:r>
      <w:r>
        <w:rPr>
          <w:rFonts w:ascii="Times New Roman" w:hAnsi="Times New Roman" w:eastAsia="Times New Roman" w:cs="Times New Roman"/>
          <w:i/>
          <w:color w:val="000000" w:themeColor="text1"/>
          <w:sz w:val="24"/>
        </w:rPr>
        <w:t xml:space="preserve">(Nay là phường Mũi Né, tỉnh Lâm Đồng)</w: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tabs>
          <w:tab w:val="left" w:leader="none" w:pos="993"/>
        </w:tabs>
        <w:spacing w:line="276" w:lineRule="auto"/>
        <w:ind w:right="0" w:firstLine="0" w:left="0"/>
        <w:jc w:val="both"/>
        <w:rPr/>
      </w:pPr>
      <w:r>
        <w:rPr>
          <w:rFonts w:ascii="Times New Roman" w:hAnsi="Times New Roman" w:eastAsia="Times New Roman" w:cs="Times New Roman"/>
          <w:color w:val="000000"/>
          <w:sz w:val="24"/>
        </w:rPr>
        <w:t xml:space="preserve">- Vị trí: Tài sản tiếp giáp đường Xuân Thuỷ. Cạnh Apec Mandala Mũi Né. Cách Hòn Rơm khoảng 5,6km. Tài sản có đường bờ biển.</w:t>
      </w:r>
      <w:r/>
    </w:p>
    <w:p>
      <w:pPr>
        <w:pBdr>
          <w:top w:val="none" w:color="000000" w:sz="4" w:space="0"/>
          <w:left w:val="none" w:color="000000" w:sz="4" w:space="0"/>
          <w:bottom w:val="none" w:color="000000" w:sz="4" w:space="0"/>
          <w:right w:val="none" w:color="000000" w:sz="4" w:space="0"/>
        </w:pBdr>
        <w:tabs>
          <w:tab w:val="left" w:leader="none" w:pos="993"/>
        </w:tabs>
        <w:spacing w:line="276" w:lineRule="auto"/>
        <w:ind w:right="0" w:firstLine="0" w:left="0"/>
        <w:jc w:val="both"/>
        <w:rPr/>
      </w:pPr>
      <w:r>
        <w:rPr>
          <w:rFonts w:ascii="Times New Roman" w:hAnsi="Times New Roman" w:eastAsia="Times New Roman" w:cs="Times New Roman"/>
          <w:color w:val="000000"/>
          <w:sz w:val="24"/>
        </w:rPr>
        <w:t xml:space="preserve">- Đường trước tài sản: đường Xuân Thuỷ</w:t>
      </w:r>
      <w:r/>
    </w:p>
    <w:p>
      <w:pPr>
        <w:pBdr>
          <w:top w:val="none" w:color="000000" w:sz="4" w:space="0"/>
          <w:left w:val="none" w:color="000000" w:sz="4" w:space="0"/>
          <w:bottom w:val="none" w:color="000000" w:sz="4" w:space="0"/>
          <w:right w:val="none" w:color="000000" w:sz="4" w:space="0"/>
        </w:pBdr>
        <w:tabs>
          <w:tab w:val="left" w:leader="none" w:pos="993"/>
        </w:tabs>
        <w:spacing w:line="276" w:lineRule="auto"/>
        <w:ind w:right="0" w:firstLine="0" w:left="0"/>
        <w:jc w:val="both"/>
        <w:rPr/>
      </w:pPr>
      <w:r>
        <w:rPr>
          <w:rFonts w:ascii="Times New Roman" w:hAnsi="Times New Roman" w:eastAsia="Times New Roman" w:cs="Times New Roman"/>
          <w:color w:val="000000"/>
          <w:sz w:val="24"/>
        </w:rPr>
        <w:t xml:space="preserve">- Số mặt tiền: 02 mặt tiền, đường Xuân Thuỷ và đường nhỏ phía sau</w:t>
      </w:r>
      <w:r/>
    </w:p>
    <w:p>
      <w:pPr>
        <w:pBdr>
          <w:top w:val="none" w:color="000000" w:sz="4" w:space="0"/>
          <w:left w:val="none" w:color="000000" w:sz="4" w:space="0"/>
          <w:bottom w:val="none" w:color="000000" w:sz="4" w:space="0"/>
          <w:right w:val="none" w:color="000000" w:sz="4" w:space="0"/>
        </w:pBdr>
        <w:tabs>
          <w:tab w:val="left" w:leader="none" w:pos="993"/>
        </w:tabs>
        <w:spacing w:line="276" w:lineRule="auto"/>
        <w:ind w:right="0" w:firstLine="0" w:left="0"/>
        <w:jc w:val="both"/>
        <w:rPr/>
      </w:pPr>
      <w:r>
        <w:rPr>
          <w:rFonts w:ascii="Times New Roman" w:hAnsi="Times New Roman" w:eastAsia="Times New Roman" w:cs="Times New Roman"/>
          <w:color w:val="000000"/>
          <w:sz w:val="24"/>
        </w:rPr>
        <w:t xml:space="preserve">- Mặt tiền: Khoảng 100m, chiều sâu khoảng 490m</w:t>
      </w:r>
      <w:r/>
    </w:p>
    <w:p>
      <w:pPr>
        <w:pBdr>
          <w:top w:val="none" w:color="000000" w:sz="4" w:space="0"/>
          <w:left w:val="none" w:color="000000" w:sz="4" w:space="0"/>
          <w:bottom w:val="none" w:color="000000" w:sz="4" w:space="0"/>
          <w:right w:val="none" w:color="000000" w:sz="4" w:space="0"/>
        </w:pBdr>
        <w:tabs>
          <w:tab w:val="left" w:leader="none" w:pos="993"/>
        </w:tabs>
        <w:spacing w:line="276" w:lineRule="auto"/>
        <w:ind w:right="0" w:firstLine="0" w:left="0"/>
        <w:jc w:val="both"/>
        <w:rPr/>
      </w:pPr>
      <w:r>
        <w:rPr>
          <w:rFonts w:ascii="Times New Roman" w:hAnsi="Times New Roman" w:eastAsia="Times New Roman" w:cs="Times New Roman"/>
          <w:color w:val="000000"/>
          <w:sz w:val="24"/>
        </w:rPr>
        <w:t xml:space="preserve">- Tài sản gắn liền với đất: Đất trống</w:t>
        <w:tab/>
      </w:r>
      <w:r/>
    </w:p>
    <w:p>
      <w:pPr>
        <w:pBdr>
          <w:top w:val="none" w:color="000000" w:sz="4" w:space="0"/>
          <w:left w:val="none" w:color="000000" w:sz="4" w:space="0"/>
          <w:bottom w:val="none" w:color="000000" w:sz="4" w:space="0"/>
          <w:right w:val="none" w:color="000000" w:sz="4" w:space="0"/>
        </w:pBdr>
        <w:tabs>
          <w:tab w:val="left" w:leader="none" w:pos="993"/>
        </w:tabs>
        <w:spacing w:line="276" w:lineRule="auto"/>
        <w:ind w:right="0" w:firstLine="0" w:left="0"/>
        <w:jc w:val="both"/>
        <w:rPr/>
      </w:pPr>
      <w:r>
        <w:rPr>
          <w:rFonts w:ascii="Times New Roman" w:hAnsi="Times New Roman" w:eastAsia="Times New Roman" w:cs="Times New Roman"/>
          <w:color w:val="000000"/>
          <w:sz w:val="24"/>
        </w:rPr>
        <w:t xml:space="preserve">- Thông tin tranh chấp: Tại thời điểm khảo sát hiện trạng tài sản thẩm định giá, qua hồ sơ và thông tin được cung cấp từ khách hàng, tổ thẩm định không phát hiện các dấu hiệu về tranh chấp của thửa đất.</w:t>
      </w:r>
      <w:r/>
    </w:p>
    <w:p>
      <w:pPr>
        <w:pBdr/>
        <w:shd w:val="nil" w:color="000000"/>
        <w:spacing/>
        <w:ind/>
        <w:rPr>
          <w:highlight w:val="none"/>
          <w:u w:val="single"/>
        </w:rPr>
      </w:pPr>
      <w:r>
        <w:rPr>
          <w:highlight w:val="none"/>
          <w:u w:val="single"/>
        </w:rPr>
        <w:br w:type="page" w:clear="all"/>
      </w:r>
      <w:r>
        <w:rPr>
          <w:highlight w:val="none"/>
          <w:u w:val="single"/>
        </w:rPr>
      </w:r>
      <w:r>
        <w:rPr>
          <w:highlight w:val="none"/>
          <w:u w:val="single"/>
        </w:rPr>
      </w:r>
    </w:p>
    <w:p>
      <w:pPr>
        <w:pBdr/>
        <w:shd w:val="nil" w:color="auto"/>
        <w:spacing/>
        <w:ind/>
        <w:rPr>
          <w:b/>
          <w:bCs/>
          <w:highlight w:val="none"/>
        </w:rPr>
        <w:sectPr>
          <w:footnotePr/>
          <w:endnotePr/>
          <w:type w:val="nextPage"/>
          <w:pgSz w:h="11907" w:orient="landscape" w:w="16839"/>
          <w:pgMar w:top="1531" w:right="1134" w:bottom="851" w:left="1134" w:header="709" w:footer="709" w:gutter="0"/>
          <w:cols w:num="1" w:sep="0" w:space="720" w:equalWidth="1"/>
        </w:sectPr>
      </w:pPr>
      <w:r>
        <w:rPr>
          <w:b/>
          <w:bCs/>
          <w:highlight w:val="none"/>
          <w:shd w:val="clear" w:color="auto" w:fill="ffffff"/>
        </w:rPr>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tabs>
          <w:tab w:val="left" w:leader="none" w:pos="993"/>
        </w:tabs>
        <w:spacing w:line="276" w:lineRule="auto"/>
        <w:ind w:right="0" w:firstLine="0" w:left="0"/>
        <w:jc w:val="both"/>
        <w:rPr/>
      </w:pPr>
      <w:r>
        <w:rPr>
          <w:rFonts w:ascii="Times New Roman" w:hAnsi="Times New Roman" w:eastAsia="Times New Roman" w:cs="Times New Roman"/>
          <w:b/>
          <w:color w:val="000000"/>
          <w:sz w:val="24"/>
        </w:rPr>
        <w:t xml:space="preserve">Sơ đồ, vị trí khu đất</w:t>
      </w:r>
      <w:r/>
    </w:p>
    <w:p>
      <w:pPr>
        <w:pBdr/>
        <w:shd w:val="nil" w:color="000000"/>
        <w:spacing/>
        <w:ind/>
        <w:rPr>
          <w:b w:val="0"/>
          <w:bCs w:val="0"/>
          <w:i/>
          <w:highlight w:val="none"/>
        </w:rPr>
      </w:pPr>
      <w:r>
        <w:rPr>
          <w:b w:val="0"/>
          <w:bCs w:val="0"/>
          <w:i/>
          <w:iCs/>
          <w:highlight w:val="none"/>
          <w:shd w:val="clear" w:color="auto" w:fill="ffffff"/>
        </w:rPr>
        <w:t xml:space="preserve">Theo toạ độ </w:t>
      </w:r>
      <w:r>
        <w:rPr>
          <w:b w:val="0"/>
          <w:bCs w:val="0"/>
          <w:i/>
          <w:iCs/>
          <w:highlight w:val="none"/>
          <w:shd w:val="clear" w:color="auto" w:fill="ffffff"/>
        </w:rPr>
        <w:t xml:space="preserve">WGS84</w:t>
      </w:r>
      <w:r>
        <w:rPr>
          <w:b w:val="0"/>
          <w:bCs w:val="0"/>
          <w:i/>
          <w:iCs/>
          <w:highlight w:val="none"/>
          <w:shd w:val="clear" w:color="auto" w:fill="ffffff"/>
        </w:rPr>
        <w:t xml:space="preserve">:</w:t>
      </w:r>
      <w:r>
        <w:rPr>
          <w:b w:val="0"/>
          <w:bCs w:val="0"/>
          <w:i/>
          <w:highlight w:val="none"/>
        </w:rPr>
      </w:r>
      <w:r>
        <w:rPr>
          <w:b w:val="0"/>
          <w:bCs w:val="0"/>
          <w:i/>
          <w:highlight w:val="none"/>
        </w:rPr>
      </w:r>
    </w:p>
    <w:p>
      <w:pPr>
        <w:pBdr/>
        <w:shd w:val="nil" w:color="000000"/>
        <w:spacing/>
        <w:ind/>
        <w:rPr>
          <w:b/>
          <w:bCs/>
          <w:highlight w:val="none"/>
        </w:rPr>
      </w:pPr>
      <w:r>
        <w:rPr>
          <w:b/>
          <w:bCs/>
          <w:highlight w:val="none"/>
          <w:shd w:val="clear" w:color="auto" w:fill="ffffff"/>
        </w:rPr>
      </w:r>
      <w:r>
        <mc:AlternateContent>
          <mc:Choice Requires="wpg">
            <w:drawing>
              <wp:inline xmlns:wp="http://schemas.openxmlformats.org/drawingml/2006/wordprocessingDrawing" distT="0" distB="0" distL="0" distR="0">
                <wp:extent cx="6048375" cy="388089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38089" name=""/>
                        <pic:cNvPicPr>
                          <a:picLocks noChangeAspect="1"/>
                        </pic:cNvPicPr>
                        <pic:nvPr/>
                      </pic:nvPicPr>
                      <pic:blipFill rotWithShape="1">
                        <a:blip r:embed="rId17"/>
                        <a:stretch/>
                      </pic:blipFill>
                      <pic:spPr bwMode="auto">
                        <a:xfrm>
                          <a:off x="0" y="0"/>
                          <a:ext cx="6048375" cy="38808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305.58pt;mso-wrap-distance-left:0.00pt;mso-wrap-distance-top:0.00pt;mso-wrap-distance-right:0.00pt;mso-wrap-distance-bottom:0.00pt;z-index:1;" stroked="false">
                <v:imagedata r:id="rId17" o:title=""/>
                <o:lock v:ext="edit" rotation="t"/>
              </v:shape>
            </w:pict>
          </mc:Fallback>
        </mc:AlternateContent>
      </w:r>
      <w:r>
        <w:rPr>
          <w:b/>
          <w:bCs/>
          <w:highlight w:val="none"/>
        </w:rPr>
      </w:r>
      <w:r>
        <w:rPr>
          <w:b/>
          <w:bCs/>
          <w:highlight w:val="none"/>
        </w:rPr>
      </w:r>
    </w:p>
    <w:p>
      <w:pPr>
        <w:pBdr/>
        <w:shd w:val="nil" w:color="000000"/>
        <w:spacing/>
        <w:ind/>
        <w:rPr>
          <w:b/>
          <w:bCs/>
        </w:rPr>
      </w:pPr>
      <w:r>
        <w:rPr>
          <w:b/>
          <w:bCs/>
          <w:highlight w:val="none"/>
          <w:shd w:val="clear" w:color="auto" w:fill="ffffff"/>
        </w:rPr>
      </w:r>
      <w:r>
        <w:rPr>
          <w:b/>
          <w:bCs/>
        </w:rPr>
      </w:r>
      <w:r>
        <w:rPr>
          <w:b/>
          <w:bCs/>
        </w:rPr>
      </w:r>
    </w:p>
    <w:p>
      <w:pPr>
        <w:pBdr/>
        <w:shd w:val="nil" w:color="000000"/>
        <w:spacing/>
        <w:ind/>
        <w:rPr>
          <w:b w:val="0"/>
          <w:bCs/>
          <w:i/>
          <w:highlight w:val="none"/>
        </w:rPr>
      </w:pPr>
      <w:r>
        <w:rPr>
          <w:b w:val="0"/>
          <w:bCs w:val="0"/>
          <w:i/>
          <w:iCs/>
          <w:highlight w:val="none"/>
          <w:shd w:val="clear" w:color="auto" w:fill="ffffff"/>
        </w:rPr>
        <w:t xml:space="preserve">Theo toạ độ VN2000</w:t>
      </w:r>
      <w:r>
        <w:rPr>
          <w:b w:val="0"/>
          <w:bCs w:val="0"/>
          <w:i/>
          <w:iCs/>
          <w:highlight w:val="none"/>
          <w:shd w:val="clear" w:color="auto" w:fill="ffffff"/>
        </w:rPr>
        <w:t xml:space="preserve">:</w:t>
      </w:r>
      <w:r>
        <w:rPr>
          <w:b w:val="0"/>
          <w:bCs/>
          <w:i/>
          <w:highlight w:val="none"/>
        </w:rPr>
      </w:r>
      <w:r>
        <w:rPr>
          <w:b w:val="0"/>
          <w:bCs/>
          <w:i/>
          <w:highlight w:val="none"/>
        </w:rPr>
      </w:r>
    </w:p>
    <w:p>
      <w:pPr>
        <w:pBdr/>
        <w:shd w:val="nil" w:color="000000"/>
        <w:spacing/>
        <w:ind/>
        <w:rPr>
          <w:b w:val="0"/>
          <w:bCs/>
          <w:i/>
          <w:highlight w:val="none"/>
        </w:rPr>
      </w:pPr>
      <w:r>
        <w:rPr>
          <w:b w:val="0"/>
          <w:bCs w:val="0"/>
          <w:i/>
          <w:highlight w:val="none"/>
        </w:rPr>
      </w:r>
      <w:r>
        <mc:AlternateContent>
          <mc:Choice Requires="wpg">
            <w:drawing>
              <wp:inline xmlns:wp="http://schemas.openxmlformats.org/drawingml/2006/wordprocessingDrawing" distT="0" distB="0" distL="0" distR="0">
                <wp:extent cx="6048375" cy="292038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971791" name=""/>
                        <pic:cNvPicPr>
                          <a:picLocks noChangeAspect="1"/>
                        </pic:cNvPicPr>
                        <pic:nvPr/>
                      </pic:nvPicPr>
                      <pic:blipFill rotWithShape="1">
                        <a:blip r:embed="rId18"/>
                        <a:stretch/>
                      </pic:blipFill>
                      <pic:spPr bwMode="auto">
                        <a:xfrm>
                          <a:off x="0" y="0"/>
                          <a:ext cx="6048375" cy="29203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229.95pt;mso-wrap-distance-left:0.00pt;mso-wrap-distance-top:0.00pt;mso-wrap-distance-right:0.00pt;mso-wrap-distance-bottom:0.00pt;z-index:1;" stroked="false">
                <v:imagedata r:id="rId18" o:title=""/>
                <o:lock v:ext="edit" rotation="t"/>
              </v:shape>
            </w:pict>
          </mc:Fallback>
        </mc:AlternateContent>
      </w:r>
      <w:r>
        <w:rPr>
          <w:b w:val="0"/>
          <w:bCs/>
          <w:i/>
          <w:highlight w:val="none"/>
        </w:rPr>
      </w:r>
      <w:r>
        <w:rPr>
          <w:b w:val="0"/>
          <w:bCs/>
          <w:i/>
          <w:highlight w:val="none"/>
        </w:rPr>
      </w:r>
    </w:p>
    <w:p>
      <w:pPr>
        <w:pBdr/>
        <w:spacing w:line="235" w:lineRule="auto"/>
        <w:ind w:left="646"/>
        <w:jc w:val="both"/>
        <w:rPr>
          <w:u w:val="single"/>
        </w:rPr>
      </w:pPr>
      <w:r>
        <w:rPr>
          <w:u w:val="single"/>
        </w:rPr>
      </w:r>
      <w:r>
        <w:rPr>
          <w:u w:val="single"/>
        </w:rPr>
      </w:r>
      <w:r>
        <w:rPr>
          <w:u w:val="single"/>
        </w:rPr>
      </w:r>
    </w:p>
    <w:p>
      <w:pPr>
        <w:pBdr/>
        <w:shd w:val="nil" w:color="auto"/>
        <w:spacing w:line="276" w:lineRule="auto"/>
        <w:ind/>
        <w:jc w:val="both"/>
        <w:rPr>
          <w:b/>
          <w:bCs/>
          <w:u w:val="single"/>
        </w:rPr>
      </w:pPr>
      <w:r>
        <w:rPr>
          <w:b/>
          <w:bCs/>
          <w:highlight w:val="none"/>
          <w:u w:val="single"/>
        </w:rPr>
      </w:r>
      <w:r>
        <w:rPr>
          <w:rFonts w:ascii="Times New Roman" w:hAnsi="Times New Roman" w:eastAsia="Times New Roman" w:cs="Times New Roman"/>
          <w:color w:val="000000"/>
          <w:sz w:val="24"/>
        </w:rPr>
        <w:t xml:space="preserve">Tài sản định giá bao gồm các thửa đất nằm tiếp giáp nhau, cùng chủ sở hữu, không có mốc giới giữa các thửa đất. Khách hàng đề nghị gộp các thửa đất thành một khu đất, vì vậy tổ thẩm định gộp các thửa đất thành một thửa đất lớn để ước tính giá trị. Kết quả </w:t>
      </w:r>
      <w:r>
        <w:rPr>
          <w:rFonts w:ascii="Times New Roman" w:hAnsi="Times New Roman" w:eastAsia="Times New Roman" w:cs="Times New Roman"/>
          <w:color w:val="000000"/>
          <w:sz w:val="24"/>
        </w:rPr>
        <w:t xml:space="preserve">thẩm định giá được nêu trong báo cáo này chỉ có giá trị giới hạn trong trường hợp Ngân hàng nhận thế chấp/giải chấp đồng thời các thửa đất được cấp tại 05 giấy chứng nhận nêu trên. Với tổng diện tích 48.209,9m² trong đó 45.487,0m² đất thuê trả tiền một lầ</w:t>
      </w:r>
      <w:r>
        <w:rPr>
          <w:rFonts w:ascii="Times New Roman" w:hAnsi="Times New Roman" w:eastAsia="Times New Roman" w:cs="Times New Roman"/>
          <w:color w:val="000000"/>
          <w:sz w:val="24"/>
        </w:rPr>
        <w:t xml:space="preserve">n, Tổ thẩm định ước tính theo giá trị thị trường và 2.722,9 m² đất thuê trả tiền hàng năm thuộc hành lang bảo vệ an toàn công trình đường bộ, Tổ thẩm định không xác định giá trị.</w:t>
      </w:r>
      <w:r>
        <w:rPr>
          <w:b/>
          <w:bCs/>
          <w:u w:val="single"/>
        </w:rPr>
      </w:r>
      <w:r>
        <w:rPr>
          <w:b/>
          <w:bCs/>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Tài sản định giá bao gồm các thửa đất nằm tiếp giáp nhau, cùng chủ sở hữu, không có mốc giới giữa các thửa đất, gồm: Đất thương mại dịch vụ và Đất cơ sở sản xuất kinh doanh. Khách hàng đề nghị gộp các thửa đất thành một khu đất, vì vậy Tổ thẩm định gộp các thửa đất thành một thửa đất lớn để ước tính giá trị với giả định thửa đất cơ sở sản xuất kinh doanh sẽ được chuyển mục đích sử dụng đất sang đất thương mại dịch vụ. Kết quả </w:t>
      </w:r>
      <w:r>
        <w:rPr>
          <w:rFonts w:ascii="Times New Roman" w:hAnsi="Times New Roman" w:eastAsia="Times New Roman" w:cs="Times New Roman"/>
          <w:color w:val="000000"/>
          <w:sz w:val="24"/>
        </w:rPr>
        <w:t xml:space="preserve">thẩm định giá được nêu trong báo cáo này chỉ có giá trị giới hạn trong trường hợp Ngân hàng nhận thế chấp/giải chấp đồng thời các thửa đất được cấp tại 05 Giấy chứng nhận nêu trên</w:t>
      </w:r>
      <w:r>
        <w:rPr>
          <w:spacing w:val="-2"/>
          <w:highlight w:val="none"/>
          <w:lang w:val="pt-BR" w:bidi="pt-BR"/>
        </w:rPr>
        <w:t xml:space="preserve">.</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w:t>
      </w:r>
      <w:r>
        <w:rPr>
          <w:rFonts w:ascii="Times New Roman" w:hAnsi="Times New Roman" w:eastAsia="Times New Roman" w:cs="Times New Roman"/>
          <w:b/>
          <w:bCs/>
          <w:i/>
          <w:iCs/>
          <w:color w:val="000000"/>
          <w:sz w:val="24"/>
        </w:rPr>
        <w:t xml:space="preserve">(45.487,0m² đất thuê trả tiền một lầ</w:t>
      </w:r>
      <w:r>
        <w:rPr>
          <w:rFonts w:ascii="Times New Roman" w:hAnsi="Times New Roman" w:eastAsia="Times New Roman" w:cs="Times New Roman"/>
          <w:b/>
          <w:bCs/>
          <w:i/>
          <w:iCs/>
          <w:color w:val="000000"/>
          <w:sz w:val="24"/>
        </w:rPr>
        <w:t xml:space="preserve">n</w:t>
      </w:r>
      <w:r>
        <w:rPr>
          <w:b/>
          <w:bCs/>
          <w:i/>
          <w:iCs/>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74"/>
        <w:gridCol w:w="2005"/>
        <w:gridCol w:w="1736"/>
        <w:gridCol w:w="1736"/>
        <w:gridCol w:w="1736"/>
        <w:gridCol w:w="1736"/>
      </w:tblGrid>
      <w:tr>
        <w:trPr>
          <w:trHeight w:val="300"/>
          <w:tblHeader/>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7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0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2005"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Mũi Né, thành phố Phan Thiết, tỉnh Bình Thuận </w:t>
            </w:r>
            <w:r>
              <w:rPr>
                <w:rFonts w:ascii="Times New Roman" w:hAnsi="Times New Roman" w:eastAsia="Times New Roman" w:cs="Times New Roman"/>
                <w:i/>
                <w:color w:val="000000"/>
                <w:sz w:val="22"/>
              </w:rPr>
              <w:t xml:space="preserve">(Nay là phường Mũi Né, tỉnh Lâm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Mũi Né, thành phố Phan Thiết, tỉnh Bình Thuận </w:t>
            </w:r>
            <w:r>
              <w:rPr>
                <w:rFonts w:ascii="Times New Roman" w:hAnsi="Times New Roman" w:eastAsia="Times New Roman" w:cs="Times New Roman"/>
                <w:i/>
                <w:color w:val="000000"/>
                <w:sz w:val="22"/>
              </w:rPr>
              <w:t xml:space="preserve">(Nay là phường Mũi Né, tỉnh Lâm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Hồng Phong, huyện Bắc Bình, tỉnh Bình Thuận </w:t>
            </w:r>
            <w:r>
              <w:rPr>
                <w:rFonts w:ascii="Times New Roman" w:hAnsi="Times New Roman" w:eastAsia="Times New Roman" w:cs="Times New Roman"/>
                <w:i/>
                <w:color w:val="000000"/>
                <w:sz w:val="22"/>
              </w:rPr>
              <w:t xml:space="preserve">(Nay là xã Hoà Thắng, tỉnh Lâm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Mũi Né, thành phố Phan Thiết, tỉnh Bình Thuận </w:t>
            </w:r>
            <w:r>
              <w:rPr>
                <w:rFonts w:ascii="Times New Roman" w:hAnsi="Times New Roman" w:eastAsia="Times New Roman" w:cs="Times New Roman"/>
                <w:i/>
                <w:color w:val="000000"/>
                <w:sz w:val="22"/>
              </w:rPr>
              <w:t xml:space="preserve">(Nay là phường Mũi Né, tỉnh Lâm Đồng)</w:t>
            </w:r>
            <w:r/>
          </w:p>
        </w:tc>
      </w:tr>
      <w:tr>
        <w:trPr>
          <w:trHeight w:val="1932"/>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hyperlink r:id="rId19" w:tooltip="https://alonhadat.com.vn/ban-dat-mat-tien-duong-xuan-thuy-nguyen-co-thach-ra-toi-bien-mui-ne-tp-phan-thiet-14189675.html" w:history="1">
              <w:r>
                <w:rPr>
                  <w:rStyle w:val="1019"/>
                  <w:rFonts w:ascii="Times New Roman" w:hAnsi="Times New Roman" w:eastAsia="Times New Roman" w:cs="Times New Roman"/>
                  <w:color w:val="000000"/>
                  <w:sz w:val="22"/>
                  <w:u w:val="none"/>
                </w:rPr>
                <w:t xml:space="preserve">https://alonhadat.com.vn/ban-dat-mat-tien-duong-xuan-thuy-nguyen-co-thach-ra-toi-bien-mui-ne-tp-phan-thiet-14189675.html</w:t>
              </w:r>
            </w:hyperlink>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0965.444.315</w:t>
              <w:br/>
              <w:t xml:space="preserve">(Sale Sáng)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0965.444.315</w:t>
              <w:br/>
              <w:t xml:space="preserve">(Sale Sáng)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0965.338.262</w:t>
              <w:br/>
              <w:t xml:space="preserve">(Sale Cầm)</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1380"/>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thương mại dịch vụ, sản xuất kinh doanh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thương mại dịch vụ và đất rừng sản xuất quy hoạch thương mại dịch vụ. Giá bán đất TMDV</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thương mại dịch vụ</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thương mại dịch vụ</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thuê trả tiền một lần sử dụng đến ngày 02/2/2055</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thuê trả tiền hàng năm sử dụng đến năm 2055</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thuê trả tiền hàng năm sử dụng đến năm 2054</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thuê trả tiền một lần sử dụng đến năm 2069</w:t>
            </w:r>
            <w:r/>
          </w:p>
        </w:tc>
      </w:tr>
      <w:tr>
        <w:trPr>
          <w:trHeight w:val="2760"/>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đường Xuân Thuỷ, phường Mũi Né, tỉnh Lâm Đồng; nằm cạnh Apec Mandala Mũi Né; cách Hòn Rơm khoảng 5,6km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đường Xuân Thuỷ và đường Nguyễn Cơ Thạch, phường Mũi Né, tỉnh Lâm Đồng; cách Apec Mandala Mũi Né khoảng 2,8km; cách Hòn Rơm khoảng 2,8km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đường Xuân Thuỷ, xã Hoà Thắng, tỉnh Lâm Đồng; cách Apec Mandala Mũi Né khoảng 2,8km; cách Hòn Rơm khoảng 8,4km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đường Xuân Thuỷ và đường Nguyễn Cơ Thạch, phường Mũi Né, tỉnh Lâm Đồng; cách Apec Mandala Mũi Né khoảng 3,6km; cách Hòn Rơm khoảng 2km</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10m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10m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10m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10m</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45.487,0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12.571,0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51.290,8</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18.243,9</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~74m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~102m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~136m</w:t>
            </w:r>
            <w:r/>
          </w:p>
        </w:tc>
      </w:tr>
      <w:tr>
        <w:trPr>
          <w:trHeight w:val="1104"/>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 đường Xuân Thuỷ và đường nhỏ phía sau</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mặt tiền đường, đường Xuân Thuỷ và đường Nguyễn Cơ Thạch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mặt tiền đường, đường Xuân Thuỷ và đường Nguyễn Cơ Thạch</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r>
      <w:tr>
        <w:trPr>
          <w:trHeight w:val="519"/>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kinh doanh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kinh doanh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kinh doanh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kinh doanh</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1104"/>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 và các yếu tố khác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Có đường bờ biển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Có đường bờ biển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Có đường bờ biển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Không có đường bờ biển</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120.000.000.000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170.000.000.000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130.000.000.000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84.000.000.000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153.000.000.000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117.000.000.000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84.000.000.000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153.000.000.000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117.000.000.000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6.682.046</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2.982.991</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6.413.102</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20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 và các yếu tố khác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09"/>
        <w:gridCol w:w="1687"/>
        <w:gridCol w:w="850"/>
        <w:gridCol w:w="1595"/>
        <w:gridCol w:w="1595"/>
        <w:gridCol w:w="1595"/>
        <w:gridCol w:w="1595"/>
      </w:tblGrid>
      <w:tr>
        <w:trPr>
          <w:trHeight w:val="630"/>
          <w:tblHeader/>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bCs/>
                <w:i/>
              </w:rPr>
            </w:pPr>
            <w:r>
              <w:rPr>
                <w:rFonts w:ascii="Times New Roman" w:hAnsi="Times New Roman" w:eastAsia="Times New Roman" w:cs="Times New Roman"/>
                <w:b/>
                <w:color w:val="000000"/>
                <w:sz w:val="22"/>
              </w:rPr>
              <w:t xml:space="preserve">Giá trị QSDĐ thị trường </w:t>
            </w:r>
            <w:r>
              <w:rPr>
                <w:rFonts w:ascii="Times New Roman" w:hAnsi="Times New Roman" w:eastAsia="Times New Roman" w:cs="Times New Roman"/>
                <w:b/>
                <w:i/>
                <w:iCs/>
                <w:color w:val="000000"/>
                <w:sz w:val="22"/>
              </w:rPr>
              <w:t xml:space="preserve">(Ước tính sau thương lượng)</w:t>
            </w:r>
            <w:r>
              <w:rPr>
                <w:bCs/>
                <w:i/>
              </w:rPr>
            </w:r>
            <w:r>
              <w:rPr>
                <w:bCs/>
                <w:i/>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84.000.000.000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153.000.000.000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117.000.000.000</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6.682.046</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2.982.991</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6.413.102</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0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6.682.046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2.982.991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6.413.102 </w:t>
            </w:r>
            <w:r/>
          </w:p>
        </w:tc>
      </w:tr>
      <w:tr>
        <w:trPr>
          <w:trHeight w:val="13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0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thương mại dịch vụ, sản xuất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thương mại dịch vụ và đất rừng sản xuất quy hoạch thương mại dịch vụ. Giá bán đất TMDV</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thương mại dịch vụ</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thương mại dịch vụ</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6.682.046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2.982.991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6.413.102 </w:t>
            </w:r>
            <w:r/>
          </w:p>
        </w:tc>
      </w:tr>
      <w:tr>
        <w:trPr>
          <w:trHeight w:val="82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0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thuê trả tiền một lần sử dụng đến ngày 02/2/2055</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thuê trả tiền hàng năm sử dụng đến năm 2055</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thuê trả tiền hàng năm sử dụng đến năm 2054</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thuê trả tiền một lần sử dụng đến năm 2069</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1.002.307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447.449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-641.310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7.684.353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3.430.440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5.771.792 </w:t>
            </w:r>
            <w:r/>
          </w:p>
        </w:tc>
      </w:tr>
      <w:tr>
        <w:trPr>
          <w:trHeight w:val="2484"/>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0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tiếp giáp đường Xuân Thuỷ, phường Mũi Né, tỉnh Lâm Đồng; nằm cạnh Apec Mandala Mũi Né; cách Hòn Rơm khoảng 5,6km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tiếp giáp đường Xuân Thuỷ và đường Nguyễn Cơ Thạch, phường Mũi Né, tỉnh Lâm Đồng; cách Apec Mandala Mũi Né khoảng 2,8km; cách Hòn Rơm khoảng 2,8km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tiếp giáp đường Xuân Thuỷ, xã Hoà Thắng, tỉnh Lâm Đồng; cách Apec Mandala Mũi Né khoảng 2,8km; cách Hòn Rơm khoảng 8,4km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tiếp giáp đường Xuân Thuỷ và đường Nguyễn Cơ Thạch, phường Mũi Né, tỉnh Lâm Đồng; cách Apec Mandala Mũi Né khoảng 3,6km; cách Hòn Rơm khoảng 2km</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-668.205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745.748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-641.310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7.016.148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4.176.188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5.130.482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0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10m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10m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10m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10m</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7.016.148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4.176.188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5.130.482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0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45.487,00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12.571,00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51.290,80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18.243,90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-1.670.511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149.150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-1.282.620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5.345.637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4.325.337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3.847.861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0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~74m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~102m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~136m</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334.102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-320.655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5.679.739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4.325.337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3.527.206 </w:t>
            </w:r>
            <w:r/>
          </w:p>
        </w:tc>
      </w:tr>
      <w:tr>
        <w:trPr>
          <w:trHeight w:val="1104"/>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0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02 mặt tiền, đường Xuân Thuỷ và đường nhỏ phía sau</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 mặt tiền đường, đường Xuân Thuỷ và đường Nguyễn Cơ Thạch</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 mặt tiền đường, đường Xuân Thuỷ và đường Nguyễn Cơ Thạch</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-334.102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447.449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-320.655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5.345.637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4.772.786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3.206.551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0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192.393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5.345.637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4.772.786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3.398.944 </w:t>
            </w:r>
            <w:r/>
          </w:p>
        </w:tc>
      </w:tr>
      <w:tr>
        <w:trPr>
          <w:trHeight w:val="1104"/>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0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kiện cơ sở hạ tầng kỹ thuật và các yếu tố khác</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 Có đường bờ biển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 Có đường bờ biển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 Có đường bờ biển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 Không có đường bờ biển</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1.603.276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5.345.637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4.772.786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5.002.220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0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5.345.637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4.772.786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5.002.220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6" w:space="0"/>
              <w:right w:val="single" w:color="000000" w:sz="6" w:space="0"/>
            </w:tcBorders>
            <w:tcMar>
              <w:left w:w="0" w:type="dxa"/>
              <w:top w:w="0" w:type="dxa"/>
              <w:right w:w="0" w:type="dxa"/>
              <w:bottom w:w="0" w:type="dxa"/>
            </w:tcMar>
            <w:tcW w:w="47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5.040.214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6,06%</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-5,31%</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-0,75%</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0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4.009.228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1.789.795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5.002.220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- 25%</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- 25%</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- 25%</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6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1.336.409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1.789.795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1.410.883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-5,31</w:t>
      </w:r>
      <w:r>
        <w:t xml:space="preserve">% đến</w:t>
      </w:r>
      <w:r>
        <w:t xml:space="preserve"> </w:t>
      </w:r>
      <w:r>
        <w:t xml:space="preserve">6,06%,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1"/>
        <w:gridCol w:w="2215"/>
        <w:gridCol w:w="2222"/>
        <w:gridCol w:w="2219"/>
        <w:gridCol w:w="2223"/>
      </w:tblGrid>
      <w:tr>
        <w:trPr>
          <w:trHeight w:val="936"/>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5.345.637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1.781.879</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4.772.786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1.590.929</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5.002.220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1.667.407</w:t>
            </w:r>
            <w:r/>
          </w:p>
        </w:tc>
      </w:tr>
      <w:tr>
        <w:trPr>
          <w:trHeight w:val="312"/>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5.040.214</w:t>
            </w:r>
            <w:r/>
          </w:p>
        </w:tc>
      </w:tr>
      <w:tr>
        <w:trPr>
          <w:trHeight w:val="312"/>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3118"/>
        <w:gridCol w:w="1701"/>
        <w:gridCol w:w="1984"/>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46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pPr>
              <w:pBdr/>
              <w:spacing w:after="0" w:before="0" w:line="288" w:lineRule="auto"/>
              <w:ind/>
              <w:jc w:val="both"/>
              <w:rPr/>
            </w:pPr>
            <w:r>
              <w:rPr>
                <w:rFonts w:ascii="Times New Roman" w:hAnsi="Times New Roman" w:eastAsia="Times New Roman" w:cs="Times New Roman"/>
                <w:b/>
                <w:color w:val="000000"/>
                <w:sz w:val="24"/>
              </w:rPr>
              <w:t xml:space="preserve">Quyền sử dụng đất thuê có địa chỉ: Phường Mũi Né, thành phố Phan Thiết, tỉnh Bình Thuận </w:t>
            </w:r>
            <w:r>
              <w:rPr>
                <w:rFonts w:ascii="Times New Roman" w:hAnsi="Times New Roman" w:eastAsia="Times New Roman" w:cs="Times New Roman"/>
                <w:b/>
                <w:i/>
                <w:color w:val="000000"/>
                <w:sz w:val="24"/>
              </w:rPr>
              <w:t xml:space="preserve">(Nay là phường Mũi Né, tỉnh Lâm Đồng)</w:t>
            </w:r>
            <w:r>
              <w:rPr>
                <w:rFonts w:ascii="Times New Roman" w:hAnsi="Times New Roman" w:eastAsia="Times New Roman" w:cs="Times New Roman"/>
                <w:b/>
                <w:color w:val="000000"/>
                <w:sz w:val="24"/>
              </w:rPr>
              <w:t xml:space="preserve"> theo Giấy chứng nhận quyền sử dụng đất, quyền sở hữu nhà ở và tài sản gắn liền với đất số: CS 579886, BA 473980, CS 971900, CS 579887 và BA 473981; Chủ sử dụng đất là Công ty TNHH Thành Hưng Phan Thiết.</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88" w:lineRule="auto"/>
              <w:ind/>
              <w:rPr/>
            </w:pPr>
            <w:r>
              <w:rPr>
                <w:rFonts w:ascii="Times New Roman" w:hAnsi="Times New Roman" w:eastAsia="Times New Roman" w:cs="Times New Roman"/>
                <w:color w:val="000000"/>
                <w:sz w:val="24"/>
              </w:rPr>
              <w:t xml:space="preserve">Quyền sử dụng đất thuê trả tiền một lần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88" w:lineRule="auto"/>
              <w:ind/>
              <w:jc w:val="center"/>
              <w:rPr/>
            </w:pPr>
            <w:r>
              <w:rPr>
                <w:rFonts w:ascii="Times New Roman" w:hAnsi="Times New Roman" w:eastAsia="Times New Roman" w:cs="Times New Roman"/>
                <w:color w:val="000000"/>
                <w:sz w:val="24"/>
              </w:rPr>
              <w:t xml:space="preserve">45.487,0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right"/>
              <w:rPr/>
            </w:pPr>
            <w:r>
              <w:rPr>
                <w:rFonts w:ascii="Times New Roman" w:hAnsi="Times New Roman" w:eastAsia="Times New Roman" w:cs="Times New Roman"/>
                <w:color w:val="000000"/>
                <w:sz w:val="24"/>
              </w:rPr>
              <w:t xml:space="preserve">227.435.000.000</w:t>
            </w:r>
            <w:r/>
          </w:p>
        </w:tc>
      </w:tr>
      <w:tr>
        <w:trPr>
          <w:trHeight w:val="14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88" w:lineRule="auto"/>
              <w:ind/>
              <w:rPr/>
            </w:pPr>
            <w:r>
              <w:rPr>
                <w:rFonts w:ascii="Times New Roman" w:hAnsi="Times New Roman" w:eastAsia="Times New Roman" w:cs="Times New Roman"/>
                <w:color w:val="000000"/>
                <w:sz w:val="24"/>
              </w:rPr>
              <w:t xml:space="preserve">Quyền sử dụng đất thuê trả tiền hàng năm thuộc hành lang bảo vệ an toàn công trình đường bộ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88" w:lineRule="auto"/>
              <w:ind/>
              <w:jc w:val="center"/>
              <w:rPr/>
            </w:pPr>
            <w:r>
              <w:rPr>
                <w:rFonts w:ascii="Times New Roman" w:hAnsi="Times New Roman" w:eastAsia="Times New Roman" w:cs="Times New Roman"/>
                <w:color w:val="000000"/>
                <w:sz w:val="24"/>
              </w:rPr>
              <w:t xml:space="preserve">2.722,9</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88" w:lineRule="auto"/>
              <w:ind/>
              <w:jc w:val="right"/>
              <w:rPr>
                <w:b/>
                <w:bCs/>
              </w:rPr>
            </w:pPr>
            <w:r>
              <w:rPr>
                <w:rFonts w:ascii="Times New Roman" w:hAnsi="Times New Roman" w:eastAsia="Times New Roman" w:cs="Times New Roman"/>
                <w:b/>
                <w:bCs/>
                <w:color w:val="000000"/>
                <w:sz w:val="24"/>
              </w:rPr>
              <w:t xml:space="preserve">227.435.000.000</w:t>
            </w:r>
            <w:r>
              <w:rPr>
                <w:b/>
                <w:bCs/>
              </w:rPr>
            </w:r>
            <w:r>
              <w:rPr>
                <w:b/>
                <w:bCs/>
              </w:rP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88" w:lineRule="auto"/>
              <w:ind/>
              <w:jc w:val="center"/>
              <w:rPr/>
            </w:pPr>
            <w:r>
              <w:rPr>
                <w:rFonts w:ascii="Times New Roman" w:hAnsi="Times New Roman" w:eastAsia="Times New Roman" w:cs="Times New Roman"/>
                <w:b/>
                <w:i/>
                <w:color w:val="000000"/>
                <w:sz w:val="24"/>
              </w:rPr>
              <w:t xml:space="preserve">(Bằng chữ: Hai trăm hai mươi bảy tỷ, bốn trăm ba mươi lăm triệu đồng chẵn./.)</w:t>
            </w:r>
            <w:r/>
          </w:p>
        </w:tc>
      </w:tr>
    </w:tbl>
    <w:p>
      <w:pPr>
        <w:pStyle w:val="1029"/>
        <w:pBdr/>
        <w:tabs>
          <w:tab w:val="left" w:leader="none" w:pos="993"/>
        </w:tabs>
        <w:spacing w:after="120" w:before="120" w:line="27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3"/>
        </w:numPr>
        <w:pBdr/>
        <w:tabs>
          <w:tab w:val="left" w:leader="none" w:pos="993"/>
        </w:tabs>
        <w:spacing w:after="120" w:before="120" w:line="276" w:lineRule="auto"/>
        <w:ind/>
        <w:jc w:val="both"/>
        <w:rPr>
          <w:lang w:val="vi-VN"/>
          <w14:ligatures w14:val="none"/>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bidi="vi-VN"/>
        </w:rPr>
      </w:r>
      <w:r>
        <w:rPr>
          <w:lang w:val="vi-VN"/>
        </w:rPr>
      </w:r>
    </w:p>
    <w:p>
      <w:pPr>
        <w:pStyle w:val="1029"/>
        <w:numPr>
          <w:ilvl w:val="0"/>
          <w:numId w:val="3"/>
        </w:numPr>
        <w:pBdr/>
        <w:tabs>
          <w:tab w:val="left" w:leader="none" w:pos="993"/>
        </w:tabs>
        <w:spacing w:after="120" w:before="120" w:line="276" w:lineRule="auto"/>
        <w:ind/>
        <w:jc w:val="both"/>
        <w:rPr>
          <w:lang w:val="vi-VN"/>
          <w14:ligatures w14:val="none"/>
        </w:rPr>
      </w:pPr>
      <w:r>
        <w:rPr>
          <w:lang w:val="vi-VN" w:bidi="vi-VN"/>
        </w:rPr>
      </w:r>
      <w:r>
        <w:rPr>
          <w:lang w:val="vi-VN"/>
        </w:rPr>
        <w:t xml:space="preserve">Tài sản định giá bao gồm các thửa đất nằm tiếp giáp nhau, cùng chủ sở hữu, không có mốc giới giữa các thửa đất, gồm: Đất thương mại dịch vụ và Đất cơ sở sản xuất kinh doanh. </w:t>
      </w:r>
      <w:r>
        <w:rPr>
          <w:lang w:val="vi-VN"/>
        </w:rPr>
        <w:t xml:space="preserve">Khách hàng đề nghị gộp các thửa đất thành một khu đất, vì vậy Tổ thẩm định gộp các thửa đất thành một thửa đất lớn để ước tính giá trị với giả định thửa đất cơ sở sản xuất kinh doanh sẽ được chuyển mục đích sử dụng đất sang đất thương mại dịch vụ. Kết quả </w:t>
      </w:r>
      <w:r>
        <w:rPr>
          <w:lang w:val="vi-VN"/>
        </w:rPr>
        <w:t xml:space="preserve">thẩm định giá được nêu trong báo cáo này chỉ có giá trị giới hạn trong trường hợp Ngân hàng nhận thế chấp/giải chấp đồng thời các thửa đất được cấp tại 05 Giấy chứng nhận nêu trên</w:t>
      </w:r>
      <w:r>
        <w:rPr>
          <w:lang w:val="vi-VN" w:bidi="pt-BR"/>
        </w:rPr>
        <w:t xml:space="preserve">.</w:t>
      </w:r>
      <w:r>
        <w:rPr>
          <w:lang w:val="vi-VN" w:bidi="vi-VN"/>
        </w:rPr>
      </w:r>
      <w:r>
        <w:rPr>
          <w:lang w:val="vi-VN"/>
        </w:rPr>
      </w:r>
    </w:p>
    <w:p>
      <w:pPr>
        <w:pStyle w:val="1029"/>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w:t>
      </w:r>
      <w:r>
        <w:rPr>
          <w:lang w:val="pt-BR"/>
        </w:rPr>
        <w:t xml:space="preserve"> </w:t>
      </w:r>
      <w:r>
        <w:rPr>
          <w:bCs/>
          <w:lang w:val="pt-BR"/>
        </w:rPr>
        <w:t xml:space="preserve">+ Pháp lý + BBKS</w:t>
      </w:r>
      <w:r>
        <w:rPr>
          <w:lang w:val="pt-BR"/>
        </w:rPr>
        <w:t xml:space="preserve">.</w:t>
      </w:r>
      <w:r>
        <w:rPr>
          <w:lang w:val="pt-BR"/>
        </w:rPr>
      </w:r>
      <w:r>
        <w:rPr>
          <w:lang w:val="pt-BR"/>
        </w:rPr>
      </w:r>
    </w:p>
    <w:p>
      <w:pPr>
        <w:pStyle w:val="1029"/>
        <w:pBdr/>
        <w:tabs>
          <w:tab w:val="left" w:leader="none" w:pos="993"/>
        </w:tabs>
        <w:spacing w:after="120" w:before="120" w:line="276"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275/2026/0522/VFI-CT.21.A</w:t>
      </w:r>
      <w:r>
        <w:rPr>
          <w:color w:val="ff0000"/>
          <w:lang w:val="vi-VN"/>
        </w:rPr>
        <w:t xml:space="preserve"> </w:t>
      </w:r>
      <w:r>
        <w:rPr>
          <w:color w:val="000000" w:themeColor="text1"/>
        </w:rPr>
        <w:t xml:space="preserve">ngày 03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Ind w:w="-255" w:type="dxa"/>
        <w:tblW w:w="5134" w:type="pct"/>
        <w:tblBorders/>
        <w:tblLayout w:type="fixed"/>
        <w:tblLook w:val="01E0" w:firstRow="1" w:lastRow="1" w:firstColumn="1" w:lastColumn="1" w:noHBand="0" w:noVBand="0"/>
      </w:tblPr>
      <w:tblGrid>
        <w:gridCol w:w="4677"/>
        <w:gridCol w:w="5102"/>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275/2026/0522/VFI-BC.21.A</w:t>
      </w:r>
      <w:r>
        <w:rPr>
          <w:i/>
          <w:lang w:val="pt-BR"/>
        </w:rPr>
        <w:t xml:space="preserve"> ngày 0</w:t>
      </w:r>
      <w:r>
        <w:rPr>
          <w:i/>
          <w:lang w:val="pt-BR"/>
        </w:rPr>
        <w:t xml:space="preserve">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94489" name=""/>
                              <pic:cNvPicPr>
                                <a:picLocks noChangeAspect="1"/>
                              </pic:cNvPicPr>
                              <pic:nvPr/>
                            </pic:nvPicPr>
                            <pic:blipFill rotWithShape="1">
                              <a:blip r:embed="rId20"/>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7.56pt;height:170.08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181336" name=""/>
                              <pic:cNvPicPr>
                                <a:picLocks noChangeAspect="1"/>
                              </pic:cNvPicPr>
                              <pic:nvPr/>
                            </pic:nvPicPr>
                            <pic:blipFill rotWithShape="1">
                              <a:blip r:embed="rId21"/>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70.08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97010" name=""/>
                              <pic:cNvPicPr>
                                <a:picLocks noChangeAspect="1"/>
                              </pic:cNvPicPr>
                              <pic:nvPr/>
                            </pic:nvPicPr>
                            <pic:blipFill rotWithShape="1">
                              <a:blip r:embed="rId22"/>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55154" name=""/>
                              <pic:cNvPicPr>
                                <a:picLocks noChangeAspect="1"/>
                              </pic:cNvPicPr>
                              <pic:nvPr/>
                            </pic:nvPicPr>
                            <pic:blipFill rotWithShape="1">
                              <a:blip r:embed="rId23"/>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08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85662" name=""/>
                              <pic:cNvPicPr>
                                <a:picLocks noChangeAspect="1"/>
                              </pic:cNvPicPr>
                              <pic:nvPr/>
                            </pic:nvPicPr>
                            <pic:blipFill rotWithShape="1">
                              <a:blip r:embed="rId24"/>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6707" name=""/>
                              <pic:cNvPicPr>
                                <a:picLocks noChangeAspect="1"/>
                              </pic:cNvPicPr>
                              <pic:nvPr/>
                            </pic:nvPicPr>
                            <pic:blipFill rotWithShape="1">
                              <a:blip r:embed="rId25"/>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77pt;height:170.08pt;mso-wrap-distance-left:0.00pt;mso-wrap-distance-top:0.00pt;mso-wrap-distance-right:0.00pt;mso-wrap-distance-bottom:0.00pt;rotation:0;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275/2026/0522/VFI-BC.21.A</w:t>
      </w:r>
      <w:r>
        <w:rPr>
          <w:i/>
          <w:lang w:val="pt-BR"/>
        </w:rPr>
        <w:t xml:space="preserve"> </w:t>
      </w:r>
      <w:r>
        <w:rPr>
          <w:i/>
          <w:lang w:val="pt-BR"/>
        </w:rPr>
        <w:t xml:space="preserve">ngày 03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200" w:line="276" w:lineRule="auto"/>
        <w:ind/>
        <w:jc w:val="center"/>
        <w:rPr>
          <w:i/>
          <w:lang w:val="pt-BR"/>
        </w:rPr>
      </w:pPr>
      <w:r>
        <w:rPr>
          <w:i/>
          <w:lang w:val="pt-BR"/>
        </w:rPr>
      </w:r>
      <w:r>
        <mc:AlternateContent>
          <mc:Choice Requires="wpg">
            <w:drawing>
              <wp:inline xmlns:wp="http://schemas.openxmlformats.org/drawingml/2006/wordprocessingDrawing" distT="0" distB="0" distL="0" distR="0">
                <wp:extent cx="5466267" cy="66570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01342" name=""/>
                        <pic:cNvPicPr>
                          <a:picLocks noChangeAspect="1"/>
                        </pic:cNvPicPr>
                        <pic:nvPr/>
                      </pic:nvPicPr>
                      <pic:blipFill rotWithShape="1">
                        <a:blip r:embed="rId26"/>
                        <a:stretch/>
                      </pic:blipFill>
                      <pic:spPr bwMode="auto">
                        <a:xfrm flipH="0" flipV="0">
                          <a:off x="0" y="0"/>
                          <a:ext cx="5466267" cy="6657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0.41pt;height:524.17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380350" cy="98989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013859" name=""/>
                              <pic:cNvPicPr>
                                <a:picLocks noChangeAspect="1"/>
                              </pic:cNvPicPr>
                              <pic:nvPr/>
                            </pic:nvPicPr>
                            <pic:blipFill rotWithShape="1">
                              <a:blip r:embed="rId27"/>
                              <a:stretch/>
                            </pic:blipFill>
                            <pic:spPr bwMode="auto">
                              <a:xfrm flipH="0" flipV="0">
                                <a:off x="0" y="0"/>
                                <a:ext cx="1380350" cy="9898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08.69pt;height:77.94pt;mso-wrap-distance-left:0.00pt;mso-wrap-distance-top:0.00pt;mso-wrap-distance-right:0.00pt;mso-wrap-distance-bottom:0.00pt;z-index:1;" stroked="false">
                      <v:imagedata r:id="rId27"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r>
      <w:r>
        <mc:AlternateContent>
          <mc:Choice Requires="wpg">
            <w:drawing>
              <wp:inline xmlns:wp="http://schemas.openxmlformats.org/drawingml/2006/wordprocessingDrawing" distT="0" distB="0" distL="0" distR="0">
                <wp:extent cx="5919691" cy="760339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244638" name=""/>
                        <pic:cNvPicPr>
                          <a:picLocks noChangeAspect="1"/>
                        </pic:cNvPicPr>
                        <pic:nvPr/>
                      </pic:nvPicPr>
                      <pic:blipFill rotWithShape="1">
                        <a:blip r:embed="rId28"/>
                        <a:stretch/>
                      </pic:blipFill>
                      <pic:spPr bwMode="auto">
                        <a:xfrm flipH="0" flipV="0">
                          <a:off x="0" y="0"/>
                          <a:ext cx="5919690" cy="76033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66.12pt;height:598.69pt;mso-wrap-distance-left:0.00pt;mso-wrap-distance-top:0.00pt;mso-wrap-distance-right:0.00pt;mso-wrap-distance-bottom:0.00pt;z-index:1;" stroked="false">
                <v:imagedata r:id="rId28" o:title=""/>
                <o:lock v:ext="edit" rotation="t"/>
              </v:shape>
            </w:pict>
          </mc:Fallback>
        </mc:AlternateContent>
      </w:r>
      <w:r>
        <w:rPr>
          <w:b/>
          <w:bCs/>
          <w:iCs/>
          <w:lang w:val="pt-BR"/>
        </w:rPr>
      </w:r>
      <w:r>
        <w:rPr>
          <w:b/>
          <w:bCs/>
          <w:iCs/>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380350" cy="989893"/>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82622" name=""/>
                              <pic:cNvPicPr>
                                <a:picLocks noChangeAspect="1"/>
                              </pic:cNvPicPr>
                              <pic:nvPr/>
                            </pic:nvPicPr>
                            <pic:blipFill rotWithShape="1">
                              <a:blip r:embed="rId27"/>
                              <a:stretch/>
                            </pic:blipFill>
                            <pic:spPr bwMode="auto">
                              <a:xfrm rot="0" flipH="0" flipV="0">
                                <a:off x="0" y="0"/>
                                <a:ext cx="1380349" cy="9898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08.69pt;height:77.94pt;mso-wrap-distance-left:0.00pt;mso-wrap-distance-top:0.00pt;mso-wrap-distance-right:0.00pt;mso-wrap-distance-bottom:0.00pt;rotation:0;z-index:1;" stroked="false">
                      <v:imagedata r:id="rId27"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b/>
          <w:bCs/>
          <w:highlight w:val="none"/>
          <w:lang w:val="pt-BR"/>
        </w:rPr>
      </w:pPr>
      <w:r>
        <w:rPr>
          <w:b/>
          <w:bCs/>
          <w:iCs/>
          <w:lang w:val="pt-BR"/>
        </w:rPr>
      </w:r>
      <w:r>
        <mc:AlternateContent>
          <mc:Choice Requires="wpg">
            <w:drawing>
              <wp:inline xmlns:wp="http://schemas.openxmlformats.org/drawingml/2006/wordprocessingDrawing" distT="0" distB="0" distL="0" distR="0">
                <wp:extent cx="6048375" cy="737956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95752" name=""/>
                        <pic:cNvPicPr>
                          <a:picLocks noChangeAspect="1"/>
                        </pic:cNvPicPr>
                        <pic:nvPr/>
                      </pic:nvPicPr>
                      <pic:blipFill rotWithShape="1">
                        <a:blip r:embed="rId29"/>
                        <a:stretch/>
                      </pic:blipFill>
                      <pic:spPr bwMode="auto">
                        <a:xfrm>
                          <a:off x="0" y="0"/>
                          <a:ext cx="6048375" cy="73795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581.07pt;mso-wrap-distance-left:0.00pt;mso-wrap-distance-top:0.00pt;mso-wrap-distance-right:0.00pt;mso-wrap-distance-bottom:0.00pt;z-index:1;" stroked="false">
                <v:imagedata r:id="rId29" o:title=""/>
                <o:lock v:ext="edit" rotation="t"/>
              </v:shape>
            </w:pict>
          </mc:Fallback>
        </mc:AlternateContent>
      </w:r>
      <w:r>
        <w:rPr>
          <w:b/>
          <w:bCs/>
          <w:highlight w:val="none"/>
          <w:lang w:val="pt-BR"/>
        </w:rPr>
      </w:r>
      <w:r>
        <w:rPr>
          <w:b/>
          <w:bCs/>
          <w:highlight w:val="non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380350" cy="98989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029958" name=""/>
                              <pic:cNvPicPr>
                                <a:picLocks noChangeAspect="1"/>
                              </pic:cNvPicPr>
                              <pic:nvPr/>
                            </pic:nvPicPr>
                            <pic:blipFill rotWithShape="1">
                              <a:blip r:embed="rId27"/>
                              <a:stretch/>
                            </pic:blipFill>
                            <pic:spPr bwMode="auto">
                              <a:xfrm rot="0" flipH="0" flipV="0">
                                <a:off x="0" y="0"/>
                                <a:ext cx="1380349" cy="9898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08.69pt;height:77.94pt;mso-wrap-distance-left:0.00pt;mso-wrap-distance-top:0.00pt;mso-wrap-distance-right:0.00pt;mso-wrap-distance-bottom:0.00pt;rotation:0;z-index:1;" stroked="false">
                      <v:imagedata r:id="rId27"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hd w:val="nil" w:color="auto"/>
        <w:spacing/>
        <w:ind/>
        <w:rPr>
          <w:b/>
          <w:bCs/>
          <w:lang w:val="pt-BR"/>
        </w:rPr>
      </w:pPr>
      <w:r>
        <w:rPr>
          <w:b/>
          <w:bCs/>
          <w:lang w:val="pt-BR"/>
        </w:rPr>
        <w:br w:type="page" w:clear="all"/>
      </w:r>
      <w:r>
        <w:rPr>
          <w:b/>
          <w:bCs/>
          <w:lang w:val="pt-BR"/>
        </w:rPr>
      </w:r>
      <w:r>
        <w:rPr>
          <w:b/>
          <w:bCs/>
          <w:lang w:val="pt-BR"/>
        </w:rPr>
      </w:r>
    </w:p>
    <w:p>
      <w:pPr>
        <w:pBdr/>
        <w:spacing w:after="200" w:line="276" w:lineRule="auto"/>
        <w:ind/>
        <w:jc w:val="center"/>
        <w:rPr>
          <w:b/>
          <w:bCs/>
          <w:highlight w:val="none"/>
          <w:lang w:val="pt-BR" w:bidi="pt-BR"/>
        </w:rPr>
      </w:pPr>
      <w:r>
        <w:rPr>
          <w:b/>
          <w:bCs/>
          <w:iCs/>
          <w:highlight w:val="none"/>
          <w:lang w:val="pt-BR" w:bidi="pt-BR"/>
        </w:rPr>
        <w:t xml:space="preserve">GIẤY CHỨNG NHẬN QUYỀN SỬ DỤNG ĐẤT</w:t>
      </w:r>
      <w:r>
        <w:rPr>
          <w:b/>
          <w:bCs/>
          <w:highlight w:val="none"/>
          <w:lang w:val="pt-BR" w:bidi="pt-BR"/>
        </w:rPr>
      </w:r>
      <w:r>
        <w:rPr>
          <w:b/>
          <w:bCs/>
          <w:highlight w:val="none"/>
          <w:lang w:val="pt-BR" w:bidi="pt-BR"/>
        </w:rPr>
      </w:r>
    </w:p>
    <w:p>
      <w:pPr>
        <w:pBdr/>
        <w:shd w:val="nil" w:color="auto"/>
        <w:spacing/>
        <w:ind/>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6048375" cy="4230527"/>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831968" name=""/>
                        <pic:cNvPicPr>
                          <a:picLocks noChangeAspect="1"/>
                        </pic:cNvPicPr>
                        <pic:nvPr/>
                      </pic:nvPicPr>
                      <pic:blipFill rotWithShape="1">
                        <a:blip r:embed="rId30"/>
                        <a:stretch/>
                      </pic:blipFill>
                      <pic:spPr bwMode="auto">
                        <a:xfrm>
                          <a:off x="0" y="0"/>
                          <a:ext cx="6048375" cy="42305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33.11pt;mso-wrap-distance-left:0.00pt;mso-wrap-distance-top:0.00pt;mso-wrap-distance-right:0.00pt;mso-wrap-distance-bottom:0.00pt;z-index:1;" stroked="false">
                <v:imagedata r:id="rId30" o:title=""/>
                <o:lock v:ext="edit" rotation="t"/>
              </v:shape>
            </w:pict>
          </mc:Fallback>
        </mc:AlternateContent>
      </w:r>
      <w:r>
        <w:rPr>
          <w:b/>
          <w:bCs/>
          <w:highlight w:val="none"/>
          <w:lang w:val="pt-BR" w:bidi="pt-BR"/>
        </w:rPr>
      </w:r>
      <w:r>
        <w:rPr>
          <w:b/>
          <w:bCs/>
          <w:highlight w:val="none"/>
          <w:lang w:val="pt-BR" w:bidi="pt-BR"/>
        </w:rPr>
      </w:r>
    </w:p>
    <w:p>
      <w:pPr>
        <w:pBdr/>
        <w:shd w:val="nil" w:color="000000"/>
        <w:spacing/>
        <w:ind/>
        <w:rPr>
          <w:b/>
          <w:bCs/>
          <w:highlight w:val="none"/>
          <w:lang w:val="pt-BR" w:bidi="pt-BR"/>
        </w:rPr>
      </w:pPr>
      <w:r>
        <w:rPr>
          <w:b/>
          <w:bCs/>
          <w:highlight w:val="none"/>
          <w:lang w:val="pt-BR" w:bidi="pt-BR"/>
        </w:rPr>
      </w:r>
      <w:r/>
      <w:r>
        <w:rPr>
          <w:b/>
          <w:bCs/>
          <w:highlight w:val="none"/>
          <w:lang w:val="pt-BR" w:bidi="pt-BR"/>
        </w:rPr>
      </w:r>
      <w:r>
        <w:rPr>
          <w:b/>
          <w:bCs/>
          <w:highlight w:val="none"/>
          <w:lang w:val="pt-BR" w:bidi="pt-BR"/>
        </w:rPr>
      </w:r>
    </w:p>
    <w:p>
      <w:pPr>
        <w:pBdr/>
        <w:shd w:val="nil" w:color="auto"/>
        <w:spacing/>
        <w:ind/>
        <w:rPr>
          <w:b/>
          <w:bCs/>
          <w:highlight w:val="none"/>
          <w:lang w:val="pt-BR" w:bidi="pt-BR"/>
        </w:rPr>
      </w:pPr>
      <w:r>
        <w:rPr>
          <w:b/>
          <w:bCs/>
          <w:highlight w:val="none"/>
          <w:lang w:val="pt-BR" w:bidi="pt-BR"/>
        </w:rPr>
        <w:br w:type="page" w:clear="all"/>
      </w:r>
      <w:r>
        <w:rPr>
          <w:b/>
          <w:bCs/>
          <w:highlight w:val="none"/>
          <w:lang w:val="pt-BR" w:bidi="pt-BR"/>
        </w:rPr>
      </w:r>
      <w:r>
        <w:rPr>
          <w:b/>
          <w:bCs/>
          <w:highlight w:val="none"/>
          <w:lang w:val="pt-BR" w:bidi="pt-BR"/>
        </w:rPr>
      </w:r>
    </w:p>
    <w:p>
      <w:pPr>
        <w:pBdr/>
        <w:shd w:val="nil" w:color="auto"/>
        <w:spacing/>
        <w:ind/>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6048375" cy="418434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10970" name=""/>
                        <pic:cNvPicPr>
                          <a:picLocks noChangeAspect="1"/>
                        </pic:cNvPicPr>
                        <pic:nvPr/>
                      </pic:nvPicPr>
                      <pic:blipFill rotWithShape="1">
                        <a:blip r:embed="rId31"/>
                        <a:stretch/>
                      </pic:blipFill>
                      <pic:spPr bwMode="auto">
                        <a:xfrm>
                          <a:off x="0" y="0"/>
                          <a:ext cx="6048375" cy="41843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29.48pt;mso-wrap-distance-left:0.00pt;mso-wrap-distance-top:0.00pt;mso-wrap-distance-right:0.00pt;mso-wrap-distance-bottom:0.00pt;z-index:1;" stroked="false">
                <v:imagedata r:id="rId31" o:title=""/>
                <o:lock v:ext="edit" rotation="t"/>
              </v:shape>
            </w:pict>
          </mc:Fallback>
        </mc:AlternateContent>
      </w:r>
      <w:r>
        <mc:AlternateContent>
          <mc:Choice Requires="wpg">
            <w:drawing>
              <wp:inline xmlns:wp="http://schemas.openxmlformats.org/drawingml/2006/wordprocessingDrawing" distT="0" distB="0" distL="0" distR="0">
                <wp:extent cx="6048375" cy="4234419"/>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644914" name=""/>
                        <pic:cNvPicPr>
                          <a:picLocks noChangeAspect="1"/>
                        </pic:cNvPicPr>
                        <pic:nvPr/>
                      </pic:nvPicPr>
                      <pic:blipFill rotWithShape="1">
                        <a:blip r:embed="rId32"/>
                        <a:stretch/>
                      </pic:blipFill>
                      <pic:spPr bwMode="auto">
                        <a:xfrm>
                          <a:off x="0" y="0"/>
                          <a:ext cx="6048374" cy="42344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333.42pt;mso-wrap-distance-left:0.00pt;mso-wrap-distance-top:0.00pt;mso-wrap-distance-right:0.00pt;mso-wrap-distance-bottom:0.00pt;z-index:1;" stroked="false">
                <v:imagedata r:id="rId32" o:title=""/>
                <o:lock v:ext="edit" rotation="t"/>
              </v:shape>
            </w:pict>
          </mc:Fallback>
        </mc:AlternateContent>
      </w:r>
      <w:r/>
      <w:r>
        <w:rPr>
          <w:b/>
          <w:bCs/>
          <w:highlight w:val="none"/>
          <w:lang w:val="pt-BR" w:bidi="pt-BR"/>
        </w:rPr>
      </w:r>
      <w:r>
        <w:rPr>
          <w:b/>
          <w:bCs/>
          <w:highlight w:val="none"/>
          <w:lang w:val="pt-BR" w:bidi="pt-BR"/>
        </w:rPr>
      </w:r>
    </w:p>
    <w:p>
      <w:pPr>
        <w:pBdr/>
        <w:shd w:val="nil" w:color="000000"/>
        <w:spacing/>
        <w:ind/>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6048375" cy="421670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540732" name=""/>
                        <pic:cNvPicPr>
                          <a:picLocks noChangeAspect="1"/>
                        </pic:cNvPicPr>
                        <pic:nvPr/>
                      </pic:nvPicPr>
                      <pic:blipFill rotWithShape="1">
                        <a:blip r:embed="rId33"/>
                        <a:stretch/>
                      </pic:blipFill>
                      <pic:spPr bwMode="auto">
                        <a:xfrm>
                          <a:off x="0" y="0"/>
                          <a:ext cx="6048375" cy="42167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332.02pt;mso-wrap-distance-left:0.00pt;mso-wrap-distance-top:0.00pt;mso-wrap-distance-right:0.00pt;mso-wrap-distance-bottom:0.00pt;z-index:1;" stroked="false">
                <v:imagedata r:id="rId33" o:title=""/>
                <o:lock v:ext="edit" rotation="t"/>
              </v:shape>
            </w:pict>
          </mc:Fallback>
        </mc:AlternateContent>
      </w:r>
      <w:r>
        <w:rPr>
          <w:b/>
          <w:bCs/>
          <w:highlight w:val="none"/>
          <w:lang w:val="pt-BR" w:bidi="pt-BR"/>
        </w:rPr>
        <w:br w:type="page" w:clear="all"/>
      </w:r>
      <w:r>
        <w:rPr>
          <w:b/>
          <w:bCs/>
          <w:highlight w:val="none"/>
          <w:lang w:val="pt-BR" w:bidi="pt-BR"/>
        </w:rPr>
      </w:r>
      <w:r>
        <w:rPr>
          <w:b/>
          <w:bCs/>
          <w:highlight w:val="none"/>
          <w:lang w:val="pt-BR" w:bidi="pt-BR"/>
        </w:rPr>
      </w:r>
    </w:p>
    <w:p>
      <w:pPr>
        <w:pBdr/>
        <w:shd w:val="nil" w:color="000000"/>
        <w:spacing/>
        <w:ind/>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6048375" cy="421604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65486" name=""/>
                        <pic:cNvPicPr>
                          <a:picLocks noChangeAspect="1"/>
                        </pic:cNvPicPr>
                        <pic:nvPr/>
                      </pic:nvPicPr>
                      <pic:blipFill rotWithShape="1">
                        <a:blip r:embed="rId34"/>
                        <a:stretch/>
                      </pic:blipFill>
                      <pic:spPr bwMode="auto">
                        <a:xfrm>
                          <a:off x="0" y="0"/>
                          <a:ext cx="6048375" cy="42160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331.97pt;mso-wrap-distance-left:0.00pt;mso-wrap-distance-top:0.00pt;mso-wrap-distance-right:0.00pt;mso-wrap-distance-bottom:0.00pt;z-index:1;" stroked="false">
                <v:imagedata r:id="rId34" o:title=""/>
                <o:lock v:ext="edit" rotation="t"/>
              </v:shape>
            </w:pict>
          </mc:Fallback>
        </mc:AlternateContent>
      </w:r>
      <w:r>
        <w:rPr>
          <w:b/>
          <w:bCs/>
          <w:highlight w:val="none"/>
          <w:lang w:val="pt-BR" w:bidi="pt-BR"/>
        </w:rPr>
      </w:r>
      <w:r>
        <w:rPr>
          <w:b/>
          <w:bCs/>
          <w:highlight w:val="none"/>
          <w:lang w:val="pt-BR" w:bidi="pt-BR"/>
        </w:rPr>
      </w:r>
    </w:p>
    <w:p>
      <w:pPr>
        <w:pBdr/>
        <w:shd w:val="nil" w:color="000000"/>
        <w:spacing/>
        <w:ind/>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6048375" cy="422826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358816" name=""/>
                        <pic:cNvPicPr>
                          <a:picLocks noChangeAspect="1"/>
                        </pic:cNvPicPr>
                        <pic:nvPr/>
                      </pic:nvPicPr>
                      <pic:blipFill rotWithShape="1">
                        <a:blip r:embed="rId35"/>
                        <a:stretch/>
                      </pic:blipFill>
                      <pic:spPr bwMode="auto">
                        <a:xfrm>
                          <a:off x="0" y="0"/>
                          <a:ext cx="6048375" cy="42282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332.93pt;mso-wrap-distance-left:0.00pt;mso-wrap-distance-top:0.00pt;mso-wrap-distance-right:0.00pt;mso-wrap-distance-bottom:0.00pt;z-index:1;" stroked="false">
                <v:imagedata r:id="rId35" o:title=""/>
                <o:lock v:ext="edit" rotation="t"/>
              </v:shape>
            </w:pict>
          </mc:Fallback>
        </mc:AlternateContent>
      </w:r>
      <w:r>
        <w:rPr>
          <w:b/>
          <w:bCs/>
          <w:highlight w:val="none"/>
          <w:lang w:val="pt-BR" w:bidi="pt-BR"/>
        </w:rPr>
        <w:br w:type="page" w:clear="all"/>
      </w:r>
      <w:r>
        <w:rPr>
          <w:b/>
          <w:bCs/>
          <w:highlight w:val="none"/>
          <w:lang w:val="pt-BR" w:bidi="pt-BR"/>
        </w:rPr>
      </w:r>
      <w:r>
        <w:rPr>
          <w:b/>
          <w:bCs/>
          <w:highlight w:val="none"/>
          <w:lang w:val="pt-BR" w:bidi="pt-BR"/>
        </w:rPr>
      </w:r>
    </w:p>
    <w:p>
      <w:pPr>
        <w:pBdr/>
        <w:shd w:val="nil" w:color="auto"/>
        <w:spacing/>
        <w:ind/>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6048375" cy="4232181"/>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476378" name=""/>
                        <pic:cNvPicPr>
                          <a:picLocks noChangeAspect="1"/>
                        </pic:cNvPicPr>
                        <pic:nvPr/>
                      </pic:nvPicPr>
                      <pic:blipFill rotWithShape="1">
                        <a:blip r:embed="rId36"/>
                        <a:stretch/>
                      </pic:blipFill>
                      <pic:spPr bwMode="auto">
                        <a:xfrm>
                          <a:off x="0" y="0"/>
                          <a:ext cx="6048375" cy="42321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333.24pt;mso-wrap-distance-left:0.00pt;mso-wrap-distance-top:0.00pt;mso-wrap-distance-right:0.00pt;mso-wrap-distance-bottom:0.00pt;z-index:1;" stroked="false">
                <v:imagedata r:id="rId36" o:title=""/>
                <o:lock v:ext="edit" rotation="t"/>
              </v:shape>
            </w:pict>
          </mc:Fallback>
        </mc:AlternateContent>
      </w:r>
      <w:r>
        <w:rPr>
          <w:b/>
          <w:bCs/>
          <w:highlight w:val="none"/>
          <w:lang w:val="pt-BR" w:bidi="pt-BR"/>
        </w:rPr>
      </w:r>
      <w:r>
        <w:rPr>
          <w:b/>
          <w:bCs/>
          <w:highlight w:val="none"/>
          <w:lang w:val="pt-BR" w:bidi="pt-BR"/>
        </w:rPr>
      </w:r>
    </w:p>
    <w:p>
      <w:pPr>
        <w:pBdr/>
        <w:shd w:val="nil" w:color="000000"/>
        <w:spacing/>
        <w:ind/>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6048375" cy="4258323"/>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324656" name=""/>
                        <pic:cNvPicPr>
                          <a:picLocks noChangeAspect="1"/>
                        </pic:cNvPicPr>
                        <pic:nvPr/>
                      </pic:nvPicPr>
                      <pic:blipFill rotWithShape="1">
                        <a:blip r:embed="rId37"/>
                        <a:stretch/>
                      </pic:blipFill>
                      <pic:spPr bwMode="auto">
                        <a:xfrm>
                          <a:off x="0" y="0"/>
                          <a:ext cx="6048375" cy="42583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335.30pt;mso-wrap-distance-left:0.00pt;mso-wrap-distance-top:0.00pt;mso-wrap-distance-right:0.00pt;mso-wrap-distance-bottom:0.00pt;z-index:1;" stroked="false">
                <v:imagedata r:id="rId37" o:title=""/>
                <o:lock v:ext="edit" rotation="t"/>
              </v:shape>
            </w:pict>
          </mc:Fallback>
        </mc:AlternateContent>
      </w:r>
      <w:r>
        <w:rPr>
          <w:b/>
          <w:bCs/>
          <w:highlight w:val="none"/>
          <w:lang w:val="pt-BR" w:bidi="pt-BR"/>
        </w:rPr>
        <w:br w:type="page" w:clear="all"/>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bCs/>
          <w:iCs/>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bCs/>
          <w:iCs/>
          <w:highlight w:val="none"/>
          <w:lang w:val="pt-BR" w:bidi="pt-BR"/>
        </w:rPr>
      </w:r>
      <w:r>
        <mc:AlternateContent>
          <mc:Choice Requires="wpg">
            <w:drawing>
              <wp:inline xmlns:wp="http://schemas.openxmlformats.org/drawingml/2006/wordprocessingDrawing" distT="0" distB="0" distL="0" distR="0">
                <wp:extent cx="6048375" cy="4236086"/>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14319" name=""/>
                        <pic:cNvPicPr>
                          <a:picLocks noChangeAspect="1"/>
                        </pic:cNvPicPr>
                        <pic:nvPr/>
                      </pic:nvPicPr>
                      <pic:blipFill rotWithShape="1">
                        <a:blip r:embed="rId38"/>
                        <a:stretch/>
                      </pic:blipFill>
                      <pic:spPr bwMode="auto">
                        <a:xfrm>
                          <a:off x="0" y="0"/>
                          <a:ext cx="6048375" cy="42360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333.55pt;mso-wrap-distance-left:0.00pt;mso-wrap-distance-top:0.00pt;mso-wrap-distance-right:0.00pt;mso-wrap-distance-bottom:0.00pt;z-index:1;" stroked="false">
                <v:imagedata r:id="rId38"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pPr>
      <w:r>
        <w:rPr>
          <w:b/>
          <w:bCs/>
          <w:iCs/>
          <w:highlight w:val="none"/>
          <w:lang w:val="pt-BR" w:bidi="pt-BR"/>
        </w:rPr>
      </w:r>
      <w:r>
        <mc:AlternateContent>
          <mc:Choice Requires="wpg">
            <w:drawing>
              <wp:inline xmlns:wp="http://schemas.openxmlformats.org/drawingml/2006/wordprocessingDrawing" distT="0" distB="0" distL="0" distR="0">
                <wp:extent cx="6048375" cy="424991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22902" name=""/>
                        <pic:cNvPicPr>
                          <a:picLocks noChangeAspect="1"/>
                        </pic:cNvPicPr>
                        <pic:nvPr/>
                      </pic:nvPicPr>
                      <pic:blipFill rotWithShape="1">
                        <a:blip r:embed="rId39"/>
                        <a:stretch/>
                      </pic:blipFill>
                      <pic:spPr bwMode="auto">
                        <a:xfrm>
                          <a:off x="0" y="0"/>
                          <a:ext cx="6048375" cy="42499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76.25pt;height:334.64pt;mso-wrap-distance-left:0.00pt;mso-wrap-distance-top:0.00pt;mso-wrap-distance-right:0.00pt;mso-wrap-distance-bottom:0.00pt;z-index:1;" stroked="false">
                <v:imagedata r:id="rId39" o:title=""/>
                <o:lock v:ext="edit" rotation="t"/>
              </v:shape>
            </w:pict>
          </mc:Fallback>
        </mc:AlternateContent>
      </w:r>
      <w:r>
        <w:rPr>
          <w:b/>
          <w:bCs/>
          <w:highlight w:val="none"/>
          <w:lang w:val="pt-BR" w:bidi="pt-BR"/>
        </w:rPr>
      </w:r>
      <w:r/>
    </w:p>
    <w:p>
      <w:pPr>
        <w:pBdr/>
        <w:spacing w:after="200" w:line="276" w:lineRule="auto"/>
        <w:ind/>
        <w:jc w:val="center"/>
        <w:rPr>
          <w:b/>
          <w:bCs/>
          <w:highlight w:val="none"/>
        </w:rPr>
      </w:pPr>
      <w:r>
        <w:rPr>
          <w:b/>
          <w:bCs/>
        </w:rPr>
        <w:t xml:space="preserve">BIỂN BẢN KHẢO SÁT</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001766"/>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86782" name=""/>
                        <pic:cNvPicPr>
                          <a:picLocks noChangeAspect="1"/>
                        </pic:cNvPicPr>
                        <pic:nvPr/>
                      </pic:nvPicPr>
                      <pic:blipFill rotWithShape="1">
                        <a:blip r:embed="rId40"/>
                        <a:stretch/>
                      </pic:blipFill>
                      <pic:spPr bwMode="auto">
                        <a:xfrm>
                          <a:off x="0" y="0"/>
                          <a:ext cx="6048374" cy="80017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76.25pt;height:630.06pt;mso-wrap-distance-left:0.00pt;mso-wrap-distance-top:0.00pt;mso-wrap-distance-right:0.00pt;mso-wrap-distance-bottom:0.00pt;z-index:1;" stroked="false">
                <v:imagedata r:id="rId40" o:title=""/>
                <o:lock v:ext="edit" rotation="t"/>
              </v:shape>
            </w:pict>
          </mc:Fallback>
        </mc:AlternateContent>
      </w:r>
      <w:r>
        <w:rPr>
          <w:b/>
          <w:bCs/>
          <w:highlight w:val="none"/>
        </w:rPr>
      </w:r>
      <w:r>
        <w:rPr>
          <w:b/>
          <w:bCs/>
          <w:highlight w:val="none"/>
        </w:rPr>
      </w:r>
    </w:p>
    <w:sectPr>
      <w:footnotePr/>
      <w:endnotePr/>
      <w:type w:val="nextPage"/>
      <w:pgSz w:h="16839" w:orient="portrait" w:w="11907"/>
      <w:pgMar w:top="1134" w:right="851" w:bottom="1134" w:left="1531" w:header="284" w:footer="431"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76F630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hyperlink" Target="https://alonhadat.com.vn/ban-dat-mat-tien-duong-xuan-thuy-nguyen-co-thach-ra-toi-bien-mui-ne-tp-phan-thiet-14189675.html" TargetMode="External"/><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png"/><Relationship Id="rId39" Type="http://schemas.openxmlformats.org/officeDocument/2006/relationships/image" Target="media/image24.png"/><Relationship Id="rId40"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282</cp:revision>
  <dcterms:created xsi:type="dcterms:W3CDTF">2025-09-15T09:58:00Z</dcterms:created>
  <dcterms:modified xsi:type="dcterms:W3CDTF">2026-04-03T05:42:45Z</dcterms:modified>
</cp:coreProperties>
</file>