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879778</wp:posOffset>
                </wp:positionV>
                <wp:extent cx="5467350" cy="3467100"/>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67098"/>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275/2026/0525/VFI-CT.48.A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VĂN TẶNG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và tài sản gắn liền với đất tại thửa đất số: 107, tờ bản đồ số: 55 có địa chỉ: Căn 19 Lô C61-LK18, Khu C, Khu đô thị hai bên đường Lê Trọng Tấn, phường</w:t>
                            </w:r>
                            <w:r>
                              <w:rPr>
                                <w:color w:val="000000"/>
                              </w:rPr>
                              <w:t xml:space="preserve"> Dương Nội, thành phố Hà Nội theo Giấy chứng nhận Quyền sử dụng đất quyền sở hữu tài sản khác gắn liền với đất số: AA 05988806, số vào sổ cấp GCN: VP56644 do Văn phòng đăng ký đất đai Hà Nội cấp ngày 16/1/2026 cho Ông Nguyễn Văn Tặng và Bà Trần Thị Mai Sen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69.27pt;mso-position-vertical:absolute;width:430.50pt;height:273.0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275/2026/0525/VFI-CT.48.A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VĂN TẶNG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và tài sản gắn liền với đất tại thửa đất số: 107, tờ bản đồ số: 55 có địa chỉ: Căn 19 Lô C61-LK18, Khu C, Khu đô thị hai bên đường Lê Trọng Tấn, phường</w:t>
                      </w:r>
                      <w:r>
                        <w:rPr>
                          <w:color w:val="000000"/>
                        </w:rPr>
                        <w:t xml:space="preserve"> Dương Nội, thành phố Hà Nội theo Giấy chứng nhận Quyền sử dụng đất quyền sở hữu tài sản khác gắn liền với đất số: AA 05988806, số vào sổ cấp GCN: VP56644 do Văn phòng đăng ký đất đai Hà Nội cấp ngày 16/1/2026 cho Ông Nguyễn Văn Tặng và Bà Trần Thị Mai Sen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righ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3"/>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33"/>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808" w:type="dxa"/>
        <w:tblBorders/>
        <w:tblLayout w:type="fixed"/>
        <w:tblLook w:val="04A0" w:firstRow="1" w:lastRow="0" w:firstColumn="1" w:lastColumn="0" w:noHBand="0" w:noVBand="1"/>
      </w:tblPr>
      <w:tblGrid>
        <w:gridCol w:w="1871"/>
        <w:gridCol w:w="3019"/>
        <w:gridCol w:w="4890"/>
        <w:gridCol w:w="29"/>
      </w:tblGrid>
      <w:tr>
        <w:trPr>
          <w:trHeight w:val="1152"/>
        </w:trPr>
        <w:tc>
          <w:tcPr>
            <w:tcBorders/>
            <w:tcW w:w="187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793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4890" w:type="dxa"/>
            <w:textDirection w:val="lrTb"/>
            <w:noWrap w:val="false"/>
          </w:tcPr>
          <w:p>
            <w:pPr>
              <w:pStyle w:val="1032"/>
              <w:pBdr/>
              <w:spacing w:after="60"/>
              <w:ind/>
              <w:rPr>
                <w:color w:val="000000" w:themeColor="text1"/>
                <w:sz w:val="24"/>
                <w:szCs w:val="24"/>
              </w:rPr>
            </w:pPr>
            <w:r>
              <w:rPr>
                <w:rStyle w:val="1031"/>
                <w:rFonts w:ascii="Times New Roman" w:hAnsi="Times New Roman"/>
                <w:color w:val="000000" w:themeColor="text1"/>
                <w:lang w:val="pt-BR"/>
              </w:rPr>
              <w:t xml:space="preserve">Số: </w:t>
            </w:r>
            <w:r>
              <w:rPr>
                <w:rStyle w:val="1031"/>
                <w:rFonts w:ascii="Times New Roman" w:hAnsi="Times New Roman"/>
                <w:color w:val="000000" w:themeColor="text1"/>
                <w:lang w:val="pt-BR"/>
              </w:rPr>
              <w:t xml:space="preserve">275/2026/0525/VFI-CT.48.A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890" w:type="dxa"/>
            <w:textDirection w:val="lrTb"/>
            <w:noWrap w:val="false"/>
          </w:tcPr>
          <w:p>
            <w:pPr>
              <w:pStyle w:val="1032"/>
              <w:pBdr/>
              <w:spacing w:after="60"/>
              <w:ind w:right="-56"/>
              <w:jc w:val="right"/>
              <w:rPr>
                <w:color w:val="000000" w:themeColor="text1"/>
                <w:sz w:val="24"/>
                <w:szCs w:val="24"/>
                <w:lang w:val="vi-VN"/>
              </w:rPr>
            </w:pPr>
            <w:r>
              <w:rPr>
                <w:rStyle w:val="1031"/>
                <w:rFonts w:ascii="Times New Roman" w:hAnsi="Times New Roman"/>
                <w:i/>
                <w:color w:val="auto"/>
              </w:rPr>
              <w:t xml:space="preserve">TP. Hà 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3 tháng 4 năm 2026</w:t>
            </w:r>
            <w:r>
              <w:rPr>
                <w:color w:val="000000" w:themeColor="text1"/>
                <w:sz w:val="24"/>
                <w:szCs w:val="24"/>
                <w:lang w:val="vi-VN"/>
              </w:rPr>
            </w:r>
            <w:r>
              <w:rPr>
                <w:color w:val="000000" w:themeColor="text1"/>
                <w:sz w:val="24"/>
                <w:szCs w:val="24"/>
                <w:lang w:val="vi-VN"/>
              </w:rPr>
            </w:r>
          </w:p>
        </w:tc>
      </w:tr>
    </w:tbl>
    <w:p>
      <w:pPr>
        <w:pStyle w:val="1032"/>
        <w:pBdr/>
        <w:spacing w:after="120" w:before="200" w:line="288" w:lineRule="auto"/>
        <w:ind/>
        <w:jc w:val="center"/>
        <w:rPr>
          <w:rStyle w:val="1031"/>
          <w:rFonts w:ascii="Times New Roman" w:hAnsi="Times New Roman"/>
          <w:b/>
          <w:bCs/>
          <w:color w:val="auto"/>
          <w:sz w:val="30"/>
          <w:szCs w:val="30"/>
          <w:lang w:val="vi-VN"/>
        </w:rPr>
      </w:pPr>
      <w:r>
        <w:rPr>
          <w:rStyle w:val="1031"/>
          <w:rFonts w:ascii="Times New Roman" w:hAnsi="Times New Roman"/>
          <w:b/>
          <w:bCs/>
          <w:color w:val="auto"/>
          <w:sz w:val="30"/>
          <w:szCs w:val="30"/>
          <w:lang w:val="vi-VN"/>
        </w:rPr>
        <w:t xml:space="preserve">CHỨNG THƯ THẨM ĐỊNH GIÁ</w:t>
      </w:r>
      <w:r>
        <w:rPr>
          <w:rStyle w:val="1031"/>
          <w:rFonts w:ascii="Times New Roman" w:hAnsi="Times New Roman"/>
          <w:b/>
          <w:bCs/>
          <w:color w:val="auto"/>
          <w:sz w:val="30"/>
          <w:szCs w:val="30"/>
          <w:lang w:val="vi-VN"/>
        </w:rPr>
      </w:r>
      <w:r>
        <w:rPr>
          <w:rStyle w:val="1031"/>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VĂN TẶNG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275/2026/0525/VFI-HĐTĐ.48.A</w:t>
      </w:r>
      <w:r>
        <w:rPr>
          <w:spacing w:val="-4"/>
          <w:lang w:val="vi-VN"/>
        </w:rPr>
        <w:t xml:space="preserve"> ký ngày </w:t>
      </w:r>
      <w:r>
        <w:rPr>
          <w:color w:val="000000" w:themeColor="text1"/>
          <w:spacing w:val="-4"/>
        </w:rPr>
        <w:t xml:space="preserve">2 tháng 4 năm 2026</w:t>
      </w:r>
      <w:r>
        <w:rPr>
          <w:spacing w:val="-4"/>
          <w:lang w:val="vi-VN"/>
        </w:rPr>
        <w:t xml:space="preserve"> </w:t>
      </w:r>
      <w:r>
        <w:rPr>
          <w:spacing w:val="-4"/>
          <w:lang w:val="vi-VN"/>
        </w:rPr>
        <w:t xml:space="preserve">giữa </w:t>
      </w:r>
      <w:r>
        <w:rPr>
          <w:color w:val="000000" w:themeColor="text1"/>
          <w:spacing w:val="-4"/>
        </w:rPr>
        <w:t xml:space="preserve">Ông Nguyễn Văn Tặng</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HSTD-20260401-0014/BC-VFI</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3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pacing w:val="-4"/>
                <w:sz w:val="24"/>
              </w:rPr>
              <w:t xml:space="preserve">ÔNG NGUYỄN VĂN TẶNG</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036077000015</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và tài sản gắn liền với đất tại thửa đất số: 107, tờ bản đồ số: 55 có địa chỉ: Căn 19 Lô C61-LK18, Khu C, Khu đô thị hai bên đường Lê Trọng Tấn, phường</w:t>
      </w:r>
      <w:r>
        <w:rPr>
          <w:color w:val="000000" w:themeColor="text1"/>
        </w:rPr>
        <w:t xml:space="preserve"> Dương Nội, thành phố Hà Nội theo Giấy chứng nhận Quyền sử dụng đất quyền sở hữu tài sản khác gắn liền với đất số: AA 05988806, số vào sổ cấp GCN: VP56644 do Văn phòng đăng ký đất đai Hà Nội cấp ngày 16/1/2026 cho Ông Nguyễn Văn Tặng và Bà Trần Thị Mai Sen</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04/2026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04/2026</w:t>
      </w:r>
      <w:r>
        <w:rPr>
          <w:lang w:val="vi-VN"/>
        </w:rPr>
        <w:t xml:space="preserve"> ước tính</w:t>
      </w:r>
      <w:r>
        <w:t xml:space="preserve"> </w:t>
      </w:r>
      <w:r>
        <w:rPr>
          <w:lang w:val="vi-VN"/>
        </w:rPr>
        <w:t xml:space="preserve">như sau:</w:t>
      </w:r>
      <w:r/>
    </w:p>
    <w:tbl>
      <w:tblPr>
        <w:tblStyle w:val="1037"/>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13096"/>
        <w:gridCol w:w="27369"/>
        <w:gridCol w:w="24117"/>
        <w:gridCol w:w="26390"/>
        <w:gridCol w:w="25899"/>
        <w:gridCol w:w="31085"/>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0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73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41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63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58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CLCL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10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30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1037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Quyền sử dụng đất và tài sản gắn liền với đất tại thửa đất số: 107, tờ bản đồ số: 55 có địa chỉ: Căn 19 Lô C61-LK18, Khu C, Khu đô thị hai bên đường Lê Trọng Tấn, phường Dương Nội, thành phố Hà Nội theo Giấy chứng nhận Quyền sử dụng đất quyền sở hữu tài sả</w:t>
            </w:r>
            <w:r>
              <w:rPr>
                <w:rFonts w:ascii="Times New Roman" w:hAnsi="Times New Roman" w:eastAsia="Times New Roman" w:cs="Times New Roman"/>
                <w:color w:val="000000"/>
                <w:sz w:val="24"/>
              </w:rPr>
              <w:t xml:space="preserve">n khác gắn liền với đất số: AA 05988806, số vào sổ cấp GCN: VP56644 do Văn phòng đăng ký đất đai Hà Nội cấp ngày 16/1/2026 cho Ông Nguyễn Văn Tặng và Bà Trần Thị Mai Sen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10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30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3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rPr/>
            </w:pPr>
            <w:r>
              <w:rPr>
                <w:rFonts w:ascii="Times New Roman" w:hAnsi="Times New Roman" w:eastAsia="Times New Roman" w:cs="Times New Roman"/>
                <w:b/>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24117"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80,0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3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155.000.000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8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10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12.400.000.000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30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3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rPr/>
            </w:pPr>
            <w:r>
              <w:rPr>
                <w:rFonts w:ascii="Times New Roman" w:hAnsi="Times New Roman" w:eastAsia="Times New Roman" w:cs="Times New Roman"/>
                <w:b/>
                <w:color w:val="000000"/>
                <w:sz w:val="24"/>
              </w:rPr>
              <w:t xml:space="preserve">Nhà 4 tầng</w:t>
            </w:r>
            <w:r/>
          </w:p>
        </w:tc>
        <w:tc>
          <w:tcPr>
            <w:tcBorders>
              <w:bottom w:val="single" w:color="000000" w:sz="8" w:space="0"/>
              <w:right w:val="single" w:color="000000" w:sz="8" w:space="0"/>
            </w:tcBorders>
            <w:tcMar>
              <w:left w:w="108" w:type="dxa"/>
              <w:top w:w="0" w:type="dxa"/>
              <w:right w:w="108" w:type="dxa"/>
              <w:bottom w:w="0" w:type="dxa"/>
            </w:tcMar>
            <w:tcW w:w="24117"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273,5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3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4.769.520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8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82%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10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1.069.660.250</w:t>
            </w: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116871"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31085"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13.469.660.250</w:t>
            </w: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116871"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31085"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rPr>
              <w:t xml:space="preserve">13.470.000.000</w:t>
            </w:r>
            <w:r/>
          </w:p>
        </w:tc>
      </w:tr>
      <w:tr>
        <w:trPr>
          <w:trHeight w:val="20"/>
        </w:trPr>
        <w:tc>
          <w:tcPr>
            <w:gridSpan w:val="6"/>
            <w:tcBorders>
              <w:left w:val="single" w:color="000000" w:sz="8" w:space="0"/>
              <w:bottom w:val="single" w:color="000000" w:sz="8" w:space="0"/>
              <w:right w:val="single" w:color="000000" w:sz="8" w:space="0"/>
            </w:tcBorders>
            <w:tcMar>
              <w:left w:w="108" w:type="dxa"/>
              <w:top w:w="0" w:type="dxa"/>
              <w:right w:w="108" w:type="dxa"/>
              <w:bottom w:w="0" w:type="dxa"/>
            </w:tcMar>
            <w:tcW w:w="14795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i/>
                <w:color w:val="000000"/>
                <w:sz w:val="24"/>
              </w:rPr>
              <w:t xml:space="preserve">(Bằng chữ: Mười ba tỷ bốn trăm bảy mươi triệu đồng./.)</w:t>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spacing w:val="-4"/>
          <w:lang w:val="pt-BR"/>
        </w:rPr>
      </w:pPr>
      <w:r>
        <w:rPr>
          <w:lang w:val="pt-BR"/>
        </w:rPr>
        <w:t xml:space="preserve">- </w:t>
      </w:r>
      <w:r>
        <w:rPr>
          <w:lang w:val="pt-BR"/>
        </w:rPr>
        <w:t xml:space="preserve">Chi tiết như Báo cáo kèm theo.</w:t>
      </w:r>
      <w:r>
        <w:rPr>
          <w:rFonts w:eastAsia="Calibri"/>
          <w:b/>
          <w:spacing w:val="-4"/>
          <w:lang w:val="pt-BR"/>
        </w:rPr>
      </w:r>
      <w:r>
        <w:rPr>
          <w:rFonts w:eastAsia="Calibri"/>
          <w:b/>
          <w:spacing w:val="-4"/>
          <w:lang w:val="pt-BR"/>
        </w:rPr>
      </w:r>
    </w:p>
    <w:p>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54"/>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1701"/>
        <w:gridCol w:w="29"/>
        <w:gridCol w:w="3302"/>
        <w:gridCol w:w="5031"/>
        <w:gridCol w:w="29"/>
      </w:tblGrid>
      <w:tr>
        <w:trPr>
          <w:trHeight w:val="1843"/>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36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84"/>
        </w:trPr>
        <w:tc>
          <w:tcPr>
            <w:gridSpan w:val="3"/>
            <w:shd w:val="clear" w:color="auto" w:fill="auto"/>
            <w:tcBorders/>
            <w:tcMar>
              <w:left w:w="108" w:type="dxa"/>
              <w:top w:w="0" w:type="dxa"/>
              <w:right w:w="108" w:type="dxa"/>
              <w:bottom w:w="0" w:type="dxa"/>
            </w:tcMar>
            <w:tcW w:w="5031" w:type="dxa"/>
            <w:textDirection w:val="lrTb"/>
            <w:noWrap w:val="false"/>
          </w:tcPr>
          <w:p>
            <w:pPr>
              <w:pStyle w:val="1032"/>
              <w:pBdr/>
              <w:spacing w:after="60"/>
              <w:ind/>
              <w:rPr>
                <w:color w:val="000000" w:themeColor="text1"/>
                <w:sz w:val="24"/>
                <w:szCs w:val="24"/>
              </w:rPr>
            </w:pPr>
            <w:r>
              <w:rPr>
                <w:rStyle w:val="1031"/>
                <w:rFonts w:ascii="Times New Roman" w:hAnsi="Times New Roman"/>
                <w:color w:val="000000" w:themeColor="text1"/>
                <w:lang w:val="pt-BR"/>
              </w:rPr>
              <w:t xml:space="preserve">Số: </w:t>
            </w:r>
            <w:r>
              <w:rPr>
                <w:rStyle w:val="1031"/>
                <w:rFonts w:ascii="Times New Roman" w:hAnsi="Times New Roman"/>
                <w:color w:val="000000" w:themeColor="text1"/>
                <w:lang w:val="pt-BR"/>
              </w:rPr>
              <w:t xml:space="preserve">275/2026/0525/VFI-CT.48.A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031" w:type="dxa"/>
            <w:textDirection w:val="lrTb"/>
            <w:noWrap w:val="false"/>
          </w:tcPr>
          <w:p>
            <w:pPr>
              <w:pStyle w:val="1032"/>
              <w:pBdr/>
              <w:spacing w:after="60"/>
              <w:ind w:right="-56"/>
              <w:jc w:val="right"/>
              <w:rPr>
                <w:color w:val="000000" w:themeColor="text1"/>
                <w:sz w:val="24"/>
                <w:szCs w:val="24"/>
                <w:lang w:val="vi-VN"/>
              </w:rPr>
            </w:pPr>
            <w:r>
              <w:rPr>
                <w:rStyle w:val="1031"/>
                <w:rFonts w:ascii="Times New Roman" w:hAnsi="Times New Roman"/>
                <w:i/>
                <w:color w:val="auto"/>
              </w:rPr>
              <w:t xml:space="preserve">TP. Hà 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3 tháng 4 năm 2026</w:t>
            </w:r>
            <w:r>
              <w:rPr>
                <w:color w:val="000000" w:themeColor="text1"/>
                <w:sz w:val="24"/>
                <w:szCs w:val="24"/>
                <w:lang w:val="vi-VN"/>
              </w:rPr>
            </w:r>
            <w:r>
              <w:rPr>
                <w:color w:val="000000" w:themeColor="text1"/>
                <w:sz w:val="24"/>
                <w:szCs w:val="24"/>
                <w:lang w:val="vi-VN"/>
              </w:rPr>
            </w:r>
          </w:p>
        </w:tc>
      </w:tr>
    </w:tbl>
    <w:p>
      <w:pPr>
        <w:pStyle w:val="1032"/>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2"/>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275/2026/0525/VFI-CT.48.A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3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2"/>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3"/>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pacing w:val="-4"/>
                <w:sz w:val="24"/>
              </w:rPr>
              <w:t xml:space="preserve">ÔNG NGUYỄN VĂN TẶNG</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036077000015</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và tài sản gắn liền với đất tại thửa đất số: 107, tờ bản đồ số: 55 có địa chỉ: Căn 19 Lô C61-LK18, Khu C, Khu đô thị hai bên đường Lê Trọng Tấn, phường</w:t>
            </w:r>
            <w:r>
              <w:rPr>
                <w:bCs/>
                <w:color w:val="000000" w:themeColor="text1"/>
                <w:lang w:val="pt-BR"/>
              </w:rPr>
              <w:t xml:space="preserve"> Dương Nội, thành phố Hà Nội theo Giấy chứng nhận Quyền sử dụng đất quyền sở hữu tài sản khác gắn liền với đất số: AA 05988806, số vào sổ cấp GCN: VP56644 do Văn phòng đăng ký đất đai Hà Nội cấp ngày 16/1/2026 cho Ông Nguyễn Văn Tặng và Bà Trần Thị Mai Sen</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Căn 19 lô C61-LK18 Khu C Khu đô thị hai bên đường Lê Trọng Tấn phường Dương Nội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3"/>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(20.986138888889, 105.7455)</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3"/>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3"/>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3"/>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3"/>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 Giá số 16/2023/QH15 ngày 19/6/2023;</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3"/>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3"/>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3"/>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3"/>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33"/>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3"/>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3"/>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3"/>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tài sản khác gắn liền với đất số: AA 05988806, số vào sổ cấp GCN: VP56644 do Văn phòng đăng ký đất đai Hà Nội cấp ngày 16/1/2026 cho Ông Nguyễn Văn Tặng và Bà Trần Thị Mai Sen</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3"/>
        <w:numPr>
          <w:ilvl w:val="0"/>
          <w:numId w:val="2"/>
        </w:numPr>
        <w:pBdr/>
        <w:tabs>
          <w:tab w:val="left" w:leader="none" w:pos="993"/>
        </w:tabs>
        <w:spacing w:after="120" w:before="120" w:line="276" w:lineRule="auto"/>
        <w:ind/>
        <w:jc w:val="both"/>
        <w:rPr>
          <w:b/>
          <w:lang w:val="pt-BR"/>
        </w:rPr>
      </w:pPr>
      <w:r>
        <w:rPr>
          <w:color w:val="000000" w:themeColor="text1"/>
          <w:lang w:val="pt-BR"/>
        </w:rPr>
      </w:r>
      <w:r>
        <w:rPr>
          <w:rFonts w:ascii="Times New Roman" w:hAnsi="Times New Roman" w:eastAsia="Times New Roman" w:cs="Times New Roman"/>
          <w:color w:val="000000"/>
          <w:sz w:val="24"/>
        </w:rPr>
        <w:t xml:space="preserve">Hợp đồng số </w:t>
      </w:r>
      <w:r>
        <w:rPr>
          <w:rFonts w:ascii="Times New Roman" w:hAnsi="Times New Roman" w:eastAsia="Times New Roman" w:cs="Times New Roman"/>
          <w:color w:val="000000"/>
          <w:spacing w:val="-4"/>
          <w:sz w:val="24"/>
        </w:rPr>
        <w:t xml:space="preserve">275/2026/0525/VFI-HĐTĐ.48.A giữa Ông Nguyễn Văn Tặng</w:t>
      </w:r>
      <w:r>
        <w:rPr>
          <w:rFonts w:ascii="Times New Roman" w:hAnsi="Times New Roman" w:eastAsia="Times New Roman" w:cs="Times New Roman"/>
          <w:color w:val="000000"/>
          <w:sz w:val="24"/>
        </w:rPr>
        <w:t xml:space="preserve">với Công ty Cổ phần Thẩm định và Đầu tư Tài chính Hoa Sen</w:t>
      </w:r>
      <w:r>
        <w:rPr>
          <w:b/>
          <w:lang w:val="pt-BR"/>
        </w:rPr>
      </w:r>
      <w:r>
        <w:rPr>
          <w:b/>
          <w:lang w:val="pt-BR"/>
        </w:rPr>
      </w:r>
    </w:p>
    <w:p>
      <w:pPr>
        <w:pStyle w:val="1033"/>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rFonts w:ascii="Times New Roman" w:hAnsi="Times New Roman" w:eastAsia="Times New Roman" w:cs="Times New Roman"/>
          <w:b/>
          <w:color w:val="000000"/>
          <w:sz w:val="24"/>
        </w:rPr>
        <w:tab/>
        <w:t xml:space="preserve">Tổng quan về quận Hà Đông cũ</w:t>
      </w:r>
      <w:r/>
    </w:p>
    <w:p>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rFonts w:ascii="Times New Roman" w:hAnsi="Times New Roman" w:eastAsia="Times New Roman" w:cs="Times New Roman"/>
          <w:color w:val="000000"/>
          <w:sz w:val="24"/>
        </w:rPr>
        <w:tab/>
        <w:t xml:space="preserve">Quận Hà Đông nằm ngay cửa ngõ phía Tây Nam trực thuộc nội thành của Hà Nội và cũng là giao điểm của Quốc lộ 6 kết nối Hà Nội đi Hòa Bình, Sơn La, Điện Biên. Tiếp giáp lần lượt với các quận huyện như Thanh Trì, Thanh Xuân, Quốc Oai, Chương Mỹ, Thanh Oai, H</w:t>
      </w:r>
      <w:r>
        <w:rPr>
          <w:rFonts w:ascii="Times New Roman" w:hAnsi="Times New Roman" w:eastAsia="Times New Roman" w:cs="Times New Roman"/>
          <w:color w:val="000000"/>
          <w:sz w:val="24"/>
        </w:rPr>
        <w:t xml:space="preserve">oài Đức và Nam Từ Liêm.</w:t>
      </w:r>
      <w:r/>
    </w:p>
    <w:p>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rFonts w:ascii="Times New Roman" w:hAnsi="Times New Roman" w:eastAsia="Times New Roman" w:cs="Times New Roman"/>
          <w:color w:val="000000"/>
          <w:sz w:val="24"/>
        </w:rPr>
        <w:tab/>
        <w:t xml:space="preserve">Cơ sở hạ tầng của quận Hà Đông phát triển khá đồng bộ, hiện lại và đấy được xem là một trong những yếu tố thu hút các nhà đầu tư bất động sản quan tâm. Hệ thống giao thông trên địa bàn nổi bật nhất phải kể đến các dự án xây dựng, nâng cấp các tuyến đường </w:t>
      </w:r>
      <w:r>
        <w:rPr>
          <w:rFonts w:ascii="Times New Roman" w:hAnsi="Times New Roman" w:eastAsia="Times New Roman" w:cs="Times New Roman"/>
          <w:color w:val="000000"/>
          <w:sz w:val="24"/>
        </w:rPr>
        <w:t xml:space="preserve">như:</w:t>
      </w:r>
      <w:r/>
    </w:p>
    <w:p>
      <w:pPr>
        <w:numPr>
          <w:ilvl w:val="0"/>
          <w:numId w:val="39"/>
        </w:numPr>
        <w:pBdr>
          <w:top w:val="none" w:color="000000" w:sz="4" w:space="0"/>
          <w:left w:val="none" w:color="000000" w:sz="4" w:space="0"/>
          <w:bottom w:val="none" w:color="000000" w:sz="4" w:space="0"/>
          <w:right w:val="none" w:color="000000" w:sz="4" w:space="0"/>
        </w:pBdr>
        <w:tabs>
          <w:tab w:val="left" w:leader="none" w:pos="567"/>
          <w:tab w:val="left" w:leader="none" w:pos="720"/>
        </w:tabs>
        <w:spacing w:after="60" w:before="60" w:line="276" w:lineRule="auto"/>
        <w:ind/>
        <w:jc w:val="both"/>
        <w:rPr/>
      </w:pPr>
      <w:r>
        <w:rPr>
          <w:rFonts w:ascii="Times New Roman" w:hAnsi="Times New Roman" w:eastAsia="Times New Roman" w:cs="Times New Roman"/>
          <w:color w:val="000000"/>
          <w:sz w:val="24"/>
        </w:rPr>
        <w:t xml:space="preserve">Tuyến đường sắt Cát Linh - Hà Đông với tổng chiều dài lên đến 13.5km, nhờ vậy mà lưu lượng phương tiện công cộng của khu vực được giảm bớt.</w:t>
      </w:r>
      <w:r/>
    </w:p>
    <w:p>
      <w:pPr>
        <w:numPr>
          <w:ilvl w:val="0"/>
          <w:numId w:val="39"/>
        </w:numPr>
        <w:pBdr>
          <w:top w:val="none" w:color="000000" w:sz="4" w:space="0"/>
          <w:left w:val="none" w:color="000000" w:sz="4" w:space="0"/>
          <w:bottom w:val="none" w:color="000000" w:sz="4" w:space="0"/>
          <w:right w:val="none" w:color="000000" w:sz="4" w:space="0"/>
        </w:pBdr>
        <w:tabs>
          <w:tab w:val="left" w:leader="none" w:pos="567"/>
          <w:tab w:val="left" w:leader="none" w:pos="720"/>
        </w:tabs>
        <w:spacing w:after="60" w:before="60" w:line="276" w:lineRule="auto"/>
        <w:ind/>
        <w:jc w:val="both"/>
        <w:rPr/>
      </w:pPr>
      <w:r>
        <w:rPr>
          <w:rFonts w:ascii="Times New Roman" w:hAnsi="Times New Roman" w:eastAsia="Times New Roman" w:cs="Times New Roman"/>
          <w:color w:val="000000"/>
          <w:sz w:val="24"/>
        </w:rPr>
        <w:t xml:space="preserve">Đường vành đai 3.5 và trục Nam Hà Nội được cải tạo tăng khả năng kết nối khu vực phía Tây với các vùng lân cận dễ dàng hơn.</w:t>
      </w:r>
      <w:r/>
    </w:p>
    <w:p>
      <w:pPr>
        <w:numPr>
          <w:ilvl w:val="0"/>
          <w:numId w:val="39"/>
        </w:numPr>
        <w:pBdr>
          <w:top w:val="none" w:color="000000" w:sz="4" w:space="0"/>
          <w:left w:val="none" w:color="000000" w:sz="4" w:space="0"/>
          <w:bottom w:val="none" w:color="000000" w:sz="4" w:space="0"/>
          <w:right w:val="none" w:color="000000" w:sz="4" w:space="0"/>
        </w:pBdr>
        <w:tabs>
          <w:tab w:val="left" w:leader="none" w:pos="567"/>
          <w:tab w:val="left" w:leader="none" w:pos="720"/>
        </w:tabs>
        <w:spacing w:after="60" w:before="60" w:line="276" w:lineRule="auto"/>
        <w:ind/>
        <w:jc w:val="both"/>
        <w:rPr/>
      </w:pPr>
      <w:r>
        <w:rPr>
          <w:rFonts w:ascii="Times New Roman" w:hAnsi="Times New Roman" w:eastAsia="Times New Roman" w:cs="Times New Roman"/>
          <w:color w:val="000000"/>
          <w:sz w:val="24"/>
        </w:rPr>
        <w:t xml:space="preserve">Đường Vành đai 4: Tuyến đường kết nối giảm ùn tắc giao thông và tạo điều kiện để kinh tế vùng phát triển thông qua việc tăng cường đi lại, vận chuyển giao thương hàng hóa giữa các khu vực quận huyện lân cận Hà Nội</w:t>
      </w:r>
      <w:r/>
    </w:p>
    <w:p>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rFonts w:ascii="Times New Roman" w:hAnsi="Times New Roman" w:eastAsia="Times New Roman" w:cs="Times New Roman"/>
          <w:color w:val="000000"/>
          <w:sz w:val="24"/>
        </w:rPr>
        <w:tab/>
        <w:t xml:space="preserve">Quận Hà Đông không chỉ có hệ thống giao thông chất lượng mà nơi đây còn là khu vực tập trung của các doanh nghiệp, cơ quan hành chính, trường đại học,... Tiện ích xung quanh đều được trang bị đầy đủ bao gồm bệnh viện, chợ dân sinh, trung tâm thương mại, c</w:t>
      </w:r>
      <w:r>
        <w:rPr>
          <w:rFonts w:ascii="Times New Roman" w:hAnsi="Times New Roman" w:eastAsia="Times New Roman" w:cs="Times New Roman"/>
          <w:color w:val="000000"/>
          <w:sz w:val="24"/>
        </w:rPr>
        <w:t xml:space="preserve">ông viên cây xanh,...</w:t>
      </w:r>
      <w:r/>
    </w:p>
    <w:p>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rFonts w:ascii="Times New Roman" w:hAnsi="Times New Roman" w:eastAsia="Times New Roman" w:cs="Times New Roman"/>
          <w:color w:val="000000"/>
          <w:sz w:val="24"/>
        </w:rPr>
        <w:tab/>
      </w:r>
      <w:r>
        <w:rPr>
          <w:rFonts w:ascii="Times New Roman" w:hAnsi="Times New Roman" w:eastAsia="Times New Roman" w:cs="Times New Roman"/>
          <w:b/>
          <w:color w:val="000000"/>
          <w:sz w:val="24"/>
        </w:rPr>
        <w:t xml:space="preserve">Xu hướng phát triển bất động sản trong khu vực quận Hà Đông cũ</w:t>
      </w:r>
      <w:r/>
    </w:p>
    <w:p>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rFonts w:ascii="Times New Roman" w:hAnsi="Times New Roman" w:eastAsia="Times New Roman" w:cs="Times New Roman"/>
          <w:color w:val="000000"/>
          <w:sz w:val="24"/>
        </w:rPr>
        <w:tab/>
        <w:t xml:space="preserve">Trong thời gian trở lại đây, quỹ đất tại các vùng trung tâm thành phố Hà Nội đã bắt đầu trở nên khan hiếm. Vì vậy, khu vực phía Tây Nam đang là nơi đón đầu làn sóng di cư từ trung tâm đổ về.</w:t>
      </w:r>
      <w:r/>
    </w:p>
    <w:p>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rFonts w:ascii="Times New Roman" w:hAnsi="Times New Roman" w:eastAsia="Times New Roman" w:cs="Times New Roman"/>
          <w:color w:val="000000"/>
          <w:sz w:val="24"/>
        </w:rPr>
        <w:tab/>
        <w:t xml:space="preserve">Thêm vào đó, sở hữu vị trí tập trung nhiều cơ quan hành chính, công ty, doanh nghiệp trường đại học,... nên nhu cầu nhà ở của người lao động, học sinh sinh viên gia tăng đáng kể góp phần thúc đẩy bất động sản tăng trưởng.</w:t>
      </w:r>
      <w:r/>
    </w:p>
    <w:p>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rFonts w:ascii="Times New Roman" w:hAnsi="Times New Roman" w:eastAsia="Times New Roman" w:cs="Times New Roman"/>
          <w:color w:val="000000"/>
          <w:sz w:val="24"/>
        </w:rPr>
        <w:tab/>
        <w:t xml:space="preserve">Chưa kể, cơ sở hạ tầng của quận Hà Đông cũng dần hình thành và phát triển mạnh mẽ với hàng loạt các dự án chung cư, khu đô thị mới đã và đang được xây dựng trên địa bàn. Hầu hết các dự án hiện này đều được đầu tư tập trung phát triển theo hướng tạo nên kh</w:t>
      </w:r>
      <w:r>
        <w:rPr>
          <w:rFonts w:ascii="Times New Roman" w:hAnsi="Times New Roman" w:eastAsia="Times New Roman" w:cs="Times New Roman"/>
          <w:color w:val="000000"/>
          <w:sz w:val="24"/>
        </w:rPr>
        <w:t xml:space="preserve">ông gian sống tiện nghi, đầy đủ tiện ích, hiện đại và thông minh.</w:t>
      </w:r>
      <w:r/>
    </w:p>
    <w:p>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rFonts w:ascii="Times New Roman" w:hAnsi="Times New Roman" w:eastAsia="Times New Roman" w:cs="Times New Roman"/>
          <w:color w:val="000000"/>
          <w:sz w:val="24"/>
        </w:rPr>
        <w:tab/>
        <w:t xml:space="preserve">Do đó, từ những dự án chất lượng tại quận Hà Đông đã tạo tiền đề cho thị trường bất động sản tại đây diễn ra sôi động và luôn hấp dẫn được sự quan tâm của các nhà đầu tư. Tóm lại, tại Hà Đông thị trường bất động sản vẫn được giới chuyên môn đánh giá có nh</w:t>
      </w:r>
      <w:r>
        <w:rPr>
          <w:rFonts w:ascii="Times New Roman" w:hAnsi="Times New Roman" w:eastAsia="Times New Roman" w:cs="Times New Roman"/>
          <w:color w:val="000000"/>
          <w:sz w:val="24"/>
        </w:rPr>
        <w:t xml:space="preserve">iều kỳ vọng nhất thuộc khu vực phía Tây Nam thành phố.</w:t>
      </w:r>
      <w:r/>
    </w:p>
    <w:p>
      <w:pPr>
        <w:pBdr/>
        <w:tabs>
          <w:tab w:val="left" w:leader="none" w:pos="426"/>
        </w:tabs>
        <w:spacing w:after="120" w:before="120" w:line="276" w:lineRule="auto"/>
        <w:ind/>
        <w:jc w:val="center"/>
        <w:rPr>
          <w:bCs/>
          <w:i/>
          <w:iCs/>
          <w:lang w:val="pt-BR"/>
        </w:rPr>
      </w:pPr>
      <w:r>
        <w:rPr>
          <w:rFonts w:ascii="Times New Roman" w:hAnsi="Times New Roman" w:eastAsia="Times New Roman" w:cs="Times New Roman"/>
          <w:i/>
          <w:color w:val="000000"/>
          <w:sz w:val="24"/>
        </w:rPr>
        <w:t xml:space="preserve">(Nguồn: https://beta.onehousing.vn/blog/bat-dong-san-quan-ha-dong-tiem-nang-va-vi-tri-dep-n17t?utm_source=social_share&amp;utm_medium=copyurl&amp;utm_campaign=efc31d7e-04f8-4713-9ae1-5036060f4085)</w:t>
      </w:r>
      <w:r>
        <w:rPr>
          <w:bCs/>
          <w:i/>
          <w:iCs/>
          <w:lang w:val="pt-BR"/>
        </w:rPr>
      </w:r>
      <w:r>
        <w:rPr>
          <w:bCs/>
          <w:i/>
          <w:iCs/>
          <w:lang w:val="pt-BR"/>
        </w:rPr>
      </w:r>
    </w:p>
    <w:p>
      <w:pPr>
        <w:pStyle w:val="1033"/>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34"/>
        <w:gridCol w:w="2522"/>
        <w:gridCol w:w="2126"/>
        <w:gridCol w:w="2126"/>
        <w:gridCol w:w="2007"/>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107, tờ bản đồ số: 55 có địa chỉ: Căn 19 Lô C61-LK18, Khu C, Khu đô thị hai bên đường Lê Trọng Tấn, phường Dương Nội, thành phố Hà Nội theo Giấy chứng nhận Quyền sử dụng đất quyền sở hữu tài sả</w:t>
            </w:r>
            <w:r>
              <w:rPr>
                <w:rFonts w:ascii="Times New Roman" w:hAnsi="Times New Roman" w:eastAsia="Times New Roman" w:cs="Times New Roman"/>
                <w:b/>
                <w:color w:val="000000"/>
                <w:sz w:val="24"/>
              </w:rPr>
              <w:t xml:space="preserve">n khác gắn liền với đất số: AA 05988806, số vào sổ cấp GCN: VP56644 do Văn phòng đăng ký đất đai Hà Nội cấp ngày 16/1/2026 cho Ông Nguyễn Văn Tặng và Bà Trần Thị Mai Sen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107</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Căn 19 Lô C61-LK18, Khu C, Khu đô thị hai bên đường Lê Trọng Tấn, phường Dương Nội, thành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80,0</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chung của vợ và chồng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nhựa</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Tiếp giáp 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 (m):</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8,5m + vỉa hè mỗi bên 2,5m</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 (m):</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8,5m + vỉa hè mỗi bên 2,5m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 (m):</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cách đường Lê Trọng Tấn khoảng 650m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98" w:lineRule="atLeast"/>
              <w:ind w:right="0" w:firstLine="0" w:left="0"/>
              <w:rPr/>
            </w:pPr>
            <w:r>
              <w:rPr>
                <w:rFonts w:ascii="Times New Roman" w:hAnsi="Times New Roman" w:eastAsia="Times New Roman" w:cs="Times New Roman"/>
                <w:color w:val="000000"/>
                <w:sz w:val="24"/>
              </w:rPr>
              <w:t xml:space="preserve">-Hướng Tây Bắc: tiếp giáp đường giao thông </w:t>
            </w:r>
            <w:r/>
          </w:p>
          <w:p>
            <w:pPr>
              <w:pBdr>
                <w:top w:val="none" w:color="000000" w:sz="4" w:space="0"/>
                <w:left w:val="none" w:color="000000" w:sz="4" w:space="0"/>
                <w:bottom w:val="none" w:color="000000" w:sz="4" w:space="0"/>
                <w:right w:val="none" w:color="000000" w:sz="4" w:space="0"/>
              </w:pBdr>
              <w:spacing w:line="298" w:lineRule="atLeast"/>
              <w:ind w:right="0" w:firstLine="0" w:left="0"/>
              <w:rPr/>
            </w:pPr>
            <w:r>
              <w:rPr>
                <w:rFonts w:ascii="Times New Roman" w:hAnsi="Times New Roman" w:eastAsia="Times New Roman" w:cs="Times New Roman"/>
                <w:color w:val="000000"/>
                <w:sz w:val="24"/>
              </w:rPr>
              <w:t xml:space="preserve">- Các hướng khác: tiếp giáp các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 (20.986138888889, 105.7455)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spacing w:after="0" w:before="0" w:line="240" w:lineRule="auto"/>
              <w:ind/>
              <w:rPr/>
            </w:pPr>
            <w:r>
              <w:rPr>
                <w:color w:val="000000"/>
              </w:rPr>
              <mc:AlternateContent>
                <mc:Choice Requires="wpg">
                  <w:drawing>
                    <wp:inline xmlns:wp="http://schemas.openxmlformats.org/drawingml/2006/wordprocessingDrawing" distT="0" distB="0" distL="0" distR="0">
                      <wp:extent cx="539534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2046808969" name="" descr=""/>
                              <pic:cNvPicPr/>
                              <pic:nvPr/>
                            </pic:nvPicPr>
                            <pic:blipFill rotWithShape="1">
                              <a:blip r:embed="rId17"/>
                              <a:stretch/>
                            </pic:blipFill>
                            <pic:spPr bwMode="auto">
                              <a:xfrm rot="0" flipH="0" flipV="0">
                                <a:off x="0" y="0"/>
                                <a:ext cx="5395339"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4.83pt;height:200.00pt;mso-wrap-distance-left:0.00pt;mso-wrap-distance-top:0.00pt;mso-wrap-distance-right:0.00pt;mso-wrap-distance-bottom:0.00pt;rotation:0;z-index:1;" stroked="false">
                      <v:imagedata r:id="rId17" o:title=""/>
                      <o:lock v:ext="edit" rotation="t"/>
                    </v:shape>
                  </w:pict>
                </mc:Fallback>
              </mc:AlternateConten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80,0</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4,0</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Vuông vức</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Tây Bắc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cấp nước: Nước máy, Hạ tầng thoát nước: Rãnh có nắp, Hạ tầng cấp điện: Điện lưới, Hạ tầng thông tin liên lạc: Điện thoại, Mạng internet, Truyền hình cáp</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Khu vực tập trung dân cư</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Tài sản gắn liền với đất: Nhà 4 tầng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khảo sát, tổ thẩm định nhận thấy trên đất có 01 nhà 4 tầng xây thô hoàn thiện mặt ngoài, kết cấu BTCT, tường gạch chịu lực, ngoại quan còn khá. Công trình được xây dựng năm 2017, tổng diện tích xây dựng 273,5m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Hiện công trình đã được chứng nhận trên GCN số</w:t>
            </w:r>
            <w:r>
              <w:rPr>
                <w:rFonts w:ascii="Times New Roman" w:hAnsi="Times New Roman" w:eastAsia="Times New Roman" w:cs="Times New Roman"/>
                <w:color w:val="000000"/>
                <w:spacing w:val="3"/>
                <w:sz w:val="24"/>
                <w:highlight w:val="white"/>
              </w:rPr>
              <w:t xml:space="preserve"> </w:t>
            </w:r>
            <w:r>
              <w:rPr>
                <w:rFonts w:ascii="Times New Roman" w:hAnsi="Times New Roman" w:eastAsia="Times New Roman" w:cs="Times New Roman"/>
                <w:color w:val="000000"/>
                <w:sz w:val="24"/>
              </w:rPr>
              <w:t xml:space="preserve">AA 05988806.</w:t>
            </w:r>
            <w:r/>
          </w:p>
        </w:tc>
      </w:tr>
    </w:tbl>
    <w:p>
      <w:pPr>
        <w:pBdr/>
        <w:spacing/>
        <w:ind/>
        <w:rPr>
          <w:b/>
          <w:bCs/>
        </w:rPr>
      </w:pPr>
      <w:r>
        <w:rPr>
          <w:b/>
          <w:bCs/>
        </w:rPr>
      </w:r>
      <w:r>
        <w:rPr>
          <w:b/>
          <w:bCs/>
        </w:rPr>
      </w:r>
      <w:r>
        <w:rPr>
          <w:b/>
          <w:bCs/>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S=0.5ha)&lt;5ha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xung</w:t>
            </w:r>
            <w:r>
              <w:rPr>
                <w:lang w:eastAsia="ko-KR"/>
              </w:rPr>
              <w:t xml:space="preserve"> :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3"/>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3"/>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3"/>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3"/>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3"/>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3"/>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33"/>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33"/>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3"/>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3"/>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pPr>
        <w:pStyle w:val="1033"/>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3"/>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3"/>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Pr>
          <w:bCs/>
          <w:lang w:val="pt-BR"/>
        </w:rPr>
      </w:r>
      <w:r>
        <w:rPr>
          <w:bCs/>
          <w:lang w:val="pt-BR"/>
        </w:rPr>
      </w:r>
    </w:p>
    <w:p>
      <w:pPr>
        <w:pStyle w:val="1033"/>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37"/>
        <w:tblInd w:w="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355"/>
        <w:gridCol w:w="1853"/>
        <w:gridCol w:w="1829"/>
        <w:gridCol w:w="1829"/>
        <w:gridCol w:w="1829"/>
        <w:gridCol w:w="1829"/>
      </w:tblGrid>
      <w:tr>
        <w:trPr>
          <w:trHeight w:val="0"/>
        </w:trPr>
        <w:tc>
          <w:tcPr>
            <w:shd w:val="clear" w:color="ffffff" w:fill="ffffff"/>
            <w:tcBorders>
              <w:top w:val="single" w:color="000000" w:sz="8" w:space="0"/>
              <w:left w:val="single" w:color="000000" w:sz="8" w:space="0"/>
              <w:bottom w:val="single" w:color="000000" w:sz="8" w:space="0"/>
              <w:right w:val="single" w:color="000000" w:sz="8" w:space="0"/>
            </w:tcBorders>
            <w:tcMar>
              <w:left w:w="15" w:type="dxa"/>
              <w:top w:w="15" w:type="dxa"/>
              <w:right w:w="15" w:type="dxa"/>
              <w:bottom w:w="0" w:type="dxa"/>
            </w:tcMar>
            <w:tcW w:w="3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5" w:type="dxa"/>
              <w:top w:w="15" w:type="dxa"/>
              <w:right w:w="15" w:type="dxa"/>
              <w:bottom w:w="0" w:type="dxa"/>
            </w:tcMar>
            <w:tcW w:w="18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5"/>
              <w:rPr/>
            </w:pPr>
            <w:r>
              <w:rPr>
                <w:rFonts w:ascii="Times New Roman" w:hAnsi="Times New Roman" w:eastAsia="Times New Roman" w:cs="Times New Roman"/>
                <w:b/>
                <w:color w:val="000000"/>
                <w:sz w:val="22"/>
              </w:rPr>
              <w:t xml:space="preserve">ĐẶC ĐIỂM BĐS</w:t>
            </w:r>
            <w:r/>
          </w:p>
        </w:tc>
        <w:tc>
          <w:tcPr>
            <w:shd w:val="clear" w:color="ffffff" w:fill="ffffff"/>
            <w:tcBorders>
              <w:top w:val="single" w:color="000000" w:sz="8" w:space="0"/>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8" w:space="0"/>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8" w:space="0"/>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8" w:space="0"/>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r>
      <w:tr>
        <w:trPr>
          <w:trHeight w:val="0"/>
        </w:trPr>
        <w:tc>
          <w:tcPr>
            <w:shd w:val="clear" w:color="ffffff" w:fill="ffffff"/>
            <w:tcBorders>
              <w:left w:val="single" w:color="000000" w:sz="8" w:space="0"/>
              <w:bottom w:val="single" w:color="000000" w:sz="8" w:space="0"/>
              <w:right w:val="single" w:color="000000" w:sz="8" w:space="0"/>
            </w:tcBorders>
            <w:tcMar>
              <w:left w:w="15" w:type="dxa"/>
              <w:top w:w="15" w:type="dxa"/>
              <w:right w:w="15" w:type="dxa"/>
              <w:bottom w:w="0" w:type="dxa"/>
            </w:tcMar>
            <w:tcW w:w="3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5"/>
              <w:rPr/>
            </w:pPr>
            <w:r>
              <w:rPr>
                <w:rFonts w:ascii="Times New Roman" w:hAnsi="Times New Roman" w:eastAsia="Times New Roman" w:cs="Times New Roman"/>
                <w:b/>
                <w:color w:val="000000"/>
                <w:sz w:val="22"/>
              </w:rPr>
              <w:t xml:space="preserve">Thông tin về tài sản</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spacing w:after="0" w:before="0" w:line="240" w:lineRule="auto"/>
              <w:ind/>
              <w:rPr/>
            </w:pPr>
            <w:r/>
            <w:r/>
          </w:p>
        </w:tc>
      </w:tr>
      <w:tr>
        <w:trPr>
          <w:trHeight w:val="0"/>
        </w:trPr>
        <w:tc>
          <w:tcPr>
            <w:shd w:val="clear" w:color="ffffff" w:fill="ffffff"/>
            <w:tcBorders>
              <w:left w:val="single" w:color="000000" w:sz="8" w:space="0"/>
              <w:bottom w:val="single" w:color="000000" w:sz="8" w:space="0"/>
              <w:right w:val="single" w:color="000000" w:sz="8" w:space="0"/>
            </w:tcBorders>
            <w:tcMar>
              <w:left w:w="15" w:type="dxa"/>
              <w:top w:w="15" w:type="dxa"/>
              <w:right w:w="15" w:type="dxa"/>
              <w:bottom w:w="0" w:type="dxa"/>
            </w:tcMar>
            <w:tcW w:w="3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5"/>
              <w:rPr/>
            </w:pPr>
            <w:r>
              <w:rPr>
                <w:rFonts w:ascii="Times New Roman" w:hAnsi="Times New Roman" w:eastAsia="Times New Roman" w:cs="Times New Roman"/>
                <w:color w:val="000000"/>
                <w:sz w:val="22"/>
              </w:rPr>
              <w:t xml:space="preserve">Địa chỉ</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Khu đô thị hai bên đường Lê Trọng Tấn, phường Dương Nội, thành phố Hà Nội</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Khu đô thị hai bên đường Lê Trọng Tấn, phường Dương Nội, thành phố Hà Nội</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Khu đô thị hai bên đường Lê Trọng Tấn, phường Dương Nội, thành phố Hà Nội</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Khu đô thị hai bên đường Lê Trọng Tấn, phường Dương Nội, thành phố Hà Nội</w:t>
            </w:r>
            <w:r/>
          </w:p>
        </w:tc>
      </w:tr>
      <w:tr>
        <w:trPr>
          <w:trHeight w:val="0"/>
        </w:trPr>
        <w:tc>
          <w:tcPr>
            <w:shd w:val="clear" w:color="ffffff" w:fill="ffffff"/>
            <w:tcBorders>
              <w:left w:val="single" w:color="000000" w:sz="8" w:space="0"/>
              <w:bottom w:val="single" w:color="000000" w:sz="8" w:space="0"/>
              <w:right w:val="single" w:color="000000" w:sz="8" w:space="0"/>
            </w:tcBorders>
            <w:tcMar>
              <w:left w:w="15" w:type="dxa"/>
              <w:top w:w="15" w:type="dxa"/>
              <w:right w:w="15" w:type="dxa"/>
              <w:bottom w:w="0" w:type="dxa"/>
            </w:tcMar>
            <w:tcW w:w="3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5"/>
              <w:rPr/>
            </w:pPr>
            <w:r>
              <w:rPr>
                <w:rFonts w:ascii="Times New Roman" w:hAnsi="Times New Roman" w:eastAsia="Times New Roman" w:cs="Times New Roman"/>
                <w:color w:val="000000"/>
                <w:sz w:val="22"/>
              </w:rPr>
              <w:t xml:space="preserve">Nguồn tham khảo</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https://batdongsan.com.vn/ban-nha-biet-thu-lien-ke-duong-le-trong-tan-phuong-duong-noi-prj-khu-do-thi-geleximco-le-trong-tan/can-tien-gap-giam-gia-1-5ti-ban-gap-120m2-c-so-san-khong-loi-23-5-ti-pr44879949</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https://batdongsan.com.vn/ban-nha-biet-thu-lien-ke-duong-le-trong-tan-phuong-duong-noi-prj-khu-do-thi-geleximco-le-trong-tan/can-tien-gap-giam-gia-1-5ti-ban-gap-120m2-c-so-san-khong-loi-23-5-ti-pr44879949</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https://www.facebook.com/share/p/1DPfy41D9S/</w:t>
            </w:r>
            <w:r/>
          </w:p>
        </w:tc>
      </w:tr>
      <w:tr>
        <w:trPr>
          <w:trHeight w:val="0"/>
        </w:trPr>
        <w:tc>
          <w:tcPr>
            <w:shd w:val="clear" w:color="ffffff" w:fill="ffffff"/>
            <w:tcBorders>
              <w:left w:val="single" w:color="000000" w:sz="8" w:space="0"/>
              <w:bottom w:val="single" w:color="000000" w:sz="8" w:space="0"/>
              <w:right w:val="single" w:color="000000" w:sz="8" w:space="0"/>
            </w:tcBorders>
            <w:tcMar>
              <w:left w:w="15" w:type="dxa"/>
              <w:top w:w="15" w:type="dxa"/>
              <w:right w:w="15" w:type="dxa"/>
              <w:bottom w:w="0" w:type="dxa"/>
            </w:tcMar>
            <w:tcW w:w="35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5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5"/>
              <w:rPr/>
            </w:pPr>
            <w:r>
              <w:rPr>
                <w:rFonts w:ascii="Times New Roman" w:hAnsi="Times New Roman" w:eastAsia="Times New Roman" w:cs="Times New Roman"/>
                <w:color w:val="000000"/>
                <w:sz w:val="22"/>
              </w:rPr>
              <w:t xml:space="preserve">Thông tin liên lạc</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vMerge w:val="restart"/>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SDT: 0973027986</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SDT: 0973027986</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SDT: 0981.834.689</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(Sale Nguyễn Danh Tuấn)</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(Sale Nguyễn Danh Tuấn)</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(Sale Nguyễn Na)</w:t>
            </w:r>
            <w:r/>
          </w:p>
        </w:tc>
      </w:tr>
      <w:tr>
        <w:trPr>
          <w:trHeight w:val="0"/>
        </w:trPr>
        <w:tc>
          <w:tcPr>
            <w:shd w:val="clear" w:color="ffffff" w:fill="ffffff"/>
            <w:tcBorders>
              <w:left w:val="single" w:color="000000" w:sz="8" w:space="0"/>
              <w:bottom w:val="single" w:color="000000" w:sz="8" w:space="0"/>
              <w:right w:val="single" w:color="000000" w:sz="8" w:space="0"/>
            </w:tcBorders>
            <w:tcMar>
              <w:left w:w="15" w:type="dxa"/>
              <w:top w:w="15" w:type="dxa"/>
              <w:right w:w="15" w:type="dxa"/>
              <w:bottom w:w="0" w:type="dxa"/>
            </w:tcMar>
            <w:tcW w:w="3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5"/>
              <w:rPr/>
            </w:pPr>
            <w:r>
              <w:rPr>
                <w:rFonts w:ascii="Times New Roman" w:hAnsi="Times New Roman" w:eastAsia="Times New Roman" w:cs="Times New Roman"/>
                <w:color w:val="000000"/>
                <w:sz w:val="22"/>
              </w:rPr>
              <w:t xml:space="preserve">Tình trạng giao dịch</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Đang giao dịch</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Đang giao dịch</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Đang giao dịch</w:t>
            </w:r>
            <w:r/>
          </w:p>
        </w:tc>
      </w:tr>
      <w:tr>
        <w:trPr>
          <w:trHeight w:val="0"/>
        </w:trPr>
        <w:tc>
          <w:tcPr>
            <w:shd w:val="clear" w:color="ffffff" w:fill="ffffff"/>
            <w:tcBorders>
              <w:left w:val="single" w:color="000000" w:sz="8" w:space="0"/>
              <w:bottom w:val="single" w:color="000000" w:sz="8" w:space="0"/>
              <w:right w:val="single" w:color="000000" w:sz="8" w:space="0"/>
            </w:tcBorders>
            <w:tcMar>
              <w:left w:w="15" w:type="dxa"/>
              <w:top w:w="15" w:type="dxa"/>
              <w:right w:w="15" w:type="dxa"/>
              <w:bottom w:w="0" w:type="dxa"/>
            </w:tcMar>
            <w:tcW w:w="3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5"/>
              <w:rPr/>
            </w:pPr>
            <w:r>
              <w:rPr>
                <w:rFonts w:ascii="Times New Roman" w:hAnsi="Times New Roman" w:eastAsia="Times New Roman" w:cs="Times New Roman"/>
                <w:color w:val="000000"/>
                <w:sz w:val="22"/>
              </w:rPr>
              <w:t xml:space="preserve">Thời điểm thu thập thông tin</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Tháng 4/2026</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Tháng 4/2026</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Tháng 4/2026</w:t>
            </w:r>
            <w:r/>
          </w:p>
        </w:tc>
      </w:tr>
      <w:tr>
        <w:trPr>
          <w:trHeight w:val="0"/>
        </w:trPr>
        <w:tc>
          <w:tcPr>
            <w:shd w:val="clear" w:color="ffffff" w:fill="ffffff"/>
            <w:tcBorders>
              <w:left w:val="single" w:color="000000" w:sz="8" w:space="0"/>
              <w:bottom w:val="single" w:color="000000" w:sz="8" w:space="0"/>
              <w:right w:val="single" w:color="000000" w:sz="8" w:space="0"/>
            </w:tcBorders>
            <w:tcMar>
              <w:left w:w="15" w:type="dxa"/>
              <w:top w:w="15" w:type="dxa"/>
              <w:right w:w="15" w:type="dxa"/>
              <w:bottom w:w="0" w:type="dxa"/>
            </w:tcMar>
            <w:tcW w:w="3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5"/>
              <w:rPr/>
            </w:pPr>
            <w:r>
              <w:rPr>
                <w:rFonts w:ascii="Times New Roman" w:hAnsi="Times New Roman" w:eastAsia="Times New Roman" w:cs="Times New Roman"/>
                <w:color w:val="000000"/>
                <w:sz w:val="22"/>
              </w:rPr>
              <w:t xml:space="preserve">Tính chất giao dịch</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rHeight w:val="0"/>
        </w:trPr>
        <w:tc>
          <w:tcPr>
            <w:shd w:val="clear" w:color="ffffff" w:fill="ffffff"/>
            <w:tcBorders>
              <w:left w:val="single" w:color="000000" w:sz="8" w:space="0"/>
              <w:bottom w:val="single" w:color="000000" w:sz="8" w:space="0"/>
              <w:right w:val="single" w:color="000000" w:sz="8" w:space="0"/>
            </w:tcBorders>
            <w:tcMar>
              <w:left w:w="15" w:type="dxa"/>
              <w:top w:w="15" w:type="dxa"/>
              <w:right w:w="15" w:type="dxa"/>
              <w:bottom w:w="0" w:type="dxa"/>
            </w:tcMar>
            <w:tcW w:w="3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5"/>
              <w:rPr/>
            </w:pPr>
            <w:r>
              <w:rPr>
                <w:rFonts w:ascii="Times New Roman" w:hAnsi="Times New Roman" w:eastAsia="Times New Roman" w:cs="Times New Roman"/>
                <w:color w:val="000000"/>
                <w:sz w:val="22"/>
              </w:rPr>
              <w:t xml:space="preserve">Pháp lý</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0"/>
        </w:trPr>
        <w:tc>
          <w:tcPr>
            <w:shd w:val="clear" w:color="ffffff" w:fill="ffffff"/>
            <w:tcBorders>
              <w:left w:val="single" w:color="000000" w:sz="8" w:space="0"/>
              <w:bottom w:val="single" w:color="000000" w:sz="8" w:space="0"/>
              <w:right w:val="single" w:color="000000" w:sz="8" w:space="0"/>
            </w:tcBorders>
            <w:tcMar>
              <w:left w:w="15" w:type="dxa"/>
              <w:top w:w="15" w:type="dxa"/>
              <w:right w:w="15" w:type="dxa"/>
              <w:bottom w:w="0" w:type="dxa"/>
            </w:tcMar>
            <w:tcW w:w="3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5"/>
              <w:rPr/>
            </w:pPr>
            <w:r>
              <w:rPr>
                <w:rFonts w:ascii="Times New Roman" w:hAnsi="Times New Roman" w:eastAsia="Times New Roman" w:cs="Times New Roman"/>
                <w:color w:val="000000"/>
                <w:sz w:val="22"/>
              </w:rPr>
              <w:t xml:space="preserve">Mục đích sử dụng</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nông thôn</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nông thôn</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nông thôn</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nông thôn</w:t>
            </w:r>
            <w:r/>
          </w:p>
        </w:tc>
      </w:tr>
      <w:tr>
        <w:trPr>
          <w:trHeight w:val="0"/>
        </w:trPr>
        <w:tc>
          <w:tcPr>
            <w:shd w:val="clear" w:color="ffffff" w:fill="ffffff"/>
            <w:tcBorders>
              <w:left w:val="single" w:color="000000" w:sz="8" w:space="0"/>
              <w:bottom w:val="single" w:color="000000" w:sz="8" w:space="0"/>
              <w:right w:val="single" w:color="000000" w:sz="8" w:space="0"/>
            </w:tcBorders>
            <w:tcMar>
              <w:left w:w="15" w:type="dxa"/>
              <w:top w:w="15" w:type="dxa"/>
              <w:right w:w="15" w:type="dxa"/>
              <w:bottom w:w="0" w:type="dxa"/>
            </w:tcMar>
            <w:tcW w:w="3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5"/>
              <w:rPr/>
            </w:pPr>
            <w:r>
              <w:rPr>
                <w:rFonts w:ascii="Times New Roman" w:hAnsi="Times New Roman" w:eastAsia="Times New Roman" w:cs="Times New Roman"/>
                <w:color w:val="000000"/>
                <w:sz w:val="22"/>
              </w:rPr>
              <w:t xml:space="preserve">Thời hạn sử dụng đất</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r>
      <w:tr>
        <w:trPr>
          <w:trHeight w:val="0"/>
        </w:trPr>
        <w:tc>
          <w:tcPr>
            <w:shd w:val="clear" w:color="ffffff" w:fill="ffffff"/>
            <w:tcBorders>
              <w:left w:val="single" w:color="000000" w:sz="8" w:space="0"/>
              <w:bottom w:val="single" w:color="000000" w:sz="8" w:space="0"/>
              <w:right w:val="single" w:color="000000" w:sz="8" w:space="0"/>
            </w:tcBorders>
            <w:tcMar>
              <w:left w:w="15" w:type="dxa"/>
              <w:top w:w="15" w:type="dxa"/>
              <w:right w:w="15" w:type="dxa"/>
              <w:bottom w:w="0" w:type="dxa"/>
            </w:tcMar>
            <w:tcW w:w="3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5"/>
              <w:rPr/>
            </w:pPr>
            <w:r>
              <w:rPr>
                <w:rFonts w:ascii="Times New Roman" w:hAnsi="Times New Roman" w:eastAsia="Times New Roman" w:cs="Times New Roman"/>
                <w:color w:val="000000"/>
                <w:sz w:val="22"/>
              </w:rPr>
              <w:t xml:space="preserve">Vị trí</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cách đường Lê Trọng Tấn khoảng 650m</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cách đường Lê Trọng Tấn khoảng 350m</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cách đường Lê Trọng Tấn khoảng 160m</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cách đường Lê Trọng Tấn khoảng 500m</w:t>
            </w:r>
            <w:r/>
          </w:p>
        </w:tc>
      </w:tr>
      <w:tr>
        <w:trPr>
          <w:trHeight w:val="0"/>
        </w:trPr>
        <w:tc>
          <w:tcPr>
            <w:shd w:val="clear" w:color="ffffff" w:fill="ffffff"/>
            <w:tcBorders>
              <w:left w:val="single" w:color="000000" w:sz="8" w:space="0"/>
              <w:bottom w:val="single" w:color="000000" w:sz="8" w:space="0"/>
              <w:right w:val="single" w:color="000000" w:sz="8" w:space="0"/>
            </w:tcBorders>
            <w:tcMar>
              <w:left w:w="15" w:type="dxa"/>
              <w:top w:w="15" w:type="dxa"/>
              <w:right w:w="15" w:type="dxa"/>
              <w:bottom w:w="0" w:type="dxa"/>
            </w:tcMar>
            <w:tcW w:w="3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5"/>
              <w:rPr/>
            </w:pPr>
            <w:r>
              <w:rPr>
                <w:rFonts w:ascii="Times New Roman" w:hAnsi="Times New Roman" w:eastAsia="Times New Roman" w:cs="Times New Roman"/>
                <w:color w:val="000000"/>
                <w:sz w:val="22"/>
              </w:rPr>
              <w:t xml:space="preserve">Giao thông</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13,5m</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13,5m</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20,5</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13,5m</w:t>
            </w:r>
            <w:r/>
          </w:p>
        </w:tc>
      </w:tr>
      <w:tr>
        <w:trPr>
          <w:trHeight w:val="0"/>
        </w:trPr>
        <w:tc>
          <w:tcPr>
            <w:shd w:val="clear" w:color="ffffff" w:fill="ffffff"/>
            <w:tcBorders>
              <w:left w:val="single" w:color="000000" w:sz="8" w:space="0"/>
              <w:bottom w:val="single" w:color="000000" w:sz="8" w:space="0"/>
              <w:right w:val="single" w:color="000000" w:sz="8" w:space="0"/>
            </w:tcBorders>
            <w:tcMar>
              <w:left w:w="15" w:type="dxa"/>
              <w:top w:w="15" w:type="dxa"/>
              <w:right w:w="15" w:type="dxa"/>
              <w:bottom w:w="0" w:type="dxa"/>
            </w:tcMar>
            <w:tcW w:w="3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5"/>
              <w:rPr/>
            </w:pPr>
            <w:r>
              <w:rPr>
                <w:rFonts w:ascii="Times New Roman" w:hAnsi="Times New Roman" w:eastAsia="Times New Roman" w:cs="Times New Roman"/>
                <w:color w:val="000000"/>
                <w:sz w:val="22"/>
              </w:rPr>
              <w:t xml:space="preserve">Diện tích đất</w:t>
              <w:br/>
              <w:t xml:space="preserve">  (m²)</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80</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120</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142</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240</w:t>
            </w:r>
            <w:r/>
          </w:p>
        </w:tc>
      </w:tr>
      <w:tr>
        <w:trPr>
          <w:trHeight w:val="0"/>
        </w:trPr>
        <w:tc>
          <w:tcPr>
            <w:shd w:val="clear" w:color="ffffff" w:fill="ffffff"/>
            <w:tcBorders>
              <w:left w:val="single" w:color="000000" w:sz="8" w:space="0"/>
              <w:bottom w:val="single" w:color="000000" w:sz="8" w:space="0"/>
              <w:right w:val="single" w:color="000000" w:sz="8" w:space="0"/>
            </w:tcBorders>
            <w:tcMar>
              <w:left w:w="15" w:type="dxa"/>
              <w:top w:w="15" w:type="dxa"/>
              <w:right w:w="15" w:type="dxa"/>
              <w:bottom w:w="0" w:type="dxa"/>
            </w:tcMar>
            <w:tcW w:w="3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5"/>
              <w:rPr/>
            </w:pPr>
            <w:r>
              <w:rPr>
                <w:rFonts w:ascii="Times New Roman" w:hAnsi="Times New Roman" w:eastAsia="Times New Roman" w:cs="Times New Roman"/>
                <w:color w:val="000000"/>
                <w:sz w:val="22"/>
              </w:rPr>
              <w:t xml:space="preserve">Mặt tiền (m)</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9,5</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w:t>
            </w:r>
            <w:r/>
          </w:p>
        </w:tc>
      </w:tr>
      <w:tr>
        <w:trPr>
          <w:trHeight w:val="0"/>
        </w:trPr>
        <w:tc>
          <w:tcPr>
            <w:shd w:val="clear" w:color="ffffff" w:fill="ffffff"/>
            <w:tcBorders>
              <w:left w:val="single" w:color="000000" w:sz="8" w:space="0"/>
              <w:bottom w:val="single" w:color="000000" w:sz="8" w:space="0"/>
              <w:right w:val="single" w:color="000000" w:sz="8" w:space="0"/>
            </w:tcBorders>
            <w:tcMar>
              <w:left w:w="15" w:type="dxa"/>
              <w:top w:w="15" w:type="dxa"/>
              <w:right w:w="15" w:type="dxa"/>
              <w:bottom w:w="0" w:type="dxa"/>
            </w:tcMar>
            <w:tcW w:w="3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5"/>
              <w:rPr/>
            </w:pPr>
            <w:r>
              <w:rPr>
                <w:rFonts w:ascii="Times New Roman" w:hAnsi="Times New Roman" w:eastAsia="Times New Roman" w:cs="Times New Roman"/>
                <w:color w:val="000000"/>
                <w:sz w:val="22"/>
              </w:rPr>
              <w:t xml:space="preserve">Số lượng mặt tiếp giáp</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2 mặt tiền</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0"/>
        </w:trPr>
        <w:tc>
          <w:tcPr>
            <w:shd w:val="clear" w:color="ffffff" w:fill="ffffff"/>
            <w:tcBorders>
              <w:left w:val="single" w:color="000000" w:sz="8" w:space="0"/>
              <w:bottom w:val="single" w:color="000000" w:sz="8" w:space="0"/>
              <w:right w:val="single" w:color="000000" w:sz="8" w:space="0"/>
            </w:tcBorders>
            <w:tcMar>
              <w:left w:w="15" w:type="dxa"/>
              <w:top w:w="15" w:type="dxa"/>
              <w:right w:w="15" w:type="dxa"/>
              <w:bottom w:w="0" w:type="dxa"/>
            </w:tcMar>
            <w:tcW w:w="3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5"/>
              <w:rPr/>
            </w:pPr>
            <w:r>
              <w:rPr>
                <w:rFonts w:ascii="Times New Roman" w:hAnsi="Times New Roman" w:eastAsia="Times New Roman" w:cs="Times New Roman"/>
                <w:color w:val="000000"/>
                <w:sz w:val="22"/>
              </w:rPr>
              <w:t xml:space="preserve">Hình dáng thửa đất</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Vuông vức</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Vuông vức</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Vuông vức</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Vuông vức</w:t>
            </w:r>
            <w:r/>
          </w:p>
        </w:tc>
      </w:tr>
      <w:tr>
        <w:trPr>
          <w:trHeight w:val="0"/>
        </w:trPr>
        <w:tc>
          <w:tcPr>
            <w:shd w:val="clear" w:color="ffffff" w:fill="ffffff"/>
            <w:tcBorders>
              <w:left w:val="single" w:color="000000" w:sz="8" w:space="0"/>
              <w:bottom w:val="single" w:color="000000" w:sz="8" w:space="0"/>
              <w:right w:val="single" w:color="000000" w:sz="8" w:space="0"/>
            </w:tcBorders>
            <w:tcMar>
              <w:left w:w="15" w:type="dxa"/>
              <w:top w:w="15" w:type="dxa"/>
              <w:right w:w="15" w:type="dxa"/>
              <w:bottom w:w="0" w:type="dxa"/>
            </w:tcMar>
            <w:tcW w:w="3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5"/>
              <w:rPr/>
            </w:pPr>
            <w:r>
              <w:rPr>
                <w:rFonts w:ascii="Times New Roman" w:hAnsi="Times New Roman" w:eastAsia="Times New Roman" w:cs="Times New Roman"/>
                <w:color w:val="000000"/>
                <w:sz w:val="22"/>
              </w:rPr>
              <w:t xml:space="preserve">Lợi thế kinh doanh</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Phù hợp để ở</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Phù hợp để ở</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Phù hợp để ở</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Phù hợp để ở</w:t>
            </w:r>
            <w:r/>
          </w:p>
        </w:tc>
      </w:tr>
      <w:tr>
        <w:trPr>
          <w:trHeight w:val="0"/>
        </w:trPr>
        <w:tc>
          <w:tcPr>
            <w:shd w:val="clear" w:color="ffffff" w:fill="ffffff"/>
            <w:tcBorders>
              <w:left w:val="single" w:color="000000" w:sz="8" w:space="0"/>
              <w:bottom w:val="single" w:color="000000" w:sz="8" w:space="0"/>
              <w:right w:val="single" w:color="000000" w:sz="8" w:space="0"/>
            </w:tcBorders>
            <w:tcMar>
              <w:left w:w="15" w:type="dxa"/>
              <w:top w:w="15" w:type="dxa"/>
              <w:right w:w="15" w:type="dxa"/>
              <w:bottom w:w="0" w:type="dxa"/>
            </w:tcMar>
            <w:tcW w:w="3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5"/>
              <w:rPr/>
            </w:pPr>
            <w:r>
              <w:rPr>
                <w:rFonts w:ascii="Times New Roman" w:hAnsi="Times New Roman" w:eastAsia="Times New Roman" w:cs="Times New Roman"/>
                <w:color w:val="000000"/>
                <w:sz w:val="22"/>
              </w:rPr>
              <w:t xml:space="preserve">Yếu tố khác (Yếu tố phong thủy/Yếu tố tâm linh)</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Không</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Không</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Không</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Không</w:t>
            </w:r>
            <w:r/>
          </w:p>
        </w:tc>
      </w:tr>
      <w:tr>
        <w:trPr>
          <w:trHeight w:val="0"/>
        </w:trPr>
        <w:tc>
          <w:tcPr>
            <w:shd w:val="clear" w:color="ffffff" w:fill="ffffff"/>
            <w:tcBorders>
              <w:left w:val="single" w:color="000000" w:sz="8" w:space="0"/>
              <w:bottom w:val="single" w:color="000000" w:sz="8" w:space="0"/>
              <w:right w:val="single" w:color="000000" w:sz="8" w:space="0"/>
            </w:tcBorders>
            <w:tcMar>
              <w:left w:w="15" w:type="dxa"/>
              <w:top w:w="15" w:type="dxa"/>
              <w:right w:w="15" w:type="dxa"/>
              <w:bottom w:w="0" w:type="dxa"/>
            </w:tcMar>
            <w:tcW w:w="3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5"/>
              <w:rPr/>
            </w:pPr>
            <w:r>
              <w:rPr>
                <w:rFonts w:ascii="Times New Roman" w:hAnsi="Times New Roman" w:eastAsia="Times New Roman" w:cs="Times New Roman"/>
                <w:color w:val="000000"/>
                <w:sz w:val="22"/>
              </w:rPr>
              <w:t xml:space="preserve">Điều kiện cơ sở hạ tầng kỹ thuật</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r>
      <w:tr>
        <w:trPr>
          <w:trHeight w:val="0"/>
        </w:trPr>
        <w:tc>
          <w:tcPr>
            <w:shd w:val="clear" w:color="ffffff" w:fill="ffffff"/>
            <w:tcBorders>
              <w:left w:val="single" w:color="000000" w:sz="8" w:space="0"/>
              <w:bottom w:val="single" w:color="000000" w:sz="8" w:space="0"/>
              <w:right w:val="single" w:color="000000" w:sz="8" w:space="0"/>
            </w:tcBorders>
            <w:tcMar>
              <w:left w:w="15" w:type="dxa"/>
              <w:top w:w="15" w:type="dxa"/>
              <w:right w:w="15" w:type="dxa"/>
              <w:bottom w:w="0" w:type="dxa"/>
            </w:tcMar>
            <w:tcW w:w="3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5"/>
              <w:rPr/>
            </w:pPr>
            <w:r>
              <w:rPr>
                <w:rFonts w:ascii="Times New Roman" w:hAnsi="Times New Roman" w:eastAsia="Times New Roman" w:cs="Times New Roman"/>
                <w:color w:val="000000"/>
                <w:sz w:val="22"/>
              </w:rPr>
              <w:t xml:space="preserve">Tài sản trên đất</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Nhà 4 tầng</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Nhà 4 tầng</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Nhà 3 tầng</w:t>
            </w:r>
            <w:r/>
          </w:p>
        </w:tc>
      </w:tr>
      <w:tr>
        <w:trPr>
          <w:trHeight w:val="0"/>
        </w:trPr>
        <w:tc>
          <w:tcPr>
            <w:shd w:val="clear" w:color="ffffff" w:fill="ffffff"/>
            <w:tcBorders>
              <w:left w:val="single" w:color="000000" w:sz="8" w:space="0"/>
              <w:bottom w:val="single" w:color="000000" w:sz="8" w:space="0"/>
              <w:right w:val="single" w:color="000000" w:sz="8" w:space="0"/>
            </w:tcBorders>
            <w:tcMar>
              <w:left w:w="15" w:type="dxa"/>
              <w:top w:w="15" w:type="dxa"/>
              <w:right w:w="15" w:type="dxa"/>
              <w:bottom w:w="0" w:type="dxa"/>
            </w:tcMar>
            <w:tcW w:w="3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5"/>
              <w:rPr/>
            </w:pPr>
            <w:r>
              <w:rPr>
                <w:rFonts w:ascii="Times New Roman" w:hAnsi="Times New Roman" w:eastAsia="Times New Roman" w:cs="Times New Roman"/>
                <w:color w:val="000000"/>
                <w:sz w:val="22"/>
              </w:rPr>
              <w:t xml:space="preserve">Số tầng</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w:t>
            </w:r>
            <w:r/>
          </w:p>
        </w:tc>
      </w:tr>
      <w:tr>
        <w:trPr>
          <w:trHeight w:val="0"/>
        </w:trPr>
        <w:tc>
          <w:tcPr>
            <w:shd w:val="clear" w:color="ffffff" w:fill="ffffff"/>
            <w:tcBorders>
              <w:left w:val="single" w:color="000000" w:sz="8" w:space="0"/>
              <w:bottom w:val="single" w:color="000000" w:sz="8" w:space="0"/>
              <w:right w:val="single" w:color="000000" w:sz="8" w:space="0"/>
            </w:tcBorders>
            <w:tcMar>
              <w:left w:w="15" w:type="dxa"/>
              <w:top w:w="15" w:type="dxa"/>
              <w:right w:w="15" w:type="dxa"/>
              <w:bottom w:w="0" w:type="dxa"/>
            </w:tcMar>
            <w:tcW w:w="3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5"/>
              <w:rPr/>
            </w:pPr>
            <w:r>
              <w:rPr>
                <w:rFonts w:ascii="Times New Roman" w:hAnsi="Times New Roman" w:eastAsia="Times New Roman" w:cs="Times New Roman"/>
                <w:color w:val="000000"/>
                <w:sz w:val="22"/>
              </w:rPr>
              <w:t xml:space="preserve">Diện tích sàn sử dụng (m²)</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480,0</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568,0</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423,0</w:t>
            </w:r>
            <w:r/>
          </w:p>
        </w:tc>
      </w:tr>
      <w:tr>
        <w:trPr>
          <w:trHeight w:val="0"/>
        </w:trPr>
        <w:tc>
          <w:tcPr>
            <w:shd w:val="clear" w:color="ffffff" w:fill="ffffff"/>
            <w:tcBorders>
              <w:left w:val="single" w:color="000000" w:sz="8" w:space="0"/>
              <w:bottom w:val="single" w:color="000000" w:sz="8" w:space="0"/>
              <w:right w:val="single" w:color="000000" w:sz="8" w:space="0"/>
            </w:tcBorders>
            <w:tcMar>
              <w:left w:w="15" w:type="dxa"/>
              <w:top w:w="15" w:type="dxa"/>
              <w:right w:w="15" w:type="dxa"/>
              <w:bottom w:w="0" w:type="dxa"/>
            </w:tcMar>
            <w:tcW w:w="3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5"/>
              <w:rPr/>
            </w:pPr>
            <w:r>
              <w:rPr>
                <w:rFonts w:ascii="Times New Roman" w:hAnsi="Times New Roman" w:eastAsia="Times New Roman" w:cs="Times New Roman"/>
                <w:color w:val="000000"/>
                <w:sz w:val="22"/>
              </w:rPr>
              <w:t xml:space="preserve">Giá rao (đồng)</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23.500.000.000</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32.000.000.000</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46.000.000.000</w:t>
            </w:r>
            <w:r/>
          </w:p>
        </w:tc>
      </w:tr>
      <w:tr>
        <w:trPr>
          <w:trHeight w:val="0"/>
        </w:trPr>
        <w:tc>
          <w:tcPr>
            <w:shd w:val="clear" w:color="ffffff" w:fill="ffffff"/>
            <w:tcBorders>
              <w:left w:val="single" w:color="000000" w:sz="8" w:space="0"/>
              <w:bottom w:val="single" w:color="000000" w:sz="8" w:space="0"/>
              <w:right w:val="single" w:color="000000" w:sz="8" w:space="0"/>
            </w:tcBorders>
            <w:tcMar>
              <w:left w:w="15" w:type="dxa"/>
              <w:top w:w="15" w:type="dxa"/>
              <w:right w:w="15" w:type="dxa"/>
              <w:bottom w:w="0" w:type="dxa"/>
            </w:tcMar>
            <w:tcW w:w="3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5"/>
              <w:rPr/>
            </w:pPr>
            <w:r>
              <w:rPr>
                <w:rFonts w:ascii="Times New Roman" w:hAnsi="Times New Roman" w:eastAsia="Times New Roman" w:cs="Times New Roman"/>
                <w:color w:val="000000"/>
                <w:sz w:val="22"/>
              </w:rPr>
              <w:t xml:space="preserve">Giá thương lượng/bán (đồng)</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21.150.000.000</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28.800.000.000</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41.400.000.000</w:t>
            </w:r>
            <w:r/>
          </w:p>
        </w:tc>
      </w:tr>
      <w:tr>
        <w:trPr>
          <w:trHeight w:val="0"/>
        </w:trPr>
        <w:tc>
          <w:tcPr>
            <w:shd w:val="clear" w:color="ffffff" w:fill="ffffff"/>
            <w:tcBorders>
              <w:left w:val="single" w:color="000000" w:sz="8" w:space="0"/>
              <w:bottom w:val="single" w:color="000000" w:sz="8" w:space="0"/>
              <w:right w:val="single" w:color="000000" w:sz="8" w:space="0"/>
            </w:tcBorders>
            <w:tcMar>
              <w:left w:w="15" w:type="dxa"/>
              <w:top w:w="15" w:type="dxa"/>
              <w:right w:w="15" w:type="dxa"/>
              <w:bottom w:w="0" w:type="dxa"/>
            </w:tcMar>
            <w:tcW w:w="3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5"/>
              <w:rPr/>
            </w:pPr>
            <w:r>
              <w:rPr>
                <w:rFonts w:ascii="Times New Roman" w:hAnsi="Times New Roman" w:eastAsia="Times New Roman" w:cs="Times New Roman"/>
                <w:b/>
                <w:color w:val="000000"/>
                <w:sz w:val="22"/>
              </w:rPr>
              <w:t xml:space="preserve">Chi tiết tính toán</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spacing w:after="0" w:before="0" w:line="240" w:lineRule="auto"/>
              <w:ind/>
              <w:rPr/>
            </w:pPr>
            <w:r/>
            <w:r/>
          </w:p>
        </w:tc>
      </w:tr>
      <w:tr>
        <w:trPr>
          <w:trHeight w:val="0"/>
        </w:trPr>
        <w:tc>
          <w:tcPr>
            <w:shd w:val="clear" w:color="ffffff" w:fill="ffffff"/>
            <w:tcBorders>
              <w:left w:val="single" w:color="000000" w:sz="8" w:space="0"/>
              <w:bottom w:val="single" w:color="000000" w:sz="8" w:space="0"/>
              <w:right w:val="single" w:color="000000" w:sz="8" w:space="0"/>
            </w:tcBorders>
            <w:tcMar>
              <w:left w:w="15" w:type="dxa"/>
              <w:top w:w="15" w:type="dxa"/>
              <w:right w:w="15" w:type="dxa"/>
              <w:bottom w:w="0" w:type="dxa"/>
            </w:tcMar>
            <w:tcW w:w="3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5"/>
              <w:rPr/>
            </w:pPr>
            <w:r>
              <w:rPr>
                <w:rFonts w:ascii="Times New Roman" w:hAnsi="Times New Roman" w:eastAsia="Times New Roman" w:cs="Times New Roman"/>
                <w:b/>
                <w:color w:val="000000"/>
                <w:sz w:val="22"/>
              </w:rPr>
              <w:t xml:space="preserve">Giá trị tài sản trên đất (đồng)</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2.796.221.324</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3.435.541.597</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3.404.831.289</w:t>
            </w:r>
            <w:r/>
          </w:p>
        </w:tc>
      </w:tr>
      <w:tr>
        <w:trPr>
          <w:trHeight w:val="0"/>
        </w:trPr>
        <w:tc>
          <w:tcPr>
            <w:shd w:val="clear" w:color="ffffff" w:fill="ffffff"/>
            <w:tcBorders>
              <w:left w:val="single" w:color="000000" w:sz="8" w:space="0"/>
              <w:bottom w:val="single" w:color="000000" w:sz="8" w:space="0"/>
              <w:right w:val="single" w:color="000000" w:sz="8" w:space="0"/>
            </w:tcBorders>
            <w:tcMar>
              <w:left w:w="15" w:type="dxa"/>
              <w:top w:w="15" w:type="dxa"/>
              <w:right w:w="15" w:type="dxa"/>
              <w:bottom w:w="0" w:type="dxa"/>
            </w:tcMar>
            <w:tcW w:w="3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5"/>
              <w:rPr/>
            </w:pPr>
            <w:r>
              <w:rPr>
                <w:rFonts w:ascii="Times New Roman" w:hAnsi="Times New Roman" w:eastAsia="Times New Roman" w:cs="Times New Roman"/>
                <w:color w:val="000000"/>
                <w:sz w:val="22"/>
              </w:rPr>
              <w:t xml:space="preserve">Đơn giá xây dựng theo Quyết định 409/QĐ-BXD năm 2025 của Bộ Xây Dựng (đồng/m²)</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6.472.735</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6.300.509</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8.943.607</w:t>
            </w:r>
            <w:r/>
          </w:p>
        </w:tc>
      </w:tr>
      <w:tr>
        <w:trPr>
          <w:trHeight w:val="0"/>
        </w:trPr>
        <w:tc>
          <w:tcPr>
            <w:shd w:val="clear" w:color="ffffff" w:fill="ffffff"/>
            <w:tcBorders>
              <w:left w:val="single" w:color="000000" w:sz="8" w:space="0"/>
              <w:bottom w:val="single" w:color="000000" w:sz="8" w:space="0"/>
              <w:right w:val="single" w:color="000000" w:sz="8" w:space="0"/>
            </w:tcBorders>
            <w:tcMar>
              <w:left w:w="15" w:type="dxa"/>
              <w:top w:w="15" w:type="dxa"/>
              <w:right w:w="15" w:type="dxa"/>
              <w:bottom w:w="0" w:type="dxa"/>
            </w:tcMar>
            <w:tcW w:w="3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5"/>
              <w:rPr/>
            </w:pPr>
            <w:r>
              <w:rPr>
                <w:rFonts w:ascii="Times New Roman" w:hAnsi="Times New Roman" w:eastAsia="Times New Roman" w:cs="Times New Roman"/>
                <w:color w:val="000000"/>
                <w:sz w:val="22"/>
              </w:rPr>
              <w:t xml:space="preserve">Tỷ lệ % CLCL</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90%</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96%</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90%</w:t>
            </w:r>
            <w:r/>
          </w:p>
        </w:tc>
      </w:tr>
      <w:tr>
        <w:trPr>
          <w:trHeight w:val="0"/>
        </w:trPr>
        <w:tc>
          <w:tcPr>
            <w:shd w:val="clear" w:color="ffffff" w:fill="ffffff"/>
            <w:tcBorders>
              <w:left w:val="single" w:color="000000" w:sz="8" w:space="0"/>
              <w:bottom w:val="single" w:color="000000" w:sz="8" w:space="0"/>
              <w:right w:val="single" w:color="000000" w:sz="8" w:space="0"/>
            </w:tcBorders>
            <w:tcMar>
              <w:left w:w="15" w:type="dxa"/>
              <w:top w:w="15" w:type="dxa"/>
              <w:right w:w="15" w:type="dxa"/>
              <w:bottom w:w="0" w:type="dxa"/>
            </w:tcMar>
            <w:tcW w:w="3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5"/>
              <w:rPr/>
            </w:pPr>
            <w:r>
              <w:rPr>
                <w:rFonts w:ascii="Times New Roman" w:hAnsi="Times New Roman" w:eastAsia="Times New Roman" w:cs="Times New Roman"/>
                <w:b/>
                <w:color w:val="000000"/>
                <w:sz w:val="22"/>
              </w:rPr>
              <w:t xml:space="preserve">Giá trị đất ở (đồng)</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18.353.778.676</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25.364.458.403</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37.995.168.711</w:t>
            </w:r>
            <w:r/>
          </w:p>
        </w:tc>
      </w:tr>
      <w:tr>
        <w:trPr>
          <w:trHeight w:val="0"/>
        </w:trPr>
        <w:tc>
          <w:tcPr>
            <w:shd w:val="clear" w:color="ffffff" w:fill="ffffff"/>
            <w:tcBorders>
              <w:left w:val="single" w:color="000000" w:sz="8" w:space="0"/>
              <w:bottom w:val="single" w:color="000000" w:sz="8" w:space="0"/>
              <w:right w:val="single" w:color="000000" w:sz="8" w:space="0"/>
            </w:tcBorders>
            <w:tcMar>
              <w:left w:w="15" w:type="dxa"/>
              <w:top w:w="15" w:type="dxa"/>
              <w:right w:w="15" w:type="dxa"/>
              <w:bottom w:w="0" w:type="dxa"/>
            </w:tcMar>
            <w:tcW w:w="3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5"/>
              <w:rPr/>
            </w:pPr>
            <w:r>
              <w:rPr>
                <w:rFonts w:ascii="Times New Roman" w:hAnsi="Times New Roman" w:eastAsia="Times New Roman" w:cs="Times New Roman"/>
                <w:b/>
                <w:color w:val="000000"/>
                <w:sz w:val="22"/>
              </w:rPr>
              <w:t xml:space="preserve">Đơn giá QSDĐ (đồng/m²)</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152.948.156</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178.622.946</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158.313.203</w:t>
            </w:r>
            <w:r/>
          </w:p>
        </w:tc>
      </w:tr>
      <w:tr>
        <w:trPr>
          <w:trHeight w:val="0"/>
        </w:trPr>
        <w:tc>
          <w:tcPr>
            <w:shd w:val="clear" w:color="ffffff" w:fill="ffffff"/>
            <w:tcBorders>
              <w:left w:val="single" w:color="000000" w:sz="8" w:space="0"/>
              <w:bottom w:val="single" w:color="000000" w:sz="8" w:space="0"/>
              <w:right w:val="single" w:color="000000" w:sz="8" w:space="0"/>
            </w:tcBorders>
            <w:tcMar>
              <w:left w:w="15" w:type="dxa"/>
              <w:top w:w="15" w:type="dxa"/>
              <w:right w:w="15" w:type="dxa"/>
              <w:bottom w:w="0" w:type="dxa"/>
            </w:tcMar>
            <w:tcW w:w="3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5"/>
              <w:rPr/>
            </w:pPr>
            <w:r>
              <w:rPr>
                <w:rFonts w:ascii="Times New Roman" w:hAnsi="Times New Roman" w:eastAsia="Times New Roman" w:cs="Times New Roman"/>
                <w:b/>
                <w:color w:val="000000"/>
                <w:sz w:val="22"/>
              </w:rPr>
              <w:t xml:space="preserve">NHẬN XÉT</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spacing w:after="0" w:before="0" w:line="240" w:lineRule="auto"/>
              <w:ind/>
              <w:rPr/>
            </w:pPr>
            <w:r/>
            <w:r/>
          </w:p>
        </w:tc>
      </w:tr>
      <w:tr>
        <w:trPr>
          <w:trHeight w:val="0"/>
        </w:trPr>
        <w:tc>
          <w:tcPr>
            <w:shd w:val="clear" w:color="ffffff" w:fill="ffffff"/>
            <w:tcBorders>
              <w:left w:val="single" w:color="000000" w:sz="8" w:space="0"/>
              <w:bottom w:val="single" w:color="000000" w:sz="8" w:space="0"/>
              <w:right w:val="single" w:color="000000" w:sz="8" w:space="0"/>
            </w:tcBorders>
            <w:tcMar>
              <w:left w:w="15" w:type="dxa"/>
              <w:top w:w="15" w:type="dxa"/>
              <w:right w:w="15" w:type="dxa"/>
              <w:bottom w:w="0" w:type="dxa"/>
            </w:tcMar>
            <w:tcW w:w="3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5"/>
              <w:rPr/>
            </w:pPr>
            <w:r>
              <w:rPr>
                <w:rFonts w:ascii="Times New Roman" w:hAnsi="Times New Roman" w:eastAsia="Times New Roman" w:cs="Times New Roman"/>
                <w:color w:val="000000"/>
                <w:sz w:val="22"/>
              </w:rPr>
              <w:t xml:space="preserve">Pháp lý</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0"/>
        </w:trPr>
        <w:tc>
          <w:tcPr>
            <w:shd w:val="clear" w:color="ffffff" w:fill="ffffff"/>
            <w:tcBorders>
              <w:left w:val="single" w:color="000000" w:sz="8" w:space="0"/>
              <w:bottom w:val="single" w:color="000000" w:sz="8" w:space="0"/>
              <w:right w:val="single" w:color="000000" w:sz="8" w:space="0"/>
            </w:tcBorders>
            <w:tcMar>
              <w:left w:w="15" w:type="dxa"/>
              <w:top w:w="15" w:type="dxa"/>
              <w:right w:w="15" w:type="dxa"/>
              <w:bottom w:w="0" w:type="dxa"/>
            </w:tcMar>
            <w:tcW w:w="3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5"/>
              <w:rPr/>
            </w:pPr>
            <w:r>
              <w:rPr>
                <w:rFonts w:ascii="Times New Roman" w:hAnsi="Times New Roman" w:eastAsia="Times New Roman" w:cs="Times New Roman"/>
                <w:color w:val="000000"/>
                <w:sz w:val="22"/>
              </w:rPr>
              <w:t xml:space="preserve">Vị trí</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0"/>
        </w:trPr>
        <w:tc>
          <w:tcPr>
            <w:shd w:val="clear" w:color="ffffff" w:fill="ffffff"/>
            <w:tcBorders>
              <w:left w:val="single" w:color="000000" w:sz="8" w:space="0"/>
              <w:bottom w:val="single" w:color="000000" w:sz="8" w:space="0"/>
              <w:right w:val="single" w:color="000000" w:sz="8" w:space="0"/>
            </w:tcBorders>
            <w:tcMar>
              <w:left w:w="15" w:type="dxa"/>
              <w:top w:w="15" w:type="dxa"/>
              <w:right w:w="15" w:type="dxa"/>
              <w:bottom w:w="0" w:type="dxa"/>
            </w:tcMar>
            <w:tcW w:w="3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5"/>
              <w:rPr/>
            </w:pPr>
            <w:r>
              <w:rPr>
                <w:rFonts w:ascii="Times New Roman" w:hAnsi="Times New Roman" w:eastAsia="Times New Roman" w:cs="Times New Roman"/>
                <w:color w:val="000000"/>
                <w:sz w:val="22"/>
              </w:rPr>
              <w:t xml:space="preserve">Giao thông</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Lợi thế hơn</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0"/>
        </w:trPr>
        <w:tc>
          <w:tcPr>
            <w:shd w:val="clear" w:color="ffffff" w:fill="ffffff"/>
            <w:tcBorders>
              <w:left w:val="single" w:color="000000" w:sz="8" w:space="0"/>
              <w:bottom w:val="single" w:color="000000" w:sz="8" w:space="0"/>
              <w:right w:val="single" w:color="000000" w:sz="8" w:space="0"/>
            </w:tcBorders>
            <w:tcMar>
              <w:left w:w="15" w:type="dxa"/>
              <w:top w:w="15" w:type="dxa"/>
              <w:right w:w="15" w:type="dxa"/>
              <w:bottom w:w="0" w:type="dxa"/>
            </w:tcMar>
            <w:tcW w:w="3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5"/>
              <w:rPr/>
            </w:pPr>
            <w:r>
              <w:rPr>
                <w:rFonts w:ascii="Times New Roman" w:hAnsi="Times New Roman" w:eastAsia="Times New Roman" w:cs="Times New Roman"/>
                <w:color w:val="000000"/>
                <w:sz w:val="22"/>
              </w:rPr>
              <w:t xml:space="preserve">Diện tích đất</w:t>
              <w:br/>
              <w:t xml:space="preserve">  (m²)</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0"/>
        </w:trPr>
        <w:tc>
          <w:tcPr>
            <w:shd w:val="clear" w:color="ffffff" w:fill="ffffff"/>
            <w:tcBorders>
              <w:left w:val="single" w:color="000000" w:sz="8" w:space="0"/>
              <w:bottom w:val="single" w:color="000000" w:sz="8" w:space="0"/>
              <w:right w:val="single" w:color="000000" w:sz="8" w:space="0"/>
            </w:tcBorders>
            <w:tcMar>
              <w:left w:w="15" w:type="dxa"/>
              <w:top w:w="15" w:type="dxa"/>
              <w:right w:w="15" w:type="dxa"/>
              <w:bottom w:w="0" w:type="dxa"/>
            </w:tcMar>
            <w:tcW w:w="3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5"/>
              <w:rPr/>
            </w:pPr>
            <w:r>
              <w:rPr>
                <w:rFonts w:ascii="Times New Roman" w:hAnsi="Times New Roman" w:eastAsia="Times New Roman" w:cs="Times New Roman"/>
                <w:color w:val="000000"/>
                <w:sz w:val="22"/>
              </w:rPr>
              <w:t xml:space="preserve">Mặt tiền (m)</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Lợi thế hơn</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0"/>
        </w:trPr>
        <w:tc>
          <w:tcPr>
            <w:shd w:val="clear" w:color="ffffff" w:fill="ffffff"/>
            <w:tcBorders>
              <w:left w:val="single" w:color="000000" w:sz="8" w:space="0"/>
              <w:bottom w:val="single" w:color="000000" w:sz="8" w:space="0"/>
              <w:right w:val="single" w:color="000000" w:sz="8" w:space="0"/>
            </w:tcBorders>
            <w:tcMar>
              <w:left w:w="15" w:type="dxa"/>
              <w:top w:w="15" w:type="dxa"/>
              <w:right w:w="15" w:type="dxa"/>
              <w:bottom w:w="0" w:type="dxa"/>
            </w:tcMar>
            <w:tcW w:w="3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5"/>
              <w:rPr/>
            </w:pPr>
            <w:r>
              <w:rPr>
                <w:rFonts w:ascii="Times New Roman" w:hAnsi="Times New Roman" w:eastAsia="Times New Roman" w:cs="Times New Roman"/>
                <w:color w:val="000000"/>
                <w:sz w:val="22"/>
              </w:rPr>
              <w:t xml:space="preserve">Số lượng mặt tiếp giáp</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Lợi thế hơn</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0"/>
        </w:trPr>
        <w:tc>
          <w:tcPr>
            <w:shd w:val="clear" w:color="ffffff" w:fill="ffffff"/>
            <w:tcBorders>
              <w:left w:val="single" w:color="000000" w:sz="8" w:space="0"/>
              <w:bottom w:val="single" w:color="000000" w:sz="8" w:space="0"/>
              <w:right w:val="single" w:color="000000" w:sz="8" w:space="0"/>
            </w:tcBorders>
            <w:tcMar>
              <w:left w:w="15" w:type="dxa"/>
              <w:top w:w="15" w:type="dxa"/>
              <w:right w:w="15" w:type="dxa"/>
              <w:bottom w:w="0" w:type="dxa"/>
            </w:tcMar>
            <w:tcW w:w="3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5"/>
              <w:rPr/>
            </w:pPr>
            <w:r>
              <w:rPr>
                <w:rFonts w:ascii="Times New Roman" w:hAnsi="Times New Roman" w:eastAsia="Times New Roman" w:cs="Times New Roman"/>
                <w:color w:val="000000"/>
                <w:sz w:val="22"/>
              </w:rPr>
              <w:t xml:space="preserve">Hình dáng thửa đất</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0"/>
        </w:trPr>
        <w:tc>
          <w:tcPr>
            <w:shd w:val="clear" w:color="ffffff" w:fill="ffffff"/>
            <w:tcBorders>
              <w:left w:val="single" w:color="000000" w:sz="8" w:space="0"/>
              <w:bottom w:val="single" w:color="000000" w:sz="8" w:space="0"/>
              <w:right w:val="single" w:color="000000" w:sz="8" w:space="0"/>
            </w:tcBorders>
            <w:tcMar>
              <w:left w:w="15" w:type="dxa"/>
              <w:top w:w="15" w:type="dxa"/>
              <w:right w:w="15" w:type="dxa"/>
              <w:bottom w:w="0" w:type="dxa"/>
            </w:tcMar>
            <w:tcW w:w="3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5"/>
              <w:rPr/>
            </w:pPr>
            <w:r>
              <w:rPr>
                <w:rFonts w:ascii="Times New Roman" w:hAnsi="Times New Roman" w:eastAsia="Times New Roman" w:cs="Times New Roman"/>
                <w:color w:val="000000"/>
                <w:sz w:val="22"/>
              </w:rPr>
              <w:t xml:space="preserve">Yếu tố khác (Yếu tố phong thủy/Yếu tố tâm linh)</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5" w:type="dxa"/>
              <w:top w:w="15" w:type="dxa"/>
              <w:right w:w="15"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dựa trên ba tài sản so sánh tương đồng với tài sản thẩm định giá, Tổ thẩm định phân tích các </w:t>
      </w:r>
      <w:r>
        <w:rPr>
          <w:lang w:val="it-IT"/>
        </w:rPr>
        <w:t xml:space="preserve">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3"/>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3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2"/>
        <w:gridCol w:w="1572"/>
        <w:gridCol w:w="1039"/>
        <w:gridCol w:w="1568"/>
        <w:gridCol w:w="1568"/>
        <w:gridCol w:w="1568"/>
        <w:gridCol w:w="1568"/>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18.353.778.676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25.364.458.403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37.995.168.711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152.948.156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178.622.946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158.313.203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152.948.156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178.622.946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158.313.203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cách đường Lê Trọng Tấn khoảng 650m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cách đường Lê Trọng Tấn khoảng 350m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cách đường Lê Trọng Tấn khoảng 160m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cách đường Lê Trọng Tấn khoảng 500m</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-3.058.963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-3.572.459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149.889.193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175.050.488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158.313.203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13,5m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13,5m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20,5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13,5m</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-8.931.147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149.889.193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166.119.340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158.313.203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w:t>
              <w:br/>
              <w:t xml:space="preserve">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80,0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120,0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142,0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240,0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7.647.408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8.931.147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12.665.056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157.536.600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175.050.488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170.978.259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9,5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12,0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-4.588.445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-12.503.606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-12.665.056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152.948.156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162.546.881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158.313.203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2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1 mặt tiền</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-8.931.147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152.948.156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153.615.734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158.313.203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152.948.156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153.615.734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158.313.203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Yếu tố khác (Yếu tố phong thủy/Yếu tố tâm linh)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Không</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152.948.156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153.615.734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158.313.203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154.959.031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gridSpan w:val="6"/>
            <w:shd w:val="clear" w:color="ffffff" w:fill="ffffff"/>
            <w:tcBorders>
              <w:bottom w:val="single" w:color="000000" w:sz="8" w:space="0"/>
              <w:right w:val="single" w:color="000000" w:sz="8" w:space="0"/>
            </w:tcBorders>
            <w:tcMar>
              <w:left w:w="108" w:type="dxa"/>
              <w:top w:w="0" w:type="dxa"/>
              <w:right w:w="108" w:type="dxa"/>
              <w:bottom w:w="0" w:type="dxa"/>
            </w:tcMar>
            <w:tcW w:w="88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15.294.816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42.869.507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25.330.112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0-8%</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(25.007.213)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rPr>
          <w:rFonts w:ascii="Times New Roman" w:hAnsi="Times New Roman" w:eastAsia="Times New Roman" w:cs="Times New Roman"/>
          <w:color w:val="000000"/>
          <w:sz w:val="24"/>
        </w:rPr>
        <w:t xml:space="preserve">Theo số liệu tại mục D2, chênh lệch giữa mức giá trung bình của các mức giá chỉ dẫn nằm trong khoảng từ 0,9% đến 2,16%, đảm bảo không quá 15% (theo Thông tư số 32/2024/TT-BTC ngày 16/5/2024 của Bộ Tài chính)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Style w:val="1037"/>
        <w:tblInd w:w="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60"/>
        <w:gridCol w:w="2122"/>
        <w:gridCol w:w="2060"/>
        <w:gridCol w:w="2040"/>
        <w:gridCol w:w="2542"/>
      </w:tblGrid>
      <w:tr>
        <w:trPr>
          <w:trHeight w:val="910"/>
        </w:trPr>
        <w:tc>
          <w:tcPr>
            <w:tcBorders>
              <w:top w:val="single" w:color="000000" w:sz="8" w:space="0"/>
              <w:left w:val="single" w:color="000000" w:sz="8" w:space="0"/>
              <w:bottom w:val="single" w:color="000000" w:sz="8" w:space="0"/>
              <w:right w:val="single" w:color="000000" w:sz="8" w:space="0"/>
            </w:tcBorders>
            <w:tcMar>
              <w:left w:w="15" w:type="dxa"/>
              <w:top w:w="15" w:type="dxa"/>
              <w:right w:w="15" w:type="dxa"/>
              <w:bottom w:w="0" w:type="dxa"/>
            </w:tcMar>
            <w:tcW w:w="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5" w:type="dxa"/>
              <w:top w:w="15" w:type="dxa"/>
              <w:right w:w="15" w:type="dxa"/>
              <w:bottom w:w="0" w:type="dxa"/>
            </w:tcMar>
            <w:tcW w:w="21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Tài sản</w:t>
            </w:r>
            <w:r/>
          </w:p>
        </w:tc>
        <w:tc>
          <w:tcPr>
            <w:tcBorders>
              <w:top w:val="single" w:color="000000" w:sz="8" w:space="0"/>
              <w:bottom w:val="single" w:color="000000" w:sz="8" w:space="0"/>
              <w:right w:val="single" w:color="000000" w:sz="8" w:space="0"/>
            </w:tcBorders>
            <w:tcMar>
              <w:left w:w="15" w:type="dxa"/>
              <w:top w:w="15" w:type="dxa"/>
              <w:right w:w="15" w:type="dxa"/>
              <w:bottom w:w="0" w:type="dxa"/>
            </w:tcMar>
            <w:tcW w:w="20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000000" w:sz="8" w:space="0"/>
              <w:bottom w:val="single" w:color="000000" w:sz="8" w:space="0"/>
              <w:right w:val="single" w:color="000000" w:sz="8" w:space="0"/>
            </w:tcBorders>
            <w:tcMar>
              <w:left w:w="15" w:type="dxa"/>
              <w:top w:w="15" w:type="dxa"/>
              <w:right w:w="15" w:type="dxa"/>
              <w:bottom w:w="0" w:type="dxa"/>
            </w:tcMar>
            <w:tcW w:w="20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000000" w:sz="8" w:space="0"/>
              <w:bottom w:val="single" w:color="000000" w:sz="8" w:space="0"/>
              <w:right w:val="single" w:color="000000" w:sz="8" w:space="0"/>
            </w:tcBorders>
            <w:tcMar>
              <w:left w:w="15" w:type="dxa"/>
              <w:top w:w="15" w:type="dxa"/>
              <w:right w:w="15" w:type="dxa"/>
              <w:bottom w:w="0" w:type="dxa"/>
            </w:tcMar>
            <w:tcW w:w="25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20"/>
        </w:trPr>
        <w:tc>
          <w:tcPr>
            <w:tcBorders>
              <w:left w:val="single" w:color="000000" w:sz="8" w:space="0"/>
              <w:bottom w:val="single" w:color="000000" w:sz="8" w:space="0"/>
              <w:right w:val="single" w:color="000000" w:sz="8" w:space="0"/>
            </w:tcBorders>
            <w:tcMar>
              <w:left w:w="15" w:type="dxa"/>
              <w:top w:w="15" w:type="dxa"/>
              <w:right w:w="15" w:type="dxa"/>
              <w:bottom w:w="0" w:type="dxa"/>
            </w:tcMar>
            <w:tcW w:w="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5" w:type="dxa"/>
              <w:top w:w="15" w:type="dxa"/>
              <w:right w:w="15" w:type="dxa"/>
              <w:bottom w:w="0" w:type="dxa"/>
            </w:tcMar>
            <w:tcW w:w="21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1</w:t>
            </w:r>
            <w:r/>
          </w:p>
        </w:tc>
        <w:tc>
          <w:tcPr>
            <w:tcBorders>
              <w:bottom w:val="single" w:color="000000" w:sz="8" w:space="0"/>
              <w:right w:val="single" w:color="000000" w:sz="8" w:space="0"/>
            </w:tcBorders>
            <w:tcMar>
              <w:left w:w="15" w:type="dxa"/>
              <w:top w:w="15" w:type="dxa"/>
              <w:right w:w="15" w:type="dxa"/>
              <w:bottom w:w="0" w:type="dxa"/>
            </w:tcMar>
            <w:tcW w:w="20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152.948.156</w:t>
            </w:r>
            <w:r/>
          </w:p>
        </w:tc>
        <w:tc>
          <w:tcPr>
            <w:tcBorders>
              <w:bottom w:val="single" w:color="000000" w:sz="8" w:space="0"/>
              <w:right w:val="single" w:color="000000" w:sz="8" w:space="0"/>
            </w:tcBorders>
            <w:tcMar>
              <w:left w:w="15" w:type="dxa"/>
              <w:top w:w="15" w:type="dxa"/>
              <w:right w:w="15" w:type="dxa"/>
              <w:bottom w:w="0" w:type="dxa"/>
            </w:tcMar>
            <w:tcW w:w="20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33,33%</w:t>
            </w:r>
            <w:r/>
          </w:p>
        </w:tc>
        <w:tc>
          <w:tcPr>
            <w:tcBorders>
              <w:bottom w:val="single" w:color="000000" w:sz="8" w:space="0"/>
              <w:right w:val="single" w:color="000000" w:sz="8" w:space="0"/>
            </w:tcBorders>
            <w:tcMar>
              <w:left w:w="15" w:type="dxa"/>
              <w:top w:w="15" w:type="dxa"/>
              <w:right w:w="15" w:type="dxa"/>
              <w:bottom w:w="0" w:type="dxa"/>
            </w:tcMar>
            <w:tcW w:w="25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50.977.620 </w:t>
            </w:r>
            <w:r/>
          </w:p>
        </w:tc>
      </w:tr>
      <w:tr>
        <w:trPr>
          <w:trHeight w:val="320"/>
        </w:trPr>
        <w:tc>
          <w:tcPr>
            <w:tcBorders>
              <w:left w:val="single" w:color="000000" w:sz="8" w:space="0"/>
              <w:bottom w:val="single" w:color="000000" w:sz="8" w:space="0"/>
              <w:right w:val="single" w:color="000000" w:sz="8" w:space="0"/>
            </w:tcBorders>
            <w:tcMar>
              <w:left w:w="15" w:type="dxa"/>
              <w:top w:w="15" w:type="dxa"/>
              <w:right w:w="15" w:type="dxa"/>
              <w:bottom w:w="0" w:type="dxa"/>
            </w:tcMar>
            <w:tcW w:w="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5" w:type="dxa"/>
              <w:top w:w="15" w:type="dxa"/>
              <w:right w:w="15" w:type="dxa"/>
              <w:bottom w:w="0" w:type="dxa"/>
            </w:tcMar>
            <w:tcW w:w="21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2</w:t>
            </w:r>
            <w:r/>
          </w:p>
        </w:tc>
        <w:tc>
          <w:tcPr>
            <w:tcBorders>
              <w:bottom w:val="single" w:color="000000" w:sz="8" w:space="0"/>
              <w:right w:val="single" w:color="000000" w:sz="8" w:space="0"/>
            </w:tcBorders>
            <w:tcMar>
              <w:left w:w="15" w:type="dxa"/>
              <w:top w:w="15" w:type="dxa"/>
              <w:right w:w="15" w:type="dxa"/>
              <w:bottom w:w="0" w:type="dxa"/>
            </w:tcMar>
            <w:tcW w:w="20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153.615.734</w:t>
            </w:r>
            <w:r/>
          </w:p>
        </w:tc>
        <w:tc>
          <w:tcPr>
            <w:tcBorders>
              <w:bottom w:val="single" w:color="000000" w:sz="8" w:space="0"/>
              <w:right w:val="single" w:color="000000" w:sz="8" w:space="0"/>
            </w:tcBorders>
            <w:tcMar>
              <w:left w:w="15" w:type="dxa"/>
              <w:top w:w="15" w:type="dxa"/>
              <w:right w:w="15" w:type="dxa"/>
              <w:bottom w:w="0" w:type="dxa"/>
            </w:tcMar>
            <w:tcW w:w="20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33,33%</w:t>
            </w:r>
            <w:r/>
          </w:p>
        </w:tc>
        <w:tc>
          <w:tcPr>
            <w:tcBorders>
              <w:bottom w:val="single" w:color="000000" w:sz="8" w:space="0"/>
              <w:right w:val="single" w:color="000000" w:sz="8" w:space="0"/>
            </w:tcBorders>
            <w:tcMar>
              <w:left w:w="15" w:type="dxa"/>
              <w:top w:w="15" w:type="dxa"/>
              <w:right w:w="15" w:type="dxa"/>
              <w:bottom w:w="0" w:type="dxa"/>
            </w:tcMar>
            <w:tcW w:w="25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51.200.124 </w:t>
            </w:r>
            <w:r/>
          </w:p>
        </w:tc>
      </w:tr>
      <w:tr>
        <w:trPr>
          <w:trHeight w:val="320"/>
        </w:trPr>
        <w:tc>
          <w:tcPr>
            <w:tcBorders>
              <w:left w:val="single" w:color="000000" w:sz="8" w:space="0"/>
              <w:bottom w:val="single" w:color="000000" w:sz="8" w:space="0"/>
              <w:right w:val="single" w:color="000000" w:sz="8" w:space="0"/>
            </w:tcBorders>
            <w:tcMar>
              <w:left w:w="15" w:type="dxa"/>
              <w:top w:w="15" w:type="dxa"/>
              <w:right w:w="15" w:type="dxa"/>
              <w:bottom w:w="0" w:type="dxa"/>
            </w:tcMar>
            <w:tcW w:w="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5" w:type="dxa"/>
              <w:top w:w="15" w:type="dxa"/>
              <w:right w:w="15" w:type="dxa"/>
              <w:bottom w:w="0" w:type="dxa"/>
            </w:tcMar>
            <w:tcW w:w="21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3</w:t>
            </w:r>
            <w:r/>
          </w:p>
        </w:tc>
        <w:tc>
          <w:tcPr>
            <w:tcBorders>
              <w:bottom w:val="single" w:color="000000" w:sz="8" w:space="0"/>
              <w:right w:val="single" w:color="000000" w:sz="8" w:space="0"/>
            </w:tcBorders>
            <w:tcMar>
              <w:left w:w="15" w:type="dxa"/>
              <w:top w:w="15" w:type="dxa"/>
              <w:right w:w="15" w:type="dxa"/>
              <w:bottom w:w="0" w:type="dxa"/>
            </w:tcMar>
            <w:tcW w:w="20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158.313.203</w:t>
            </w:r>
            <w:r/>
          </w:p>
        </w:tc>
        <w:tc>
          <w:tcPr>
            <w:tcBorders>
              <w:bottom w:val="single" w:color="000000" w:sz="8" w:space="0"/>
              <w:right w:val="single" w:color="000000" w:sz="8" w:space="0"/>
            </w:tcBorders>
            <w:tcMar>
              <w:left w:w="15" w:type="dxa"/>
              <w:top w:w="15" w:type="dxa"/>
              <w:right w:w="15" w:type="dxa"/>
              <w:bottom w:w="0" w:type="dxa"/>
            </w:tcMar>
            <w:tcW w:w="20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33,33%</w:t>
            </w:r>
            <w:r/>
          </w:p>
        </w:tc>
        <w:tc>
          <w:tcPr>
            <w:tcBorders>
              <w:bottom w:val="single" w:color="000000" w:sz="8" w:space="0"/>
              <w:right w:val="single" w:color="000000" w:sz="8" w:space="0"/>
            </w:tcBorders>
            <w:tcMar>
              <w:left w:w="15" w:type="dxa"/>
              <w:top w:w="15" w:type="dxa"/>
              <w:right w:w="15" w:type="dxa"/>
              <w:bottom w:w="0" w:type="dxa"/>
            </w:tcMar>
            <w:tcW w:w="25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52.765.791 </w:t>
            </w:r>
            <w:r/>
          </w:p>
        </w:tc>
      </w:tr>
      <w:tr>
        <w:trPr>
          <w:trHeight w:val="310"/>
        </w:trPr>
        <w:tc>
          <w:tcPr>
            <w:gridSpan w:val="4"/>
            <w:tcBorders>
              <w:left w:val="single" w:color="000000" w:sz="8" w:space="0"/>
              <w:bottom w:val="single" w:color="000000" w:sz="8" w:space="0"/>
              <w:right w:val="single" w:color="000000" w:sz="8" w:space="0"/>
            </w:tcBorders>
            <w:tcMar>
              <w:left w:w="15" w:type="dxa"/>
              <w:top w:w="15" w:type="dxa"/>
              <w:right w:w="15" w:type="dxa"/>
              <w:bottom w:w="0" w:type="dxa"/>
            </w:tcMar>
            <w:tcW w:w="698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bình quân theo trọng số</w:t>
            </w:r>
            <w:r/>
          </w:p>
        </w:tc>
        <w:tc>
          <w:tcPr>
            <w:tcBorders>
              <w:bottom w:val="single" w:color="000000" w:sz="8" w:space="0"/>
              <w:right w:val="single" w:color="000000" w:sz="8" w:space="0"/>
            </w:tcBorders>
            <w:tcMar>
              <w:left w:w="15" w:type="dxa"/>
              <w:top w:w="15" w:type="dxa"/>
              <w:right w:w="15" w:type="dxa"/>
              <w:bottom w:w="0" w:type="dxa"/>
            </w:tcMar>
            <w:tcW w:w="25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154.943.535 </w:t>
            </w:r>
            <w:r/>
          </w:p>
        </w:tc>
      </w:tr>
      <w:tr>
        <w:trPr>
          <w:trHeight w:val="310"/>
        </w:trPr>
        <w:tc>
          <w:tcPr>
            <w:gridSpan w:val="4"/>
            <w:tcBorders>
              <w:left w:val="single" w:color="000000" w:sz="8" w:space="0"/>
              <w:bottom w:val="single" w:color="000000" w:sz="8" w:space="0"/>
              <w:right w:val="single" w:color="000000" w:sz="8" w:space="0"/>
            </w:tcBorders>
            <w:tcMar>
              <w:left w:w="15" w:type="dxa"/>
              <w:top w:w="15" w:type="dxa"/>
              <w:right w:w="15" w:type="dxa"/>
              <w:bottom w:w="0" w:type="dxa"/>
            </w:tcMar>
            <w:tcW w:w="698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5" w:type="dxa"/>
              <w:top w:w="15" w:type="dxa"/>
              <w:right w:w="15" w:type="dxa"/>
              <w:bottom w:w="0" w:type="dxa"/>
            </w:tcMar>
            <w:tcW w:w="25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155.000.000 </w:t>
            </w: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155.000.000</w:t>
      </w:r>
      <w:r>
        <w:rPr>
          <w:b/>
          <w:bCs/>
          <w:color w:val="000000" w:themeColor="text1"/>
        </w:rPr>
        <w:t xml:space="preserve"> </w:t>
      </w:r>
      <w:r>
        <w:rPr>
          <w:b/>
          <w:bCs/>
        </w:rPr>
        <w:t xml:space="preserve">đồng/m².</w:t>
      </w:r>
      <w:r>
        <w:rPr>
          <w:b/>
          <w:bCs/>
        </w:rPr>
      </w:r>
      <w:r>
        <w:rPr>
          <w:b/>
          <w:bCs/>
        </w:rPr>
      </w:r>
    </w:p>
    <w:p>
      <w:pPr>
        <w:pStyle w:val="1033"/>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r>
        <w:rPr>
          <w:b/>
          <w:bCs/>
        </w:rPr>
      </w:r>
    </w:p>
    <w:p>
      <w:pPr>
        <w:pBdr>
          <w:top w:val="none" w:color="000000" w:sz="4" w:space="0"/>
          <w:left w:val="none" w:color="000000" w:sz="4" w:space="0"/>
          <w:bottom w:val="none" w:color="000000" w:sz="4" w:space="0"/>
          <w:right w:val="none" w:color="000000" w:sz="4" w:space="0"/>
        </w:pBdr>
        <w:spacing/>
        <w:ind w:right="0" w:firstLine="90" w:left="0"/>
        <w:rPr/>
      </w:pPr>
      <w:r>
        <w:rPr>
          <w:rFonts w:ascii="Times New Roman" w:hAnsi="Times New Roman" w:eastAsia="Times New Roman" w:cs="Times New Roman"/>
          <w:color w:val="000000"/>
          <w:sz w:val="24"/>
        </w:rPr>
        <w:t xml:space="preserve">Qua tham khảo thị trường về đơn giá xây dựng mới đối với công trình Nhà 4 tầng, cân nhắc và xem xét với mức độ hoàn thiện của công trình xây dựng hiện có, Tổ thẩm định nhận thấy đơn giá vận dụng theo </w:t>
      </w:r>
      <w:r>
        <w:rPr>
          <w:rFonts w:ascii="Times New Roman" w:hAnsi="Times New Roman" w:eastAsia="Times New Roman" w:cs="Times New Roman"/>
          <w:color w:val="000000"/>
          <w:sz w:val="24"/>
          <w:highlight w:val="white"/>
        </w:rPr>
        <w:t xml:space="preserve">Đơn giá xây dựng theo Quyết định số 409/QĐ-BXD ngày 11/4/2025 của Bộ Xây Dựng</w:t>
      </w:r>
      <w:r>
        <w:rPr>
          <w:rFonts w:ascii="Times New Roman" w:hAnsi="Times New Roman" w:eastAsia="Times New Roman" w:cs="Times New Roman"/>
          <w:color w:val="000000"/>
          <w:sz w:val="24"/>
        </w:rPr>
        <w:t xml:space="preserve"> về việc công bố suất vốn đầu tư xây dựng và giá xây dựng tổng hợp bộ phận kết cấu công trình năm 2024 là khá phù hợp với thị trường, theo đó</w:t>
      </w:r>
      <w:r>
        <w:rPr>
          <w:rFonts w:ascii="Times New Roman" w:hAnsi="Times New Roman" w:eastAsia="Times New Roman" w:cs="Times New Roman"/>
          <w:color w:val="000000"/>
          <w:spacing w:val="-4"/>
          <w:sz w:val="24"/>
        </w:rPr>
        <w:t xml:space="preserve">:</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i/>
          <w:color w:val="000000"/>
          <w:spacing w:val="3"/>
          <w:sz w:val="24"/>
          <w:highlight w:val="white"/>
        </w:rPr>
        <w:t xml:space="preserve">“Suất vốn đầu tư </w:t>
      </w:r>
      <w:r>
        <w:rPr>
          <w:rFonts w:ascii="Times New Roman" w:hAnsi="Times New Roman" w:eastAsia="Times New Roman" w:cs="Times New Roman"/>
          <w:i/>
          <w:color w:val="000000"/>
          <w:spacing w:val="3"/>
          <w:sz w:val="24"/>
        </w:rPr>
        <w:t xml:space="preserve">Nhà từ 4 đến 5 tầng, kết cấu khung chịu lực BTCT; tường bao xây gạch; sàn, mái BTCT đổ tại chỗ, không có tầng hầm: Diện tích xây dựng từ 50 - dưới 70m²</w:t>
      </w:r>
      <w:r>
        <w:rPr>
          <w:rFonts w:ascii="Times New Roman" w:hAnsi="Times New Roman" w:eastAsia="Times New Roman" w:cs="Times New Roman"/>
          <w:i/>
          <w:color w:val="000000"/>
          <w:spacing w:val="3"/>
          <w:sz w:val="24"/>
          <w:highlight w:val="white"/>
        </w:rPr>
        <w:t xml:space="preserve"> có đơn giá là </w:t>
      </w:r>
      <w:r>
        <w:rPr>
          <w:rFonts w:ascii="Times New Roman" w:hAnsi="Times New Roman" w:eastAsia="Times New Roman" w:cs="Times New Roman"/>
          <w:b/>
          <w:i/>
          <w:color w:val="000000"/>
          <w:spacing w:val="3"/>
          <w:sz w:val="24"/>
        </w:rPr>
        <w:t xml:space="preserve">8.350.</w:t>
      </w:r>
      <w:r>
        <w:rPr>
          <w:rFonts w:ascii="Times New Roman" w:hAnsi="Times New Roman" w:eastAsia="Times New Roman" w:cs="Times New Roman"/>
          <w:b/>
          <w:i/>
          <w:color w:val="000000"/>
          <w:sz w:val="24"/>
        </w:rPr>
        <w:t xml:space="preserve">000</w:t>
      </w:r>
      <w:r>
        <w:rPr>
          <w:rFonts w:ascii="Times New Roman" w:hAnsi="Times New Roman" w:eastAsia="Times New Roman" w:cs="Times New Roman"/>
          <w:i/>
          <w:color w:val="000000"/>
          <w:spacing w:val="3"/>
          <w:sz w:val="24"/>
        </w:rPr>
        <w:t xml:space="preserve"> </w:t>
      </w:r>
      <w:r>
        <w:rPr>
          <w:rFonts w:ascii="Times New Roman" w:hAnsi="Times New Roman" w:eastAsia="Times New Roman" w:cs="Times New Roman"/>
          <w:i/>
          <w:color w:val="000000"/>
          <w:spacing w:val="3"/>
          <w:sz w:val="24"/>
          <w:highlight w:val="white"/>
        </w:rPr>
        <w:t xml:space="preserve">đồng/m² sàn.</w:t>
      </w:r>
      <w:r/>
    </w:p>
    <w:p>
      <w:pPr>
        <w:pBdr>
          <w:top w:val="none" w:color="000000" w:sz="4" w:space="0"/>
          <w:left w:val="none" w:color="000000" w:sz="4" w:space="0"/>
          <w:bottom w:val="none" w:color="000000" w:sz="4" w:space="0"/>
          <w:right w:val="none" w:color="000000" w:sz="4" w:space="0"/>
        </w:pBdr>
        <w:tabs>
          <w:tab w:val="left" w:leader="none" w:pos="567"/>
        </w:tabs>
        <w:spacing w:after="120" w:before="120" w:line="276" w:lineRule="auto"/>
        <w:ind w:right="0" w:firstLine="284" w:left="0"/>
        <w:jc w:val="both"/>
        <w:rPr/>
      </w:pPr>
      <w:r>
        <w:rPr>
          <w:rFonts w:ascii="Times New Roman" w:hAnsi="Times New Roman" w:eastAsia="Times New Roman" w:cs="Times New Roman"/>
          <w:i/>
          <w:color w:val="000000"/>
          <w:sz w:val="24"/>
          <w:highlight w:val="white"/>
        </w:rPr>
        <w:t xml:space="preserve">Hệ số điều chỉnh vùng cho Suất vốn đầu tư: Thành phố Hà Nội thuộc vùng 7 có hệ số điều chỉnh là 0,952.”</w:t>
      </w:r>
      <w:r/>
    </w:p>
    <w:p>
      <w:pPr>
        <w:pBdr>
          <w:top w:val="none" w:color="000000" w:sz="4" w:space="0"/>
          <w:left w:val="none" w:color="000000" w:sz="4" w:space="0"/>
          <w:bottom w:val="none" w:color="000000" w:sz="4" w:space="0"/>
          <w:right w:val="none" w:color="000000" w:sz="4" w:space="0"/>
        </w:pBdr>
        <w:tabs>
          <w:tab w:val="left" w:leader="none" w:pos="567"/>
        </w:tabs>
        <w:spacing w:after="120" w:before="120" w:line="276" w:lineRule="auto"/>
        <w:ind w:right="0" w:firstLine="284" w:left="0"/>
        <w:jc w:val="both"/>
        <w:rPr/>
      </w:pPr>
      <w:r>
        <w:rPr>
          <w:rFonts w:ascii="Times New Roman" w:hAnsi="Times New Roman" w:eastAsia="Times New Roman" w:cs="Times New Roman"/>
          <w:i/>
          <w:color w:val="000000"/>
          <w:sz w:val="24"/>
        </w:rPr>
        <w:t xml:space="preserve">Tỉ lệ hoàn thiện là 60%</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i/>
          <w:color w:val="000000"/>
          <w:spacing w:val="3"/>
          <w:sz w:val="24"/>
          <w:highlight w:val="white"/>
        </w:rPr>
        <w:t xml:space="preserve">Do đó, Tổ thẩm định xác định đơn giá xây mới của công trình xây dựng là: (Suất vốn đầu tư) x (Hệ số vùng) = </w:t>
      </w:r>
      <w:r>
        <w:rPr>
          <w:rFonts w:ascii="Times New Roman" w:hAnsi="Times New Roman" w:eastAsia="Times New Roman" w:cs="Times New Roman"/>
          <w:b/>
          <w:i/>
          <w:color w:val="000000"/>
          <w:sz w:val="24"/>
        </w:rPr>
        <w:t xml:space="preserve">8.350.000 </w:t>
      </w:r>
      <w:r>
        <w:rPr>
          <w:rFonts w:ascii="Times New Roman" w:hAnsi="Times New Roman" w:eastAsia="Times New Roman" w:cs="Times New Roman"/>
          <w:i/>
          <w:color w:val="000000"/>
          <w:spacing w:val="3"/>
          <w:sz w:val="24"/>
          <w:highlight w:val="white"/>
        </w:rPr>
        <w:t xml:space="preserve">x 0,952 x 60% =</w:t>
      </w:r>
      <w:r>
        <w:rPr>
          <w:rFonts w:ascii="Times New Roman" w:hAnsi="Times New Roman" w:eastAsia="Times New Roman" w:cs="Times New Roman"/>
          <w:b/>
          <w:i/>
          <w:color w:val="000000"/>
          <w:spacing w:val="3"/>
          <w:sz w:val="24"/>
          <w:highlight w:val="white"/>
        </w:rPr>
        <w:t xml:space="preserve"> </w:t>
      </w:r>
      <w:r>
        <w:rPr>
          <w:rFonts w:ascii="Times New Roman" w:hAnsi="Times New Roman" w:eastAsia="Times New Roman" w:cs="Times New Roman"/>
          <w:b/>
          <w:i/>
          <w:color w:val="000000"/>
          <w:spacing w:val="3"/>
          <w:sz w:val="24"/>
        </w:rPr>
        <w:t xml:space="preserve">4.769.520</w:t>
      </w:r>
      <w:r>
        <w:rPr>
          <w:rFonts w:ascii="Times New Roman" w:hAnsi="Times New Roman" w:eastAsia="Times New Roman" w:cs="Times New Roman"/>
          <w:b/>
          <w:i/>
          <w:color w:val="000000"/>
          <w:spacing w:val="3"/>
          <w:sz w:val="24"/>
          <w:highlight w:val="white"/>
        </w:rPr>
        <w:t xml:space="preserve">đồng/m² sàn.</w:t>
      </w:r>
      <w:r/>
    </w:p>
    <w:p>
      <w:pPr>
        <w:numPr>
          <w:ilvl w:val="0"/>
          <w:numId w:val="41"/>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giá trị hao mòn theo kỹ thuật tuổi đời:</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pacing w:val="2"/>
          <w:sz w:val="24"/>
        </w:rPr>
        <w:t xml:space="preserve">Tỉ lệ hao mòn được tính toán theo phương pháp tuổi đời:</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pacing w:val="2"/>
          <w:sz w:val="24"/>
        </w:rPr>
        <w:t xml:space="preserve">Công thức: Tỉ lệ hao mòn = Tuổi đời hiệu quả/ Tuổi đời kinh tế</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pacing w:val="2"/>
          <w:sz w:val="24"/>
        </w:rPr>
        <w:t xml:space="preserve">Theo thông tin khách hàng cung cấp, công trình được hoàn công năm 2017</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z w:val="24"/>
        </w:rPr>
        <w:t xml:space="preserve">Vận dụng thời gian trích khấu hao TSCĐ tại Thông tư 45/2013/TT-BTC của Bộ Tài chính về việc hướng dẫn chế độ quản lý, sử dụng và trích khấu hao tài sản cố định ngày 25/4/2013, kết hợp với khảo sát thông tin thị trường và quan sát hiện trạng thực tế công tr</w:t>
      </w:r>
      <w:r>
        <w:rPr>
          <w:rFonts w:ascii="Times New Roman" w:hAnsi="Times New Roman" w:eastAsia="Times New Roman" w:cs="Times New Roman"/>
          <w:color w:val="000000"/>
          <w:sz w:val="24"/>
        </w:rPr>
        <w:t xml:space="preserve">ình, Tổ thẩm định xác định tuổi đời kinh tế của tài sản thẩm định ước tính là 50 năm.</w:t>
      </w:r>
      <w:r/>
    </w:p>
    <w:tbl>
      <w:tblPr>
        <w:tblStyle w:val="103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974"/>
        <w:gridCol w:w="2178"/>
        <w:gridCol w:w="1620"/>
        <w:gridCol w:w="1260"/>
        <w:gridCol w:w="1114"/>
        <w:gridCol w:w="1496"/>
      </w:tblGrid>
      <w:tr>
        <w:trPr>
          <w:trHeight w:val="624"/>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9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Tên 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Năm xây dựng hoàn thành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Thời điểm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Tuổi đời kinh tế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Tuổi đời hiệu quả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Tỉ lệ hao mòn (%)</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9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Nhà 4 tầng</w:t>
            </w:r>
            <w:r/>
          </w:p>
        </w:tc>
        <w:tc>
          <w:tcPr>
            <w:tcBorders>
              <w:bottom w:val="single" w:color="000000" w:sz="8" w:space="0"/>
              <w:right w:val="single" w:color="000000" w:sz="8" w:space="0"/>
            </w:tcBorders>
            <w:tcMar>
              <w:left w:w="108" w:type="dxa"/>
              <w:top w:w="0" w:type="dxa"/>
              <w:right w:w="108" w:type="dxa"/>
              <w:bottom w:w="0" w:type="dxa"/>
            </w:tcMar>
            <w:tcW w:w="21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2017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2026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18%</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z w:val="24"/>
        </w:rPr>
        <w:t xml:space="preserve">Tổ thẩm định xác định tỉ lệ hao mòn của tài sản thẩm định là: </w:t>
      </w:r>
      <w:r>
        <w:rPr>
          <w:rFonts w:ascii="Times New Roman" w:hAnsi="Times New Roman" w:eastAsia="Times New Roman" w:cs="Times New Roman"/>
          <w:b/>
          <w:color w:val="000000"/>
          <w:sz w:val="24"/>
        </w:rPr>
        <w:t xml:space="preserve">18%</w:t>
      </w:r>
      <w:r>
        <w:rPr>
          <w:rFonts w:ascii="Times New Roman" w:hAnsi="Times New Roman" w:eastAsia="Times New Roman" w:cs="Times New Roman"/>
          <w:color w:val="000000"/>
          <w:sz w:val="24"/>
        </w:rPr>
        <w:t xml:space="preserve">, tương đương tỷ lệ chất lượng còn lại của tài sản là: </w:t>
      </w:r>
      <w:r>
        <w:rPr>
          <w:rFonts w:ascii="Times New Roman" w:hAnsi="Times New Roman" w:eastAsia="Times New Roman" w:cs="Times New Roman"/>
          <w:b/>
          <w:color w:val="000000"/>
          <w:sz w:val="24"/>
        </w:rPr>
        <w:t xml:space="preserve">82%.</w:t>
      </w:r>
      <w:r/>
    </w:p>
    <w:p>
      <w:pPr>
        <w:numPr>
          <w:ilvl w:val="0"/>
          <w:numId w:val="42"/>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giá trị của công trình xây dựng trên đất:</w:t>
      </w:r>
      <w:r/>
    </w:p>
    <w:p>
      <w:pPr>
        <w:pBdr>
          <w:top w:val="none" w:color="000000" w:sz="4" w:space="0"/>
          <w:left w:val="none" w:color="000000" w:sz="4" w:space="0"/>
          <w:bottom w:val="none" w:color="000000" w:sz="4" w:space="0"/>
          <w:right w:val="none" w:color="000000" w:sz="4" w:space="0"/>
        </w:pBdr>
        <w:spacing w:after="80" w:before="80" w:line="276" w:lineRule="auto"/>
        <w:ind w:right="0" w:firstLine="284" w:left="0"/>
        <w:jc w:val="both"/>
        <w:rPr/>
      </w:pPr>
      <w:r>
        <w:rPr>
          <w:rFonts w:ascii="Times New Roman" w:hAnsi="Times New Roman" w:eastAsia="Times New Roman" w:cs="Times New Roman"/>
          <w:color w:val="000000"/>
          <w:spacing w:val="2"/>
          <w:sz w:val="24"/>
        </w:rPr>
        <w:t xml:space="preserve">Công thức:</w:t>
      </w:r>
      <w:r/>
    </w:p>
    <w:tbl>
      <w:tblPr>
        <w:tblStyle w:val="1037"/>
        <w:tblInd w:w="25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autofit"/>
        <w:tblLook w:val="04A0" w:firstRow="1" w:lastRow="0" w:firstColumn="1" w:lastColumn="0" w:noHBand="0" w:noVBand="1"/>
      </w:tblPr>
      <w:tblGrid>
        <w:gridCol w:w="1633"/>
        <w:gridCol w:w="341"/>
        <w:gridCol w:w="3673"/>
        <w:gridCol w:w="319"/>
        <w:gridCol w:w="2311"/>
      </w:tblGrid>
      <w:tr>
        <w:trPr>
          <w:trHeight w:val="794"/>
        </w:trPr>
        <w:tc>
          <w:tcPr>
            <w:tcBorders/>
            <w:tcMar>
              <w:left w:w="108" w:type="dxa"/>
              <w:top w:w="0" w:type="dxa"/>
              <w:right w:w="108" w:type="dxa"/>
              <w:bottom w:w="0" w:type="dxa"/>
            </w:tcMar>
            <w:tcW w:w="16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Giá trị ước tính của tài sản</w:t>
            </w:r>
            <w:r/>
          </w:p>
        </w:tc>
        <w:tc>
          <w:tcPr>
            <w:tcBorders/>
            <w:tcMar>
              <w:left w:w="108" w:type="dxa"/>
              <w:top w:w="0" w:type="dxa"/>
              <w:right w:w="108" w:type="dxa"/>
              <w:bottom w:w="0" w:type="dxa"/>
            </w:tcMar>
            <w:tcW w:w="3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36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Chi phí thay thế </w:t>
            </w:r>
            <w:r/>
          </w:p>
          <w:p>
            <w:pPr>
              <w:pBdr>
                <w:top w:val="none" w:color="000000" w:sz="4" w:space="0"/>
                <w:left w:val="none" w:color="000000" w:sz="4" w:space="0"/>
                <w:bottom w:val="none" w:color="000000" w:sz="4" w:space="0"/>
                <w:right w:val="none" w:color="000000" w:sz="4" w:space="0"/>
              </w:pBdr>
              <w:shd w:val="clear" w:color="ffffff" w:fill="ffffff"/>
              <w:spacing w:after="120"/>
              <w:ind w:right="0" w:firstLine="0" w:left="0"/>
              <w:jc w:val="center"/>
              <w:rPr/>
            </w:pPr>
            <w:r>
              <w:rPr>
                <w:rFonts w:ascii="Times New Roman" w:hAnsi="Times New Roman" w:eastAsia="Times New Roman" w:cs="Times New Roman"/>
                <w:color w:val="000000"/>
                <w:sz w:val="24"/>
              </w:rPr>
              <w:t xml:space="preserve">(Giá trị xây mới tài sản-đã bao gồm lợi nhuận của nhà sản xuất/nhà đầu tư)</w:t>
            </w:r>
            <w:r/>
          </w:p>
        </w:tc>
        <w:tc>
          <w:tcPr>
            <w:tcBorders/>
            <w:tcMar>
              <w:left w:w="108" w:type="dxa"/>
              <w:top w:w="0" w:type="dxa"/>
              <w:right w:w="108" w:type="dxa"/>
              <w:bottom w:w="0" w:type="dxa"/>
            </w:tcMar>
            <w:tcW w:w="3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23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Tổng giá trị hao mòn </w:t>
            </w:r>
            <w:r/>
          </w:p>
        </w:tc>
      </w:tr>
    </w:tbl>
    <w:tbl>
      <w:tblPr>
        <w:tblStyle w:val="103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467"/>
        <w:gridCol w:w="1452"/>
        <w:gridCol w:w="1554"/>
        <w:gridCol w:w="1694"/>
        <w:gridCol w:w="1553"/>
        <w:gridCol w:w="1833"/>
      </w:tblGrid>
      <w:tr>
        <w:trPr>
          <w:trHeight w:val="936"/>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b/>
                <w:color w:val="000000"/>
                <w:sz w:val="24"/>
              </w:rPr>
              <w:t xml:space="preserve">Diện tích sàn (m²</w:t>
            </w:r>
            <w:r>
              <w:rPr>
                <w:rFonts w:ascii="Times New Roman" w:hAnsi="Times New Roman" w:eastAsia="Times New Roman" w:cs="Times New Roman"/>
                <w:b/>
                <w:color w:val="000000"/>
                <w:sz w:val="28"/>
              </w:rPr>
              <w:t xml:space="preserve">)</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5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b/>
                <w:color w:val="000000"/>
                <w:sz w:val="24"/>
              </w:rPr>
              <w:t xml:space="preserve">Đơn giá xây dựng mới (đồng/m² sàn)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b/>
                <w:color w:val="000000"/>
                <w:sz w:val="24"/>
              </w:rPr>
              <w:t xml:space="preserve">Chi phí thay thế (đồng)</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b/>
                <w:color w:val="000000"/>
                <w:sz w:val="24"/>
              </w:rPr>
              <w:t xml:space="preserve">Giá trị hao mòn (đồng)</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b/>
                <w:color w:val="000000"/>
                <w:sz w:val="24"/>
              </w:rPr>
              <w:t xml:space="preserve">Giá trị thẩm định tại thời điểm thẩm định giá (đồng)</w:t>
            </w:r>
            <w:r/>
          </w:p>
        </w:tc>
      </w:tr>
      <w:tr>
        <w:trPr>
          <w:trHeight w:val="30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b/>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b/>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b/>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b/>
                <w:color w:val="000000"/>
                <w:sz w:val="22"/>
              </w:rPr>
              <w:t xml:space="preserve">(4) = (2) * (3)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b/>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b/>
                <w:color w:val="000000"/>
                <w:sz w:val="22"/>
              </w:rPr>
              <w:t xml:space="preserve">(6) = (4) - (5)</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center"/>
              <w:rPr/>
            </w:pPr>
            <w:r>
              <w:rPr>
                <w:rFonts w:ascii="Times New Roman" w:hAnsi="Times New Roman" w:eastAsia="Times New Roman" w:cs="Times New Roman"/>
                <w:color w:val="000000"/>
                <w:sz w:val="24"/>
              </w:rPr>
              <w:t xml:space="preserve">Nhà 4 tầng</w:t>
            </w:r>
            <w:r/>
          </w:p>
        </w:tc>
        <w:tc>
          <w:tcPr>
            <w:tcBorders>
              <w:bottom w:val="single" w:color="000000" w:sz="8" w:space="0"/>
              <w:right w:val="single" w:color="000000" w:sz="8" w:space="0"/>
            </w:tcBorders>
            <w:tcMar>
              <w:left w:w="108" w:type="dxa"/>
              <w:top w:w="0" w:type="dxa"/>
              <w:right w:w="108" w:type="dxa"/>
              <w:bottom w:w="0" w:type="dxa"/>
            </w:tcMar>
            <w:tcW w:w="1452"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ind w:right="0" w:firstLine="0" w:left="0"/>
              <w:jc w:val="center"/>
              <w:rPr/>
            </w:pPr>
            <w:r>
              <w:rPr>
                <w:rFonts w:ascii="Times New Roman" w:hAnsi="Times New Roman" w:eastAsia="Times New Roman" w:cs="Times New Roman"/>
                <w:color w:val="000000"/>
                <w:sz w:val="24"/>
              </w:rPr>
              <w:t xml:space="preserve">273,5</w:t>
            </w:r>
            <w:r/>
          </w:p>
        </w:tc>
        <w:tc>
          <w:tcPr>
            <w:tcBorders>
              <w:bottom w:val="single" w:color="000000" w:sz="8" w:space="0"/>
              <w:right w:val="single" w:color="000000" w:sz="8" w:space="0"/>
            </w:tcBorders>
            <w:tcMar>
              <w:left w:w="108" w:type="dxa"/>
              <w:top w:w="0" w:type="dxa"/>
              <w:right w:w="108" w:type="dxa"/>
              <w:bottom w:w="0" w:type="dxa"/>
            </w:tcMar>
            <w:tcW w:w="1554"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ind w:right="0" w:firstLine="0" w:left="0"/>
              <w:jc w:val="center"/>
              <w:rPr/>
            </w:pPr>
            <w:r>
              <w:rPr>
                <w:rFonts w:ascii="Times New Roman" w:hAnsi="Times New Roman" w:eastAsia="Times New Roman" w:cs="Times New Roman"/>
                <w:color w:val="000000"/>
                <w:spacing w:val="3"/>
                <w:sz w:val="24"/>
              </w:rPr>
              <w:t xml:space="preserve">4.769.520</w:t>
            </w:r>
            <w:r/>
          </w:p>
        </w:tc>
        <w:tc>
          <w:tcPr>
            <w:tcBorders>
              <w:bottom w:val="single" w:color="000000" w:sz="8" w:space="0"/>
              <w:right w:val="single" w:color="000000" w:sz="8" w:space="0"/>
            </w:tcBorders>
            <w:tcMar>
              <w:left w:w="108" w:type="dxa"/>
              <w:top w:w="0" w:type="dxa"/>
              <w:right w:w="108" w:type="dxa"/>
              <w:bottom w:w="0" w:type="dxa"/>
            </w:tcMar>
            <w:tcW w:w="169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1.304.463.720</w:t>
            </w:r>
            <w:r/>
          </w:p>
        </w:tc>
        <w:tc>
          <w:tcPr>
            <w:tcBorders>
              <w:bottom w:val="single" w:color="000000" w:sz="8" w:space="0"/>
              <w:right w:val="single" w:color="000000" w:sz="8" w:space="0"/>
            </w:tcBorders>
            <w:tcMar>
              <w:left w:w="108" w:type="dxa"/>
              <w:top w:w="0" w:type="dxa"/>
              <w:right w:w="108" w:type="dxa"/>
              <w:bottom w:w="0" w:type="dxa"/>
            </w:tcMar>
            <w:tcW w:w="155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234.803.470</w:t>
            </w:r>
            <w:r/>
          </w:p>
        </w:tc>
        <w:tc>
          <w:tcPr>
            <w:tcBorders>
              <w:bottom w:val="single" w:color="000000" w:sz="8" w:space="0"/>
              <w:right w:val="single" w:color="000000" w:sz="8" w:space="0"/>
            </w:tcBorders>
            <w:tcMar>
              <w:left w:w="108" w:type="dxa"/>
              <w:top w:w="0" w:type="dxa"/>
              <w:right w:w="108" w:type="dxa"/>
              <w:bottom w:w="0" w:type="dxa"/>
            </w:tcMar>
            <w:tcW w:w="183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1.069.660.250</w:t>
            </w:r>
            <w:r/>
          </w:p>
        </w:tc>
      </w:tr>
    </w:tbl>
    <w:p>
      <w:pPr>
        <w:pStyle w:val="1033"/>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3"/>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rPr>
          <w:color w:val="000000" w:themeColor="text1"/>
          <w:lang w:val="pt-BR"/>
        </w:rPr>
        <w:t xml:space="preserve">Tháng 04/2026</w:t>
      </w:r>
      <w:r>
        <w:t xml:space="preserve"> </w:t>
      </w:r>
      <w:r>
        <w:t xml:space="preserve">ước tính </w:t>
      </w:r>
      <w:r>
        <w:t xml:space="preserve">như sau</w:t>
      </w:r>
      <w:r>
        <w:t xml:space="preserve">:</w:t>
      </w:r>
      <w:r/>
    </w:p>
    <w:tbl>
      <w:tblPr>
        <w:tblStyle w:val="1037"/>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13096"/>
        <w:gridCol w:w="27369"/>
        <w:gridCol w:w="24117"/>
        <w:gridCol w:w="26390"/>
        <w:gridCol w:w="25899"/>
        <w:gridCol w:w="31085"/>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0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73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41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63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58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CLCL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10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30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1037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Quyền sử dụng đất và tài sản gắn liền với đất tại thửa đất số: 107, tờ bản đồ số: 55 có địa chỉ: Căn 19 Lô C61-LK18, Khu C, Khu đô thị hai bên đường Lê Trọng Tấn, phường Dương Nội, thành phố Hà Nội theo Giấy chứng nhận Quyền sử dụng đất quyền sở hữu tài sả</w:t>
            </w:r>
            <w:r>
              <w:rPr>
                <w:rFonts w:ascii="Times New Roman" w:hAnsi="Times New Roman" w:eastAsia="Times New Roman" w:cs="Times New Roman"/>
                <w:color w:val="000000"/>
                <w:sz w:val="24"/>
              </w:rPr>
              <w:t xml:space="preserve">n khác gắn liền với đất số: AA 05988806, số vào sổ cấp GCN: VP56644 do Văn phòng đăng ký đất đai Hà Nội cấp ngày 16/1/2026 cho Ông Nguyễn Văn Tặng và Bà Trần Thị Mai Sen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10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30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3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rPr/>
            </w:pPr>
            <w:r>
              <w:rPr>
                <w:rFonts w:ascii="Times New Roman" w:hAnsi="Times New Roman" w:eastAsia="Times New Roman" w:cs="Times New Roman"/>
                <w:b/>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24117"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80,0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3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155.000.000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8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10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12.400.000.000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30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3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rPr/>
            </w:pPr>
            <w:r>
              <w:rPr>
                <w:rFonts w:ascii="Times New Roman" w:hAnsi="Times New Roman" w:eastAsia="Times New Roman" w:cs="Times New Roman"/>
                <w:b/>
                <w:color w:val="000000"/>
                <w:sz w:val="24"/>
              </w:rPr>
              <w:t xml:space="preserve">Nhà 4 tầng</w:t>
            </w:r>
            <w:r/>
          </w:p>
        </w:tc>
        <w:tc>
          <w:tcPr>
            <w:tcBorders>
              <w:bottom w:val="single" w:color="000000" w:sz="8" w:space="0"/>
              <w:right w:val="single" w:color="000000" w:sz="8" w:space="0"/>
            </w:tcBorders>
            <w:tcMar>
              <w:left w:w="108" w:type="dxa"/>
              <w:top w:w="0" w:type="dxa"/>
              <w:right w:w="108" w:type="dxa"/>
              <w:bottom w:w="0" w:type="dxa"/>
            </w:tcMar>
            <w:tcW w:w="24117"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273,5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3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4.769.520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8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82%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10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1.069.660.250</w:t>
            </w: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116871"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31085"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13.469.660.250</w:t>
            </w: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116871"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31085"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rPr>
              <w:t xml:space="preserve">13.470.000.000</w:t>
            </w:r>
            <w:r/>
          </w:p>
        </w:tc>
      </w:tr>
      <w:tr>
        <w:trPr>
          <w:trHeight w:val="20"/>
        </w:trPr>
        <w:tc>
          <w:tcPr>
            <w:gridSpan w:val="6"/>
            <w:tcBorders>
              <w:left w:val="single" w:color="000000" w:sz="8" w:space="0"/>
              <w:bottom w:val="single" w:color="000000" w:sz="8" w:space="0"/>
              <w:right w:val="single" w:color="000000" w:sz="8" w:space="0"/>
            </w:tcBorders>
            <w:tcMar>
              <w:left w:w="108" w:type="dxa"/>
              <w:top w:w="0" w:type="dxa"/>
              <w:right w:w="108" w:type="dxa"/>
              <w:bottom w:w="0" w:type="dxa"/>
            </w:tcMar>
            <w:tcW w:w="14795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i/>
                <w:color w:val="000000"/>
                <w:sz w:val="24"/>
              </w:rPr>
              <w:t xml:space="preserve">(Bằng chữ: Mười ba tỷ bốn trăm bảy mươi triệu đồng./.)</w:t>
            </w:r>
            <w:r/>
          </w:p>
        </w:tc>
      </w:tr>
    </w:tbl>
    <w:p>
      <w:pPr>
        <w:pStyle w:val="1033"/>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3"/>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3"/>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Thẩm định giá không phải là</w:t>
      </w:r>
      <w:r>
        <w:rPr>
          <w:lang w:val="pt-BR"/>
        </w:rPr>
        <w:t xml:space="preserve">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w:t>
      </w:r>
      <w:r>
        <w:rPr>
          <w:lang w:val="pt-BR"/>
        </w:rPr>
        <w:t xml:space="preserve">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3"/>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3"/>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3"/>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3"/>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3"/>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3"/>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3"/>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3"/>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3"/>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đất  đã cung cấp cho chúng tôi.</w:t>
      </w:r>
      <w:r>
        <w:rPr>
          <w:shd w:val="clear" w:color="auto" w:fill="ffffff"/>
          <w:lang w:val="pt-BR"/>
        </w:rPr>
      </w:r>
      <w:r>
        <w:rPr>
          <w:shd w:val="clear" w:color="auto" w:fill="ffffff"/>
          <w:lang w:val="pt-BR"/>
        </w:rPr>
      </w:r>
    </w:p>
    <w:p>
      <w:pPr>
        <w:pStyle w:val="1033"/>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3"/>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w:t>
      </w:r>
      <w:r>
        <w:rPr>
          <w:bCs/>
          <w:spacing w:val="-2"/>
          <w:lang w:val="pt-BR"/>
        </w:rPr>
        <w:t xml:space="preserve">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w:t>
      </w:r>
      <w:r>
        <w:rPr>
          <w:bCs/>
          <w:spacing w:val="-2"/>
          <w:lang w:val="pt-BR"/>
        </w:rPr>
        <w:t xml:space="preserve">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33"/>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3"/>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3"/>
        <w:numPr>
          <w:ilvl w:val="0"/>
          <w:numId w:val="5"/>
        </w:numPr>
        <w:pBdr/>
        <w:tabs>
          <w:tab w:val="left" w:leader="none" w:pos="993"/>
        </w:tabs>
        <w:spacing w:after="120" w:before="120" w:line="288" w:lineRule="auto"/>
        <w:ind w:hanging="357" w:left="357"/>
        <w:jc w:val="both"/>
        <w:rPr>
          <w:lang w:val="pt-BR"/>
        </w:rPr>
      </w:pPr>
      <w:r/>
      <w:bookmarkStart w:id="3"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3"/>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3"/>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Bdr/>
        <w:shd w:val="nil" w:color="auto"/>
        <w:spacing/>
        <w:ind/>
        <w:rPr>
          <w:lang w:val="pt-BR"/>
        </w:rPr>
      </w:pPr>
      <w:r>
        <w:rPr>
          <w:highlight w:val="none"/>
          <w:lang w:val="vi-VN"/>
        </w:rPr>
        <w:br w:type="page" w:clear="all"/>
      </w:r>
      <w:r>
        <w:rPr>
          <w:lang w:val="pt-BR"/>
        </w:rPr>
      </w:r>
      <w:r>
        <w:rPr>
          <w:lang w:val="pt-BR"/>
        </w:rPr>
      </w:r>
    </w:p>
    <w:p>
      <w:pPr>
        <w:pStyle w:val="1033"/>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275/2026/0525/VFI-CT.48.A</w:t>
      </w:r>
      <w:r>
        <w:rPr>
          <w:color w:val="ff0000"/>
          <w:lang w:val="vi-VN"/>
        </w:rPr>
        <w:t xml:space="preserve"> </w:t>
      </w:r>
      <w:r>
        <w:rPr>
          <w:color w:val="000000" w:themeColor="text1"/>
        </w:rPr>
        <w:t xml:space="preserve">ngày 3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HSTD-20260401-0014/BC-VFI</w:t>
      </w:r>
      <w:r>
        <w:rPr>
          <w:i/>
        </w:rPr>
        <w:t xml:space="preserve"> ngày</w:t>
      </w:r>
      <w:r>
        <w:rPr>
          <w:i/>
          <w:lang w:val="pt-BR"/>
        </w:rPr>
        <w:t xml:space="preserve"> </w:t>
      </w:r>
      <w:r>
        <w:rPr>
          <w:i/>
          <w:lang w:val="pt-BR"/>
        </w:rPr>
        <w:t xml:space="preserve">3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7"/>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118575" cy="2425541"/>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274834" name=""/>
                              <pic:cNvPicPr>
                                <a:picLocks noChangeAspect="1"/>
                              </pic:cNvPicPr>
                              <pic:nvPr/>
                            </pic:nvPicPr>
                            <pic:blipFill rotWithShape="1">
                              <a:blip r:embed="rId18"/>
                              <a:stretch/>
                            </pic:blipFill>
                            <pic:spPr bwMode="auto">
                              <a:xfrm flipH="0" flipV="0">
                                <a:off x="0" y="0"/>
                                <a:ext cx="1118574" cy="24255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88.08pt;height:190.99pt;mso-wrap-distance-left:0.00pt;mso-wrap-distance-top:0.00pt;mso-wrap-distance-right:0.00pt;mso-wrap-distance-bottom:0.00pt;z-index:1;" stroked="false">
                      <v:imagedata r:id="rId18"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09200" cy="2102079"/>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78838" name=""/>
                              <pic:cNvPicPr>
                                <a:picLocks noChangeAspect="1"/>
                              </pic:cNvPicPr>
                              <pic:nvPr/>
                            </pic:nvPicPr>
                            <pic:blipFill rotWithShape="1">
                              <a:blip r:embed="rId19"/>
                              <a:stretch/>
                            </pic:blipFill>
                            <pic:spPr bwMode="auto">
                              <a:xfrm flipH="0" flipV="0">
                                <a:off x="0" y="0"/>
                                <a:ext cx="2809199" cy="210207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1.20pt;height:165.52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41660" cy="2202917"/>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778707" name=""/>
                              <pic:cNvPicPr>
                                <a:picLocks noChangeAspect="1"/>
                              </pic:cNvPicPr>
                              <pic:nvPr/>
                            </pic:nvPicPr>
                            <pic:blipFill rotWithShape="1">
                              <a:blip r:embed="rId20"/>
                              <a:stretch/>
                            </pic:blipFill>
                            <pic:spPr bwMode="auto">
                              <a:xfrm flipH="0" flipV="0">
                                <a:off x="0" y="0"/>
                                <a:ext cx="2941659" cy="220291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1.63pt;height:173.46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57541" cy="2139923"/>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867626" name=""/>
                              <pic:cNvPicPr>
                                <a:picLocks noChangeAspect="1"/>
                              </pic:cNvPicPr>
                              <pic:nvPr/>
                            </pic:nvPicPr>
                            <pic:blipFill rotWithShape="1">
                              <a:blip r:embed="rId21"/>
                              <a:stretch/>
                            </pic:blipFill>
                            <pic:spPr bwMode="auto">
                              <a:xfrm flipH="0" flipV="0">
                                <a:off x="0" y="0"/>
                                <a:ext cx="2857540" cy="21399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5.00pt;height:168.50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04941" cy="2100532"/>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164933" name=""/>
                              <pic:cNvPicPr>
                                <a:picLocks noChangeAspect="1"/>
                              </pic:cNvPicPr>
                              <pic:nvPr/>
                            </pic:nvPicPr>
                            <pic:blipFill rotWithShape="1">
                              <a:blip r:embed="rId22"/>
                              <a:stretch/>
                            </pic:blipFill>
                            <pic:spPr bwMode="auto">
                              <a:xfrm flipH="0" flipV="0">
                                <a:off x="0" y="0"/>
                                <a:ext cx="2804940" cy="21005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0.86pt;height:165.40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53595" cy="2062081"/>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683953" name=""/>
                              <pic:cNvPicPr>
                                <a:picLocks noChangeAspect="1"/>
                              </pic:cNvPicPr>
                              <pic:nvPr/>
                            </pic:nvPicPr>
                            <pic:blipFill rotWithShape="1">
                              <a:blip r:embed="rId23"/>
                              <a:stretch/>
                            </pic:blipFill>
                            <pic:spPr bwMode="auto">
                              <a:xfrm flipH="0" flipV="0">
                                <a:off x="0" y="0"/>
                                <a:ext cx="2753595" cy="20620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6.82pt;height:162.37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HSTD-20260401-0014/BC-VFI</w:t>
      </w:r>
      <w:r>
        <w:rPr>
          <w:i/>
        </w:rPr>
        <w:t xml:space="preserve"> ngày</w:t>
      </w:r>
      <w:r>
        <w:rPr>
          <w:i/>
          <w:lang w:val="pt-BR"/>
        </w:rPr>
        <w:t xml:space="preserve"> </w:t>
      </w:r>
      <w:r>
        <w:rPr>
          <w:i/>
          <w:lang w:val="pt-BR"/>
        </w:rPr>
        <w:t xml:space="preserve">3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Cs/>
          <w:i/>
          <w:highlight w:val="none"/>
          <w:lang w:val="pt-BR"/>
        </w:rPr>
      </w:pPr>
      <w:r>
        <w:rPr>
          <w:i/>
          <w:lang w:val="pt-BR"/>
        </w:rPr>
      </w:r>
      <w:r>
        <mc:AlternateContent>
          <mc:Choice Requires="wpg">
            <w:drawing>
              <wp:inline xmlns:wp="http://schemas.openxmlformats.org/drawingml/2006/wordprocessingDrawing" distT="0" distB="0" distL="0" distR="0">
                <wp:extent cx="6048375" cy="5420368"/>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883943" name=""/>
                        <pic:cNvPicPr>
                          <a:picLocks noChangeAspect="1"/>
                        </pic:cNvPicPr>
                        <pic:nvPr/>
                      </pic:nvPicPr>
                      <pic:blipFill rotWithShape="1">
                        <a:blip r:embed="rId24"/>
                        <a:stretch/>
                      </pic:blipFill>
                      <pic:spPr bwMode="auto">
                        <a:xfrm>
                          <a:off x="0" y="0"/>
                          <a:ext cx="6048374" cy="542036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426.80pt;mso-wrap-distance-left:0.00pt;mso-wrap-distance-top:0.00pt;mso-wrap-distance-right:0.00pt;mso-wrap-distance-bottom:0.00pt;z-index:1;" stroked="false">
                <v:imagedata r:id="rId24" o:title=""/>
                <o:lock v:ext="edit" rotation="t"/>
              </v:shape>
            </w:pict>
          </mc:Fallback>
        </mc:AlternateContent>
      </w:r>
      <w:r>
        <w:rPr>
          <w:bCs/>
          <w:i/>
          <w:highlight w:val="none"/>
          <w:lang w:val="pt-BR"/>
        </w:rPr>
      </w:r>
      <w:r>
        <w:rPr>
          <w:bCs/>
          <w:i/>
          <w:highlight w:val="none"/>
          <w:lang w:val="pt-BR"/>
        </w:rPr>
      </w:r>
    </w:p>
    <w:p>
      <w:pPr>
        <w:pBdr/>
        <w:spacing w:after="120"/>
        <w:ind/>
        <w:jc w:val="center"/>
        <w:rPr>
          <w:bCs/>
          <w:i/>
          <w:lang w:val="pt-BR"/>
        </w:rPr>
      </w:pPr>
      <w:r>
        <w:rPr>
          <w:i/>
          <w:highlight w:val="none"/>
          <w:lang w:val="pt-BR" w:bidi="pt-BR"/>
        </w:rPr>
      </w:r>
      <w:r>
        <w:rPr>
          <w:bCs/>
          <w:i/>
          <w:lang w:val="pt-BR"/>
        </w:rPr>
      </w:r>
      <w:r>
        <w:rPr>
          <w:bCs/>
          <w:i/>
          <w:lang w:val="pt-BR"/>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jc w:val="center"/>
          <w:trHeight w:val="29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t xml:space="preserve">Phạm Thị Dung</w:t>
            </w:r>
            <w:r/>
          </w:p>
        </w:tc>
      </w:tr>
    </w:tbl>
    <w:p>
      <w:pPr>
        <w:pBdr/>
        <w:spacing/>
        <w:ind/>
        <w:rPr/>
      </w:pPr>
      <w:r>
        <w:br w:type="page" w:clear="all"/>
      </w:r>
      <w:r/>
    </w:p>
    <w:p>
      <w:pPr>
        <w:pBdr/>
        <w:spacing w:after="200" w:line="276" w:lineRule="auto"/>
        <w:ind/>
        <w:jc w:val="center"/>
        <w:rPr>
          <w:bCs/>
          <w:i/>
          <w:highlight w:val="none"/>
          <w:lang w:val="pt-BR"/>
        </w:rPr>
      </w:pPr>
      <w:r>
        <w:rPr>
          <w:i/>
          <w:lang w:val="pt-BR"/>
        </w:rPr>
      </w:r>
      <w:r>
        <mc:AlternateContent>
          <mc:Choice Requires="wpg">
            <w:drawing>
              <wp:inline xmlns:wp="http://schemas.openxmlformats.org/drawingml/2006/wordprocessingDrawing" distT="0" distB="0" distL="0" distR="0">
                <wp:extent cx="6048375" cy="6084958"/>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942529" name=""/>
                        <pic:cNvPicPr>
                          <a:picLocks noChangeAspect="1"/>
                        </pic:cNvPicPr>
                        <pic:nvPr/>
                      </pic:nvPicPr>
                      <pic:blipFill rotWithShape="1">
                        <a:blip r:embed="rId25"/>
                        <a:stretch/>
                      </pic:blipFill>
                      <pic:spPr bwMode="auto">
                        <a:xfrm>
                          <a:off x="0" y="0"/>
                          <a:ext cx="6048374" cy="608495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479.13pt;mso-wrap-distance-left:0.00pt;mso-wrap-distance-top:0.00pt;mso-wrap-distance-right:0.00pt;mso-wrap-distance-bottom:0.00pt;z-index:1;" stroked="false">
                <v:imagedata r:id="rId25" o:title=""/>
                <o:lock v:ext="edit" rotation="t"/>
              </v:shape>
            </w:pict>
          </mc:Fallback>
        </mc:AlternateContent>
      </w:r>
      <w:r>
        <w:rPr>
          <w:bCs/>
          <w:i/>
          <w:highlight w:val="none"/>
          <w:lang w:val="pt-BR"/>
        </w:rPr>
      </w:r>
      <w:r>
        <w:rPr>
          <w:bCs/>
          <w:i/>
          <w:highlight w:val="none"/>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tc>
      </w:tr>
      <w:tr>
        <w:trPr>
          <w:trHeight w:val="298"/>
        </w:trPr>
        <w:tc>
          <w:tcPr>
            <w:tcBorders/>
            <w:tcW w:w="4358" w:type="dxa"/>
            <w:vAlign w:val="bottom"/>
            <w:textDirection w:val="lrTb"/>
            <w:noWrap w:val="false"/>
          </w:tcPr>
          <w:p>
            <w:pPr>
              <w:pBdr/>
              <w:spacing/>
              <w:ind/>
              <w:rPr>
                <w:b/>
                <w:bCs/>
              </w:rPr>
            </w:pPr>
            <w:r>
              <w:rPr>
                <w:b/>
                <w:bCs/>
              </w:rPr>
            </w:r>
            <w:r>
              <w:rPr>
                <w:b/>
                <w:bCs/>
              </w:rPr>
            </w:r>
            <w:r>
              <w:rPr>
                <w:b/>
                <w:bCs/>
              </w:rPr>
            </w:r>
          </w:p>
        </w:tc>
        <w:tc>
          <w:tcPr>
            <w:tcBorders/>
            <w:tcW w:w="4701" w:type="dxa"/>
            <w:vAlign w:val="center"/>
            <w:textDirection w:val="lrTb"/>
            <w:noWrap/>
          </w:tcPr>
          <w:p>
            <w:pPr>
              <w:pBdr/>
              <w:spacing/>
              <w:ind/>
              <w:jc w:val="center"/>
              <w:rPr>
                <w:b w:val="0"/>
                <w:bCs w:val="0"/>
              </w:rPr>
            </w:pPr>
            <w:r>
              <w:rPr>
                <w:b w:val="0"/>
                <w:bCs w:val="0"/>
              </w:rPr>
              <w:t xml:space="preserve">Phạm Thị Dung</w:t>
            </w:r>
            <w:r>
              <w:rPr>
                <w:b w:val="0"/>
                <w:bCs w:val="0"/>
              </w:rPr>
            </w:r>
            <w:r>
              <w:rPr>
                <w:b w:val="0"/>
                <w:bCs w:val="0"/>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iCs/>
          <w:lang w:val="pt-BR"/>
        </w:rPr>
      </w:pPr>
      <w:r>
        <w:rPr>
          <w:iCs/>
          <w:lang w:val="pt-BR"/>
        </w:rPr>
      </w:r>
      <w:r>
        <mc:AlternateContent>
          <mc:Choice Requires="wpg">
            <w:drawing>
              <wp:inline xmlns:wp="http://schemas.openxmlformats.org/drawingml/2006/wordprocessingDrawing" distT="0" distB="0" distL="0" distR="0">
                <wp:extent cx="6048375" cy="6389815"/>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350095" name=""/>
                        <pic:cNvPicPr>
                          <a:picLocks noChangeAspect="1"/>
                        </pic:cNvPicPr>
                        <pic:nvPr/>
                      </pic:nvPicPr>
                      <pic:blipFill rotWithShape="1">
                        <a:blip r:embed="rId26"/>
                        <a:stretch/>
                      </pic:blipFill>
                      <pic:spPr bwMode="auto">
                        <a:xfrm>
                          <a:off x="0" y="0"/>
                          <a:ext cx="6048374" cy="63898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503.14pt;mso-wrap-distance-left:0.00pt;mso-wrap-distance-top:0.00pt;mso-wrap-distance-right:0.00pt;mso-wrap-distance-bottom:0.00pt;z-index:1;" stroked="false">
                <v:imagedata r:id="rId26" o:title=""/>
                <o:lock v:ext="edit" rotation="t"/>
              </v:shape>
            </w:pict>
          </mc:Fallback>
        </mc:AlternateContent>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val="0"/>
                <w:bCs w:val="0"/>
              </w:rPr>
            </w:pPr>
            <w:r>
              <w:rPr>
                <w:b w:val="0"/>
                <w:bCs w:val="0"/>
              </w:rPr>
              <w:t xml:space="preserve">Phạm Thị Dung</w:t>
            </w:r>
            <w:r>
              <w:rPr>
                <w:b w:val="0"/>
                <w:bCs w:val="0"/>
              </w:rPr>
            </w:r>
            <w:r>
              <w:rPr>
                <w:b w:val="0"/>
                <w:bCs w:val="0"/>
              </w:rPr>
            </w:r>
          </w:p>
        </w:tc>
      </w:tr>
    </w:tbl>
    <w:p>
      <w:pPr>
        <w:pBdr/>
        <w:shd w:val="nil" w:color="auto"/>
        <w:spacing/>
        <w:ind/>
        <w:rPr>
          <w:lang w:val="pt-BR"/>
        </w:rPr>
      </w:pPr>
      <w:r>
        <w:rPr>
          <w:iCs/>
          <w:lang w:val="pt-BR"/>
        </w:rPr>
        <w:br w:type="page" w:clear="all"/>
      </w:r>
      <w:r>
        <w:rPr>
          <w:lang w:val="pt-BR"/>
        </w:rPr>
      </w:r>
      <w:r>
        <w:rPr>
          <w:lang w:val="pt-BR"/>
        </w:rPr>
      </w:r>
    </w:p>
    <w:p>
      <w:pPr>
        <w:pBdr>
          <w:top w:val="none" w:color="000000" w:sz="4" w:space="0"/>
          <w:left w:val="none" w:color="000000" w:sz="4" w:space="0"/>
          <w:bottom w:val="none" w:color="000000" w:sz="4" w:space="0"/>
          <w:right w:val="none" w:color="000000" w:sz="4" w:space="0"/>
        </w:pBdr>
        <w:spacing w:after="200" w:before="0" w:line="276" w:lineRule="auto"/>
        <w:ind w:right="0" w:firstLine="0" w:left="709"/>
        <w:jc w:val="center"/>
        <w:rPr/>
      </w:pPr>
      <w:r>
        <w:rPr>
          <w:rFonts w:ascii="Times New Roman" w:hAnsi="Times New Roman" w:eastAsia="Times New Roman" w:cs="Times New Roman"/>
          <w:b/>
          <w:color w:val="000000"/>
          <w:sz w:val="24"/>
        </w:rPr>
        <w:t xml:space="preserve">GIẤY CHỨNG NHẬN </w:t>
      </w:r>
      <w:r/>
    </w:p>
    <w:p>
      <w:pPr>
        <w:pBdr/>
        <w:spacing w:after="200" w:line="276" w:lineRule="auto"/>
        <w:ind/>
        <w:rPr>
          <w:iCs/>
          <w:highlight w:val="none"/>
          <w:lang w:val="pt-BR"/>
        </w:rPr>
      </w:pPr>
      <w:r>
        <w:rPr>
          <w:iCs/>
          <w:lang w:val="pt-BR"/>
        </w:rPr>
      </w:r>
      <w:r>
        <mc:AlternateContent>
          <mc:Choice Requires="wpg">
            <w:drawing>
              <wp:inline xmlns:wp="http://schemas.openxmlformats.org/drawingml/2006/wordprocessingDrawing" distT="0" distB="0" distL="0" distR="0">
                <wp:extent cx="6048375" cy="8066532"/>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835836" name=""/>
                        <pic:cNvPicPr>
                          <a:picLocks noChangeAspect="1"/>
                        </pic:cNvPicPr>
                        <pic:nvPr/>
                      </pic:nvPicPr>
                      <pic:blipFill rotWithShape="1">
                        <a:blip r:embed="rId27"/>
                        <a:stretch/>
                      </pic:blipFill>
                      <pic:spPr bwMode="auto">
                        <a:xfrm>
                          <a:off x="0" y="0"/>
                          <a:ext cx="6048374" cy="80665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6.25pt;height:635.16pt;mso-wrap-distance-left:0.00pt;mso-wrap-distance-top:0.00pt;mso-wrap-distance-right:0.00pt;mso-wrap-distance-bottom:0.00pt;z-index:1;" stroked="false">
                <v:imagedata r:id="rId27" o:title=""/>
                <o:lock v:ext="edit" rotation="t"/>
              </v:shape>
            </w:pict>
          </mc:Fallback>
        </mc:AlternateContent>
      </w:r>
      <w:r>
        <w:rPr>
          <w:iCs/>
          <w:highlight w:val="none"/>
          <w:lang w:val="pt-BR"/>
        </w:rPr>
      </w:r>
      <w:r>
        <w:rPr>
          <w:iCs/>
          <w:highlight w:val="none"/>
          <w:lang w:val="pt-BR"/>
        </w:rPr>
      </w:r>
    </w:p>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lang w:val="pt-BR"/>
        </w:rPr>
      </w:r>
      <w:r>
        <w:rPr>
          <w:lang w:val="pt-BR"/>
        </w:rPr>
      </w:r>
      <w:r>
        <w:rPr>
          <w:lang w:val="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6048375" cy="8563419"/>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335901" name=""/>
                        <pic:cNvPicPr>
                          <a:picLocks noChangeAspect="1"/>
                        </pic:cNvPicPr>
                        <pic:nvPr/>
                      </pic:nvPicPr>
                      <pic:blipFill rotWithShape="1">
                        <a:blip r:embed="rId28"/>
                        <a:stretch/>
                      </pic:blipFill>
                      <pic:spPr bwMode="auto">
                        <a:xfrm>
                          <a:off x="0" y="0"/>
                          <a:ext cx="6048374" cy="85634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76.25pt;height:674.28pt;mso-wrap-distance-left:0.00pt;mso-wrap-distance-top:0.00pt;mso-wrap-distance-right:0.00pt;mso-wrap-distance-bottom:0.00pt;z-index:1;" stroked="false">
                <v:imagedata r:id="rId28" o:title=""/>
                <o:lock v:ext="edit" rotation="t"/>
              </v:shape>
            </w:pict>
          </mc:Fallback>
        </mc:AlternateContent>
      </w:r>
      <w:r>
        <w:rPr>
          <w:highlight w:val="none"/>
          <w:lang w:val="pt-BR" w:bidi="pt-BR"/>
        </w:rPr>
      </w:r>
      <w:r>
        <w:rPr>
          <w:highlight w:val="none"/>
          <w:lang w:val="pt-BR" w:bidi="pt-BR"/>
        </w:rPr>
      </w:r>
    </w:p>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lang w:val="pt-BR"/>
        </w:rPr>
      </w:r>
      <w:r>
        <w:rPr>
          <w:lang w:val="pt-BR"/>
        </w:rPr>
      </w:r>
      <w:r>
        <w:rPr>
          <w:lang w:val="pt-BR"/>
        </w:rPr>
      </w:r>
    </w:p>
    <w:p>
      <w:pPr>
        <w:pBdr>
          <w:top w:val="none" w:color="000000" w:sz="4" w:space="0"/>
          <w:left w:val="none" w:color="000000" w:sz="4" w:space="0"/>
          <w:bottom w:val="none" w:color="000000" w:sz="4" w:space="0"/>
          <w:right w:val="none" w:color="000000" w:sz="4" w:space="0"/>
        </w:pBdr>
        <w:spacing w:after="200" w:before="0" w:line="276" w:lineRule="auto"/>
        <w:ind w:right="0" w:hanging="709" w:left="709"/>
        <w:jc w:val="center"/>
        <w:rPr/>
      </w:pPr>
      <w:r>
        <w:rPr>
          <w:rFonts w:ascii="Times New Roman" w:hAnsi="Times New Roman" w:eastAsia="Times New Roman" w:cs="Times New Roman"/>
          <w:b/>
          <w:color w:val="000000"/>
          <w:sz w:val="24"/>
        </w:rPr>
        <w:t xml:space="preserve">BIÊN BẢN KHẢO SÁT</w:t>
      </w:r>
      <w:r/>
    </w:p>
    <w:p>
      <w:pPr>
        <w:pBdr/>
        <w:spacing w:after="200" w:line="276" w:lineRule="auto"/>
        <w:ind/>
        <w:rPr>
          <w:lang w:val="pt-BR"/>
        </w:rPr>
      </w:pPr>
      <w:r>
        <w:rPr>
          <w:iCs/>
          <w:highlight w:val="none"/>
          <w:lang w:val="pt-BR" w:bidi="pt-BR"/>
        </w:rPr>
      </w:r>
      <w:r>
        <mc:AlternateContent>
          <mc:Choice Requires="wpg">
            <w:drawing>
              <wp:inline xmlns:wp="http://schemas.openxmlformats.org/drawingml/2006/wordprocessingDrawing" distT="0" distB="0" distL="0" distR="0">
                <wp:extent cx="6048375" cy="7487303"/>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073493" name=""/>
                        <pic:cNvPicPr>
                          <a:picLocks noChangeAspect="1"/>
                        </pic:cNvPicPr>
                        <pic:nvPr/>
                      </pic:nvPicPr>
                      <pic:blipFill rotWithShape="1">
                        <a:blip r:embed="rId29"/>
                        <a:stretch/>
                      </pic:blipFill>
                      <pic:spPr bwMode="auto">
                        <a:xfrm>
                          <a:off x="0" y="0"/>
                          <a:ext cx="6048374" cy="74873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76.25pt;height:589.55pt;mso-wrap-distance-left:0.00pt;mso-wrap-distance-top:0.00pt;mso-wrap-distance-right:0.00pt;mso-wrap-distance-bottom:0.00pt;z-index:1;" stroked="false">
                <v:imagedata r:id="rId29" o:title=""/>
                <o:lock v:ext="edit" rotation="t"/>
              </v:shape>
            </w:pict>
          </mc:Fallback>
        </mc:AlternateContent>
      </w:r>
      <w:r>
        <w:rPr>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9"/>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8E09A29"/>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
      <w:numFmt w:val="bullet"/>
      <w:pPr>
        <w:pBdr/>
        <w:spacing/>
        <w:ind w:hanging="360" w:left="1440"/>
      </w:pPr>
      <w:rPr>
        <w:rFonts w:hint="default" w:ascii="Symbol" w:hAnsi="Symbol" w:eastAsia="Symbol" w:cs="Symbol"/>
      </w:rPr>
      <w:start w:val="1"/>
      <w:suff w:val="tab"/>
    </w:lvl>
    <w:lvl w:ilvl="2">
      <w:isLgl w:val="false"/>
      <w:lvlJc w:val="left"/>
      <w:lvlText w:val=""/>
      <w:numFmt w:val="bullet"/>
      <w:pPr>
        <w:pBdr/>
        <w:spacing/>
        <w:ind w:hanging="360" w:left="2160"/>
      </w:pPr>
      <w:rPr>
        <w:rFonts w:hint="default" w:ascii="Symbol" w:hAnsi="Symbol" w:eastAsia="Symbol" w:cs="Symbol"/>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
      <w:numFmt w:val="bullet"/>
      <w:pPr>
        <w:pBdr/>
        <w:spacing/>
        <w:ind w:hanging="360" w:left="3600"/>
      </w:pPr>
      <w:rPr>
        <w:rFonts w:hint="default" w:ascii="Symbol" w:hAnsi="Symbol" w:eastAsia="Symbol" w:cs="Symbol"/>
      </w:rPr>
      <w:start w:val="1"/>
      <w:suff w:val="tab"/>
    </w:lvl>
    <w:lvl w:ilvl="5">
      <w:isLgl w:val="false"/>
      <w:lvlJc w:val="left"/>
      <w:lvlText w:val=""/>
      <w:numFmt w:val="bullet"/>
      <w:pPr>
        <w:pBdr/>
        <w:spacing/>
        <w:ind w:hanging="360" w:left="4320"/>
      </w:pPr>
      <w:rPr>
        <w:rFonts w:hint="default" w:ascii="Symbol" w:hAnsi="Symbol" w:eastAsia="Symbol" w:cs="Symbol"/>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
      <w:numFmt w:val="bullet"/>
      <w:pPr>
        <w:pBdr/>
        <w:spacing/>
        <w:ind w:hanging="360" w:left="5760"/>
      </w:pPr>
      <w:rPr>
        <w:rFonts w:hint="default" w:ascii="Symbol" w:hAnsi="Symbol" w:eastAsia="Symbol" w:cs="Symbol"/>
      </w:rPr>
      <w:start w:val="1"/>
      <w:suff w:val="tab"/>
    </w:lvl>
    <w:lvl w:ilvl="8">
      <w:isLgl w:val="false"/>
      <w:lvlJc w:val="left"/>
      <w:lvlText w:val=""/>
      <w:numFmt w:val="bullet"/>
      <w:pPr>
        <w:pBdr/>
        <w:spacing/>
        <w:ind w:hanging="360" w:left="6480"/>
      </w:pPr>
      <w:rPr>
        <w:rFonts w:hint="default" w:ascii="Symbol" w:hAnsi="Symbol" w:eastAsia="Symbol" w:cs="Symbol"/>
      </w:rPr>
      <w:start w:val="1"/>
      <w:suff w:val="tab"/>
    </w:lvl>
  </w:abstractNum>
  <w:abstractNum w:abstractNumId="38">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39">
    <w:nsid w:val="50A939DE"/>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0">
    <w:nsid w:val="5390CD43"/>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5">
    <w:name w:val="Table Grid Light"/>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1"/>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2"/>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3"/>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4"/>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5"/>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w:basedOn w:val="101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w:basedOn w:val="101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1"/>
    <w:basedOn w:val="101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2"/>
    <w:basedOn w:val="101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3"/>
    <w:basedOn w:val="101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4"/>
    <w:basedOn w:val="101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5"/>
    <w:basedOn w:val="101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6"/>
    <w:basedOn w:val="101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Accent 1"/>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2"/>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3"/>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Accent 4"/>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5"/>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6"/>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7">
    <w:name w:val="Grid Table 6 Colorful - Accent 1"/>
    <w:basedOn w:val="101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8">
    <w:name w:val="Grid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9">
    <w:name w:val="Grid Table 6 Colorful - Accent 3"/>
    <w:basedOn w:val="101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0">
    <w:name w:val="Grid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1">
    <w:name w:val="Grid Table 6 Colorful - Accent 5"/>
    <w:basedOn w:val="101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2">
    <w:name w:val="Grid Table 6 Colorful - Accent 6"/>
    <w:basedOn w:val="101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3">
    <w:name w:val="Grid Table 7 Colorful"/>
    <w:basedOn w:val="101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1"/>
    <w:basedOn w:val="101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5"/>
    <w:basedOn w:val="101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6"/>
    <w:basedOn w:val="101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1"/>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2"/>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3"/>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4"/>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5"/>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6"/>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w:basedOn w:val="101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1"/>
    <w:basedOn w:val="101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2"/>
    <w:basedOn w:val="101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3"/>
    <w:basedOn w:val="101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4"/>
    <w:basedOn w:val="101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5"/>
    <w:basedOn w:val="101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6"/>
    <w:basedOn w:val="101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1"/>
    <w:basedOn w:val="101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3"/>
    <w:basedOn w:val="101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5"/>
    <w:basedOn w:val="101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6"/>
    <w:basedOn w:val="101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1"/>
    <w:basedOn w:val="101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2"/>
    <w:basedOn w:val="101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3"/>
    <w:basedOn w:val="101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4"/>
    <w:basedOn w:val="101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5"/>
    <w:basedOn w:val="101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6"/>
    <w:basedOn w:val="101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5 Dark"/>
    <w:basedOn w:val="101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1"/>
    <w:basedOn w:val="101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2"/>
    <w:basedOn w:val="101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3"/>
    <w:basedOn w:val="101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4"/>
    <w:basedOn w:val="101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5"/>
    <w:basedOn w:val="101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6"/>
    <w:basedOn w:val="101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1"/>
    <w:basedOn w:val="101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3"/>
    <w:basedOn w:val="101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5"/>
    <w:basedOn w:val="101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6"/>
    <w:basedOn w:val="101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7 Colorful"/>
    <w:basedOn w:val="101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3">
    <w:name w:val="List Table 7 Colorful - Accent 1"/>
    <w:basedOn w:val="101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4">
    <w:name w:val="List Table 7 Colorful - Accent 2"/>
    <w:basedOn w:val="101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5">
    <w:name w:val="List Table 7 Colorful - Accent 3"/>
    <w:basedOn w:val="101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6">
    <w:name w:val="List Table 7 Colorful - Accent 4"/>
    <w:basedOn w:val="101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7">
    <w:name w:val="List Table 7 Colorful - Accent 5"/>
    <w:basedOn w:val="101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8">
    <w:name w:val="List Table 7 Colorful - Accent 6"/>
    <w:basedOn w:val="101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9">
    <w:name w:val="Lined - Accent"/>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1"/>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2"/>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3"/>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4"/>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5"/>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6"/>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w:basedOn w:val="101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1"/>
    <w:basedOn w:val="101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2"/>
    <w:basedOn w:val="101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3"/>
    <w:basedOn w:val="101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4"/>
    <w:basedOn w:val="101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5"/>
    <w:basedOn w:val="101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6"/>
    <w:basedOn w:val="101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w:basedOn w:val="101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0">
    <w:name w:val="Heading 5"/>
    <w:basedOn w:val="1011"/>
    <w:next w:val="1011"/>
    <w:link w:val="97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1">
    <w:name w:val="Heading 6"/>
    <w:basedOn w:val="1011"/>
    <w:next w:val="1011"/>
    <w:link w:val="97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2">
    <w:name w:val="Heading 7"/>
    <w:basedOn w:val="1011"/>
    <w:next w:val="1011"/>
    <w:link w:val="97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3">
    <w:name w:val="Heading 8"/>
    <w:basedOn w:val="1011"/>
    <w:next w:val="1011"/>
    <w:link w:val="97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4">
    <w:name w:val="Heading 9"/>
    <w:basedOn w:val="1011"/>
    <w:next w:val="1011"/>
    <w:link w:val="97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5">
    <w:name w:val="Heading 5 Char"/>
    <w:basedOn w:val="1016"/>
    <w:link w:val="970"/>
    <w:uiPriority w:val="9"/>
    <w:pPr>
      <w:pBdr/>
      <w:spacing/>
      <w:ind/>
    </w:pPr>
    <w:rPr>
      <w:rFonts w:ascii="Arial" w:hAnsi="Arial" w:eastAsia="Arial" w:cs="Arial"/>
      <w:color w:val="0f4761" w:themeColor="accent1" w:themeShade="BF"/>
    </w:rPr>
  </w:style>
  <w:style w:type="character" w:styleId="976">
    <w:name w:val="Heading 6 Char"/>
    <w:basedOn w:val="1016"/>
    <w:link w:val="971"/>
    <w:uiPriority w:val="9"/>
    <w:pPr>
      <w:pBdr/>
      <w:spacing/>
      <w:ind/>
    </w:pPr>
    <w:rPr>
      <w:rFonts w:ascii="Arial" w:hAnsi="Arial" w:eastAsia="Arial" w:cs="Arial"/>
      <w:i/>
      <w:iCs/>
      <w:color w:val="595959" w:themeColor="text1" w:themeTint="A6"/>
    </w:rPr>
  </w:style>
  <w:style w:type="character" w:styleId="977">
    <w:name w:val="Heading 7 Char"/>
    <w:basedOn w:val="1016"/>
    <w:link w:val="972"/>
    <w:uiPriority w:val="9"/>
    <w:pPr>
      <w:pBdr/>
      <w:spacing/>
      <w:ind/>
    </w:pPr>
    <w:rPr>
      <w:rFonts w:ascii="Arial" w:hAnsi="Arial" w:eastAsia="Arial" w:cs="Arial"/>
      <w:color w:val="595959" w:themeColor="text1" w:themeTint="A6"/>
    </w:rPr>
  </w:style>
  <w:style w:type="character" w:styleId="978">
    <w:name w:val="Heading 8 Char"/>
    <w:basedOn w:val="1016"/>
    <w:link w:val="973"/>
    <w:uiPriority w:val="9"/>
    <w:pPr>
      <w:pBdr/>
      <w:spacing/>
      <w:ind/>
    </w:pPr>
    <w:rPr>
      <w:rFonts w:ascii="Arial" w:hAnsi="Arial" w:eastAsia="Arial" w:cs="Arial"/>
      <w:i/>
      <w:iCs/>
      <w:color w:val="272727" w:themeColor="text1" w:themeTint="D8"/>
    </w:rPr>
  </w:style>
  <w:style w:type="character" w:styleId="979">
    <w:name w:val="Heading 9 Char"/>
    <w:basedOn w:val="1016"/>
    <w:link w:val="974"/>
    <w:uiPriority w:val="9"/>
    <w:pPr>
      <w:pBdr/>
      <w:spacing/>
      <w:ind/>
    </w:pPr>
    <w:rPr>
      <w:rFonts w:ascii="Arial" w:hAnsi="Arial" w:eastAsia="Arial" w:cs="Arial"/>
      <w:i/>
      <w:iCs/>
      <w:color w:val="272727" w:themeColor="text1" w:themeTint="D8"/>
    </w:rPr>
  </w:style>
  <w:style w:type="paragraph" w:styleId="980">
    <w:name w:val="Subtitle"/>
    <w:basedOn w:val="1011"/>
    <w:next w:val="1011"/>
    <w:link w:val="981"/>
    <w:uiPriority w:val="11"/>
    <w:qFormat/>
    <w:pPr>
      <w:numPr>
        <w:ilvl w:val="1"/>
      </w:numPr>
      <w:pBdr/>
      <w:spacing/>
      <w:ind/>
    </w:pPr>
    <w:rPr>
      <w:color w:val="595959" w:themeColor="text1" w:themeTint="A6"/>
      <w:spacing w:val="15"/>
      <w:sz w:val="28"/>
      <w:szCs w:val="28"/>
    </w:rPr>
  </w:style>
  <w:style w:type="character" w:styleId="981">
    <w:name w:val="Subtitle Char"/>
    <w:basedOn w:val="1016"/>
    <w:link w:val="980"/>
    <w:uiPriority w:val="11"/>
    <w:pPr>
      <w:pBdr/>
      <w:spacing/>
      <w:ind/>
    </w:pPr>
    <w:rPr>
      <w:color w:val="595959" w:themeColor="text1" w:themeTint="A6"/>
      <w:spacing w:val="15"/>
      <w:sz w:val="28"/>
      <w:szCs w:val="28"/>
    </w:rPr>
  </w:style>
  <w:style w:type="paragraph" w:styleId="982">
    <w:name w:val="Quote"/>
    <w:basedOn w:val="1011"/>
    <w:next w:val="1011"/>
    <w:link w:val="983"/>
    <w:uiPriority w:val="29"/>
    <w:qFormat/>
    <w:pPr>
      <w:pBdr/>
      <w:spacing w:before="160"/>
      <w:ind/>
      <w:jc w:val="center"/>
    </w:pPr>
    <w:rPr>
      <w:i/>
      <w:iCs/>
      <w:color w:val="404040" w:themeColor="text1" w:themeTint="BF"/>
    </w:rPr>
  </w:style>
  <w:style w:type="character" w:styleId="983">
    <w:name w:val="Quote Char"/>
    <w:basedOn w:val="1016"/>
    <w:link w:val="982"/>
    <w:uiPriority w:val="29"/>
    <w:pPr>
      <w:pBdr/>
      <w:spacing/>
      <w:ind/>
    </w:pPr>
    <w:rPr>
      <w:i/>
      <w:iCs/>
      <w:color w:val="404040" w:themeColor="text1" w:themeTint="BF"/>
    </w:rPr>
  </w:style>
  <w:style w:type="character" w:styleId="984">
    <w:name w:val="Intense Emphasis"/>
    <w:basedOn w:val="1016"/>
    <w:uiPriority w:val="21"/>
    <w:qFormat/>
    <w:pPr>
      <w:pBdr/>
      <w:spacing/>
      <w:ind/>
    </w:pPr>
    <w:rPr>
      <w:i/>
      <w:iCs/>
      <w:color w:val="0f4761" w:themeColor="accent1" w:themeShade="BF"/>
    </w:rPr>
  </w:style>
  <w:style w:type="paragraph" w:styleId="985">
    <w:name w:val="Intense Quote"/>
    <w:basedOn w:val="1011"/>
    <w:next w:val="1011"/>
    <w:link w:val="986"/>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6">
    <w:name w:val="Intense Quote Char"/>
    <w:basedOn w:val="1016"/>
    <w:link w:val="985"/>
    <w:uiPriority w:val="30"/>
    <w:pPr>
      <w:pBdr/>
      <w:spacing/>
      <w:ind/>
    </w:pPr>
    <w:rPr>
      <w:i/>
      <w:iCs/>
      <w:color w:val="0f4761" w:themeColor="accent1" w:themeShade="BF"/>
    </w:rPr>
  </w:style>
  <w:style w:type="character" w:styleId="987">
    <w:name w:val="Intense Reference"/>
    <w:basedOn w:val="1016"/>
    <w:uiPriority w:val="32"/>
    <w:qFormat/>
    <w:pPr>
      <w:pBdr/>
      <w:spacing/>
      <w:ind/>
    </w:pPr>
    <w:rPr>
      <w:b/>
      <w:bCs/>
      <w:smallCaps/>
      <w:color w:val="0f4761" w:themeColor="accent1" w:themeShade="BF"/>
      <w:spacing w:val="5"/>
    </w:rPr>
  </w:style>
  <w:style w:type="paragraph" w:styleId="988">
    <w:name w:val="No Spacing"/>
    <w:basedOn w:val="1011"/>
    <w:uiPriority w:val="1"/>
    <w:qFormat/>
    <w:pPr>
      <w:pBdr/>
      <w:spacing w:after="0" w:line="240" w:lineRule="auto"/>
      <w:ind/>
    </w:pPr>
  </w:style>
  <w:style w:type="character" w:styleId="989">
    <w:name w:val="Subtle Emphasis"/>
    <w:basedOn w:val="1016"/>
    <w:uiPriority w:val="19"/>
    <w:qFormat/>
    <w:pPr>
      <w:pBdr/>
      <w:spacing/>
      <w:ind/>
    </w:pPr>
    <w:rPr>
      <w:i/>
      <w:iCs/>
      <w:color w:val="404040" w:themeColor="text1" w:themeTint="BF"/>
    </w:rPr>
  </w:style>
  <w:style w:type="character" w:styleId="990">
    <w:name w:val="Subtle Reference"/>
    <w:basedOn w:val="1016"/>
    <w:uiPriority w:val="31"/>
    <w:qFormat/>
    <w:pPr>
      <w:pBdr/>
      <w:spacing/>
      <w:ind/>
    </w:pPr>
    <w:rPr>
      <w:smallCaps/>
      <w:color w:val="5a5a5a" w:themeColor="text1" w:themeTint="A5"/>
    </w:rPr>
  </w:style>
  <w:style w:type="character" w:styleId="991">
    <w:name w:val="Book Title"/>
    <w:basedOn w:val="1016"/>
    <w:uiPriority w:val="33"/>
    <w:qFormat/>
    <w:pPr>
      <w:pBdr/>
      <w:spacing/>
      <w:ind/>
    </w:pPr>
    <w:rPr>
      <w:b/>
      <w:bCs/>
      <w:i/>
      <w:iCs/>
      <w:spacing w:val="5"/>
    </w:rPr>
  </w:style>
  <w:style w:type="paragraph" w:styleId="992">
    <w:name w:val="Caption"/>
    <w:basedOn w:val="1011"/>
    <w:next w:val="1011"/>
    <w:uiPriority w:val="35"/>
    <w:unhideWhenUsed/>
    <w:qFormat/>
    <w:pPr>
      <w:pBdr/>
      <w:spacing w:after="200" w:line="240" w:lineRule="auto"/>
      <w:ind/>
    </w:pPr>
    <w:rPr>
      <w:i/>
      <w:iCs/>
      <w:color w:val="0e2841" w:themeColor="text2"/>
      <w:sz w:val="18"/>
      <w:szCs w:val="18"/>
    </w:rPr>
  </w:style>
  <w:style w:type="paragraph" w:styleId="993">
    <w:name w:val="footnote text"/>
    <w:basedOn w:val="1011"/>
    <w:link w:val="994"/>
    <w:uiPriority w:val="99"/>
    <w:semiHidden/>
    <w:unhideWhenUsed/>
    <w:pPr>
      <w:pBdr/>
      <w:spacing w:after="0" w:line="240" w:lineRule="auto"/>
      <w:ind/>
    </w:pPr>
    <w:rPr>
      <w:sz w:val="20"/>
      <w:szCs w:val="20"/>
    </w:rPr>
  </w:style>
  <w:style w:type="character" w:styleId="994">
    <w:name w:val="Footnote Text Char"/>
    <w:basedOn w:val="1016"/>
    <w:link w:val="993"/>
    <w:uiPriority w:val="99"/>
    <w:semiHidden/>
    <w:pPr>
      <w:pBdr/>
      <w:spacing/>
      <w:ind/>
    </w:pPr>
    <w:rPr>
      <w:sz w:val="20"/>
      <w:szCs w:val="20"/>
    </w:rPr>
  </w:style>
  <w:style w:type="character" w:styleId="995">
    <w:name w:val="footnote reference"/>
    <w:basedOn w:val="1016"/>
    <w:uiPriority w:val="99"/>
    <w:semiHidden/>
    <w:unhideWhenUsed/>
    <w:pPr>
      <w:pBdr/>
      <w:spacing/>
      <w:ind/>
    </w:pPr>
    <w:rPr>
      <w:vertAlign w:val="superscript"/>
    </w:rPr>
  </w:style>
  <w:style w:type="paragraph" w:styleId="996">
    <w:name w:val="endnote text"/>
    <w:basedOn w:val="1011"/>
    <w:link w:val="997"/>
    <w:uiPriority w:val="99"/>
    <w:semiHidden/>
    <w:unhideWhenUsed/>
    <w:pPr>
      <w:pBdr/>
      <w:spacing w:after="0" w:line="240" w:lineRule="auto"/>
      <w:ind/>
    </w:pPr>
    <w:rPr>
      <w:sz w:val="20"/>
      <w:szCs w:val="20"/>
    </w:rPr>
  </w:style>
  <w:style w:type="character" w:styleId="997">
    <w:name w:val="Endnote Text Char"/>
    <w:basedOn w:val="1016"/>
    <w:link w:val="996"/>
    <w:uiPriority w:val="99"/>
    <w:semiHidden/>
    <w:pPr>
      <w:pBdr/>
      <w:spacing/>
      <w:ind/>
    </w:pPr>
    <w:rPr>
      <w:sz w:val="20"/>
      <w:szCs w:val="20"/>
    </w:rPr>
  </w:style>
  <w:style w:type="character" w:styleId="998">
    <w:name w:val="endnote reference"/>
    <w:basedOn w:val="1016"/>
    <w:uiPriority w:val="99"/>
    <w:semiHidden/>
    <w:unhideWhenUsed/>
    <w:pPr>
      <w:pBdr/>
      <w:spacing/>
      <w:ind/>
    </w:pPr>
    <w:rPr>
      <w:vertAlign w:val="superscript"/>
    </w:rPr>
  </w:style>
  <w:style w:type="paragraph" w:styleId="999">
    <w:name w:val="toc 1"/>
    <w:basedOn w:val="1011"/>
    <w:next w:val="1011"/>
    <w:uiPriority w:val="39"/>
    <w:unhideWhenUsed/>
    <w:pPr>
      <w:pBdr/>
      <w:spacing w:after="100"/>
      <w:ind/>
    </w:pPr>
  </w:style>
  <w:style w:type="paragraph" w:styleId="1000">
    <w:name w:val="toc 2"/>
    <w:basedOn w:val="1011"/>
    <w:next w:val="1011"/>
    <w:uiPriority w:val="39"/>
    <w:unhideWhenUsed/>
    <w:pPr>
      <w:pBdr/>
      <w:spacing w:after="100"/>
      <w:ind w:left="220"/>
    </w:pPr>
  </w:style>
  <w:style w:type="paragraph" w:styleId="1001">
    <w:name w:val="toc 3"/>
    <w:basedOn w:val="1011"/>
    <w:next w:val="1011"/>
    <w:uiPriority w:val="39"/>
    <w:unhideWhenUsed/>
    <w:pPr>
      <w:pBdr/>
      <w:spacing w:after="100"/>
      <w:ind w:left="440"/>
    </w:pPr>
  </w:style>
  <w:style w:type="paragraph" w:styleId="1002">
    <w:name w:val="toc 4"/>
    <w:basedOn w:val="1011"/>
    <w:next w:val="1011"/>
    <w:uiPriority w:val="39"/>
    <w:unhideWhenUsed/>
    <w:pPr>
      <w:pBdr/>
      <w:spacing w:after="100"/>
      <w:ind w:left="660"/>
    </w:pPr>
  </w:style>
  <w:style w:type="paragraph" w:styleId="1003">
    <w:name w:val="toc 5"/>
    <w:basedOn w:val="1011"/>
    <w:next w:val="1011"/>
    <w:uiPriority w:val="39"/>
    <w:unhideWhenUsed/>
    <w:pPr>
      <w:pBdr/>
      <w:spacing w:after="100"/>
      <w:ind w:left="880"/>
    </w:pPr>
  </w:style>
  <w:style w:type="paragraph" w:styleId="1004">
    <w:name w:val="toc 6"/>
    <w:basedOn w:val="1011"/>
    <w:next w:val="1011"/>
    <w:uiPriority w:val="39"/>
    <w:unhideWhenUsed/>
    <w:pPr>
      <w:pBdr/>
      <w:spacing w:after="100"/>
      <w:ind w:left="1100"/>
    </w:pPr>
  </w:style>
  <w:style w:type="paragraph" w:styleId="1005">
    <w:name w:val="toc 7"/>
    <w:basedOn w:val="1011"/>
    <w:next w:val="1011"/>
    <w:uiPriority w:val="39"/>
    <w:unhideWhenUsed/>
    <w:pPr>
      <w:pBdr/>
      <w:spacing w:after="100"/>
      <w:ind w:left="1320"/>
    </w:pPr>
  </w:style>
  <w:style w:type="paragraph" w:styleId="1006">
    <w:name w:val="toc 8"/>
    <w:basedOn w:val="1011"/>
    <w:next w:val="1011"/>
    <w:uiPriority w:val="39"/>
    <w:unhideWhenUsed/>
    <w:pPr>
      <w:pBdr/>
      <w:spacing w:after="100"/>
      <w:ind w:left="1540"/>
    </w:pPr>
  </w:style>
  <w:style w:type="paragraph" w:styleId="1007">
    <w:name w:val="toc 9"/>
    <w:basedOn w:val="1011"/>
    <w:next w:val="1011"/>
    <w:uiPriority w:val="39"/>
    <w:unhideWhenUsed/>
    <w:pPr>
      <w:pBdr/>
      <w:spacing w:after="100"/>
      <w:ind w:left="1760"/>
    </w:pPr>
  </w:style>
  <w:style w:type="character" w:styleId="1008">
    <w:name w:val="Placeholder Text"/>
    <w:basedOn w:val="1016"/>
    <w:uiPriority w:val="99"/>
    <w:semiHidden/>
    <w:pPr>
      <w:pBdr/>
      <w:spacing/>
      <w:ind/>
    </w:pPr>
    <w:rPr>
      <w:color w:val="666666"/>
    </w:rPr>
  </w:style>
  <w:style w:type="paragraph" w:styleId="1009">
    <w:name w:val="TOC Heading"/>
    <w:uiPriority w:val="39"/>
    <w:unhideWhenUsed/>
    <w:pPr>
      <w:pBdr/>
      <w:spacing/>
      <w:ind/>
    </w:pPr>
  </w:style>
  <w:style w:type="paragraph" w:styleId="1010">
    <w:name w:val="table of figures"/>
    <w:basedOn w:val="1011"/>
    <w:next w:val="1011"/>
    <w:uiPriority w:val="99"/>
    <w:unhideWhenUsed/>
    <w:pPr>
      <w:pBdr/>
      <w:spacing w:after="0" w:afterAutospacing="0"/>
      <w:ind/>
    </w:pPr>
  </w:style>
  <w:style w:type="paragraph" w:styleId="1011" w:default="1">
    <w:name w:val="Normal"/>
    <w:qFormat/>
    <w:pPr>
      <w:pBdr/>
      <w:spacing w:after="0" w:line="240" w:lineRule="auto"/>
      <w:ind/>
    </w:pPr>
    <w:rPr>
      <w:rFonts w:ascii="Times New Roman" w:hAnsi="Times New Roman" w:eastAsia="Times New Roman" w:cs="Times New Roman"/>
      <w:sz w:val="24"/>
      <w:szCs w:val="24"/>
    </w:rPr>
  </w:style>
  <w:style w:type="paragraph" w:styleId="1012">
    <w:name w:val="Heading 1"/>
    <w:basedOn w:val="1011"/>
    <w:next w:val="1011"/>
    <w:link w:val="1019"/>
    <w:qFormat/>
    <w:pPr>
      <w:keepNext w:val="true"/>
      <w:pBdr/>
      <w:spacing w:after="120" w:before="120"/>
      <w:ind/>
      <w:jc w:val="center"/>
      <w:outlineLvl w:val="0"/>
    </w:pPr>
    <w:rPr>
      <w:b/>
      <w:bCs/>
      <w:sz w:val="27"/>
      <w:szCs w:val="27"/>
    </w:rPr>
  </w:style>
  <w:style w:type="paragraph" w:styleId="1013">
    <w:name w:val="Heading 2"/>
    <w:basedOn w:val="1011"/>
    <w:next w:val="1011"/>
    <w:link w:val="1020"/>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4">
    <w:name w:val="Heading 3"/>
    <w:basedOn w:val="1011"/>
    <w:next w:val="1011"/>
    <w:link w:val="1021"/>
    <w:qFormat/>
    <w:pPr>
      <w:keepNext w:val="true"/>
      <w:pBdr/>
      <w:spacing w:before="60"/>
      <w:ind/>
      <w:outlineLvl w:val="2"/>
    </w:pPr>
    <w:rPr>
      <w:sz w:val="28"/>
      <w:szCs w:val="28"/>
    </w:rPr>
  </w:style>
  <w:style w:type="paragraph" w:styleId="1015">
    <w:name w:val="Heading 4"/>
    <w:basedOn w:val="1011"/>
    <w:next w:val="1011"/>
    <w:link w:val="1022"/>
    <w:qFormat/>
    <w:pPr>
      <w:keepNext w:val="true"/>
      <w:pBdr/>
      <w:spacing/>
      <w:ind/>
      <w:jc w:val="center"/>
      <w:outlineLvl w:val="3"/>
    </w:pPr>
    <w:rPr>
      <w:b/>
      <w:bCs/>
    </w:rPr>
  </w:style>
  <w:style w:type="character" w:styleId="1016" w:default="1">
    <w:name w:val="Default Paragraph Font"/>
    <w:uiPriority w:val="1"/>
    <w:semiHidden/>
    <w:unhideWhenUsed/>
    <w:pPr>
      <w:pBdr/>
      <w:spacing/>
      <w:ind/>
    </w:pPr>
  </w:style>
  <w:style w:type="table" w:styleId="101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8" w:default="1">
    <w:name w:val="No List"/>
    <w:uiPriority w:val="99"/>
    <w:semiHidden/>
    <w:unhideWhenUsed/>
    <w:pPr>
      <w:pBdr/>
      <w:spacing/>
      <w:ind/>
    </w:pPr>
  </w:style>
  <w:style w:type="character" w:styleId="1019" w:customStyle="1">
    <w:name w:val="Heading 1 Char"/>
    <w:basedOn w:val="1016"/>
    <w:link w:val="1012"/>
    <w:pPr>
      <w:pBdr/>
      <w:spacing/>
      <w:ind/>
    </w:pPr>
    <w:rPr>
      <w:rFonts w:ascii="Times New Roman" w:hAnsi="Times New Roman" w:eastAsia="Times New Roman" w:cs="Times New Roman"/>
      <w:b/>
      <w:bCs/>
      <w:sz w:val="27"/>
      <w:szCs w:val="27"/>
    </w:rPr>
  </w:style>
  <w:style w:type="character" w:styleId="1020" w:customStyle="1">
    <w:name w:val="Heading 2 Char"/>
    <w:basedOn w:val="1016"/>
    <w:link w:val="1013"/>
    <w:uiPriority w:val="9"/>
    <w:pPr>
      <w:pBdr/>
      <w:spacing/>
      <w:ind/>
    </w:pPr>
    <w:rPr>
      <w:rFonts w:asciiTheme="majorHAnsi" w:hAnsiTheme="majorHAnsi" w:eastAsiaTheme="majorEastAsia" w:cstheme="majorBidi"/>
      <w:color w:val="365f91" w:themeColor="accent1" w:themeShade="BF"/>
      <w:sz w:val="26"/>
      <w:szCs w:val="26"/>
    </w:rPr>
  </w:style>
  <w:style w:type="character" w:styleId="1021" w:customStyle="1">
    <w:name w:val="Heading 3 Char"/>
    <w:basedOn w:val="1016"/>
    <w:link w:val="1014"/>
    <w:pPr>
      <w:pBdr/>
      <w:spacing/>
      <w:ind/>
    </w:pPr>
    <w:rPr>
      <w:rFonts w:ascii="Times New Roman" w:hAnsi="Times New Roman" w:eastAsia="Times New Roman" w:cs="Times New Roman"/>
      <w:sz w:val="28"/>
      <w:szCs w:val="28"/>
    </w:rPr>
  </w:style>
  <w:style w:type="character" w:styleId="1022" w:customStyle="1">
    <w:name w:val="Heading 4 Char"/>
    <w:basedOn w:val="1016"/>
    <w:link w:val="1015"/>
    <w:pPr>
      <w:pBdr/>
      <w:spacing/>
      <w:ind/>
    </w:pPr>
    <w:rPr>
      <w:rFonts w:ascii="Times New Roman" w:hAnsi="Times New Roman" w:eastAsia="Times New Roman" w:cs="Times New Roman"/>
      <w:b/>
      <w:bCs/>
      <w:sz w:val="24"/>
      <w:szCs w:val="24"/>
    </w:rPr>
  </w:style>
  <w:style w:type="character" w:styleId="1023">
    <w:name w:val="Hyperlink"/>
    <w:uiPriority w:val="99"/>
    <w:pPr>
      <w:pBdr/>
      <w:spacing/>
      <w:ind/>
    </w:pPr>
    <w:rPr>
      <w:color w:val="000000"/>
      <w:u w:val="single"/>
    </w:rPr>
  </w:style>
  <w:style w:type="character" w:styleId="1024">
    <w:name w:val="Strong"/>
    <w:uiPriority w:val="22"/>
    <w:qFormat/>
    <w:pPr>
      <w:pBdr/>
      <w:spacing/>
      <w:ind/>
    </w:pPr>
    <w:rPr>
      <w:b/>
      <w:bCs/>
    </w:rPr>
  </w:style>
  <w:style w:type="paragraph" w:styleId="1025">
    <w:name w:val="Balloon Text"/>
    <w:basedOn w:val="1011"/>
    <w:link w:val="1026"/>
    <w:uiPriority w:val="99"/>
    <w:semiHidden/>
    <w:unhideWhenUsed/>
    <w:pPr>
      <w:pBdr/>
      <w:spacing/>
      <w:ind/>
    </w:pPr>
    <w:rPr>
      <w:rFonts w:ascii="Tahoma" w:hAnsi="Tahoma" w:cs="Tahoma"/>
      <w:sz w:val="16"/>
      <w:szCs w:val="16"/>
    </w:rPr>
  </w:style>
  <w:style w:type="character" w:styleId="1026" w:customStyle="1">
    <w:name w:val="Balloon Text Char"/>
    <w:basedOn w:val="1016"/>
    <w:link w:val="1025"/>
    <w:uiPriority w:val="99"/>
    <w:semiHidden/>
    <w:pPr>
      <w:pBdr/>
      <w:spacing/>
      <w:ind/>
    </w:pPr>
    <w:rPr>
      <w:rFonts w:ascii="Tahoma" w:hAnsi="Tahoma" w:eastAsia="Times New Roman" w:cs="Tahoma"/>
      <w:sz w:val="16"/>
      <w:szCs w:val="16"/>
    </w:rPr>
  </w:style>
  <w:style w:type="paragraph" w:styleId="1027">
    <w:name w:val="Header"/>
    <w:basedOn w:val="1011"/>
    <w:link w:val="1028"/>
    <w:unhideWhenUsed/>
    <w:pPr>
      <w:pBdr/>
      <w:tabs>
        <w:tab w:val="center" w:leader="none" w:pos="4680"/>
        <w:tab w:val="right" w:leader="none" w:pos="9360"/>
      </w:tabs>
      <w:spacing/>
      <w:ind/>
    </w:pPr>
  </w:style>
  <w:style w:type="character" w:styleId="1028" w:customStyle="1">
    <w:name w:val="Header Char"/>
    <w:basedOn w:val="1016"/>
    <w:link w:val="1027"/>
    <w:pPr>
      <w:pBdr/>
      <w:spacing/>
      <w:ind/>
    </w:pPr>
    <w:rPr>
      <w:rFonts w:ascii="Times New Roman" w:hAnsi="Times New Roman" w:eastAsia="Times New Roman" w:cs="Times New Roman"/>
      <w:sz w:val="24"/>
      <w:szCs w:val="24"/>
    </w:rPr>
  </w:style>
  <w:style w:type="paragraph" w:styleId="1029">
    <w:name w:val="Footer"/>
    <w:basedOn w:val="1011"/>
    <w:link w:val="1030"/>
    <w:uiPriority w:val="99"/>
    <w:unhideWhenUsed/>
    <w:pPr>
      <w:pBdr/>
      <w:tabs>
        <w:tab w:val="center" w:leader="none" w:pos="4680"/>
        <w:tab w:val="right" w:leader="none" w:pos="9360"/>
      </w:tabs>
      <w:spacing/>
      <w:ind/>
    </w:pPr>
  </w:style>
  <w:style w:type="character" w:styleId="1030" w:customStyle="1">
    <w:name w:val="Footer Char"/>
    <w:basedOn w:val="1016"/>
    <w:link w:val="1029"/>
    <w:uiPriority w:val="99"/>
    <w:pPr>
      <w:pBdr/>
      <w:spacing/>
      <w:ind/>
    </w:pPr>
    <w:rPr>
      <w:rFonts w:ascii="Times New Roman" w:hAnsi="Times New Roman" w:eastAsia="Times New Roman" w:cs="Times New Roman"/>
      <w:sz w:val="24"/>
      <w:szCs w:val="24"/>
    </w:rPr>
  </w:style>
  <w:style w:type="character" w:styleId="1031" w:customStyle="1">
    <w:name w:val="normal-h1"/>
    <w:pPr>
      <w:pBdr/>
      <w:spacing/>
      <w:ind/>
    </w:pPr>
    <w:rPr>
      <w:rFonts w:hint="default" w:ascii=".VnTime" w:hAnsi=".VnTime"/>
      <w:color w:val="0000ff"/>
      <w:sz w:val="24"/>
      <w:szCs w:val="24"/>
    </w:rPr>
  </w:style>
  <w:style w:type="paragraph" w:styleId="1032" w:customStyle="1">
    <w:name w:val="normal-p"/>
    <w:basedOn w:val="1011"/>
    <w:pPr>
      <w:pBdr/>
      <w:spacing/>
      <w:ind/>
      <w:jc w:val="both"/>
    </w:pPr>
    <w:rPr>
      <w:sz w:val="20"/>
      <w:szCs w:val="20"/>
    </w:rPr>
  </w:style>
  <w:style w:type="paragraph" w:styleId="1033">
    <w:name w:val="List Paragraph"/>
    <w:basedOn w:val="1011"/>
    <w:link w:val="1120"/>
    <w:uiPriority w:val="34"/>
    <w:qFormat/>
    <w:pPr>
      <w:pBdr/>
      <w:spacing/>
      <w:ind w:left="720"/>
    </w:pPr>
  </w:style>
  <w:style w:type="paragraph" w:styleId="1034">
    <w:name w:val="Normal (Web)"/>
    <w:basedOn w:val="1011"/>
    <w:uiPriority w:val="99"/>
    <w:pPr>
      <w:pBdr/>
      <w:spacing w:after="100" w:afterAutospacing="1" w:before="100" w:beforeAutospacing="1"/>
      <w:ind/>
    </w:pPr>
  </w:style>
  <w:style w:type="paragraph" w:styleId="1035">
    <w:name w:val="Body Text"/>
    <w:basedOn w:val="1011"/>
    <w:link w:val="1036"/>
    <w:pPr>
      <w:pBdr/>
      <w:spacing w:after="120"/>
      <w:ind/>
      <w:jc w:val="both"/>
    </w:pPr>
  </w:style>
  <w:style w:type="character" w:styleId="1036" w:customStyle="1">
    <w:name w:val="Body Text Char"/>
    <w:basedOn w:val="1016"/>
    <w:link w:val="1035"/>
    <w:pPr>
      <w:pBdr/>
      <w:spacing/>
      <w:ind/>
    </w:pPr>
    <w:rPr>
      <w:rFonts w:ascii="Times New Roman" w:hAnsi="Times New Roman" w:eastAsia="Times New Roman" w:cs="Times New Roman"/>
      <w:sz w:val="24"/>
      <w:szCs w:val="24"/>
    </w:rPr>
  </w:style>
  <w:style w:type="table" w:styleId="1037">
    <w:name w:val="Table Grid"/>
    <w:basedOn w:val="1017"/>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8"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9">
    <w:name w:val="annotation reference"/>
    <w:basedOn w:val="1016"/>
    <w:uiPriority w:val="99"/>
    <w:semiHidden/>
    <w:unhideWhenUsed/>
    <w:pPr>
      <w:pBdr/>
      <w:spacing/>
      <w:ind/>
    </w:pPr>
    <w:rPr>
      <w:sz w:val="16"/>
      <w:szCs w:val="16"/>
    </w:rPr>
  </w:style>
  <w:style w:type="paragraph" w:styleId="1040">
    <w:name w:val="annotation text"/>
    <w:basedOn w:val="1011"/>
    <w:link w:val="1041"/>
    <w:uiPriority w:val="99"/>
    <w:unhideWhenUsed/>
    <w:pPr>
      <w:pBdr/>
      <w:spacing/>
      <w:ind/>
    </w:pPr>
    <w:rPr>
      <w:sz w:val="20"/>
      <w:szCs w:val="20"/>
    </w:rPr>
  </w:style>
  <w:style w:type="character" w:styleId="1041" w:customStyle="1">
    <w:name w:val="Comment Text Char"/>
    <w:basedOn w:val="1016"/>
    <w:link w:val="1040"/>
    <w:uiPriority w:val="99"/>
    <w:pPr>
      <w:pBdr/>
      <w:spacing/>
      <w:ind/>
    </w:pPr>
    <w:rPr>
      <w:rFonts w:ascii="Times New Roman" w:hAnsi="Times New Roman" w:eastAsia="Times New Roman" w:cs="Times New Roman"/>
      <w:sz w:val="20"/>
      <w:szCs w:val="20"/>
    </w:rPr>
  </w:style>
  <w:style w:type="paragraph" w:styleId="1042">
    <w:name w:val="annotation subject"/>
    <w:basedOn w:val="1040"/>
    <w:next w:val="1040"/>
    <w:link w:val="1043"/>
    <w:uiPriority w:val="99"/>
    <w:semiHidden/>
    <w:unhideWhenUsed/>
    <w:pPr>
      <w:pBdr/>
      <w:spacing/>
      <w:ind/>
    </w:pPr>
    <w:rPr>
      <w:b/>
      <w:bCs/>
    </w:rPr>
  </w:style>
  <w:style w:type="character" w:styleId="1043" w:customStyle="1">
    <w:name w:val="Comment Subject Char"/>
    <w:basedOn w:val="1041"/>
    <w:link w:val="1042"/>
    <w:uiPriority w:val="99"/>
    <w:semiHidden/>
    <w:pPr>
      <w:pBdr/>
      <w:spacing/>
      <w:ind/>
    </w:pPr>
    <w:rPr>
      <w:rFonts w:ascii="Times New Roman" w:hAnsi="Times New Roman" w:eastAsia="Times New Roman" w:cs="Times New Roman"/>
      <w:b/>
      <w:bCs/>
      <w:sz w:val="20"/>
      <w:szCs w:val="20"/>
    </w:rPr>
  </w:style>
  <w:style w:type="paragraph" w:styleId="1044" w:customStyle="1">
    <w:name w:val="font5"/>
    <w:basedOn w:val="1011"/>
    <w:pPr>
      <w:pBdr/>
      <w:spacing w:after="100" w:afterAutospacing="1" w:before="100" w:beforeAutospacing="1"/>
      <w:ind/>
    </w:pPr>
    <w:rPr>
      <w:rFonts w:ascii="Tahoma" w:hAnsi="Tahoma" w:cs="Tahoma"/>
      <w:color w:val="000000"/>
      <w:sz w:val="18"/>
      <w:szCs w:val="18"/>
    </w:rPr>
  </w:style>
  <w:style w:type="paragraph" w:styleId="1045" w:customStyle="1">
    <w:name w:val="font6"/>
    <w:basedOn w:val="1011"/>
    <w:pPr>
      <w:pBdr/>
      <w:spacing w:after="100" w:afterAutospacing="1" w:before="100" w:beforeAutospacing="1"/>
      <w:ind/>
    </w:pPr>
    <w:rPr>
      <w:rFonts w:ascii="Tahoma" w:hAnsi="Tahoma" w:cs="Tahoma"/>
      <w:b/>
      <w:bCs/>
      <w:color w:val="000000"/>
      <w:sz w:val="18"/>
      <w:szCs w:val="18"/>
    </w:rPr>
  </w:style>
  <w:style w:type="paragraph" w:styleId="1046" w:customStyle="1">
    <w:name w:val="xl23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7" w:customStyle="1">
    <w:name w:val="xl234"/>
    <w:basedOn w:val="1011"/>
    <w:pPr>
      <w:pBdr/>
      <w:spacing w:after="100" w:afterAutospacing="1" w:before="100" w:beforeAutospacing="1"/>
      <w:ind/>
      <w:jc w:val="center"/>
    </w:pPr>
  </w:style>
  <w:style w:type="paragraph" w:styleId="1048" w:customStyle="1">
    <w:name w:val="xl235"/>
    <w:basedOn w:val="1011"/>
    <w:pPr>
      <w:pBdr/>
      <w:spacing w:after="100" w:afterAutospacing="1" w:before="100" w:beforeAutospacing="1"/>
      <w:ind/>
      <w:jc w:val="center"/>
    </w:pPr>
    <w:rPr>
      <w:b/>
      <w:bCs/>
    </w:rPr>
  </w:style>
  <w:style w:type="paragraph" w:styleId="1049" w:customStyle="1">
    <w:name w:val="xl236"/>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0" w:customStyle="1">
    <w:name w:val="xl23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38"/>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3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3" w:customStyle="1">
    <w:name w:val="xl240"/>
    <w:basedOn w:val="1011"/>
    <w:pPr>
      <w:pBdr/>
      <w:spacing w:after="100" w:afterAutospacing="1" w:before="100" w:beforeAutospacing="1"/>
      <w:ind/>
    </w:pPr>
  </w:style>
  <w:style w:type="paragraph" w:styleId="1054" w:customStyle="1">
    <w:name w:val="xl241"/>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42"/>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43"/>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44"/>
    <w:basedOn w:val="1011"/>
    <w:pPr>
      <w:pBdr/>
      <w:spacing w:after="100" w:afterAutospacing="1" w:before="100" w:beforeAutospacing="1"/>
      <w:ind/>
    </w:pPr>
    <w:rPr>
      <w:b/>
      <w:bCs/>
    </w:rPr>
  </w:style>
  <w:style w:type="paragraph" w:styleId="1058" w:customStyle="1">
    <w:name w:val="xl245"/>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4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47"/>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1" w:customStyle="1">
    <w:name w:val="xl24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2" w:customStyle="1">
    <w:name w:val="xl24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3" w:customStyle="1">
    <w:name w:val="xl25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4" w:customStyle="1">
    <w:name w:val="xl25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5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3"/>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4"/>
    <w:basedOn w:val="1011"/>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8" w:customStyle="1">
    <w:name w:val="xl255"/>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9" w:customStyle="1">
    <w:name w:val="xl25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0" w:customStyle="1">
    <w:name w:val="xl25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8"/>
    <w:basedOn w:val="1011"/>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3" w:customStyle="1">
    <w:name w:val="xl260"/>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4" w:customStyle="1">
    <w:name w:val="xl261"/>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5" w:customStyle="1">
    <w:name w:val="xl262"/>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3"/>
    <w:basedOn w:val="1011"/>
    <w:pPr>
      <w:pBdr/>
      <w:shd w:val="clear" w:color="000000" w:fill="ffffff"/>
      <w:spacing w:after="100" w:afterAutospacing="1" w:before="100" w:beforeAutospacing="1"/>
      <w:ind/>
    </w:pPr>
  </w:style>
  <w:style w:type="paragraph" w:styleId="1077" w:customStyle="1">
    <w:name w:val="xl264"/>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65"/>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9" w:customStyle="1">
    <w:name w:val="xl26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0" w:customStyle="1">
    <w:name w:val="xl26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1" w:customStyle="1">
    <w:name w:val="xl268"/>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69"/>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3" w:customStyle="1">
    <w:name w:val="xl27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1"/>
    <w:basedOn w:val="1011"/>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5" w:customStyle="1">
    <w:name w:val="xl27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73"/>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7" w:customStyle="1">
    <w:name w:val="xl274"/>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5"/>
    <w:basedOn w:val="1011"/>
    <w:pPr>
      <w:pBdr/>
      <w:spacing w:after="100" w:afterAutospacing="1" w:before="100" w:beforeAutospacing="1"/>
      <w:ind/>
    </w:pPr>
  </w:style>
  <w:style w:type="paragraph" w:styleId="1089" w:customStyle="1">
    <w:name w:val="xl27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0" w:customStyle="1">
    <w:name w:val="xl277"/>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1" w:customStyle="1">
    <w:name w:val="xl27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7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8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4" w:customStyle="1">
    <w:name w:val="xl28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5" w:customStyle="1">
    <w:name w:val="xl28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8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4"/>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85"/>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9" w:customStyle="1">
    <w:name w:val="xl28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customStyle="1">
    <w:name w:val="xl287"/>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8"/>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89"/>
    <w:basedOn w:val="1011"/>
    <w:pPr>
      <w:pBdr>
        <w:left w:val="single" w:color="000000" w:sz="4" w:space="0"/>
        <w:right w:val="single" w:color="000000" w:sz="4" w:space="0"/>
      </w:pBdr>
      <w:spacing w:after="100" w:afterAutospacing="1" w:before="100" w:beforeAutospacing="1"/>
      <w:ind/>
    </w:pPr>
    <w:rPr>
      <w:b/>
      <w:bCs/>
    </w:rPr>
  </w:style>
  <w:style w:type="paragraph" w:styleId="1103" w:customStyle="1">
    <w:name w:val="xl29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4" w:customStyle="1">
    <w:name w:val="xl291"/>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5" w:customStyle="1">
    <w:name w:val="xl292"/>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93"/>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94"/>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8">
    <w:name w:val="Title"/>
    <w:basedOn w:val="1011"/>
    <w:link w:val="1109"/>
    <w:qFormat/>
    <w:pPr>
      <w:pBdr/>
      <w:spacing/>
      <w:ind/>
      <w:jc w:val="center"/>
    </w:pPr>
    <w:rPr>
      <w:b/>
      <w:bCs/>
      <w:sz w:val="32"/>
      <w:szCs w:val="26"/>
    </w:rPr>
  </w:style>
  <w:style w:type="character" w:styleId="1109" w:customStyle="1">
    <w:name w:val="Title Char"/>
    <w:basedOn w:val="1016"/>
    <w:link w:val="1108"/>
    <w:pPr>
      <w:pBdr/>
      <w:spacing/>
      <w:ind/>
    </w:pPr>
    <w:rPr>
      <w:rFonts w:ascii="Times New Roman" w:hAnsi="Times New Roman" w:eastAsia="Times New Roman" w:cs="Times New Roman"/>
      <w:b/>
      <w:bCs/>
      <w:sz w:val="32"/>
      <w:szCs w:val="26"/>
    </w:rPr>
  </w:style>
  <w:style w:type="character" w:styleId="1110" w:customStyle="1">
    <w:name w:val="Unresolved Mention1"/>
    <w:basedOn w:val="1016"/>
    <w:uiPriority w:val="99"/>
    <w:semiHidden/>
    <w:unhideWhenUsed/>
    <w:pPr>
      <w:pBdr/>
      <w:spacing/>
      <w:ind/>
    </w:pPr>
    <w:rPr>
      <w:color w:val="605e5c"/>
      <w:shd w:val="clear" w:color="auto" w:fill="e1dfdd"/>
    </w:rPr>
  </w:style>
  <w:style w:type="character" w:styleId="1111" w:customStyle="1">
    <w:name w:val="Body text (3)_"/>
    <w:link w:val="1112"/>
    <w:pPr>
      <w:pBdr/>
      <w:spacing/>
      <w:ind/>
    </w:pPr>
    <w:rPr>
      <w:rFonts w:ascii="Times New Roman" w:hAnsi="Times New Roman" w:cs="Times New Roman"/>
      <w:i/>
      <w:iCs/>
      <w:spacing w:val="4"/>
      <w:shd w:val="clear" w:color="auto" w:fill="ffffff"/>
    </w:rPr>
  </w:style>
  <w:style w:type="paragraph" w:styleId="1112" w:customStyle="1">
    <w:name w:val="Body text (3)1"/>
    <w:basedOn w:val="1011"/>
    <w:link w:val="1111"/>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3" w:customStyle="1">
    <w:name w:val="t-j"/>
    <w:basedOn w:val="1011"/>
    <w:pPr>
      <w:pBdr/>
      <w:spacing w:after="100" w:afterAutospacing="1" w:before="100" w:beforeAutospacing="1"/>
      <w:ind/>
    </w:pPr>
  </w:style>
  <w:style w:type="character" w:styleId="1114" w:customStyle="1">
    <w:name w:val="Unresolved Mention2"/>
    <w:basedOn w:val="1016"/>
    <w:uiPriority w:val="99"/>
    <w:semiHidden/>
    <w:unhideWhenUsed/>
    <w:pPr>
      <w:pBdr/>
      <w:spacing/>
      <w:ind/>
    </w:pPr>
    <w:rPr>
      <w:color w:val="605e5c"/>
      <w:shd w:val="clear" w:color="auto" w:fill="e1dfdd"/>
    </w:rPr>
  </w:style>
  <w:style w:type="character" w:styleId="1115">
    <w:name w:val="FollowedHyperlink"/>
    <w:basedOn w:val="1016"/>
    <w:uiPriority w:val="99"/>
    <w:semiHidden/>
    <w:unhideWhenUsed/>
    <w:pPr>
      <w:pBdr/>
      <w:spacing/>
      <w:ind/>
    </w:pPr>
    <w:rPr>
      <w:color w:val="800080" w:themeColor="followedHyperlink"/>
      <w:u w:val="single"/>
    </w:rPr>
  </w:style>
  <w:style w:type="character" w:styleId="1116" w:customStyle="1">
    <w:name w:val="text"/>
    <w:basedOn w:val="1016"/>
    <w:pPr>
      <w:pBdr/>
      <w:spacing/>
      <w:ind/>
    </w:pPr>
  </w:style>
  <w:style w:type="character" w:styleId="1117" w:customStyle="1">
    <w:name w:val="card-send-time__sendtime"/>
    <w:basedOn w:val="1016"/>
    <w:pPr>
      <w:pBdr/>
      <w:spacing/>
      <w:ind/>
    </w:pPr>
  </w:style>
  <w:style w:type="character" w:styleId="1118" w:customStyle="1">
    <w:name w:val="Đề cập Chưa giải quyết1"/>
    <w:basedOn w:val="1016"/>
    <w:uiPriority w:val="99"/>
    <w:semiHidden/>
    <w:unhideWhenUsed/>
    <w:pPr>
      <w:pBdr/>
      <w:spacing/>
      <w:ind/>
    </w:pPr>
    <w:rPr>
      <w:color w:val="605e5c"/>
      <w:shd w:val="clear" w:color="auto" w:fill="e1dfdd"/>
    </w:rPr>
  </w:style>
  <w:style w:type="paragraph" w:styleId="1119" w:customStyle="1">
    <w:name w:val="nqtitle"/>
    <w:basedOn w:val="1011"/>
    <w:pPr>
      <w:pBdr/>
      <w:spacing w:after="100" w:afterAutospacing="1" w:before="100" w:beforeAutospacing="1"/>
      <w:ind/>
    </w:pPr>
    <w:rPr>
      <w:lang w:val="vi-VN" w:eastAsia="vi-VN"/>
    </w:rPr>
  </w:style>
  <w:style w:type="character" w:styleId="1120" w:customStyle="1">
    <w:name w:val="List Paragraph Char"/>
    <w:link w:val="1033"/>
    <w:uiPriority w:val="34"/>
    <w:qFormat/>
    <w:pPr>
      <w:pBdr/>
      <w:spacing/>
      <w:ind/>
    </w:pPr>
    <w:rPr>
      <w:rFonts w:ascii="Times New Roman" w:hAnsi="Times New Roman" w:eastAsia="Times New Roman" w:cs="Times New Roman"/>
      <w:sz w:val="24"/>
      <w:szCs w:val="24"/>
    </w:rPr>
  </w:style>
  <w:style w:type="character" w:styleId="1121" w:customStyle="1">
    <w:name w:val="Đề cập Chưa giải quyết2"/>
    <w:basedOn w:val="1016"/>
    <w:uiPriority w:val="99"/>
    <w:semiHidden/>
    <w:unhideWhenUsed/>
    <w:pPr>
      <w:pBdr/>
      <w:spacing/>
      <w:ind/>
    </w:pPr>
    <w:rPr>
      <w:color w:val="605e5c"/>
      <w:shd w:val="clear" w:color="auto" w:fill="e1dfdd"/>
    </w:rPr>
  </w:style>
  <w:style w:type="character" w:styleId="1122" w:customStyle="1">
    <w:name w:val="Unresolved Mention3"/>
    <w:basedOn w:val="1016"/>
    <w:uiPriority w:val="99"/>
    <w:semiHidden/>
    <w:unhideWhenUsed/>
    <w:pPr>
      <w:pBdr/>
      <w:spacing/>
      <w:ind/>
    </w:pPr>
    <w:rPr>
      <w:color w:val="605e5c"/>
      <w:shd w:val="clear" w:color="auto" w:fill="e1dfdd"/>
    </w:rPr>
  </w:style>
  <w:style w:type="character" w:styleId="1123" w:customStyle="1">
    <w:name w:val="copy"/>
    <w:basedOn w:val="1016"/>
    <w:pPr>
      <w:pBdr/>
      <w:spacing/>
      <w:ind/>
    </w:pPr>
  </w:style>
  <w:style w:type="paragraph" w:styleId="1124" w:customStyle="1">
    <w:name w:val="align-justify"/>
    <w:basedOn w:val="1011"/>
    <w:pPr>
      <w:pBdr/>
      <w:spacing w:after="100" w:afterAutospacing="1" w:before="100" w:beforeAutospacing="1"/>
      <w:ind/>
    </w:pPr>
  </w:style>
  <w:style w:type="character" w:styleId="1125" w:customStyle="1">
    <w:name w:val="btn"/>
    <w:basedOn w:val="1016"/>
    <w:pPr>
      <w:pBdr/>
      <w:spacing/>
      <w:ind/>
    </w:pPr>
  </w:style>
  <w:style w:type="character" w:styleId="1126" w:customStyle="1">
    <w:name w:val="hide_mobile"/>
    <w:basedOn w:val="1016"/>
    <w:pPr>
      <w:pBdr/>
      <w:spacing/>
      <w:ind/>
    </w:pPr>
  </w:style>
  <w:style w:type="character" w:styleId="1127">
    <w:name w:val="Emphasis"/>
    <w:basedOn w:val="1016"/>
    <w:uiPriority w:val="20"/>
    <w:qFormat/>
    <w:pPr>
      <w:pBdr/>
      <w:spacing/>
      <w:ind/>
    </w:pPr>
    <w:rPr>
      <w:i/>
      <w:iCs/>
    </w:rPr>
  </w:style>
  <w:style w:type="character" w:styleId="1128" w:customStyle="1">
    <w:name w:val="t1"/>
    <w:basedOn w:val="1016"/>
    <w:pPr>
      <w:pBdr/>
      <w:spacing/>
      <w:ind/>
    </w:pPr>
  </w:style>
  <w:style w:type="character" w:styleId="1129" w:customStyle="1">
    <w:name w:val="Unresolved Mention4"/>
    <w:basedOn w:val="1016"/>
    <w:uiPriority w:val="99"/>
    <w:semiHidden/>
    <w:unhideWhenUsed/>
    <w:pPr>
      <w:pBdr/>
      <w:spacing/>
      <w:ind/>
    </w:pPr>
    <w:rPr>
      <w:color w:val="605e5c"/>
      <w:shd w:val="clear" w:color="auto" w:fill="e1dfdd"/>
    </w:rPr>
  </w:style>
  <w:style w:type="character" w:styleId="1130">
    <w:name w:val="Unresolved Mention"/>
    <w:basedOn w:val="1016"/>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512</cp:revision>
  <dcterms:created xsi:type="dcterms:W3CDTF">2025-09-15T02:01:00Z</dcterms:created>
  <dcterms:modified xsi:type="dcterms:W3CDTF">2026-04-03T09:55:49Z</dcterms:modified>
</cp:coreProperties>
</file>