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73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73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275/2026/0744/VFI-CT.39.A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MẠI HẢI 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316, tờ bản đồ số P9-115 có địa chỉ: Thôn 1, thị trấn Phong Hải, huyện Bảo Thắng, tỉnh Lào Cai (Nay là xã Phong Hải, tỉnh Lào Cai )</w:t>
                            </w:r>
                            <w:r>
                              <w:rPr>
                                <w:color w:val="000000"/>
                              </w:rPr>
                              <w:t xml:space="preserve"> theo Giấy chứng nhận quyền sử dụn</w:t>
                            </w:r>
                            <w:r>
                              <w:rPr>
                                <w:color w:val="000000"/>
                              </w:rPr>
                              <w:t xml:space="preserve">g đất quyền sở hữu nhà ở và tài sản khác gắn liền v</w:t>
                            </w:r>
                            <w:r>
                              <w:rPr>
                                <w:color w:val="000000"/>
                              </w:rPr>
                              <w:t xml:space="preserve">ới đất số: CA 846419, số vào sổ cấp GCN: CT03794 do Sở Tài nguyên và Môi trường tỉnh Lào Cai cấp ngày 05/10/2015; Chủ sử dụng đất là Công ty TNHH thương mại Hải 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275/2026/0744/VFI-CT.39.A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MẠI HẢI 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316, tờ bản đồ số P9-115 có địa chỉ: Thôn 1, thị trấn Phong Hải, huyện Bảo Thắng, tỉnh Lào Cai (Nay là xã Phong Hải, tỉnh Lào Cai )</w:t>
                      </w:r>
                      <w:r>
                        <w:rPr>
                          <w:color w:val="000000"/>
                        </w:rPr>
                        <w:t xml:space="preserve"> theo Giấy chứng nhận quyền sử dụn</w:t>
                      </w:r>
                      <w:r>
                        <w:rPr>
                          <w:color w:val="000000"/>
                        </w:rPr>
                        <w:t xml:space="preserve">g đất quyền sở hữu nhà ở và tài sản khác gắn liền v</w:t>
                      </w:r>
                      <w:r>
                        <w:rPr>
                          <w:color w:val="000000"/>
                        </w:rPr>
                        <w:t xml:space="preserve">ới đất số: CA 846419, số vào sổ cấp GCN: CT03794 do Sở Tài nguyên và Môi trường tỉnh Lào Cai cấp ngày 05/10/2015; Chủ sử dụng đất là Công ty TNHH thương mại Hải 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24-27</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275/2026/0744/VFI-CT.39.A                                        </w:t>
            </w:r>
            <w:r>
              <w:rPr>
                <w:color w:val="000000" w:themeColor="text1"/>
                <w:sz w:val="24"/>
                <w:szCs w:val="24"/>
              </w:rPr>
            </w:r>
            <w:r>
              <w:rPr>
                <w:color w:val="000000" w:themeColor="text1"/>
                <w:sz w:val="24"/>
                <w:szCs w:val="24"/>
              </w:rPr>
            </w: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16 tháng 5 năm 2026</w:t>
            </w:r>
            <w:r>
              <w:rPr>
                <w:color w:val="000000" w:themeColor="text1"/>
                <w:sz w:val="24"/>
                <w:szCs w:val="24"/>
                <w:lang w:val="vi-VN"/>
              </w:rPr>
            </w:r>
            <w:r>
              <w:rPr>
                <w:color w:val="000000" w:themeColor="text1"/>
                <w:sz w:val="24"/>
                <w:szCs w:val="24"/>
                <w:lang w:val="vi-VN"/>
              </w:rPr>
            </w:r>
            <w:r>
              <w:rPr>
                <w:color w:val="000000" w:themeColor="text1"/>
                <w:sz w:val="24"/>
                <w:szCs w:val="24"/>
              </w:rPr>
            </w:r>
          </w:p>
          <w:p>
            <w:pPr>
              <w:pStyle w:val="1034"/>
              <w:pBdr/>
              <w:tabs>
                <w:tab w:val="left" w:leader="none" w:pos="1772"/>
              </w:tabs>
              <w:spacing/>
              <w:ind/>
              <w:jc w:val="left"/>
              <w:rPr>
                <w:sz w:val="24"/>
                <w:szCs w:val="24"/>
              </w:rPr>
            </w:pPr>
            <w:r>
              <w:rPr>
                <w:sz w:val="24"/>
                <w:szCs w:val="24"/>
              </w:rPr>
            </w:r>
            <w:r>
              <w:rPr>
                <w:sz w:val="24"/>
                <w:szCs w:val="24"/>
              </w:rPr>
              <w:tab/>
            </w:r>
            <w:r>
              <w:rPr>
                <w:sz w:val="24"/>
                <w:szCs w:val="24"/>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b/>
          <w:lang w:val="pt-BR"/>
        </w:rPr>
        <w:t xml:space="preserve">CÔNG TY TNHH THƯƠNG MẠI HẢI YẾN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275/2026/0744/VFI-HĐTĐ.39.A</w:t>
      </w:r>
      <w:r>
        <w:rPr>
          <w:spacing w:val="-4"/>
          <w:lang w:val="vi-VN"/>
        </w:rPr>
        <w:t xml:space="preserve"> ký ngày </w:t>
      </w:r>
      <w:r>
        <w:rPr>
          <w:color w:val="000000" w:themeColor="text1"/>
          <w:spacing w:val="-4"/>
        </w:rPr>
        <w:t xml:space="preserve">24 tháng 4 năm 2026</w:t>
      </w:r>
      <w:r>
        <w:rPr>
          <w:spacing w:val="-4"/>
          <w:lang w:val="vi-VN"/>
        </w:rPr>
        <w:t xml:space="preserve"> </w:t>
      </w:r>
      <w:r>
        <w:rPr>
          <w:spacing w:val="-4"/>
          <w:lang w:val="vi-VN"/>
        </w:rPr>
        <w:t xml:space="preserve">giữa </w:t>
      </w:r>
      <w:r>
        <w:rPr>
          <w:color w:val="000000" w:themeColor="text1"/>
          <w:spacing w:val="-4"/>
        </w:rPr>
        <w:t xml:space="preserve">Công ty TNHH Thương mại Hải Yến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275/2026/0744/VFI-BC.39.A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43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THƯƠNG MẠI HẢI YẾN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5300209146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SN 177, Đường Phan Chu Trinh, Phường Lào Cai, Tỉnh Lào Cai.</w:t>
            </w:r>
            <w:r>
              <w:rPr>
                <w:color w:val="ff0000"/>
                <w:lang w:val="pt-BR"/>
              </w:rPr>
            </w:r>
            <w:r>
              <w:rPr>
                <w:color w:val="ff0000"/>
                <w:lang w:val="pt-BR"/>
              </w:rPr>
            </w:r>
          </w:p>
        </w:tc>
      </w:tr>
      <w:tr>
        <w:trPr>
          <w:trHeight w:val="339"/>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000000" w:themeColor="text1"/>
                <w:lang w:val="vi-VN"/>
              </w:rPr>
            </w:pPr>
            <w:r>
              <w:rPr>
                <w:b/>
                <w:bCs/>
                <w:color w:val="000000" w:themeColor="text1"/>
                <w:lang w:val="vi-VN"/>
              </w:rPr>
            </w:r>
            <w:r>
              <w:rPr>
                <w:b/>
                <w:bCs/>
                <w:color w:val="000000" w:themeColor="text1"/>
                <w:lang w:val="vi-VN"/>
              </w:rPr>
              <w:t xml:space="preserve">Bà Đỗ Thị Mai</w:t>
              <w:tab/>
              <w:t xml:space="preserve">                      </w:t>
            </w:r>
            <w:r>
              <w:rPr>
                <w:b/>
                <w:bCs/>
                <w:color w:val="000000" w:themeColor="text1"/>
                <w:lang w:val="vi-VN"/>
              </w:rPr>
            </w:r>
            <w:r>
              <w:rPr>
                <w:b/>
                <w:bCs/>
                <w:color w:val="000000" w:themeColor="text1"/>
                <w:lang w:val="vi-VN"/>
              </w:rPr>
            </w:r>
          </w:p>
          <w:p>
            <w:pPr>
              <w:pBdr/>
              <w:spacing w:after="40" w:before="40" w:line="276" w:lineRule="auto"/>
              <w:ind/>
              <w:jc w:val="both"/>
              <w:rPr>
                <w:b/>
                <w:bCs/>
                <w:color w:val="ff0000"/>
              </w:rPr>
            </w:pPr>
            <w:r>
              <w:rPr>
                <w:b/>
                <w:bCs/>
                <w:color w:val="000000" w:themeColor="text1"/>
                <w:lang w:val="vi-VN"/>
              </w:rPr>
              <w:t xml:space="preserve"> Chức vụ: Phó Giám đốc</w:t>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p>
            <w:pPr>
              <w:pBdr/>
              <w:spacing w:after="40" w:before="40" w:line="276" w:lineRule="auto"/>
              <w:ind/>
              <w:rPr>
                <w:b/>
                <w:bCs/>
                <w:lang w:val="vi-VN"/>
              </w:rPr>
            </w:pPr>
            <w:r>
              <w:rPr>
                <w:b/>
                <w:bCs/>
                <w:lang w:val="vi-VN"/>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316, tờ bản đồ số P9-115 có địa chỉ: Thôn 1, thị trấn Phong Hải, huyện Bảo Thắng, tỉnh Lào Cai (Nay là xã Phong Hải, tỉnh Lào Cai )</w:t>
      </w:r>
      <w:r>
        <w:rPr>
          <w:color w:val="000000" w:themeColor="text1"/>
        </w:rPr>
        <w:t xml:space="preserve"> theo Giấy chứng nhận quyền sử dụng đất quyền sở hữu nhà ở và tài sản khác gắn liền với đất số: CA 846419, số vào sổ cấp GCN: CT03794 do Sở Tài nguyên và Môi trường tỉnh Lào Cai cấp ngày 05/10/2015; Chủ sử dụng đất là Công ty TNHH thương mại Hải Yến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5"/>
        <w:gridCol w:w="3178"/>
        <w:gridCol w:w="1984"/>
        <w:gridCol w:w="2126"/>
        <w:gridCol w:w="1701"/>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28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316, tờ bản đồ số P9-115 có địa chỉ: Thôn 1, thị trấn Phong Hải, huyện Bảo Thắng, tỉnh Lào Cai (Nay là xã Phong Hải, tỉnh Lào Cai  theo Giấy chứng nhận quyền sử dụng đất quyền sở hữu nhà ở và t</w:t>
            </w:r>
            <w:r>
              <w:rPr>
                <w:rFonts w:ascii="Times New Roman" w:hAnsi="Times New Roman" w:eastAsia="Times New Roman" w:cs="Times New Roman"/>
                <w:b/>
                <w:color w:val="000000"/>
                <w:sz w:val="24"/>
              </w:rPr>
              <w:t xml:space="preserve">ài sản khác gắn liền với đất số: CA 846419, số vào sổ cấp GCN: CT03794 do Sở Tài nguyên và Môi trường tỉnh Lào Cai cấp ngày 05/10/2015; Chủ sử dụng đất là Công ty TNHH thương mại Hải Yến.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4.200.000.000</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che cột bơm (hạng mục nhà che cột bơm và sân đường bê tông)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86,2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679.590.741</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Văn phòng làm việc + trưng bày</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81,3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204.752.778</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04</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ăn ca và nhà nghĩ giữa ca</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62,4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201.617.778</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05</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vệ sinh công cộng (chưa được chứng nhận trên GCN)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108.022.778</w:t>
            </w: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8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5.393.984.074</w:t>
            </w: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8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5.394.000.000</w:t>
            </w:r>
            <w:r/>
          </w:p>
        </w:tc>
      </w:tr>
      <w:tr>
        <w:trPr>
          <w:trHeight w:val="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Năm tỷ ba trăm chín mươi bốn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148" w:type="pct"/>
        <w:tblBorders/>
        <w:tblLayout w:type="fixed"/>
        <w:tblLook w:val="01E0" w:firstRow="1" w:lastRow="1" w:firstColumn="1" w:lastColumn="1" w:noHBand="0" w:noVBand="0"/>
      </w:tblPr>
      <w:tblGrid>
        <w:gridCol w:w="4687"/>
        <w:gridCol w:w="5120"/>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2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275/2026/0744/VFI-BC.39.A                                       </w:t>
            </w:r>
            <w:r>
              <w:rPr>
                <w:color w:val="000000" w:themeColor="text1"/>
                <w:sz w:val="24"/>
                <w:szCs w:val="24"/>
              </w:rPr>
            </w:r>
            <w:r>
              <w:rPr>
                <w:color w:val="000000" w:themeColor="text1"/>
                <w:sz w:val="24"/>
                <w:szCs w:val="24"/>
              </w:rPr>
            </w: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16 tháng 5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404"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275/2026/0744/VFI-CT.39.A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TY TNHH THƯƠNG MẠI HẢI YẾN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5300209146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SN 177, Đường Phan Chu Trinh, Phường Lào Cai, Tỉnh Lào Cai.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color w:val="000000" w:themeColor="text1"/>
                <w:lang w:val="vi-VN"/>
              </w:rPr>
            </w:pPr>
            <w:r>
              <w:rPr>
                <w:b/>
                <w:bCs/>
                <w:color w:val="000000" w:themeColor="text1"/>
                <w:lang w:val="vi-VN"/>
              </w:rPr>
            </w:r>
            <w:r>
              <w:rPr>
                <w:b/>
                <w:bCs/>
                <w:color w:val="000000" w:themeColor="text1"/>
                <w:lang w:val="vi-VN"/>
              </w:rPr>
              <w:t xml:space="preserve">Bà Đỗ Thị Mai</w:t>
              <w:tab/>
              <w:t xml:space="preserve">                      </w:t>
            </w:r>
            <w:r>
              <w:rPr>
                <w:b/>
                <w:bCs/>
                <w:color w:val="000000" w:themeColor="text1"/>
                <w:lang w:val="vi-VN"/>
              </w:rPr>
            </w:r>
            <w:r>
              <w:rPr>
                <w:b/>
                <w:bCs/>
                <w:color w:val="000000" w:themeColor="text1"/>
                <w:lang w:val="vi-VN"/>
              </w:rPr>
            </w:r>
          </w:p>
          <w:p>
            <w:pPr>
              <w:pBdr/>
              <w:spacing w:after="40" w:before="40" w:line="276" w:lineRule="auto"/>
              <w:ind/>
              <w:jc w:val="both"/>
              <w:rPr>
                <w:b/>
                <w:bCs/>
                <w:color w:val="ff0000"/>
              </w:rPr>
            </w:pPr>
            <w:r>
              <w:rPr>
                <w:b/>
                <w:bCs/>
                <w:color w:val="000000" w:themeColor="text1"/>
                <w:lang w:val="vi-VN"/>
              </w:rPr>
              <w:t xml:space="preserve"> Chức vụ: Phó Giám đốc</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316, tờ bản đồ số P9-115 có địa chỉ: Thôn 1, thị trấn Phong Hải, huyện Bảo Thắng, tỉnh Lào Cai (Nay là xã Phong Hải, tỉnh Lào Cai )</w:t>
            </w:r>
            <w:r>
              <w:rPr>
                <w:bCs/>
                <w:color w:val="000000" w:themeColor="text1"/>
                <w:lang w:val="pt-BR"/>
              </w:rPr>
              <w:t xml:space="preserve"> theo Giấy chứng nhận quyền sử dụng đất quyền sở hữu nhà ở và tài sản khác gắn liền với đất số: CA 846419, số vào sổ cấp GCN: CT03794 do Sở Tài nguyên và Môi trường tỉnh Lào Cai cấp ngày 05/10/2015; Chủ sử dụng đất là Công ty TNHH thương mại Hải Yến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Nay là xã Phong Hải,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22.45575, 104.14411111111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28/04/2025</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highlight w:val="white"/>
        </w:rPr>
      </w:pPr>
      <w:r>
        <w:rPr>
          <w:bCs/>
          <w:spacing w:val="-4"/>
          <w:highlight w:val="white"/>
          <w:lang w:val="pt-BR"/>
        </w:rPr>
      </w:r>
      <w:r>
        <w:rPr>
          <w:rFonts w:ascii="Times New Roman" w:hAnsi="Times New Roman" w:eastAsia="Times New Roman" w:cs="Times New Roman"/>
          <w:color w:val="000000"/>
          <w:sz w:val="24"/>
          <w:highlight w:val="white"/>
        </w:rPr>
        <w:t xml:space="preserve">Quyết định số 425</w:t>
      </w:r>
      <w:r>
        <w:rPr>
          <w:rFonts w:ascii="Times New Roman" w:hAnsi="Times New Roman" w:eastAsia="Times New Roman" w:cs="Times New Roman"/>
          <w:color w:val="000000"/>
          <w:sz w:val="24"/>
          <w:highlight w:val="white"/>
        </w:rPr>
        <w:t xml:space="preserve">/QĐ-BXD ngày 30/3/2026 của Bộ Xây dựng về</w:t>
      </w:r>
      <w:r>
        <w:rPr>
          <w:rFonts w:ascii="Times New Roman" w:hAnsi="Times New Roman" w:eastAsia="Times New Roman" w:cs="Times New Roman"/>
          <w:color w:val="000000"/>
          <w:sz w:val="24"/>
          <w:highlight w:val="white"/>
        </w:rPr>
        <w:t xml:space="preserve"> việc Công bố suất vốn đầu tư xây dựng và giá xây dựng tổng hợp bộ phân kết cấu công trình năm 2025</w:t>
      </w:r>
      <w:r>
        <w:rPr>
          <w:bCs/>
          <w:spacing w:val="-4"/>
          <w:highlight w:val="white"/>
          <w:lang w:val="pt-BR"/>
        </w:rPr>
        <w:t xml:space="preserve">;</w:t>
      </w:r>
      <w:r>
        <w:rPr>
          <w:bCs/>
          <w:spacing w:val="-4"/>
          <w:highlight w:val="white"/>
        </w:rPr>
      </w:r>
      <w:r>
        <w:rPr>
          <w:bCs/>
          <w:spacing w:val="-4"/>
          <w:highlight w:val="white"/>
        </w:rPr>
      </w:r>
    </w:p>
    <w:p>
      <w:pPr>
        <w:pStyle w:val="1035"/>
        <w:numPr>
          <w:ilvl w:val="0"/>
          <w:numId w:val="1"/>
        </w:numPr>
        <w:pBdr/>
        <w:spacing w:after="120" w:before="120" w:line="276" w:lineRule="auto"/>
        <w:ind/>
        <w:jc w:val="both"/>
        <w:rPr>
          <w:spacing w:val="-4"/>
          <w:highlight w:val="white"/>
        </w:rPr>
      </w:pPr>
      <w:r>
        <w:rPr>
          <w:bCs/>
          <w:spacing w:val="-4"/>
          <w:highlight w:val="white"/>
          <w:lang w:val="pt-BR" w:bidi="pt-BR"/>
        </w:rPr>
      </w:r>
      <w:r>
        <w:rPr>
          <w:rFonts w:ascii="Times New Roman" w:hAnsi="Times New Roman" w:eastAsia="Times New Roman" w:cs="Times New Roman"/>
          <w:color w:val="000000"/>
          <w:sz w:val="24"/>
          <w:highlight w:val="white"/>
        </w:rPr>
        <w:t xml:space="preserve">Quyết định 1085/QĐ-UBND</w:t>
      </w:r>
      <w:r>
        <w:rPr>
          <w:highlight w:val="white"/>
        </w:rPr>
        <w:t xml:space="preserve"> </w:t>
      </w:r>
      <w:r>
        <w:rPr>
          <w:rFonts w:ascii="Times New Roman" w:hAnsi="Times New Roman" w:eastAsia="Times New Roman" w:cs="Times New Roman"/>
          <w:color w:val="000000"/>
          <w:sz w:val="24"/>
          <w:highlight w:val="white"/>
        </w:rPr>
        <w:t xml:space="preserve">của UBND tỉnh Lào Cai ban hành ngày 10/9/2025 về việc ban hành Bộ đơn giá bồi thư</w:t>
      </w:r>
      <w:r>
        <w:rPr>
          <w:rFonts w:ascii="Times New Roman" w:hAnsi="Times New Roman" w:eastAsia="Times New Roman" w:cs="Times New Roman"/>
          <w:color w:val="000000"/>
          <w:sz w:val="24"/>
          <w:highlight w:val="white"/>
        </w:rPr>
        <w:t xml:space="preserve">ờng thiệt hại thực tế về</w:t>
      </w:r>
      <w:r>
        <w:rPr>
          <w:rFonts w:ascii="Times New Roman" w:hAnsi="Times New Roman" w:eastAsia="Times New Roman" w:cs="Times New Roman"/>
          <w:color w:val="000000"/>
          <w:sz w:val="24"/>
          <w:szCs w:val="24"/>
          <w:highlight w:val="white"/>
        </w:rPr>
        <w:t xml:space="preserve"> nhà, </w:t>
      </w:r>
      <w:r>
        <w:rPr>
          <w:rFonts w:ascii="Times New Roman" w:hAnsi="Times New Roman" w:eastAsia="Times New Roman" w:cs="Times New Roman"/>
          <w:color w:val="000000"/>
          <w:sz w:val="24"/>
          <w:szCs w:val="24"/>
          <w:highlight w:val="white"/>
        </w:rPr>
        <w:t xml:space="preserve">nhà ở, công trình xây dựng và bồi thường chi phí tháo dỡ, di chuyển, lắp đặt </w:t>
      </w:r>
      <w:r>
        <w:rPr>
          <w:rFonts w:ascii="Times New Roman" w:hAnsi="Times New Roman" w:eastAsia="Times New Roman" w:cs="Times New Roman"/>
          <w:color w:val="000000"/>
          <w:sz w:val="24"/>
          <w:szCs w:val="24"/>
          <w:highlight w:val="white"/>
        </w:rPr>
        <w:t xml:space="preserve">khi Nhà nước thu hồi đất trên địa bàn tỉnh Lào Cai</w:t>
      </w:r>
      <w:r>
        <w:rPr>
          <w:rFonts w:ascii="Times New Roman" w:hAnsi="Times New Roman" w:eastAsia="Times New Roman" w:cs="Times New Roman"/>
          <w:color w:val="000000"/>
          <w:sz w:val="24"/>
          <w:szCs w:val="24"/>
          <w:highlight w:val="white"/>
        </w:rPr>
        <w:t xml:space="preserve"> </w:t>
      </w:r>
      <w:r>
        <w:rPr>
          <w:spacing w:val="-4"/>
          <w:highlight w:val="white"/>
        </w:rPr>
      </w:r>
      <w:r>
        <w:rPr>
          <w:spacing w:val="-4"/>
          <w:highlight w:val="white"/>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rPr>
      </w:r>
      <w:r>
        <w:rPr>
          <w:b/>
          <w:highlight w:val="white"/>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CA 846419, số vào sổ cấp GCN: CT03794 do Sở Tài nguyên và Môi trường tỉnh Lào Cai cấp ngày 05/10/2015; Chủ sử dụng đất là Công ty TNHH thương mại Hải Yến</w:t>
      </w:r>
      <w:r>
        <w:rPr>
          <w:lang w:val="pt-BR"/>
        </w:rPr>
        <w:t xml:space="preserve">.</w:t>
      </w:r>
      <w:r>
        <w:rPr>
          <w:i/>
          <w:iCs/>
          <w:lang w:val="pt-BR"/>
        </w:rPr>
      </w:r>
      <w:r>
        <w:rPr>
          <w:i/>
          <w:iCs/>
          <w:lang w:val="pt-BR"/>
        </w:rPr>
      </w:r>
    </w:p>
    <w:p>
      <w:pPr>
        <w:pStyle w:val="1035"/>
        <w:numPr>
          <w:ilvl w:val="0"/>
          <w:numId w:val="2"/>
        </w:numPr>
        <w:pBdr/>
        <w:tabs>
          <w:tab w:val="left" w:leader="none" w:pos="993"/>
        </w:tabs>
        <w:spacing w:after="120" w:before="120" w:line="276" w:lineRule="auto"/>
        <w:ind/>
        <w:jc w:val="both"/>
        <w:rPr>
          <w:bCs/>
          <w:i/>
          <w:lang w:val="pt-BR"/>
        </w:rPr>
      </w:pPr>
      <w:r>
        <w:rPr>
          <w:i w:val="0"/>
          <w:iCs w:val="0"/>
          <w:highlight w:val="none"/>
          <w:lang w:val="pt-BR" w:bidi="pt-BR"/>
        </w:rPr>
        <w:t xml:space="preserve">Hóa đơn số 3 ngày 25/7/2022 nghiệm thu khối lượng xây dựng hoàn thành công trình sửa chữa, nâng cấp và cả tạo cửa hàng xăng dầu số 2 Thị trấn Phong Hải. </w:t>
      </w:r>
      <w:r>
        <w:rPr>
          <w:bCs/>
          <w:i/>
          <w:lang w:val="pt-BR"/>
        </w:rPr>
      </w:r>
      <w:r>
        <w:rPr>
          <w:bCs/>
          <w:i/>
          <w:lang w:val="pt-BR"/>
        </w:rPr>
      </w:r>
    </w:p>
    <w:p>
      <w:pPr>
        <w:pStyle w:val="1035"/>
        <w:numPr>
          <w:ilvl w:val="0"/>
          <w:numId w:val="2"/>
        </w:numPr>
        <w:pBdr/>
        <w:tabs>
          <w:tab w:val="left" w:leader="none" w:pos="993"/>
        </w:tabs>
        <w:spacing w:after="120" w:before="120" w:line="276" w:lineRule="auto"/>
        <w:ind/>
        <w:jc w:val="both"/>
        <w:rPr>
          <w:bCs/>
          <w:i/>
          <w:lang w:val="pt-BR"/>
        </w:rPr>
      </w:pPr>
      <w:r>
        <w:rPr>
          <w:i w:val="0"/>
          <w:iCs w:val="0"/>
          <w:highlight w:val="none"/>
          <w:lang w:val="pt-BR" w:bidi="pt-BR"/>
        </w:rPr>
        <w:t xml:space="preserve">Biên bản nghiệm thu hoàn thành công trình xây dựng để đưa vào sử dụng ngày 25/07/2022</w:t>
      </w:r>
      <w:r>
        <w:rPr>
          <w:bCs/>
          <w:i/>
          <w:lang w:val="pt-BR"/>
        </w:rPr>
      </w:r>
      <w:r>
        <w:rPr>
          <w:bCs/>
          <w:i/>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w:t>
      </w:r>
      <w:r>
        <w:rPr>
          <w:color w:val="000000" w:themeColor="text1"/>
          <w:lang w:val="pt-BR"/>
        </w:rPr>
        <w:t xml:space="preserve">75/2026/0744/VFI-HĐTĐ.39.A  ng</w:t>
      </w:r>
      <w:r>
        <w:rPr>
          <w:color w:val="000000" w:themeColor="text1"/>
          <w:lang w:val="pt-BR"/>
        </w:rPr>
        <w:t xml:space="preserve">ày 24/04</w:t>
      </w:r>
      <w:r>
        <w:rPr>
          <w:color w:val="000000" w:themeColor="text1"/>
          <w:lang w:val="pt-BR"/>
        </w:rPr>
        <w:t xml:space="preserve">/2026 giữa Cô</w:t>
      </w:r>
      <w:r>
        <w:rPr>
          <w:color w:val="000000" w:themeColor="text1"/>
          <w:lang w:val="pt-BR"/>
        </w:rPr>
        <w:t xml:space="preserve">ng ty TNHH Thương mại Hải Yến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rFonts w:ascii="Times New Roman" w:hAnsi="Times New Roman" w:eastAsia="Times New Roman" w:cs="Times New Roman"/>
          <w:color w:val="000000"/>
          <w:sz w:val="24"/>
          <w:highlight w:val="white"/>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Lào Cai là một tỉnh miền núi nằm ở vùng Tây Bắc và Đôn</w:t>
      </w:r>
      <w:r>
        <w:rPr>
          <w:rFonts w:ascii="Times New Roman" w:hAnsi="Times New Roman" w:eastAsia="Times New Roman" w:cs="Times New Roman"/>
          <w:color w:val="000000"/>
          <w:sz w:val="24"/>
          <w:highlight w:val="white"/>
        </w:rPr>
        <w:t xml:space="preserve">g Bắc Việt Nam, nổi bật với vị trí chiến lược và hạ tầng phát triển mạnh mẽ. Tỉnh giáp với Hà Giang ở phía Đông, Lai Châu ở phía Tây, Yên Bái ở phía Nam, và Vân Nam, Trung Quốc ở phía Bắc với đường biên giới dài 182 km. Trung tâm hành chính của tỉnh là thà</w:t>
      </w:r>
      <w:r>
        <w:rPr>
          <w:rFonts w:ascii="Times New Roman" w:hAnsi="Times New Roman" w:eastAsia="Times New Roman" w:cs="Times New Roman"/>
          <w:color w:val="000000"/>
          <w:sz w:val="24"/>
          <w:highlight w:val="white"/>
        </w:rPr>
        <w:t xml:space="preserve">nh phố Lào Cai, cách Hà Nội khoảng 345 km theo đường bộ và 296 km theo đường sắt.</w:t>
        <w:br/>
        <w:t xml:space="preserve"> Với diện tích 6.364 km2, Lào Cai chia thành 9 đơn vị hành chính, gồm 1 thành phố, 1 thị xã và 7 huyện, đặc biệt là Sapa – một điểm du lịch quốc gia đầy tiềm năng. Lào Cai cò</w:t>
      </w:r>
      <w:r>
        <w:rPr>
          <w:rFonts w:ascii="Times New Roman" w:hAnsi="Times New Roman" w:eastAsia="Times New Roman" w:cs="Times New Roman"/>
          <w:color w:val="000000"/>
          <w:sz w:val="24"/>
          <w:highlight w:val="white"/>
        </w:rPr>
        <w:t xml:space="preserve">n sở hữu hệ thống giao thông đa dạng với đường bộ, đường sắt và đang xây dựng sân bay Sapa dự kiến hoàn thành vào năm 2026. Đường cao tốc Nội Bài - Lào Cai là tuyến huyết mạch giúp kết nối vùng với cả Trung Quốc qua đường cao tốc Côn Minh - Hà Khẩu, nâng c</w:t>
      </w:r>
      <w:r>
        <w:rPr>
          <w:rFonts w:ascii="Times New Roman" w:hAnsi="Times New Roman" w:eastAsia="Times New Roman" w:cs="Times New Roman"/>
          <w:color w:val="000000"/>
          <w:sz w:val="24"/>
          <w:highlight w:val="white"/>
        </w:rPr>
        <w:t xml:space="preserve">ao khả năng giao thương kinh tế cửa khẩu.</w:t>
        <w:br/>
        <w:t xml:space="preserve"> Bản đồ quy hoạch tỉnh Lào Cai đến năm 2030 định hướng phát triển bốn mũi nhọn: kinh tế dọc theo sông Hồng, phát triển công nghiệp chế biến, du lịch và các khu logistic. Quy hoạch này không chỉ tạo nền tảng hạ tầng</w:t>
      </w:r>
      <w:r>
        <w:rPr>
          <w:rFonts w:ascii="Times New Roman" w:hAnsi="Times New Roman" w:eastAsia="Times New Roman" w:cs="Times New Roman"/>
          <w:color w:val="000000"/>
          <w:sz w:val="24"/>
          <w:highlight w:val="white"/>
        </w:rPr>
        <w:t xml:space="preserve"> vững chắc, mà còn nâng cao khả năng thu hút đầu tư, phát triển kinh tế cửa khẩu và thương mại quốc tế.</w:t>
        <w:br/>
        <w:t xml:space="preserve"> Thị trường đất nền tại tỉnh Lào Cai đang ngày càng trở nên hấp dẫn, đặc biệt trong bối cảnh đô thị hóa và nhu cầu nhà ở tăng cao. Sự xuất hiện của các </w:t>
      </w:r>
      <w:r>
        <w:rPr>
          <w:rFonts w:ascii="Times New Roman" w:hAnsi="Times New Roman" w:eastAsia="Times New Roman" w:cs="Times New Roman"/>
          <w:color w:val="000000"/>
          <w:sz w:val="24"/>
          <w:highlight w:val="white"/>
        </w:rPr>
        <w:t xml:space="preserve">dự án lớn từ các tập đoàn như Sun Group, Bitexco, Geleximco và T&amp;T Group đã thúc đẩy thị trường bất động sản phát triển mạnh mẽ, đặc biệt là khu vực Sapa và thành phố Lào Cai. Những khu đô thị mới như Đông Bắc Sapa và Bảo Hà không chỉ mang lại diện mạo mới</w:t>
      </w:r>
      <w:r>
        <w:rPr>
          <w:rFonts w:ascii="Times New Roman" w:hAnsi="Times New Roman" w:eastAsia="Times New Roman" w:cs="Times New Roman"/>
          <w:color w:val="000000"/>
          <w:sz w:val="24"/>
          <w:highlight w:val="white"/>
        </w:rPr>
        <w:t xml:space="preserve"> cho vùng mà còn đáp ứng nhu cầu nhà ở và kinh doanh của cư dân địa phương lẫn nhà đầu tư.</w:t>
        <w:br/>
        <w:t xml:space="preserve"> Với sự phát triển hạ tầng đồng bộ và các dự án lớn, thị trường đất nền Lào Cai mang lại cơ hội sinh lời cho các nhà đầu tư. Kinh tế cửa khẩu với Trung Quốc, cùng vớ</w:t>
      </w:r>
      <w:r>
        <w:rPr>
          <w:rFonts w:ascii="Times New Roman" w:hAnsi="Times New Roman" w:eastAsia="Times New Roman" w:cs="Times New Roman"/>
          <w:color w:val="000000"/>
          <w:sz w:val="24"/>
          <w:highlight w:val="white"/>
        </w:rPr>
        <w:t xml:space="preserve">i tiềm năng du lịch tại các điểm nóng như Sapa, đã và đang tạo ra một lực đẩy mạnh mẽ cho thị trường này. Mặc dù thị trường bất động sản chung hiện có phần trầm lắng, nhưng các dự án đất nền tại Lào Cai vẫn giữ vững sự ổn định về giá và kỳ vọng sẽ tăng trư</w:t>
      </w:r>
      <w:r>
        <w:rPr>
          <w:rFonts w:ascii="Times New Roman" w:hAnsi="Times New Roman" w:eastAsia="Times New Roman" w:cs="Times New Roman"/>
          <w:color w:val="000000"/>
          <w:sz w:val="24"/>
          <w:highlight w:val="white"/>
        </w:rPr>
        <w:t xml:space="preserve">ởng mạnh mẽ trong tương lai gần.</w:t>
        <w:br/>
        <w:t xml:space="preserve"> (nguồn tham khảo: https://onehousing.vn/blog/tong-quan-tinh-hinh-thi-truong-dat-nen-lao-cai-cap-nhat-moi-nhat-n17t)</w:t>
      </w:r>
      <w:r>
        <w:rPr>
          <w:i/>
          <w:iCs/>
          <w:lang w:val="pt-BR"/>
        </w:rPr>
      </w: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số: 316, tờ bản đồ số P9-115 có địa chỉ: Thôn 1, thị trấn Phong Hải, huyện Bảo Thắng, tỉnh Lào Cai (Nay là xã Phong Hải, tỉnh Lào Cai )</w:t>
            </w:r>
            <w:r>
              <w:rPr>
                <w:b/>
                <w:bCs/>
                <w:color w:val="000000"/>
              </w:rPr>
              <w:t xml:space="preserve"> theo Giấy chứng nhận quyền sử dụng đất quyền sở hữu nhà ở và tài sản khác gắn liền với đất số: CA 846419, số vào sổ cấp GCN: CT03794 do Sở Tài nguyên và Môi trường tỉnh Lào Cai cấp ngày 05/10/2015; Chủ sử dụng đất là Công ty TNHH thương mại Hải Yến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P9-115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1, thi trấn Phong Hải, huyện Bảo Thắng,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thương mại, dịch vụ</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QL70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QL70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pPr>
            <w:r>
              <w:t xml:space="preserve">Hướng Đông Bắc: Tiếp giáp đường  QL70</w:t>
            </w:r>
            <w:r/>
          </w:p>
          <w:p>
            <w:pPr>
              <w:pBdr/>
              <w:spacing/>
              <w:ind/>
              <w:rPr>
                <w:color w:val="000000" w:themeColor="text1"/>
              </w:rPr>
            </w:pPr>
            <w: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22.45575</w:t>
            </w:r>
            <w:r>
              <w:rPr>
                <w:color w:val="000000"/>
              </w:rPr>
              <w:t xml:space="preserve">, </w:t>
            </w:r>
            <w:r>
              <w:rPr>
                <w:color w:val="000000"/>
              </w:rPr>
              <w:t xml:space="preserve">104.14411111111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7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highlight w:val="none"/>
              </w:rPr>
              <w:t xml:space="preserve">Ổn định</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left"/>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khảo sát, CTXD gắn liền với đất gồm:</w:t>
              <w:br/>
              <w:t xml:space="preserve">+ Nhà che cột bơm: Diện tích xây dựng: 86,24m2; diện tích sàn khoảng 86,24m2; Móng, cột bê tông cốt thép.</w:t>
              <w:br/>
              <w:t xml:space="preserve">+Nhà văn phòng làm việc + trưng bày: Diện tích xây dựng: 81,25m2; Diện tích sàn: 81,25m2.</w:t>
            </w:r>
            <w:r>
              <w:rPr>
                <w:rFonts w:ascii="Times New Roman" w:hAnsi="Times New Roman" w:eastAsia="Times New Roman" w:cs="Times New Roman"/>
                <w:color w:val="000000"/>
                <w:sz w:val="24"/>
              </w:rPr>
              <w:t xml:space="preserve"> Kết cấu bê tông, cốt thép, nền lát gạch mem</w:t>
              <w:br/>
              <w:t xml:space="preserve">+ Nhà ăn ca và nhà nghỉ giữa ca: Diện tích xây dựng: 62,4m2; Diện tích sàn: 62,4m2; Bê tông cốt thép, nền lát gạch </w:t>
            </w:r>
            <w:r>
              <w:rPr>
                <w:rFonts w:ascii="Times New Roman" w:hAnsi="Times New Roman" w:eastAsia="Times New Roman" w:cs="Times New Roman"/>
                <w:color w:val="000000"/>
                <w:sz w:val="24"/>
                <w:highlight w:val="none"/>
              </w:rPr>
              <w:t xml:space="preserve">men</w:t>
            </w:r>
            <w:r>
              <w:rPr>
                <w:rFonts w:ascii="Times New Roman" w:hAnsi="Times New Roman" w:eastAsia="Times New Roman" w:cs="Times New Roman"/>
                <w:color w:val="000000"/>
                <w:sz w:val="24"/>
              </w:rPr>
              <w:br/>
              <w:t xml:space="preserve">Các công trình xây dựng đã được chứng nhận trên giấy chứng nhận số CA 84</w:t>
            </w:r>
            <w:r>
              <w:rPr>
                <w:rFonts w:ascii="Times New Roman" w:hAnsi="Times New Roman" w:eastAsia="Times New Roman" w:cs="Times New Roman"/>
                <w:color w:val="000000"/>
                <w:sz w:val="24"/>
              </w:rPr>
              <w:t xml:space="preserve">6419</w:t>
            </w:r>
            <w:r>
              <w:rPr>
                <w:rFonts w:ascii="Times New Roman" w:hAnsi="Times New Roman" w:eastAsia="Times New Roman" w:cs="Times New Roman"/>
                <w:color w:val="000000"/>
                <w:sz w:val="24"/>
                <w:szCs w:val="24"/>
                <w:highlight w:val="none"/>
              </w:rPr>
            </w:r>
          </w:p>
          <w:p>
            <w:pPr>
              <w:pBdr/>
              <w:spacing w:after="0" w:before="0" w:line="240" w:lineRule="auto"/>
              <w:ind/>
              <w:jc w:val="left"/>
              <w:rPr/>
            </w:pPr>
            <w:r>
              <w:rPr>
                <w:rFonts w:ascii="Times New Roman" w:hAnsi="Times New Roman" w:eastAsia="Times New Roman" w:cs="Times New Roman"/>
                <w:color w:val="000000"/>
                <w:sz w:val="24"/>
                <w:highlight w:val="none"/>
              </w:rPr>
              <w:t xml:space="preserve">+ Nhà vệ sinh, chưa được chứng nhận trên GCN </w:t>
            </w:r>
            <w:r>
              <w:rPr>
                <w:rFonts w:ascii="Times New Roman" w:hAnsi="Times New Roman" w:eastAsia="Times New Roman" w:cs="Times New Roman"/>
                <w:color w:val="000000"/>
                <w:sz w:val="24"/>
                <w:highlight w:val="none"/>
              </w:rPr>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Height w:val="1701"/>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Thôn 1, thị trấn Phong Hải, huyện Bảo Thắng, tỉnh Lào Cai </w:t>
            </w:r>
            <w:r/>
          </w:p>
        </w:tc>
        <w:tc>
          <w:tcPr>
            <w:tcBorders/>
            <w:tcW w:w="1605" w:type="dxa"/>
            <w:vAlign w:val="center"/>
            <w:textDirection w:val="lrTb"/>
            <w:noWrap w:val="false"/>
          </w:tcPr>
          <w:p>
            <w:pPr>
              <w:pBdr/>
              <w:spacing/>
              <w:ind/>
              <w:jc w:val="center"/>
              <w:rPr/>
            </w:pPr>
            <w:r>
              <w:t xml:space="preserve">xã Phong Hải, tỉnh Lào Cai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sát nhập thay đổi địa giới hành chính</w:t>
            </w:r>
            <w:r/>
          </w:p>
        </w:tc>
      </w:tr>
      <w:tr>
        <w:trPr>
          <w:jc w:val="center"/>
          <w:trHeight w:val="273"/>
        </w:trPr>
        <w:tc>
          <w:tcPr>
            <w:tcBorders/>
            <w:tcW w:w="1167" w:type="dxa"/>
            <w:vAlign w:val="center"/>
            <w:textDirection w:val="lrTb"/>
            <w:noWrap w:val="false"/>
          </w:tcPr>
          <w:p>
            <w:pPr>
              <w:pBdr/>
              <w:spacing/>
              <w:ind/>
              <w:jc w:val="center"/>
              <w:rPr>
                <w:highlight w:val="white"/>
              </w:rPr>
            </w:pPr>
            <w:r>
              <w:rPr>
                <w:highlight w:val="white"/>
              </w:rPr>
              <w:t xml:space="preserve">2</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Pháp lý</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 ✔</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r>
            <w:r>
              <w:rPr>
                <w:highlight w:val="white"/>
              </w:rPr>
              <w:t xml:space="preserve">Giấy chứng nhận quyền sử dụng đất, quyền sở hữu nhà ở và tài sản gắn liền với đất </w:t>
            </w:r>
            <w:r>
              <w:rPr>
                <w:highlight w:val="white"/>
              </w:rPr>
              <w:t xml:space="preserve">✔</w:t>
            </w:r>
            <w:r>
              <w:rPr>
                <w:highlight w:val="white"/>
              </w:rPr>
            </w:r>
            <w:r>
              <w:rPr>
                <w:highlight w:val="white"/>
              </w:rPr>
            </w:r>
          </w:p>
        </w:tc>
        <w:tc>
          <w:tcPr>
            <w:tcBorders/>
            <w:tcW w:w="1371" w:type="dxa"/>
            <w:vAlign w:val="center"/>
            <w:textDirection w:val="lrTb"/>
            <w:noWrap w:val="false"/>
          </w:tcPr>
          <w:p>
            <w:pPr>
              <w:pBdr/>
              <w:spacing/>
              <w:ind/>
              <w:jc w:val="center"/>
              <w:rPr>
                <w:highlight w:val="yellow"/>
              </w:rPr>
            </w:pPr>
            <w:r>
              <w:rPr>
                <w:highlight w:val="none"/>
              </w:rPr>
              <w:t xml:space="preserve">không</w:t>
            </w:r>
            <w:r>
              <w:rPr>
                <w:highlight w:val="yellow"/>
              </w:rPr>
            </w:r>
            <w:r>
              <w:rPr>
                <w:highlight w:val="yellow"/>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thương mại, dịch vụ</w:t>
            </w:r>
            <w:r/>
          </w:p>
        </w:tc>
        <w:tc>
          <w:tcPr>
            <w:tcBorders/>
            <w:tcW w:w="1605" w:type="dxa"/>
            <w:vAlign w:val="center"/>
            <w:textDirection w:val="lrTb"/>
            <w:noWrap w:val="false"/>
          </w:tcPr>
          <w:p>
            <w:pPr>
              <w:pBdr/>
              <w:spacing/>
              <w:ind/>
              <w:jc w:val="center"/>
              <w:rPr/>
            </w:pPr>
            <w:r>
              <w:t xml:space="preserve">Đất thương mại, dịch vụ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1500</w:t>
            </w:r>
            <w:r/>
          </w:p>
        </w:tc>
        <w:tc>
          <w:tcPr>
            <w:tcBorders/>
            <w:tcW w:w="1605" w:type="dxa"/>
            <w:vAlign w:val="center"/>
            <w:textDirection w:val="lrTb"/>
            <w:noWrap w:val="false"/>
          </w:tcPr>
          <w:p>
            <w:pPr>
              <w:pBdr/>
              <w:spacing/>
              <w:ind/>
              <w:jc w:val="center"/>
              <w:rPr/>
            </w:pPr>
            <w:r>
              <w:t xml:space="preserve">1500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50</w:t>
            </w:r>
            <w:r/>
          </w:p>
        </w:tc>
        <w:tc>
          <w:tcPr>
            <w:tcBorders/>
            <w:tcW w:w="1605" w:type="dxa"/>
            <w:vAlign w:val="center"/>
            <w:textDirection w:val="lrTb"/>
            <w:noWrap w:val="false"/>
          </w:tcPr>
          <w:p>
            <w:pPr>
              <w:pBdr/>
              <w:spacing/>
              <w:ind/>
              <w:jc w:val="center"/>
              <w:rPr/>
            </w:pPr>
            <w:r>
              <w:t xml:space="preserve">50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none"/>
              </w:rPr>
            </w:pPr>
            <w:r>
              <w:t xml:space="preserve">8</w:t>
            </w:r>
            <w:r>
              <w:rPr>
                <w:highlight w:val="none"/>
              </w:rPr>
            </w:r>
            <w:r>
              <w:rPr>
                <w:highlight w:val="none"/>
              </w:rP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545"/>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Bắc</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556"/>
        <w:gridCol w:w="1417"/>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556"/>
        <w:gridCol w:w="1417"/>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556"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41"/>
        </w:numPr>
        <w:pBdr/>
        <w:spacing w:after="120" w:before="120" w:line="276" w:lineRule="auto"/>
        <w:ind/>
        <w:jc w:val="both"/>
        <w:rPr>
          <w:color w:val="000000" w:themeColor="text1"/>
          <w:highlight w:val="white"/>
        </w:rPr>
      </w:pPr>
      <w:r>
        <w:rPr>
          <w:color w:val="000000" w:themeColor="text1"/>
          <w:highlight w:val="white"/>
          <w:lang w:val="de-DE" w:bidi="de-DE"/>
        </w:rPr>
        <w:t xml:space="preserve">Tại thời điểm khảo sát, đặc điểm công trình xây dựng hiện đang sử dụng làm cây xăng  có những đặc điểm riêng biệt của công trình. Do đó, </w:t>
      </w:r>
      <w:r>
        <w:rPr>
          <w:color w:val="000000" w:themeColor="text1"/>
          <w:highlight w:val="white"/>
          <w:lang w:val="de-DE" w:bidi="de-DE"/>
        </w:rPr>
        <w:t xml:space="preserve">theo đề nghị của khách hàng và những hồ sơ khách hàng cung cấp hóa đơn, biên bản nghiệm thu:</w:t>
      </w:r>
      <w:r>
        <w:rPr>
          <w:color w:val="000000" w:themeColor="text1"/>
          <w:highlight w:val="white"/>
          <w:lang w:val="de-DE" w:bidi="de-DE"/>
        </w:rPr>
        <w:t xml:space="preserve"> Tổ thẩm định xác định giá trị của công trình xây dựng theo hóa đơn, và biên bản nghiệm thu khách hàng cung cấp</w:t>
      </w:r>
      <w:r>
        <w:rPr>
          <w:color w:val="000000" w:themeColor="text1"/>
          <w:highlight w:val="white"/>
          <w:lang w:val="de-DE" w:bidi="de-DE"/>
        </w:rPr>
        <w:t xml:space="preserve">. </w:t>
      </w:r>
      <w:r>
        <w:rPr>
          <w:color w:val="000000" w:themeColor="text1"/>
          <w:highlight w:val="white"/>
        </w:rPr>
        <w:t xml:space="preserve">Kết quả thẩm định giá được xây dựng trên giả thiết đặc biệt rằng toàn bộ hóa đơn, chứng từ xây dựng cung cấp là xác thực, có thể kiểm chứng và phản ánh đầy đủ chi phí hình thành công trình.</w:t>
      </w:r>
      <w:r>
        <w:rPr>
          <w:color w:val="000000" w:themeColor="text1"/>
          <w:highlight w:val="white"/>
        </w:rPr>
        <w:t xml:space="preserve"> Kết quả thẩm định giá chỉ có giới hạn trong trường hợp giả thiết nêu trên là đúng. </w:t>
      </w:r>
      <w:r>
        <w:rPr>
          <w:color w:val="000000" w:themeColor="text1"/>
          <w:highlight w:val="white"/>
        </w:rPr>
        <w:t xml:space="preserve">Trong trường hợp các hóa đơn, chứng từ nêu trên không đầy đủ, không hợp lệ </w:t>
      </w:r>
      <w:r>
        <w:rPr>
          <w:color w:val="000000" w:themeColor="text1"/>
          <w:highlight w:val="white"/>
        </w:rPr>
        <w:t xml:space="preserve"> thì chúng tôi có quyền xem xét lại kết quả của báo cáo thẩm định giá này</w:t>
      </w:r>
      <w:r>
        <w:rPr>
          <w:color w:val="000000" w:themeColor="text1"/>
          <w:highlight w:val="white"/>
        </w:rPr>
        <w:t xml:space="preserve">.</w:t>
      </w:r>
      <w:r>
        <w:rPr>
          <w:color w:val="000000" w:themeColor="text1"/>
          <w:highlight w:val="white"/>
        </w:rPr>
      </w:r>
      <w:r>
        <w:rPr>
          <w:color w:val="000000" w:themeColor="text1"/>
          <w:highlight w:val="white"/>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z w:val="24"/>
        </w:rPr>
        <w:t xml:space="preserve">Phương pháp chi phí tái tạo: </w:t>
      </w:r>
      <w:r>
        <w:rPr>
          <w:rFonts w:ascii="Times New Roman" w:hAnsi="Times New Roman" w:eastAsia="Times New Roman" w:cs="Times New Roman"/>
          <w:color w:val="000000"/>
          <w:sz w:val="24"/>
        </w:rPr>
        <w:t xml:space="preserve">là phương pháp thẩm định giá xác định giá trị của tài sản thẩm định giá dựa trên cơ sở chênh lệch giữa chi phí tái tạo ra tài sản giống hệt với tài sản thẩm định giá theo giá thị trường hiện hành và giá trị hao mòn của tài sản thẩm định giá.</w:t>
      </w:r>
      <w:r>
        <w:rPr>
          <w:rFonts w:ascii="Times New Roman" w:hAnsi="Times New Roman" w:eastAsia="Times New Roman" w:cs="Times New Roman"/>
          <w:sz w:val="24"/>
        </w:rPr>
      </w: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w:t>
      </w:r>
      <w:r>
        <w:rPr>
          <w:spacing w:val="-4"/>
          <w:lang w:val="pt-BR"/>
        </w:rPr>
        <w:t xml:space="preserve"> thẩm định sử dụng cách tiếp cận từ chi phí (phương pháp chi phí tái tạo) để xác định giá trị công trình gắn liền trên </w:t>
      </w:r>
      <w:r>
        <w:rPr>
          <w:spacing w:val="-4"/>
          <w:lang w:val="pt-BR"/>
        </w:rPr>
        <w:t xml:space="preserve">đất của </w:t>
      </w:r>
      <w:r>
        <w:rPr>
          <w:spacing w:val="-4"/>
          <w:lang w:val="pt-BR"/>
        </w:rPr>
        <w:t xml:space="preserve">tài s</w:t>
      </w:r>
      <w:r>
        <w:rPr>
          <w:spacing w:val="-4"/>
          <w:lang w:val="pt-BR"/>
        </w:rPr>
        <w:t xml:space="preserve">ản thẩm định</w:t>
      </w:r>
      <w:r>
        <w:rPr>
          <w:spacing w:val="-2"/>
          <w:lang w:val="pt-BR"/>
        </w:rPr>
        <w:t xml:space="preserve">.</w:t>
      </w:r>
      <w:r>
        <w:rPr>
          <w:lang w:val="de-DE"/>
        </w:rPr>
        <w:t xml:space="preserve"> </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Bdr/>
        <w:spacing/>
        <w:ind/>
        <w:jc w:val="both"/>
        <w:rPr>
          <w:color w:val="000000"/>
        </w:rPr>
      </w:pPr>
      <w:r>
        <w:rPr>
          <w:lang w:val="nl-NL"/>
        </w:rPr>
        <w:t xml:space="preserve">Qua khảo </w:t>
      </w:r>
      <w:r>
        <w:rPr>
          <w:lang w:val="nl-NL"/>
        </w:rPr>
        <w:t xml:space="preserve">sát thị trường</w:t>
      </w:r>
      <w:r>
        <w:rPr>
          <w:lang w:val="nl-NL"/>
        </w:rPr>
        <w:t xml:space="preserve">, </w:t>
      </w:r>
      <w:r>
        <w:rPr>
          <w:lang w:val="nl-NL"/>
        </w:rPr>
        <w:t xml:space="preserve">tại thời điểm thẩm định giá, khu vực thẩm định hạn chế những giao dịch đất TMDV tương đồng. Tuy nhiên với nguồn gốc </w:t>
      </w:r>
      <w:r>
        <w:rPr>
          <w:color w:val="000000"/>
        </w:rPr>
        <w:t xml:space="preserve">Nhận chuyển nhượng đất được Nhà nước giao đất có thu tiền sử dụng đất và thời hạn sử dụng lâu dài. Tổ thẩm định thực hiện ước tính giá trị tài sản với TSSS là đất ở. </w:t>
      </w:r>
      <w:r>
        <w:rPr>
          <w:lang w:val="nl-NL"/>
        </w:rPr>
        <w:t xml:space="preserve"> 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color w:val="000000"/>
        </w:rPr>
      </w:r>
      <w:r>
        <w:rPr>
          <w:color w:val="000000"/>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Phong Hải,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Xã Phong Hải,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Xã Phong Hải,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Xã Phong Hải, tỉnh Lào Cai</w:t>
            </w:r>
            <w:r>
              <w:rPr>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https://www.facebook.com/groups/302620654225645/posts/1674783990342631/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https://www.facebook.com/groups/nhadatlaocai.vn/posts/25339191885678447/</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0966996589</w:t>
            </w:r>
            <w:r>
              <w:rPr>
                <w:sz w:val="22"/>
                <w:szCs w:val="22"/>
              </w:rPr>
              <w:t xml:space="preserve"> </w:t>
            </w:r>
            <w:r>
              <w:rPr>
                <w:sz w:val="22"/>
                <w:szCs w:val="22"/>
              </w:rPr>
              <w:br/>
              <w:t xml:space="preserve">(</w:t>
            </w:r>
            <w:r>
              <w:rPr>
                <w:sz w:val="22"/>
                <w:szCs w:val="22"/>
              </w:rPr>
              <w:t xml:space="preserve">Dương Lê</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0868.012382</w:t>
            </w:r>
            <w:r>
              <w:rPr>
                <w:sz w:val="22"/>
                <w:szCs w:val="22"/>
              </w:rPr>
              <w:br/>
            </w:r>
            <w:r>
              <w:rPr>
                <w:sz w:val="22"/>
                <w:szCs w:val="22"/>
              </w:rPr>
              <w:t xml:space="preserve">(</w:t>
            </w:r>
            <w:r>
              <w:rPr>
                <w:sz w:val="22"/>
                <w:szCs w:val="22"/>
              </w:rPr>
              <w:t xml:space="preserve">Phạm Thùy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0868.012382</w:t>
            </w:r>
            <w:r>
              <w:rPr>
                <w:sz w:val="22"/>
                <w:szCs w:val="22"/>
              </w:rPr>
              <w:br/>
            </w:r>
            <w:r>
              <w:rPr>
                <w:sz w:val="22"/>
                <w:szCs w:val="22"/>
              </w:rPr>
              <w:t xml:space="preserve">(</w:t>
            </w:r>
            <w:r>
              <w:rPr>
                <w:sz w:val="22"/>
                <w:szCs w:val="22"/>
              </w:rPr>
              <w:t xml:space="preserve">Phạm Thùy</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05/2026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05/2026</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xã Ph</w:t>
            </w:r>
            <w:r>
              <w:rPr>
                <w:color w:val="000000" w:themeColor="text1"/>
                <w:sz w:val="22"/>
                <w:szCs w:val="22"/>
                <w:highlight w:val="white"/>
              </w:rPr>
              <w:t xml:space="preserve">ong Hải, Tỉnh Lào Cai, đường mặt tiền đường QL70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tại: </w:t>
            </w:r>
            <w:r>
              <w:rPr>
                <w:color w:val="000000" w:themeColor="text1"/>
                <w:sz w:val="22"/>
                <w:szCs w:val="22"/>
                <w:highlight w:val="white"/>
              </w:rPr>
              <w:t xml:space="preserve">xã P</w:t>
            </w:r>
            <w:r>
              <w:rPr>
                <w:color w:val="000000" w:themeColor="text1"/>
                <w:sz w:val="22"/>
                <w:szCs w:val="22"/>
                <w:highlight w:val="white"/>
              </w:rPr>
              <w:t xml:space="preserve">hong Hải, Tỉnh Lào Cai, đường mặt tiền đường QL70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tại: </w:t>
            </w:r>
            <w:r>
              <w:rPr>
                <w:color w:val="000000" w:themeColor="text1"/>
                <w:sz w:val="22"/>
                <w:szCs w:val="22"/>
                <w:highlight w:val="white"/>
              </w:rPr>
              <w:t xml:space="preserve">xã Ph</w:t>
            </w:r>
            <w:r>
              <w:rPr>
                <w:color w:val="000000" w:themeColor="text1"/>
                <w:sz w:val="22"/>
                <w:szCs w:val="22"/>
                <w:highlight w:val="white"/>
              </w:rPr>
              <w:t xml:space="preserve">ong Hải, Tỉnh Lào Cai, đường mặt tiền đường QL70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tại: </w:t>
            </w:r>
            <w:r>
              <w:rPr>
                <w:color w:val="000000" w:themeColor="text1"/>
                <w:sz w:val="22"/>
                <w:szCs w:val="22"/>
                <w:highlight w:val="white"/>
              </w:rPr>
              <w:t xml:space="preserve">xã P</w:t>
            </w:r>
            <w:r>
              <w:rPr>
                <w:color w:val="000000" w:themeColor="text1"/>
                <w:sz w:val="22"/>
                <w:szCs w:val="22"/>
                <w:highlight w:val="white"/>
              </w:rPr>
              <w:t xml:space="preserve">hong Hải, Tỉnh Lào Cai, đường mặt tiền đường QL70 </w:t>
            </w:r>
            <w:r>
              <w:rPr>
                <w:highlight w:val="white"/>
              </w:rPr>
            </w:r>
            <w:r>
              <w:rPr>
                <w:highlight w:val="whit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4.544.850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4.760.479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4.583.741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477.000.000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468.000.000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4.544.850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4.760.479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4.583.741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4.544.850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4.760.479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4.583.741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-1.363.455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-1.428.144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-1.375.122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3.181.395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3.332.335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3.208.619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3.181.395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3.332.335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3.208.619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xã Ph</w:t>
            </w:r>
            <w:r>
              <w:rPr>
                <w:color w:val="000000" w:themeColor="text1"/>
                <w:sz w:val="22"/>
                <w:szCs w:val="22"/>
                <w:highlight w:val="white"/>
              </w:rPr>
              <w:t xml:space="preserve">ong Hải, Tỉnh Lào Cai, đường mặt tiền đường QL70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tại: xã Phong Hải, Tỉnh Lào Cai, đường mặt tiền đường QL70 </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tại: xã Phong Hải, Tỉnh Lào Cai, đường mặt tiền đường QL70 </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tại: xã Phong Hải, Tỉnh Lào Cai, đường mặt tiền đường QL70 </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3.181.395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3.332.335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3.208.619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3.181.395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3.332.335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3.208.619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3.181.395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3.332.335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3.208.619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-908.970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-856.886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-825.073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2.272.425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2.475.449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2.383.546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454.485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714.072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687.561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2.726.910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3.189.521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3.071.107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-227.243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-238.024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-229.187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2.499.667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2.951.497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2.841.920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2.499.667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2.951.497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2.841.920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227.243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2.726.910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2.951.497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2.841.920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2.726.910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2.951.497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2.841.920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2.840.109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3.181.396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3.237.126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3.116.943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1.817.940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1.808.982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1.741.821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-3,99</w:t>
      </w:r>
      <w:r>
        <w:t xml:space="preserve">% đến</w:t>
      </w:r>
      <w:r>
        <w:t xml:space="preserve"> </w:t>
      </w:r>
      <w:r>
        <w:t xml:space="preserve"> </w:t>
      </w:r>
      <w:r>
        <w:t xml:space="preserve">3,92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2.726.910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909.152</w:t>
            </w:r>
            <w:r>
              <w:rPr>
                <w:color w:val="000000"/>
              </w:rPr>
            </w:r>
            <w:r>
              <w:rPr>
                <w:color w:val="000000"/>
              </w:rPr>
            </w:r>
          </w:p>
        </w:tc>
      </w:tr>
      <w:tr>
        <w:trPr>
          <w:trHeight w:val="253"/>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2.951.497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983.734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2.841.920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947.212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2.840.098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Trên cơ sở tham khảo và phân tích tài sản, Thẩm định viên lựa chọn phương pháp chi phí thay thế để tính giá trị công trình xây dựng như sau: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b/>
          <w:color w:val="000000"/>
          <w:sz w:val="24"/>
        </w:rPr>
        <w:t xml:space="preserve">Giá trị tài sản = Chi phí tái tạo - Tổng giá trị hao mòn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b/>
          <w:color w:val="000000"/>
          <w:sz w:val="24"/>
        </w:rPr>
        <w:t xml:space="preserve">                      =  Chi phí tái tạo  x (1- tỷ lệ hao mòn)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i/>
          <w:color w:val="000000"/>
          <w:sz w:val="24"/>
        </w:rPr>
        <w:t xml:space="preserve">Xác định Chi phí tái tạo của CTXD: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b/>
          <w:bCs/>
          <w:highlight w:val="none"/>
        </w:rPr>
      </w:pPr>
      <w:r>
        <w:rPr>
          <w:rFonts w:ascii="Times New Roman" w:hAnsi="Times New Roman" w:eastAsia="Times New Roman" w:cs="Times New Roman"/>
          <w:color w:val="000000"/>
          <w:sz w:val="24"/>
        </w:rPr>
        <w:t xml:space="preserve">Qua tham khảo thị trường về đơn giá xây dựng mới đối với công trình xây dựng, cân nhắc và xem xét với mức độ hoàn thiện c</w:t>
      </w:r>
      <w:r>
        <w:rPr>
          <w:rFonts w:ascii="Times New Roman" w:hAnsi="Times New Roman" w:eastAsia="Times New Roman" w:cs="Times New Roman"/>
          <w:color w:val="000000"/>
          <w:sz w:val="24"/>
        </w:rPr>
        <w:t xml:space="preserve">ủa công trình xây dựng hiện có, Tổ thẩm định xác định chi phí tái tạo theo hóa đơn, biên bản nghiệm thu khách hàng cung cấp </w:t>
      </w:r>
      <w:r>
        <w:rPr>
          <w:rFonts w:ascii="Times New Roman" w:hAnsi="Times New Roman" w:eastAsia="Times New Roman" w:cs="Times New Roman"/>
          <w:color w:val="000000"/>
          <w:sz w:val="24"/>
          <w:szCs w:val="24"/>
        </w:rPr>
        <w:t xml:space="preserve">. Cụ thể như sau</w:t>
      </w:r>
      <w:r>
        <w:rPr>
          <w:rFonts w:ascii="Times New Roman" w:hAnsi="Times New Roman" w:eastAsia="Times New Roman" w:cs="Times New Roman"/>
          <w:color w:val="000000"/>
          <w:sz w:val="24"/>
        </w:rPr>
        <w:t xml:space="preserve">:</w:t>
      </w:r>
      <w:r>
        <w:rPr>
          <w:b/>
          <w:bCs/>
          <w:highlight w:val="none"/>
        </w:rPr>
      </w:r>
      <w:r>
        <w:rPr>
          <w:b/>
          <w:bCs/>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835"/>
        <w:gridCol w:w="1559"/>
        <w:gridCol w:w="1967"/>
        <w:gridCol w:w="2569"/>
      </w:tblGrid>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4"/>
              </w:rPr>
              <w:t xml:space="preserve">STT</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Hạng mục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Diện tích xây dựng (m2)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7"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(chưa bao gồm cả VAT)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569"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Căn cứ</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che cột bơm (hạng mục nhà che cột bơm và sân đường bê tông)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val="0"/>
                <w:bCs w:val="0"/>
                <w:color w:val="000000"/>
                <w:sz w:val="24"/>
              </w:rPr>
              <w:t xml:space="preserve">8</w:t>
            </w:r>
            <w:r>
              <w:rPr>
                <w:rFonts w:ascii="Times New Roman" w:hAnsi="Times New Roman" w:eastAsia="Times New Roman" w:cs="Times New Roman"/>
                <w:b w:val="0"/>
                <w:bCs w:val="0"/>
                <w:color w:val="000000"/>
                <w:sz w:val="24"/>
              </w:rPr>
              <w:t xml:space="preserve">6</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t xml:space="preserve">2</w:t>
            </w:r>
            <w:r>
              <w:rPr>
                <w:rFonts w:ascii="Times New Roman" w:hAnsi="Times New Roman" w:eastAsia="Times New Roman" w:cs="Times New Roman"/>
                <w:b w:val="0"/>
                <w:bCs w:val="0"/>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7" w:type="dxa"/>
            <w:vAlign w:val="bottom"/>
            <w:textDirection w:val="lrTb"/>
            <w:noWrap w:val="false"/>
          </w:tcPr>
          <w:p>
            <w:pPr>
              <w:pBdr/>
              <w:spacing w:after="0" w:before="0" w:line="240" w:lineRule="auto"/>
              <w:ind/>
              <w:jc w:val="lef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1.359.181.481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569" w:type="dxa"/>
            <w:vAlign w:val="center"/>
            <w:vMerge w:val="restart"/>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Hóa đơn số 3 ngày 25/7/2022</w:t>
              <w:br/>
              <w:t xml:space="preserve">- Biên bản nghiệm thu hoàn thành công trình xây dựng để đưa vào sử dụng công trình cửa hàng xăng dầu số 2 thị trấn Phong Hải ngày 25/5/2022</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Văn phòng làm việc + trưng bày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81,25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7" w:type="dxa"/>
            <w:vAlign w:val="bottom"/>
            <w:textDirection w:val="lrTb"/>
            <w:noWrap w:val="false"/>
          </w:tcPr>
          <w:p>
            <w:pPr>
              <w:pBdr/>
              <w:spacing w:after="0" w:before="0" w:line="240" w:lineRule="auto"/>
              <w:ind/>
              <w:jc w:val="lef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341.254.630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ăn ca và nhà nghĩ giữa ca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62,4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7" w:type="dxa"/>
            <w:vAlign w:val="bottom"/>
            <w:textDirection w:val="lrTb"/>
            <w:noWrap w:val="false"/>
          </w:tcPr>
          <w:p>
            <w:pPr>
              <w:pBdr/>
              <w:spacing w:after="0" w:before="0" w:line="240" w:lineRule="auto"/>
              <w:ind/>
              <w:jc w:val="lef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336.029.630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vệ sinh công cộng (chưa được chứng nhận trên GCN)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7" w:type="dxa"/>
            <w:vAlign w:val="bottom"/>
            <w:textDirection w:val="lrTb"/>
            <w:noWrap w:val="false"/>
          </w:tcPr>
          <w:p>
            <w:pPr>
              <w:pBdr/>
              <w:spacing w:after="0" w:before="0" w:line="240" w:lineRule="auto"/>
              <w:ind/>
              <w:jc w:val="lef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180.037.963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r>
      <w:tr>
        <w:trPr>
          <w:trHeight w:val="0"/>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0"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67"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2.393.824.000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569" w:type="dxa"/>
            <w:vAlign w:val="bottom"/>
            <w:textDirection w:val="lrTb"/>
            <w:noWrap/>
          </w:tcPr>
          <w:p>
            <w:pPr>
              <w:pBdr/>
              <w:spacing w:after="0" w:before="0" w:line="240" w:lineRule="auto"/>
              <w:ind/>
              <w:rPr/>
            </w:pPr>
            <w:r>
              <w:rPr>
                <w:rFonts w:ascii="Times New Roman" w:hAnsi="Times New Roman" w:eastAsia="Times New Roman" w:cs="Times New Roman"/>
                <w:b/>
                <w:color w:val="000000"/>
                <w:sz w:val="24"/>
              </w:rPr>
              <w:t xml:space="preserve"> 2.216.503.704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Xác định Tỷ lệ hao mòn của CTXD</w:t>
      </w:r>
      <w:r>
        <w:rPr>
          <w:rFonts w:ascii="Times New Roman" w:hAnsi="Times New Roman" w:eastAsia="Times New Roman" w:cs="Times New Roman"/>
          <w:color w:val="000000"/>
          <w:sz w:val="24"/>
        </w:rPr>
        <w:t xml:space="preserve">: Qua khảo sát hiện trạng, Tổ thẩm định lựa chọn phương pháp tổng cộng để ước tính Tỷ lệ hao mòn của các công trình xây dựng,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i/>
          <w:color w:val="000000"/>
          <w:sz w:val="24"/>
        </w:rPr>
        <w:t xml:space="preserve">Xác định tỷ lệ hao mòn theo phương pháp tổng cộng: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w:t>
      </w:r>
      <w:r>
        <w:rPr>
          <w:rFonts w:ascii="Times New Roman" w:hAnsi="Times New Roman" w:eastAsia="Times New Roman" w:cs="Times New Roman"/>
          <w:color w:val="000000"/>
          <w:sz w:val="24"/>
        </w:rPr>
        <w:t xml:space="preserve">giá tỷ lệ hao mòn c</w:t>
      </w:r>
      <w:r>
        <w:rPr>
          <w:rFonts w:ascii="Times New Roman" w:hAnsi="Times New Roman" w:eastAsia="Times New Roman" w:cs="Times New Roman"/>
          <w:color w:val="000000"/>
          <w:sz w:val="24"/>
        </w:rPr>
        <w:t xml:space="preserve">ủa công trình xây dựng theo Văn bản số 1326/BXD-QLN do Bộ Xây dựng ban hành ngày 08/8/2011 về việc hướng dẫn kiểm kê</w:t>
      </w:r>
      <w:r>
        <w:rPr>
          <w:rFonts w:ascii="Times New Roman" w:hAnsi="Times New Roman" w:eastAsia="Times New Roman" w:cs="Times New Roman"/>
          <w:color w:val="000000"/>
          <w:sz w:val="24"/>
        </w:rPr>
        <w:t xml:space="preserve">, đánh giá lại giá trị tài sản cố định là nhà, vật kiến trúc như sau: Tỷ lệ hao mòn của nhà, vật kiến trúc được xác định căn cứ vào tỷ lệ hao mòn của các kết cấu chính (nếu là nhà thì kết cấu chính gồm: móng, khung, cột, tường, nền, s</w:t>
      </w:r>
      <w:r>
        <w:rPr>
          <w:rFonts w:ascii="Times New Roman" w:hAnsi="Times New Roman" w:eastAsia="Times New Roman" w:cs="Times New Roman"/>
          <w:color w:val="000000"/>
          <w:sz w:val="24"/>
        </w:rPr>
        <w:t xml:space="preserve">àn, kết cấu đỡ mái và mái) tạo nên nhà đó và tỷ lệ giá trị của các kết cấu chính đó so với tổng giá trị của nhà hoặc vật kiến trúc. </w:t>
      </w:r>
      <w:r/>
    </w:p>
    <w:p>
      <w:pPr>
        <w:pStyle w:val="1035"/>
        <w:pBdr/>
        <w:spacing w:after="120" w:before="120" w:line="276" w:lineRule="auto"/>
        <w:ind w:left="357"/>
        <w:jc w:val="both"/>
        <w:rPr>
          <w:b/>
          <w:bCs/>
          <w:highlight w:val="none"/>
          <w:lang w:val="pt-BR"/>
        </w:rPr>
      </w:pPr>
      <w:r>
        <w:rPr>
          <w:b/>
          <w:lang w:val="pt-BR"/>
        </w:rPr>
      </w:r>
      <w:r>
        <mc:AlternateContent>
          <mc:Choice Requires="wpg">
            <w:drawing>
              <wp:inline xmlns:wp="http://schemas.openxmlformats.org/drawingml/2006/wordprocessingDrawing" distT="0" distB="0" distL="0" distR="0">
                <wp:extent cx="6048375" cy="140844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05074" name=""/>
                        <pic:cNvPicPr>
                          <a:picLocks noChangeAspect="1"/>
                        </pic:cNvPicPr>
                        <pic:nvPr/>
                      </pic:nvPicPr>
                      <pic:blipFill rotWithShape="1">
                        <a:blip r:embed="rId18"/>
                        <a:stretch/>
                      </pic:blipFill>
                      <pic:spPr bwMode="auto">
                        <a:xfrm>
                          <a:off x="0" y="0"/>
                          <a:ext cx="6048374" cy="1408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110.90pt;mso-wrap-distance-left:0.00pt;mso-wrap-distance-top:0.00pt;mso-wrap-distance-right:0.00pt;mso-wrap-distance-bottom:0.00pt;z-index:1;" stroked="false">
                <v:imagedata r:id="rId18" o:title=""/>
                <o:lock v:ext="edit" rotation="t"/>
              </v:shape>
            </w:pict>
          </mc:Fallback>
        </mc:AlternateConten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sz w:val="24"/>
        </w:rPr>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969"/>
        <w:gridCol w:w="969"/>
        <w:gridCol w:w="969"/>
        <w:gridCol w:w="969"/>
        <w:gridCol w:w="969"/>
        <w:gridCol w:w="969"/>
        <w:gridCol w:w="1277"/>
      </w:tblGrid>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Hạng mục tài sản</w:t>
            </w:r>
            <w:r/>
          </w:p>
        </w:tc>
        <w:tc>
          <w:tcPr>
            <w:gridSpan w:val="7"/>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8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Phương pháp tổng cộng</w:t>
            </w:r>
            <w:r/>
          </w:p>
        </w:tc>
      </w:tr>
      <w:tr>
        <w:trPr>
          <w:trHeight w:val="64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811"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Kết cấu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w:t>
            </w:r>
            <w:r>
              <w:rPr>
                <w:rFonts w:ascii="Times New Roman" w:hAnsi="Times New Roman" w:eastAsia="Times New Roman" w:cs="Times New Roman"/>
                <w:b/>
                <w:color w:val="000000"/>
                <w:sz w:val="24"/>
              </w:rPr>
              <w:t xml:space="preserve">hao </w:t>
            </w:r>
            <w:r>
              <w:rPr>
                <w:rFonts w:ascii="Times New Roman" w:hAnsi="Times New Roman" w:eastAsia="Times New Roman" w:cs="Times New Roman"/>
                <w:b/>
                <w:color w:val="000000"/>
                <w:sz w:val="24"/>
              </w:rPr>
              <w:t xml:space="preserve">mòn </w:t>
            </w:r>
            <w:r>
              <w:rPr>
                <w:rFonts w:ascii="Times New Roman" w:hAnsi="Times New Roman" w:eastAsia="Times New Roman" w:cs="Times New Roman"/>
                <w:b/>
                <w:color w:val="000000"/>
                <w:sz w:val="24"/>
              </w:rPr>
              <w:t xml:space="preserve">(%)</w:t>
            </w:r>
            <w:r>
              <w:rPr>
                <w:rFonts w:ascii="Times New Roman" w:hAnsi="Times New Roman" w:eastAsia="Times New Roman" w:cs="Times New Roman"/>
                <w:b/>
                <w:color w:val="000000"/>
                <w:sz w:val="24"/>
              </w:rPr>
            </w:r>
            <w:r/>
          </w:p>
        </w:tc>
      </w:tr>
      <w:tr>
        <w:trPr>
          <w:trHeight w:val="33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Móng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Khung cột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Tường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Nền, sàn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Đỡ mái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Mái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Nhà che cột bơm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50%</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Tỷ lệ hao mòn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56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Văn phòng làm việc + trưng bày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Tỷ lệ hao mòn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56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Nhà ăn ca và nhà nghĩ giữa ca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Tỷ lệ hao mòn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4</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vMerge w:val="restart"/>
            <w:textDirection w:val="lrTb"/>
            <w:noWrap/>
          </w:tcPr>
          <w:p>
            <w:pPr>
              <w:pBdr/>
              <w:spacing w:after="0" w:before="0" w:line="240" w:lineRule="auto"/>
              <w:ind/>
              <w:rPr/>
            </w:pPr>
            <w:r>
              <w:rPr>
                <w:rFonts w:ascii="Times New Roman" w:hAnsi="Times New Roman" w:eastAsia="Times New Roman" w:cs="Times New Roman"/>
                <w:color w:val="000000"/>
                <w:sz w:val="24"/>
              </w:rPr>
              <w:t xml:space="preserve">Nhà vệ sinh công cộng (chưa được chứng nhận trên GCN)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vMerge w:val="restart"/>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40%</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vMerge w:val="restart"/>
            <w:textDirection w:val="lrTb"/>
            <w:noWrap/>
          </w:tcPr>
          <w:p>
            <w:pPr>
              <w:pBdr/>
              <w:spacing w:after="0" w:before="0" w:line="240" w:lineRule="auto"/>
              <w:ind/>
              <w:rPr/>
            </w:pPr>
            <w:r>
              <w:rPr>
                <w:rFonts w:ascii="Times New Roman" w:hAnsi="Times New Roman" w:eastAsia="Times New Roman" w:cs="Times New Roman"/>
                <w:color w:val="000000"/>
                <w:sz w:val="24"/>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vMerge w:val="restart"/>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vMerge w:val="restart"/>
            <w:textDirection w:val="lrTb"/>
            <w:noWrap/>
          </w:tcPr>
          <w:p>
            <w:pPr>
              <w:pBdr/>
              <w:spacing w:after="0" w:before="0" w:line="240" w:lineRule="auto"/>
              <w:ind/>
              <w:rPr/>
            </w:pPr>
            <w:r>
              <w:rPr>
                <w:rFonts w:ascii="Times New Roman" w:hAnsi="Times New Roman" w:eastAsia="Times New Roman" w:cs="Times New Roman"/>
                <w:color w:val="000000"/>
                <w:sz w:val="24"/>
              </w:rPr>
              <w:t xml:space="preserve">- Tỷ lệ hao mòn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9"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7" w:type="dxa"/>
            <w:vAlign w:val="center"/>
            <w:vMerge w:val="restart"/>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bl>
    <w:p>
      <w:pPr>
        <w:pBdr/>
        <w:shd w:val="nil" w:color="auto"/>
        <w:spacing/>
        <w:ind/>
        <w:rPr/>
      </w:pPr>
      <w:r>
        <w:rPr>
          <w:rFonts w:ascii="Times New Roman" w:hAnsi="Times New Roman" w:eastAsia="Times New Roman" w:cs="Times New Roman"/>
          <w:b/>
          <w:color w:val="000000"/>
          <w:sz w:val="24"/>
          <w:highlight w:val="none"/>
        </w:rPr>
        <w:br w:type="page" w:clear="all"/>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BẢNG TÍNH GIÁ TRỊ CÔNG TRÌNH XÂY DỰNG</w:t>
      </w:r>
      <w:r>
        <w:rPr>
          <w:rFonts w:ascii="Times New Roman" w:hAnsi="Times New Roman" w:eastAsia="Times New Roman" w:cs="Times New Roman"/>
          <w:b/>
          <w:bCs/>
          <w:color w:val="000000"/>
          <w:sz w:val="24"/>
          <w:szCs w:val="24"/>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916"/>
        <w:gridCol w:w="1344"/>
        <w:gridCol w:w="1701"/>
        <w:gridCol w:w="992"/>
        <w:gridCol w:w="1559"/>
        <w:gridCol w:w="1560"/>
      </w:tblGrid>
      <w:tr>
        <w:trPr>
          <w:trHeight w:val="93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16"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Hạng mục</w:t>
            </w:r>
            <w:r/>
          </w:p>
        </w:tc>
        <w:tc>
          <w:tcPr>
            <w:tcBorders>
              <w:top w:val="single" w:color="000000" w:sz="6" w:space="0"/>
              <w:bottom w:val="single" w:color="000000" w:sz="6" w:space="0"/>
              <w:right w:val="single" w:color="000000" w:sz="6" w:space="0"/>
            </w:tcBorders>
            <w:tcMar>
              <w:left w:w="0" w:type="dxa"/>
              <w:top w:w="0" w:type="dxa"/>
              <w:right w:w="0" w:type="dxa"/>
              <w:bottom w:w="0" w:type="dxa"/>
            </w:tcMar>
            <w:tcW w:w="1344"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Diện tích xây dựng (m2)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(chưa bao gồm VAT)</w:t>
            </w:r>
            <w:r/>
          </w:p>
        </w:tc>
        <w:tc>
          <w:tcPr>
            <w:tcBorders>
              <w:top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hao mòn</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thẩm định (đồng)</w:t>
            </w:r>
            <w:r/>
          </w:p>
        </w:tc>
      </w:tr>
      <w:tr>
        <w:trPr>
          <w:trHeight w:val="936"/>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19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che cột bơm (hạng mục nhà che cột bơm và sân đường bê tông)</w:t>
            </w:r>
            <w:r/>
          </w:p>
        </w:tc>
        <w:tc>
          <w:tcPr>
            <w:tcBorders>
              <w:bottom w:val="single" w:color="000000" w:sz="6" w:space="0"/>
              <w:right w:val="single" w:color="000000" w:sz="6" w:space="0"/>
            </w:tcBorders>
            <w:tcMar>
              <w:left w:w="0" w:type="dxa"/>
              <w:top w:w="0" w:type="dxa"/>
              <w:right w:w="0" w:type="dxa"/>
              <w:bottom w:w="0" w:type="dxa"/>
            </w:tcMar>
            <w:tcW w:w="13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86,24</w:t>
            </w:r>
            <w:r/>
          </w:p>
        </w:tc>
        <w:tc>
          <w:tcPr>
            <w:tcBorders>
              <w:bottom w:val="single" w:color="000000" w:sz="6" w:space="0"/>
              <w:right w:val="single" w:color="000000" w:sz="6" w:space="0"/>
            </w:tcBorders>
            <w:tcMar>
              <w:left w:w="0" w:type="dxa"/>
              <w:top w:w="0" w:type="dxa"/>
              <w:right w:w="0" w:type="dxa"/>
              <w:bottom w:w="0" w:type="dxa"/>
            </w:tcMar>
            <w:tcW w:w="1701" w:type="dxa"/>
            <w:vAlign w:val="bottom"/>
            <w:textDirection w:val="lrTb"/>
            <w:noWrap w:val="false"/>
          </w:tcPr>
          <w:p>
            <w:pPr>
              <w:pBdr/>
              <w:spacing w:after="0" w:before="0" w:line="240" w:lineRule="auto"/>
              <w:ind/>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1.359.181.481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992"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50%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679.590.741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560" w:type="dxa"/>
            <w:vAlign w:val="bottom"/>
            <w:textDirection w:val="lrTb"/>
            <w:noWrap/>
          </w:tcPr>
          <w:p>
            <w:pPr>
              <w:pBdr/>
              <w:spacing w:after="0" w:before="0" w:line="240" w:lineRule="auto"/>
              <w:ind/>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679.590.741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r>
      <w:tr>
        <w:trPr>
          <w:trHeight w:val="624"/>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19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Văn phòng làm việc + trưng bày</w:t>
            </w:r>
            <w:r/>
          </w:p>
        </w:tc>
        <w:tc>
          <w:tcPr>
            <w:tcBorders>
              <w:bottom w:val="single" w:color="000000" w:sz="6" w:space="0"/>
              <w:right w:val="single" w:color="000000" w:sz="6" w:space="0"/>
            </w:tcBorders>
            <w:tcMar>
              <w:left w:w="0" w:type="dxa"/>
              <w:top w:w="0" w:type="dxa"/>
              <w:right w:w="0" w:type="dxa"/>
              <w:bottom w:w="0" w:type="dxa"/>
            </w:tcMar>
            <w:tcW w:w="13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81,25</w:t>
            </w:r>
            <w:r/>
          </w:p>
        </w:tc>
        <w:tc>
          <w:tcPr>
            <w:tcBorders>
              <w:bottom w:val="single" w:color="000000" w:sz="6" w:space="0"/>
              <w:right w:val="single" w:color="000000" w:sz="6" w:space="0"/>
            </w:tcBorders>
            <w:tcMar>
              <w:left w:w="0" w:type="dxa"/>
              <w:top w:w="0" w:type="dxa"/>
              <w:right w:w="0" w:type="dxa"/>
              <w:bottom w:w="0" w:type="dxa"/>
            </w:tcMar>
            <w:tcW w:w="1701" w:type="dxa"/>
            <w:vAlign w:val="bottom"/>
            <w:textDirection w:val="lrTb"/>
            <w:noWrap w:val="false"/>
          </w:tcPr>
          <w:p>
            <w:pPr>
              <w:pBdr/>
              <w:spacing w:after="0" w:before="0" w:line="240" w:lineRule="auto"/>
              <w:ind/>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341.254.630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992"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136.501.852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560" w:type="dxa"/>
            <w:vAlign w:val="bottom"/>
            <w:textDirection w:val="lrTb"/>
            <w:noWrap/>
          </w:tcPr>
          <w:p>
            <w:pPr>
              <w:pBdr/>
              <w:spacing w:after="0" w:before="0" w:line="240" w:lineRule="auto"/>
              <w:ind/>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204.752.778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r>
      <w:tr>
        <w:trPr>
          <w:trHeight w:val="6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19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ăn ca và nhà nghĩ giữa ca</w:t>
            </w:r>
            <w:r/>
          </w:p>
        </w:tc>
        <w:tc>
          <w:tcPr>
            <w:tcBorders>
              <w:bottom w:val="single" w:color="000000" w:sz="6" w:space="0"/>
              <w:right w:val="single" w:color="000000" w:sz="6" w:space="0"/>
            </w:tcBorders>
            <w:tcMar>
              <w:left w:w="0" w:type="dxa"/>
              <w:top w:w="0" w:type="dxa"/>
              <w:right w:w="0" w:type="dxa"/>
              <w:bottom w:w="0" w:type="dxa"/>
            </w:tcMar>
            <w:tcW w:w="13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62,4</w:t>
            </w:r>
            <w:r/>
          </w:p>
        </w:tc>
        <w:tc>
          <w:tcPr>
            <w:tcBorders>
              <w:bottom w:val="single" w:color="000000" w:sz="6" w:space="0"/>
              <w:right w:val="single" w:color="000000" w:sz="6" w:space="0"/>
            </w:tcBorders>
            <w:tcMar>
              <w:left w:w="0" w:type="dxa"/>
              <w:top w:w="0" w:type="dxa"/>
              <w:right w:w="0" w:type="dxa"/>
              <w:bottom w:w="0" w:type="dxa"/>
            </w:tcMar>
            <w:tcW w:w="1701" w:type="dxa"/>
            <w:vAlign w:val="bottom"/>
            <w:textDirection w:val="lrTb"/>
            <w:noWrap w:val="false"/>
          </w:tcPr>
          <w:p>
            <w:pPr>
              <w:pBdr/>
              <w:spacing w:after="0" w:before="0" w:line="240" w:lineRule="auto"/>
              <w:ind/>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336.029.630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992"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134.411.852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560" w:type="dxa"/>
            <w:vAlign w:val="bottom"/>
            <w:textDirection w:val="lrTb"/>
            <w:noWrap/>
          </w:tcPr>
          <w:p>
            <w:pPr>
              <w:pBdr/>
              <w:spacing w:after="0" w:before="0" w:line="240" w:lineRule="auto"/>
              <w:ind/>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201.617.778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r>
      <w:tr>
        <w:trPr>
          <w:trHeight w:val="1416"/>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4</w:t>
            </w:r>
            <w:r/>
          </w:p>
        </w:tc>
        <w:tc>
          <w:tcPr>
            <w:tcBorders>
              <w:bottom w:val="single" w:color="000000" w:sz="6" w:space="0"/>
              <w:right w:val="single" w:color="000000" w:sz="6" w:space="0"/>
            </w:tcBorders>
            <w:tcMar>
              <w:left w:w="0" w:type="dxa"/>
              <w:top w:w="0" w:type="dxa"/>
              <w:right w:w="0" w:type="dxa"/>
              <w:bottom w:w="0" w:type="dxa"/>
            </w:tcMar>
            <w:tcW w:w="19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vệ sinh công cộng (chưa được chứng nhận trên GCN)</w:t>
            </w:r>
            <w:r/>
          </w:p>
        </w:tc>
        <w:tc>
          <w:tcPr>
            <w:tcBorders>
              <w:bottom w:val="single" w:color="000000" w:sz="6" w:space="0"/>
              <w:right w:val="single" w:color="000000" w:sz="6" w:space="0"/>
            </w:tcBorders>
            <w:tcMar>
              <w:left w:w="0" w:type="dxa"/>
              <w:top w:w="0" w:type="dxa"/>
              <w:right w:w="0" w:type="dxa"/>
              <w:bottom w:w="0" w:type="dxa"/>
            </w:tcMar>
            <w:tcW w:w="13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bottom"/>
            <w:textDirection w:val="lrTb"/>
            <w:noWrap w:val="false"/>
          </w:tcPr>
          <w:p>
            <w:pPr>
              <w:pBdr/>
              <w:spacing w:after="0" w:before="0" w:line="240" w:lineRule="auto"/>
              <w:ind/>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180.037.963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992"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72.015.185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560" w:type="dxa"/>
            <w:vAlign w:val="bottom"/>
            <w:textDirection w:val="lrTb"/>
            <w:noWrap/>
          </w:tcPr>
          <w:p>
            <w:pPr>
              <w:pBdr/>
              <w:spacing w:after="0" w:before="0" w:line="240" w:lineRule="auto"/>
              <w:ind/>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108.022.778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r>
      <w:tr>
        <w:trPr>
          <w:trHeight w:val="312"/>
        </w:trPr>
        <w:tc>
          <w:tcPr>
            <w:gridSpan w:val="2"/>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2369"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 </w:t>
            </w:r>
            <w:r/>
          </w:p>
        </w:tc>
        <w:tc>
          <w:tcPr>
            <w:tcBorders>
              <w:bottom w:val="single" w:color="000000" w:sz="6" w:space="0"/>
              <w:right w:val="single" w:color="000000" w:sz="6" w:space="0"/>
            </w:tcBorders>
            <w:tcMar>
              <w:left w:w="0" w:type="dxa"/>
              <w:top w:w="0" w:type="dxa"/>
              <w:right w:w="0" w:type="dxa"/>
              <w:bottom w:w="0" w:type="dxa"/>
            </w:tcMar>
            <w:tcW w:w="134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bottom"/>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2.216.503.704 </w:t>
            </w:r>
            <w:r/>
          </w:p>
        </w:tc>
        <w:tc>
          <w:tcPr>
            <w:tcBorders>
              <w:bottom w:val="single" w:color="000000" w:sz="6" w:space="0"/>
              <w:right w:val="single" w:color="000000" w:sz="6" w:space="0"/>
            </w:tcBorders>
            <w:tcMar>
              <w:left w:w="0" w:type="dxa"/>
              <w:top w:w="0" w:type="dxa"/>
              <w:right w:w="0" w:type="dxa"/>
              <w:bottom w:w="0" w:type="dxa"/>
            </w:tcMar>
            <w:tcW w:w="992"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560" w:type="dxa"/>
            <w:vAlign w:val="bottom"/>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  1.193.984.074 </w:t>
            </w:r>
            <w:r/>
          </w:p>
        </w:tc>
      </w:tr>
    </w:tbl>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5"/>
        <w:gridCol w:w="3178"/>
        <w:gridCol w:w="1984"/>
        <w:gridCol w:w="2126"/>
        <w:gridCol w:w="1701"/>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28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316, tờ bản đồ số P9-115 có địa chỉ: Thôn 1, thị trấn Phong Hải, huyện Bảo Thắng, tỉnh Lào Cai (Nay là xã Phong Hải, tỉnh Lào Cai  theo Giấy chứng nhận quyền sử dụng đất quyền sở hữu nhà ở và t</w:t>
            </w:r>
            <w:r>
              <w:rPr>
                <w:rFonts w:ascii="Times New Roman" w:hAnsi="Times New Roman" w:eastAsia="Times New Roman" w:cs="Times New Roman"/>
                <w:b/>
                <w:color w:val="000000"/>
                <w:sz w:val="24"/>
              </w:rPr>
              <w:t xml:space="preserve">ài sản khác gắn liền với đất số: CA 846419, số vào sổ cấp GCN: CT03794 do Sở Tài nguyên và Môi trường tỉnh Lào Cai cấp ngày 05/10/2015; Chủ sử dụng đất là Công ty TNHH thương mại Hải Yến.</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4.200.000.000</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che cột bơm (hạng mục nhà che cột bơm và sân đường bê tông)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86,2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679.590.741</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Văn phòng làm việc + trưng bày</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81,3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204.752.778</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04</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ăn ca và nhà nghĩ giữa ca</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62,4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201.617.778</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05</w:t>
            </w:r>
            <w:r/>
          </w:p>
        </w:tc>
        <w:tc>
          <w:tcPr>
            <w:shd w:val="clear" w:color="ffffff" w:fill="ffffff"/>
            <w:tcBorders>
              <w:bottom w:val="single" w:color="000000" w:sz="6" w:space="0"/>
              <w:right w:val="single" w:color="000000" w:sz="6" w:space="0"/>
            </w:tcBorders>
            <w:tcMar>
              <w:left w:w="0" w:type="dxa"/>
              <w:top w:w="0" w:type="dxa"/>
              <w:right w:w="0" w:type="dxa"/>
              <w:bottom w:w="0" w:type="dxa"/>
            </w:tcMar>
            <w:tcW w:w="31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vệ sinh công cộng (chưa được chứng nhận trên GCN)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108.022.778</w:t>
            </w: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8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5.393.984.074</w:t>
            </w: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8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5.394.000.000</w:t>
            </w:r>
            <w:r/>
          </w:p>
        </w:tc>
      </w:tr>
      <w:tr>
        <w:trPr>
          <w:trHeight w:val="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Năm tỷ ba trăm chín mươi bốn triệu đồng chẵn ./.)</w:t>
            </w: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42"/>
        </w:numPr>
        <w:pBdr/>
        <w:spacing w:after="120" w:before="120" w:line="276" w:lineRule="auto"/>
        <w:ind/>
        <w:jc w:val="both"/>
        <w:rPr>
          <w:color w:val="000000" w:themeColor="text1"/>
        </w:rPr>
      </w:pPr>
      <w:r>
        <w:rPr>
          <w:color w:val="000000" w:themeColor="text1"/>
          <w:highlight w:val="none"/>
          <w:lang w:val="de-DE" w:bidi="de-DE"/>
        </w:rPr>
        <w:t xml:space="preserve">Tại thời điểm khảo sát, đặc điểm công trình xây dựng hiện đang sử dụng làm cây xăng  có những </w:t>
      </w:r>
      <w:r>
        <w:rPr>
          <w:color w:val="000000" w:themeColor="text1"/>
          <w:highlight w:val="none"/>
          <w:lang w:val="de-DE" w:bidi="de-DE"/>
        </w:rPr>
        <w:t xml:space="preserve">đặc điểm riêng biệt của công trình. Do đó, </w:t>
      </w:r>
      <w:r>
        <w:rPr>
          <w:color w:val="000000" w:themeColor="text1"/>
          <w:highlight w:val="none"/>
          <w:lang w:val="de-DE" w:bidi="de-DE"/>
        </w:rPr>
        <w:t xml:space="preserve">theo đề nghị của khách hàng và những hồ sơ khách hàng</w:t>
      </w:r>
      <w:r>
        <w:rPr>
          <w:color w:val="000000" w:themeColor="text1"/>
          <w:highlight w:val="none"/>
          <w:lang w:val="de-DE" w:bidi="de-DE"/>
        </w:rPr>
        <w:t xml:space="preserve"> cung cấp hóa đơn, biên bản nghiệm thu:</w:t>
      </w:r>
      <w:r>
        <w:rPr>
          <w:color w:val="000000" w:themeColor="text1"/>
          <w:highlight w:val="none"/>
          <w:lang w:val="de-DE" w:bidi="de-DE"/>
        </w:rPr>
        <w:t xml:space="preserve"> Tổ thẩm định xác định giá trị của công trình xây dựng theo hóa đơn, và biên bản nghiệm thu khách hàng cung cấp</w:t>
      </w:r>
      <w:r>
        <w:rPr>
          <w:color w:val="000000" w:themeColor="text1"/>
          <w:highlight w:val="none"/>
          <w:lang w:val="de-DE" w:bidi="de-DE"/>
        </w:rPr>
        <w:t xml:space="preserve">. </w:t>
      </w:r>
      <w:r>
        <w:rPr>
          <w:color w:val="000000" w:themeColor="text1"/>
        </w:rPr>
        <w:t xml:space="preserve">Kết quả thẩm định giá được xây dựng trên giả thiết đặc biệt rằng toàn bộ hóa đơn, chứng từ xây dựng cung cấp là xác thực, có thể kiểm chứng và phản ánh đầy đủ chi phí hình thành công trình.</w:t>
      </w:r>
      <w:r>
        <w:rPr>
          <w:color w:val="000000" w:themeColor="text1"/>
        </w:rPr>
        <w:t xml:space="preserve"> Kết quả thẩm định giá chỉ có giới hạn trong trường hợp giả thiết nêu trên là đúng. </w:t>
      </w:r>
      <w:r>
        <w:rPr>
          <w:color w:val="000000" w:themeColor="text1"/>
        </w:rPr>
        <w:t xml:space="preserve">Trong trường hợp các hóa đơn, chứng từ nêu trên không đầy đủ, không hợp lệ </w:t>
      </w:r>
      <w:r>
        <w:rPr>
          <w:color w:val="000000" w:themeColor="text1"/>
        </w:rPr>
        <w:t xml:space="preserve"> thì chúng tôi có quyền xem xét lại kết quả của báo cáo thẩm định giá này</w:t>
      </w:r>
      <w:r>
        <w:rPr>
          <w:color w:val="000000" w:themeColor="text1"/>
        </w:rPr>
        <w:t xml:space="preserve">.</w:t>
      </w:r>
      <w:r>
        <w:rPr>
          <w:color w:val="000000" w:themeColor="text1"/>
        </w:rPr>
      </w:r>
      <w:r>
        <w:rPr>
          <w:color w:val="000000" w:themeColor="text1"/>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275/2026/0744/VFI-CT.39.A</w:t>
      </w:r>
      <w:r>
        <w:rPr>
          <w:color w:val="ff0000"/>
          <w:lang w:val="vi-VN"/>
        </w:rPr>
        <w:t xml:space="preserve"> </w:t>
      </w:r>
      <w:r>
        <w:rPr>
          <w:color w:val="000000" w:themeColor="text1"/>
        </w:rPr>
        <w:t xml:space="preserve">ngày 16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275/2026/0744/VFI-BC.39.A</w:t>
      </w:r>
      <w:r>
        <w:rPr>
          <w:i/>
          <w:lang w:val="pt-BR"/>
        </w:rPr>
        <w:t xml:space="preserve"> </w:t>
      </w:r>
      <w:r>
        <w:rPr>
          <w:i/>
          <w:lang w:val="pt-BR"/>
        </w:rPr>
        <w:t xml:space="preserve">16 tháng 5 năm 2026</w:t>
      </w:r>
      <w:r>
        <w:rPr>
          <w:i/>
          <w:lang w:val="pt-BR"/>
        </w:rPr>
        <w:t xml:space="preserve">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pPr>
        <w:pBdr/>
        <w:spacing w:after="120"/>
        <w:ind/>
        <w:jc w:val="center"/>
        <w:rPr>
          <w:bCs/>
          <w:i/>
          <w:lang w:val="pt-BR"/>
        </w:rPr>
      </w:pPr>
      <w:r>
        <w:rPr>
          <w:i/>
          <w:highlight w:val="none"/>
          <w:lang w:val="pt-BR" w:bidi="pt-BR"/>
        </w:rPr>
      </w:r>
      <w:r>
        <w:rPr>
          <w:bCs/>
          <w:i/>
          <w:lang w:val="pt-BR"/>
        </w:rPr>
      </w:r>
      <w:r>
        <w:rPr>
          <w:bCs/>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892451" cy="19166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14875" name=""/>
                              <pic:cNvPicPr>
                                <a:picLocks noChangeAspect="1"/>
                              </pic:cNvPicPr>
                              <pic:nvPr/>
                            </pic:nvPicPr>
                            <pic:blipFill rotWithShape="1">
                              <a:blip r:embed="rId19"/>
                              <a:stretch/>
                            </pic:blipFill>
                            <pic:spPr bwMode="auto">
                              <a:xfrm flipH="0" flipV="0">
                                <a:off x="0" y="0"/>
                                <a:ext cx="892451" cy="1916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0.27pt;height:150.9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59487" cy="180981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53740" name=""/>
                              <pic:cNvPicPr>
                                <a:picLocks noChangeAspect="1"/>
                              </pic:cNvPicPr>
                              <pic:nvPr/>
                            </pic:nvPicPr>
                            <pic:blipFill rotWithShape="1">
                              <a:blip r:embed="rId20"/>
                              <a:stretch/>
                            </pic:blipFill>
                            <pic:spPr bwMode="auto">
                              <a:xfrm flipH="0" flipV="0">
                                <a:off x="0" y="0"/>
                                <a:ext cx="2359487" cy="18098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5.79pt;height:142.5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3065" cy="141725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04914" name=""/>
                              <pic:cNvPicPr>
                                <a:picLocks noChangeAspect="1"/>
                              </pic:cNvPicPr>
                              <pic:nvPr/>
                            </pic:nvPicPr>
                            <pic:blipFill rotWithShape="1">
                              <a:blip r:embed="rId21"/>
                              <a:stretch/>
                            </pic:blipFill>
                            <pic:spPr bwMode="auto">
                              <a:xfrm flipH="0" flipV="0">
                                <a:off x="0" y="0"/>
                                <a:ext cx="2523065" cy="14172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8.67pt;height:111.5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20646" cy="18154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706" name=""/>
                              <pic:cNvPicPr>
                                <a:picLocks noChangeAspect="1"/>
                              </pic:cNvPicPr>
                              <pic:nvPr/>
                            </pic:nvPicPr>
                            <pic:blipFill rotWithShape="1">
                              <a:blip r:embed="rId22"/>
                              <a:stretch/>
                            </pic:blipFill>
                            <pic:spPr bwMode="auto">
                              <a:xfrm flipH="0" flipV="0">
                                <a:off x="0" y="0"/>
                                <a:ext cx="2420646" cy="1815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0.60pt;height:142.9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7346" cy="188051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45066" name=""/>
                              <pic:cNvPicPr>
                                <a:picLocks noChangeAspect="1"/>
                              </pic:cNvPicPr>
                              <pic:nvPr/>
                            </pic:nvPicPr>
                            <pic:blipFill rotWithShape="1">
                              <a:blip r:embed="rId23"/>
                              <a:stretch/>
                            </pic:blipFill>
                            <pic:spPr bwMode="auto">
                              <a:xfrm flipH="0" flipV="0">
                                <a:off x="0" y="0"/>
                                <a:ext cx="2507346" cy="1880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7.43pt;height:148.07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80347" cy="178526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5582" name=""/>
                              <pic:cNvPicPr>
                                <a:picLocks noChangeAspect="1"/>
                              </pic:cNvPicPr>
                              <pic:nvPr/>
                            </pic:nvPicPr>
                            <pic:blipFill rotWithShape="1">
                              <a:blip r:embed="rId24"/>
                              <a:stretch/>
                            </pic:blipFill>
                            <pic:spPr bwMode="auto">
                              <a:xfrm flipH="1" flipV="0">
                                <a:off x="0" y="0"/>
                                <a:ext cx="2380346" cy="1785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43pt;height:140.57pt;mso-wrap-distance-left:0.00pt;mso-wrap-distance-top:0.00pt;mso-wrap-distance-right:0.00pt;mso-wrap-distance-bottom:0.00pt;flip:x;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tbl>
      <w:tblPr>
        <w:tblStyle w:val="103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6886" cy="185766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63207" name=""/>
                              <pic:cNvPicPr>
                                <a:picLocks noChangeAspect="1"/>
                              </pic:cNvPicPr>
                              <pic:nvPr/>
                            </pic:nvPicPr>
                            <pic:blipFill rotWithShape="1">
                              <a:blip r:embed="rId25"/>
                              <a:stretch/>
                            </pic:blipFill>
                            <pic:spPr bwMode="auto">
                              <a:xfrm flipH="0" flipV="0">
                                <a:off x="0" y="0"/>
                                <a:ext cx="2476886" cy="18576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5.03pt;height:146.27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40525" cy="190539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79282" name=""/>
                              <pic:cNvPicPr>
                                <a:picLocks noChangeAspect="1"/>
                              </pic:cNvPicPr>
                              <pic:nvPr/>
                            </pic:nvPicPr>
                            <pic:blipFill rotWithShape="1">
                              <a:blip r:embed="rId26"/>
                              <a:stretch/>
                            </pic:blipFill>
                            <pic:spPr bwMode="auto">
                              <a:xfrm flipH="0" flipV="0">
                                <a:off x="0" y="0"/>
                                <a:ext cx="2540525" cy="1905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0.04pt;height:150.03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275/2026/0744/VFI-BC.39.A</w:t>
      </w:r>
      <w:r>
        <w:rPr>
          <w:i/>
          <w:lang w:val="pt-BR"/>
        </w:rPr>
        <w:t xml:space="preserve"> </w:t>
      </w:r>
      <w:r>
        <w:rPr>
          <w:i/>
          <w:lang w:val="pt-BR"/>
        </w:rPr>
        <w:t xml:space="preserve">16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https://www.facebook.com/groups/302620654225645/posts/1674783990342631/</w:t>
            </w:r>
            <w:r>
              <w:rPr>
                <w:color w:val="000000" w:themeColor="text1"/>
                <w:sz w:val="22"/>
                <w:szCs w:val="22"/>
              </w:rPr>
              <w:br/>
              <w:t xml:space="preserve">0966996589</w:t>
            </w:r>
            <w:r>
              <w:rPr>
                <w:sz w:val="22"/>
                <w:szCs w:val="22"/>
              </w:rPr>
              <w:t xml:space="preserve"> </w:t>
            </w:r>
            <w:r>
              <w:rPr>
                <w:sz w:val="22"/>
                <w:szCs w:val="22"/>
              </w:rPr>
              <w:br/>
              <w:t xml:space="preserve">(Dương Lê</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684.000.000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Nông trường Phong Hải, Huyện Bảo Thắng, Tỉnh Lào Cai, đường mặt tiền đường 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150,5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9,48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4365" cy="2416043"/>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784364" cy="24160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0.50pt;height:190.24pt;mso-wrap-distance-left:0.00pt;mso-wrap-distance-top:0.00pt;mso-wrap-distance-right:0.00pt;mso-wrap-distance-bottom:0.00pt;z-index:1;" stroked="false">
                      <v:imagedata r:id="rId2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219333" cy="2371593"/>
                      <wp:effectExtent l="0" t="0" r="0" b="0"/>
                      <wp:docPr id="16" name=""/>
                      <wp:cNvGraphicFramePr/>
                      <a:graphic xmlns:a="http://schemas.openxmlformats.org/drawingml/2006/main">
                        <a:graphicData uri="http://schemas.openxmlformats.org/drawingml/2006/picture">
                          <pic:pic xmlns:pic="http://schemas.openxmlformats.org/drawingml/2006/picture">
                            <pic:nvPicPr>
                              <pic:cNvPr id="331990339" name="" descr=""/>
                              <pic:cNvPicPr/>
                              <pic:nvPr/>
                            </pic:nvPicPr>
                            <pic:blipFill rotWithShape="1">
                              <a:blip r:embed="rId28"/>
                              <a:stretch/>
                            </pic:blipFill>
                            <pic:spPr bwMode="auto">
                              <a:xfrm flipH="0" flipV="0">
                                <a:off x="0" y="0"/>
                                <a:ext cx="2219333" cy="23715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4.75pt;height:186.7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270427" cy="275259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01638" name=""/>
                              <pic:cNvPicPr>
                                <a:picLocks noChangeAspect="1"/>
                              </pic:cNvPicPr>
                              <pic:nvPr/>
                            </pic:nvPicPr>
                            <pic:blipFill rotWithShape="1">
                              <a:blip r:embed="rId29"/>
                              <a:stretch/>
                            </pic:blipFill>
                            <pic:spPr bwMode="auto">
                              <a:xfrm flipH="0" flipV="0">
                                <a:off x="0" y="0"/>
                                <a:ext cx="1270427" cy="27525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0.03pt;height:216.74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rPr>
                <w:b/>
                <w:bCs/>
              </w:rPr>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0868.012382</w:t>
            </w:r>
            <w:r>
              <w:rPr>
                <w:sz w:val="22"/>
                <w:szCs w:val="22"/>
              </w:rPr>
              <w:t xml:space="preserve"> </w:t>
            </w:r>
            <w:r>
              <w:rPr>
                <w:sz w:val="22"/>
                <w:szCs w:val="22"/>
              </w:rPr>
              <w:br/>
              <w:t xml:space="preserve">(Phạm 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Nông trường Phong Hải, Huyện Bảo Thắng, Tỉnh Lào Cai, đường mặt tiền đường 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52768" cy="2645634"/>
                      <wp:effectExtent l="0" t="0" r="0" b="0"/>
                      <wp:docPr id="19" name=""/>
                      <wp:cNvGraphicFramePr/>
                      <a:graphic xmlns:a="http://schemas.openxmlformats.org/drawingml/2006/main">
                        <a:graphicData uri="http://schemas.openxmlformats.org/drawingml/2006/picture">
                          <pic:pic xmlns:pic="http://schemas.openxmlformats.org/drawingml/2006/picture">
                            <pic:nvPicPr>
                              <pic:cNvPr id="2117383759" name="" descr=""/>
                              <pic:cNvPicPr/>
                              <pic:nvPr/>
                            </pic:nvPicPr>
                            <pic:blipFill rotWithShape="1">
                              <a:blip r:embed="rId31"/>
                              <a:stretch/>
                            </pic:blipFill>
                            <pic:spPr bwMode="auto">
                              <a:xfrm flipH="0" flipV="0">
                                <a:off x="0" y="0"/>
                                <a:ext cx="2952768" cy="26456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2.50pt;height:208.32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https://www.facebook.com/groups/nhadatlaocai.vn/posts/25339191885678447/</w:t>
            </w:r>
            <w:r>
              <w:rPr>
                <w:color w:val="000000" w:themeColor="text1"/>
                <w:sz w:val="22"/>
                <w:szCs w:val="22"/>
              </w:rPr>
              <w:br/>
            </w:r>
            <w:r>
              <w:rPr>
                <w:sz w:val="22"/>
                <w:szCs w:val="22"/>
              </w:rPr>
              <w:t xml:space="preserve">SĐT: </w:t>
            </w:r>
            <w:r>
              <w:rPr>
                <w:color w:val="000000" w:themeColor="text1"/>
                <w:sz w:val="22"/>
                <w:szCs w:val="22"/>
              </w:rPr>
              <w:t xml:space="preserve">0868.012382</w:t>
            </w:r>
            <w:r>
              <w:rPr>
                <w:sz w:val="22"/>
                <w:szCs w:val="22"/>
              </w:rPr>
              <w:t xml:space="preserve"> </w:t>
            </w:r>
            <w:r>
              <w:rPr>
                <w:sz w:val="22"/>
                <w:szCs w:val="22"/>
              </w:rPr>
              <w:br/>
              <w:t xml:space="preserve">(Phạm 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(102,1m²)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Nông trường Phong Hải, Huyện Bảo Thắng, Tỉnh Lào Cai, đường mặt tiền đường 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52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45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32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65951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6595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88.15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873515" cy="243296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48461423" name="" descr=""/>
                              <pic:cNvPicPr/>
                              <pic:nvPr/>
                            </pic:nvPicPr>
                            <pic:blipFill rotWithShape="1">
                              <a:blip r:embed="rId34"/>
                              <a:stretch/>
                            </pic:blipFill>
                            <pic:spPr bwMode="auto">
                              <a:xfrm flipH="0" flipV="0">
                                <a:off x="0" y="0"/>
                                <a:ext cx="3873514" cy="2432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05.00pt;height:191.57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C4F1D9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287</cp:revision>
  <dcterms:created xsi:type="dcterms:W3CDTF">2025-09-15T09:58:00Z</dcterms:created>
  <dcterms:modified xsi:type="dcterms:W3CDTF">2026-07-04T07:03:23Z</dcterms:modified>
</cp:coreProperties>
</file>