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77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77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w:hAnsi="Times New Roman" w:eastAsia="Times New Roman" w:cs="Times New Roman"/>
                                <w:b/>
                                <w:bCs/>
                                <w:color w:val="000000"/>
                                <w:spacing w:val="-4"/>
                                <w:sz w:val="24"/>
                              </w:rPr>
                              <w:t xml:space="preserve">Công ty TNHH Điện gia dụng Cao cấp KIPOR</w:t>
                            </w:r>
                            <w:r>
                              <w:rPr>
                                <w:rFonts w:ascii="Times New Roman" w:hAnsi="Times New Roman" w:eastAsia="Times New Roman" w:cs="Times New Roman"/>
                                <w:color w:val="000000"/>
                                <w:spacing w:val="-6"/>
                                <w:sz w:val="24"/>
                              </w:rPr>
                              <w:t xml:space="preserve">  </w:t>
                            </w:r>
                            <w:r>
                              <w:rPr>
                                <w:rFonts w:ascii="Times New Roman Bold" w:hAnsi="Times New Roman Bold"/>
                                <w:b/>
                                <w:color w:val="000000" w:themeColor="text1"/>
                                <w:lang w:val="pt-BR"/>
                              </w:rP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 </w:t>
                            </w:r>
                            <w:r>
                              <w:rPr>
                                <w:color w:val="000000"/>
                              </w:rPr>
                              <w:t xml:space="preserve">Quyền sử dụng đất và tài sản gắn liền với đất tại thửa đất có địa chỉ: Căn L2.04 (TT1), Dự án TTTM nhà ở cao tầng và thấp tầng Hano Vid - Số 430 Cầu Am, phường Vạn Phúc, quận Hà Đông (nay là phường Hà Đông), thành phố Hà Nội theo Giấy chứng nhận quyền sử d</w:t>
                            </w:r>
                            <w:r>
                              <w:rPr>
                                <w:color w:val="000000"/>
                              </w:rPr>
                              <w:t xml:space="preserve">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2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w:hAnsi="Times New Roman" w:eastAsia="Times New Roman" w:cs="Times New Roman"/>
                          <w:b/>
                          <w:bCs/>
                          <w:color w:val="000000"/>
                          <w:spacing w:val="-4"/>
                          <w:sz w:val="24"/>
                        </w:rPr>
                        <w:t xml:space="preserve">Công ty TNHH Điện gia dụng Cao cấp KIPOR</w:t>
                      </w:r>
                      <w:r>
                        <w:rPr>
                          <w:rFonts w:ascii="Times New Roman" w:hAnsi="Times New Roman" w:eastAsia="Times New Roman" w:cs="Times New Roman"/>
                          <w:color w:val="000000"/>
                          <w:spacing w:val="-6"/>
                          <w:sz w:val="24"/>
                        </w:rPr>
                        <w:t xml:space="preserve">  </w:t>
                      </w:r>
                      <w:r>
                        <w:rPr>
                          <w:rFonts w:ascii="Times New Roman Bold" w:hAnsi="Times New Roman Bold"/>
                          <w:b/>
                          <w:color w:val="000000" w:themeColor="text1"/>
                          <w:lang w:val="pt-BR"/>
                        </w:rPr>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 </w:t>
                      </w:r>
                      <w:r>
                        <w:rPr>
                          <w:color w:val="000000"/>
                        </w:rPr>
                        <w:t xml:space="preserve">Quyền sử dụng đất và tài sản gắn liền với đất tại thửa đất có địa chỉ: Căn L2.04 (TT1), Dự án TTTM nhà ở cao tầng và thấp tầng Hano Vid - Số 430 Cầu Am, phường Vạn Phúc, quận Hà Đông (nay là phường Hà Đông), thành phố Hà Nội theo Giấy chứng nhận quyền sử d</w:t>
                      </w:r>
                      <w:r>
                        <w:rPr>
                          <w:color w:val="000000"/>
                        </w:rPr>
                        <w:t xml:space="preserve">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26-34</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275/2026/0535/VFI-CT.44.A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7 tháng 4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bCs/>
          <w:color w:val="000000"/>
          <w:spacing w:val="-4"/>
          <w:sz w:val="24"/>
        </w:rPr>
        <w:t xml:space="preserve">Công ty TNHH Điện gia dụng Cao cấp KIPOR</w:t>
      </w:r>
      <w:r>
        <w:rPr>
          <w:rFonts w:ascii="Times New Roman" w:hAnsi="Times New Roman" w:eastAsia="Times New Roman" w:cs="Times New Roman"/>
          <w:b/>
          <w:bCs/>
          <w:color w:val="000000"/>
          <w:spacing w:val="-6"/>
          <w:sz w:val="24"/>
        </w:rPr>
        <w:t xml:space="preserve">  </w:t>
      </w:r>
      <w:r>
        <w:rPr>
          <w:rFonts w:ascii="Times New Roman" w:hAnsi="Times New Roman" w:eastAsia="Times New Roman" w:cs="Times New Roman"/>
          <w:b/>
          <w:bCs/>
          <w:color w:val="000000"/>
          <w:spacing w:val="-6"/>
          <w:sz w:val="24"/>
        </w:rPr>
        <w:t xml:space="preserve">  </w:t>
      </w:r>
      <w:r>
        <w:rPr>
          <w:rFonts w:ascii="Times New Roman Bold" w:hAnsi="Times New Roman Bold"/>
          <w:b/>
          <w:bCs/>
          <w:color w:val="000000" w:themeColor="text1"/>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275/2026/0535/VFI-HĐTĐ.44.A</w:t>
      </w:r>
      <w:r>
        <w:rPr>
          <w:spacing w:val="-4"/>
          <w:lang w:val="vi-VN"/>
        </w:rPr>
        <w:t xml:space="preserve"> ký ngày </w:t>
      </w:r>
      <w:r>
        <w:rPr>
          <w:color w:val="000000" w:themeColor="text1"/>
          <w:spacing w:val="-4"/>
        </w:rPr>
        <w:t xml:space="preserve">1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Điện gia dụng Cao cấp KIPOR</w:t>
      </w:r>
      <w:r>
        <w:rPr>
          <w:rFonts w:ascii="Times New Roman" w:hAnsi="Times New Roman" w:eastAsia="Times New Roman" w:cs="Times New Roman"/>
          <w:color w:val="000000"/>
          <w:spacing w:val="-6"/>
          <w:sz w:val="24"/>
        </w:rPr>
        <w:t xml:space="preserve"> </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4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4"/>
                <w:sz w:val="24"/>
              </w:rPr>
              <w:t xml:space="preserve">Công ty TNHH Điện gia dụng Cao cấp KIPOR</w:t>
            </w:r>
            <w:r>
              <w:rPr>
                <w:rFonts w:ascii="Times New Roman" w:hAnsi="Times New Roman" w:eastAsia="Times New Roman" w:cs="Times New Roman"/>
                <w:b/>
                <w:color w:val="000000"/>
                <w:spacing w:val="-6"/>
                <w:sz w:val="24"/>
              </w:rPr>
              <w:t xml:space="preserve">  </w:t>
            </w:r>
            <w:r/>
          </w:p>
        </w:tc>
      </w:tr>
      <w:tr>
        <w:trPr>
          <w:trHeight w:val="20"/>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4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333e48"/>
                <w:spacing w:val="-2"/>
                <w:sz w:val="24"/>
                <w:highlight w:val="white"/>
              </w:rPr>
              <w:t xml:space="preserve">0315326319</w:t>
            </w:r>
            <w:r/>
          </w:p>
        </w:tc>
      </w:tr>
      <w:tr>
        <w:trPr>
          <w:trHeight w:val="20"/>
        </w:trPr>
        <w:tc>
          <w:tcPr>
            <w:shd w:val="clear" w:color="ffffff" w:fill="ffffff"/>
            <w:tcBorders/>
            <w:tcW w:w="243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ffffff" w:fill="ffffff"/>
            <w:tcBorders/>
            <w:tcW w:w="4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333e48"/>
                <w:spacing w:val="-2"/>
                <w:sz w:val="24"/>
                <w:highlight w:val="white"/>
              </w:rPr>
              <w:t xml:space="preserve">Căn L2.04 (TT1) Dự án TTTM nhà ở cao tầng và thấp tầng Hanov, Phường Hà Đông, TP Hà Nội, Việt Nam</w:t>
            </w:r>
            <w:r/>
          </w:p>
        </w:tc>
      </w:tr>
      <w:tr>
        <w:trPr>
          <w:trHeight w:val="20"/>
        </w:trPr>
        <w:tc>
          <w:tcPr>
            <w:shd w:val="clear" w:color="ffffff" w:fill="ffffff"/>
            <w:tcBorders/>
            <w:tcW w:w="243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shd w:val="clear" w:color="ffffff" w:fill="ffffff"/>
            <w:tcBorders/>
            <w:tcW w:w="4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333e48"/>
                <w:spacing w:val="-2"/>
                <w:sz w:val="24"/>
                <w:highlight w:val="white"/>
              </w:rPr>
              <w:t xml:space="preserve">Ông Nguyễn Vũ Thành</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25/4/2026</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 </w:t>
      </w:r>
      <w:r>
        <w:rPr>
          <w:color w:val="000000" w:themeColor="text1"/>
        </w:rPr>
        <w:t xml:space="preserve">Quyền sử dụng đất và tài sản gắn liền với đất tại thửa đất có địa chỉ: Căn L2.04 (TT1), Dự án TTTM nhà ở cao tầng và thấp tầng Hano Vid - Số 430 Cầu Am, phường Vạn Phúc, quận Hà Đông (nay là phường Hà Đông), thành phố Hà Nội theo Giấy chứng nhận quyền sử d</w:t>
      </w:r>
      <w:r>
        <w:rPr>
          <w:color w:val="000000" w:themeColor="text1"/>
        </w:rPr>
        <w:t xml:space="preserve">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và tài sản gắn liền với đất tại thửa đất có địa chỉ: Căn L2.04 (TT1), Dự án TTTM nhà ở cao tầng và thấp tầng Hano Vid - Số 430 Cầu Am, phường Vạn Phúc, quận Hà Đông (nay là phường Hà Đông), thành phố Hà Nội theo Giấy chứng nhận quyền sử d</w:t>
            </w:r>
            <w:r>
              <w:rPr>
                <w:b/>
                <w:bCs/>
                <w:color w:val="000000"/>
              </w:rPr>
              <w:t xml:space="preserve">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rPr>
                <w:b/>
                <w:bCs/>
              </w:rPr>
            </w:r>
            <w:r>
              <w:rPr>
                <w:b/>
                <w:bCs/>
              </w:rPr>
            </w:r>
          </w:p>
          <w:p>
            <w:pPr>
              <w:pBdr/>
              <w:spacing/>
              <w:ind/>
              <w:rPr>
                <w:b/>
                <w:bCs/>
              </w:rPr>
            </w:pPr>
            <w:r>
              <w:rPr>
                <w:b/>
                <w:bCs/>
              </w:rPr>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82.5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250.000.000</w:t>
            </w:r>
            <w:r/>
          </w:p>
        </w:tc>
        <w:tc>
          <w:tcPr>
            <w:shd w:val="clear" w:color="000000" w:fill="ffffff"/>
            <w:tcBorders/>
            <w:tcW w:w="2164"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20.625.000.000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gridSpan w:val="2"/>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Nhà 05 tầng</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339.1</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r>
            <w:r>
              <w:rPr>
                <w:rFonts w:ascii="Times New Roman" w:hAnsi="Times New Roman" w:eastAsia="Times New Roman" w:cs="Times New Roman"/>
                <w:color w:val="000000"/>
                <w:sz w:val="24"/>
              </w:rPr>
              <w:t xml:space="preserve">8.089.144</w:t>
            </w:r>
            <w:r>
              <w:rPr>
                <w:color w:val="000000" w:themeColor="text1"/>
              </w:rPr>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92%</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2.523.586.432</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23.148.586.432</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23.149.000.000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ba tỷ một trăm bốn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275/2026/0535/VFI-CT.44.A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7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4"/>
                <w:sz w:val="24"/>
              </w:rPr>
              <w:t xml:space="preserve">Công ty TNHH Điện gia dụng Cao cấp KIPOR</w:t>
            </w:r>
            <w:r>
              <w:rPr>
                <w:rFonts w:ascii="Times New Roman" w:hAnsi="Times New Roman" w:eastAsia="Times New Roman" w:cs="Times New Roman"/>
                <w:b/>
                <w:color w:val="000000"/>
                <w:spacing w:val="-6"/>
                <w:sz w:val="24"/>
              </w:rPr>
              <w:t xml:space="preserve">  </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333e48"/>
                <w:spacing w:val="-2"/>
                <w:sz w:val="24"/>
                <w:highlight w:val="white"/>
              </w:rPr>
              <w:t xml:space="preserve">0315326319</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333e48"/>
                <w:spacing w:val="-2"/>
                <w:sz w:val="24"/>
                <w:highlight w:val="white"/>
              </w:rPr>
              <w:t xml:space="preserve">Căn L2.04 (TT1) Dự án TTTM nhà ở cao tầng và thấp tầng Hanov, Phường Hà Đông, TP Hà Nội, Việt Nam</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333e48"/>
                <w:spacing w:val="-2"/>
                <w:sz w:val="24"/>
                <w:highlight w:val="white"/>
              </w:rPr>
              <w:t xml:space="preserve">Ông Nguyễn Vũ Thành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Quyền sử dụng đất và tài sản gắn liền với đất tại thửa đất có địa chỉ: Căn L2.04 (TT1), Dự án TTTM nhà ở cao tầng và thấp tầng Hano Vid - Số 430 Cầu Am, phường Vạn Phúc, quận Hà Đông (nay là phường Hà Đông), thành phố Hà Nội theo Giấy chứng nhận quyền sử d</w:t>
            </w:r>
            <w:r>
              <w:rPr>
                <w:bCs/>
                <w:color w:val="000000" w:themeColor="text1"/>
                <w:lang w:val="pt-BR"/>
              </w:rPr>
              <w:t xml:space="preserve">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Căn L2.04(TT1)  Dự án TTTM nhà ở cao tầng và thấp tầng Hano Vid-số 430 Cầu Am phường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(20.977138888889, 105.77502777778)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w:t>
      </w:r>
      <w:r>
        <w:rPr>
          <w:bCs/>
          <w:color w:val="000000" w:themeColor="text1"/>
          <w:lang w:val="pt-BR"/>
        </w:rPr>
        <w:t xml:space="preserve">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275/2026/0535/VFI-HĐTĐ.44.A ngày 06/04/2026 giữa </w:t>
      </w:r>
      <w:r>
        <w:rPr>
          <w:rFonts w:ascii="Times New Roman" w:hAnsi="Times New Roman" w:eastAsia="Times New Roman" w:cs="Times New Roman"/>
          <w:color w:val="000000"/>
          <w:spacing w:val="-4"/>
          <w:sz w:val="24"/>
        </w:rPr>
        <w:t xml:space="preserve">Công ty TNHH Điện gia dụng Cao cấp KIPOR</w:t>
      </w:r>
      <w:r/>
      <w:r>
        <w:rPr>
          <w:color w:val="000000" w:themeColor="text1"/>
          <w:lang w:val="pt-BR"/>
        </w:rPr>
        <w:t xml:space="preserve">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yellow"/>
        </w:rPr>
      </w:pPr>
      <w:r>
        <w:rPr>
          <w:b/>
          <w:bCs/>
          <w:lang w:val="pt-BR"/>
        </w:rPr>
        <w:t xml:space="preserve">III</w:t>
      </w:r>
      <w:r>
        <w:rPr>
          <w:b/>
          <w:bCs/>
          <w:lang w:val="pt-BR"/>
        </w:rPr>
        <w:t xml:space="preserve">. TỔNG QUAN VỀ THỊ TRƯỜNG CỦA TÀI</w:t>
      </w:r>
      <w:r>
        <w:rPr>
          <w:b/>
          <w:bCs/>
          <w:highlight w:val="white"/>
          <w:lang w:val="pt-BR"/>
        </w:rPr>
        <w:t xml:space="preserve"> </w:t>
      </w:r>
      <w:r>
        <w:rPr>
          <w:b/>
          <w:bCs/>
          <w:highlight w:val="white"/>
          <w:lang w:val="pt-BR"/>
        </w:rPr>
        <w:t xml:space="preserve">SẢN THẨM ĐỊNH GIÁ</w:t>
      </w:r>
      <w:r>
        <w:rPr>
          <w:b/>
          <w:bCs/>
          <w:highlight w:val="yellow"/>
          <w:lang w:val="pt-BR"/>
        </w:rPr>
      </w:r>
      <w:r>
        <w:rPr>
          <w:b/>
          <w:bCs/>
          <w:highlight w:val="yellow"/>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b w:val="0"/>
          <w:bCs w:val="0"/>
          <w:highlight w:val="none"/>
        </w:rPr>
      </w:pPr>
      <w:r>
        <w:rPr>
          <w:rFonts w:ascii="Times New Roman" w:hAnsi="Times New Roman" w:eastAsia="Times New Roman" w:cs="Times New Roman"/>
          <w:b w:val="0"/>
          <w:bCs w:val="0"/>
          <w:color w:val="0a0a0a"/>
          <w:sz w:val="24"/>
        </w:rPr>
      </w:r>
      <w:r>
        <w:rPr>
          <w:rFonts w:ascii="Times New Roman" w:hAnsi="Times New Roman" w:eastAsia="Times New Roman" w:cs="Times New Roman"/>
          <w:b w:val="0"/>
          <w:bCs w:val="0"/>
          <w:color w:val="000000"/>
          <w:sz w:val="24"/>
        </w:rPr>
        <w:t xml:space="preserve">Triển vọng thị trường nhà ở tại Hà Nội đang dần sáng lên khi phân khúc thứ cấp và nhà thổ cư được dự báo phục hồi, trong khi nguồn cung mới tiếp tục dịch chuyển ra khu vực ngoài trung tâm – nơi hạ tầng kết nối ngày càng hoàn thiện và quỹ đất phát triển còn</w:t>
      </w:r>
      <w:r>
        <w:rPr>
          <w:rFonts w:ascii="Times New Roman" w:hAnsi="Times New Roman" w:eastAsia="Times New Roman" w:cs="Times New Roman"/>
          <w:b w:val="0"/>
          <w:bCs w:val="0"/>
          <w:color w:val="000000"/>
          <w:sz w:val="24"/>
        </w:rPr>
        <w:t xml:space="preserve"> dồi dào.</w:t>
      </w:r>
      <w:r>
        <w:rPr>
          <w:rFonts w:ascii="Times New Roman" w:hAnsi="Times New Roman" w:eastAsia="Times New Roman" w:cs="Times New Roman"/>
          <w:b w:val="0"/>
          <w:bCs w:val="0"/>
        </w:rPr>
      </w:r>
      <w:r>
        <w:rPr>
          <w:rFonts w:ascii="Times New Roman" w:hAnsi="Times New Roman" w:cs="Times New Roman"/>
          <w:b w:val="0"/>
          <w:bCs w:val="0"/>
          <w:highlight w:val="none"/>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w:t>
      </w:r>
      <w:r>
        <w:rPr>
          <w:rFonts w:ascii="Times New Roman" w:hAnsi="Times New Roman" w:eastAsia="Times New Roman" w:cs="Times New Roman"/>
          <w:color w:val="000000"/>
          <w:sz w:val="24"/>
        </w:rPr>
        <w:t xml:space="preserve">au giai đoạn điều chỉnh và thanh lọc mạnh trong những năm gần đây, thị trường bất động sản tại Hà Nội đang phát đi những tín hiệu tích cực. Nhiều chuyên gia cho rằng, bước sang năm 2026, thị trường có thể duy trì đà tăng trưởng nhờ nền tảng kinh tế vĩ mô ổ</w:t>
      </w:r>
      <w:r>
        <w:rPr>
          <w:rFonts w:ascii="Times New Roman" w:hAnsi="Times New Roman" w:eastAsia="Times New Roman" w:cs="Times New Roman"/>
          <w:color w:val="000000"/>
          <w:sz w:val="24"/>
        </w:rPr>
        <w:t xml:space="preserve">n định, sự cải thiện của hệ thống hạ tầng và nhu cầu nhà ở thực tiếp tục đóng vai trò động lực chính.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Ông Trần Minh Tiến - Giám đốc Trung tâm Nghiên cứu thị trường và Am hiểu khách hàng One Mount Group nhận định, bước sang năm 2026, thị trường bất động sản tại Hà Nội nói chung và phân khúc thứ cấp nói riêng được kỳ vọng tiếp tục duy trì đà tăng trưởng tích</w:t>
      </w:r>
      <w:r>
        <w:rPr>
          <w:rFonts w:ascii="Times New Roman" w:hAnsi="Times New Roman" w:eastAsia="Times New Roman" w:cs="Times New Roman"/>
          <w:color w:val="000000"/>
          <w:sz w:val="24"/>
        </w:rPr>
        <w:t xml:space="preserve"> cực.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Theo ông Tiến, triển vọng này được củng cố bởi nền tảng kinh tế vĩ mô ổn định, cùng với việc hệ thống hạ tầng giao thông và công tác quy hoạch đô thị của Thủ đô đang được đẩy mạnh triển khai. Trong bối cảnh đó, nhu cầu mua nhà để ở thực vẫn giữ vai trò là </w:t>
      </w:r>
      <w:r>
        <w:rPr>
          <w:rFonts w:ascii="Times New Roman" w:hAnsi="Times New Roman" w:eastAsia="Times New Roman" w:cs="Times New Roman"/>
          <w:color w:val="000000"/>
          <w:sz w:val="24"/>
        </w:rPr>
        <w:t xml:space="preserve">động lực quan trọng của thị trường, đặc biệt khi các chính sách giãn dân của thành phố đang được thúc đẩy nhằm giảm áp lực cho khu vực nội đô.</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Cùng với xu hướng phục hồi chung của thị trường, phân khúc nhà thổ cư tại Hà Nội cũng được dự báo có những chuyển biến tích cực trong năm tới. Ông Tiến cho rằng, trong năm 2026, thị trường nhà thổ cư có thể phục hồi khoảng 10% so với năm 2025, sau giai đoạ</w:t>
      </w:r>
      <w:r>
        <w:rPr>
          <w:rFonts w:ascii="Times New Roman" w:hAnsi="Times New Roman" w:eastAsia="Times New Roman" w:cs="Times New Roman"/>
          <w:color w:val="000000"/>
          <w:sz w:val="24"/>
        </w:rPr>
        <w:t xml:space="preserve">n trầm lắng của chu kỳ trước.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Theo đánh giá của ông Tiến, đà phục hồi này được hỗ trợ bởi nhiều yếu tố, trong đó nổi bật là sự phát triển mạnh mẽ của hệ thống hạ tầng và sự xuất hiện của các dự án quy mô lớn. Đặc biệt, khu Đông Hà Nội đang được xem là điểm sáng tăng trưởng của thị trườ</w:t>
      </w:r>
      <w:r>
        <w:rPr>
          <w:rFonts w:ascii="Times New Roman" w:hAnsi="Times New Roman" w:eastAsia="Times New Roman" w:cs="Times New Roman"/>
          <w:color w:val="000000"/>
          <w:sz w:val="24"/>
        </w:rPr>
        <w:t xml:space="preserve">ng khi hàng loạt công trình hạ tầng trọng điểm và các đại đô thị đang được triển khai.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Việc đầu tư mạnh vào hạ tầng giao thông, bao gồm các tuyến đường kết nối liên vùng, các cây cầu mới bắc qua sông Hồng cùng các dự án đô thị quy mô lớn, đang tạo ra lực đẩy đáng kể cho thị trường bất động sản khu vực này. Nhờ đó, giá trị bất động sản có xu </w:t>
      </w:r>
      <w:r>
        <w:rPr>
          <w:rFonts w:ascii="Times New Roman" w:hAnsi="Times New Roman" w:eastAsia="Times New Roman" w:cs="Times New Roman"/>
          <w:color w:val="000000"/>
          <w:sz w:val="24"/>
        </w:rPr>
        <w:t xml:space="preserve">hướng gia tăng, đồng thời thu hút dòng tiền đầu tư quay trở lại thị trường sau giai đoạn thận trọng trước đó.</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Không chỉ phân khúc thổ cư, thị trường chung cư thứ cấp tại Hà Nội cũng được dự báo duy trì đà tăng trưởng ổn định trong thời gian tới. Theo ông Tiến, nguồn cung căn hộ chuyển nhượng đang có xu hướng gia tăng khi nhiều dự án đã bước vào giai đoạn bàn giao </w:t>
      </w:r>
      <w:r>
        <w:rPr>
          <w:rFonts w:ascii="Times New Roman" w:hAnsi="Times New Roman" w:eastAsia="Times New Roman" w:cs="Times New Roman"/>
          <w:color w:val="000000"/>
          <w:sz w:val="24"/>
        </w:rPr>
        <w:t xml:space="preserve">và ổn định cư dân.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Trong khi đó, nhu cầu ở thực trên thị trường vẫn tập trung chủ yếu vào các dự án trung – cao cấp có vị trí thuận lợi và khả năng kết nối hạ tầng tốt. Những dự án nằm gần các tuyến giao thông trọng điểm, khu trung tâm mới hoặc khu vực có hệ thống tiện ích đ</w:t>
      </w:r>
      <w:r>
        <w:rPr>
          <w:rFonts w:ascii="Times New Roman" w:hAnsi="Times New Roman" w:eastAsia="Times New Roman" w:cs="Times New Roman"/>
          <w:color w:val="000000"/>
          <w:sz w:val="24"/>
        </w:rPr>
        <w:t xml:space="preserve">ồng bộ thường ghi nhận thanh khoản tốt hơn so với mặt bằng chung.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Trong bối cảnh đó, khu Đông Hà Nội được kỳ vọng không chỉ đóng vai trò dẫn dắt thanh khoản mà còn từng bước định vị là cực tăng trưởng mới của Thủ đô trong chu kỳ phát triển tiếp theo. Với lợi thế về quỹ đất, hạ tầng giao thông đang được hoàn thiện và sự h</w:t>
      </w:r>
      <w:r>
        <w:rPr>
          <w:rFonts w:ascii="Times New Roman" w:hAnsi="Times New Roman" w:eastAsia="Times New Roman" w:cs="Times New Roman"/>
          <w:color w:val="000000"/>
          <w:sz w:val="24"/>
        </w:rPr>
        <w:t xml:space="preserve">iện diện của nhiều đại đô thị, khu vực này được xem là tâm điểm thu hút cả người mua ở thực lẫn nhà đầu tư trong những năm tới.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Thị trường bước vào giai đoạn phát triển trưởng thành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Ở góc nhìn khác, bà Lê Hoàng Lan Như Ngọc, Giám đốc cấp cao bộ phận Tư vấn Chiến lược của Cushman &amp; Wakefield tại Việt Nam cho rằng, thị trường nhà ở tại Hà Nội đang bước vào giai đoạn phát triển trưởng thành hơn.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Theo bà Ngọc, ở cả hai phân khúc căn hộ và nhà liền thổ, các yếu tố như chất lượng vị trí, khả năng kết nối hạ tầng và định vị sản phẩm đang ngày càng đóng vai trò quan trọng. Đây là sự thay đổi đáng chú ý so với giai đoạn trước, khi nhiều dự án chủ yếu mở</w:t>
      </w:r>
      <w:r>
        <w:rPr>
          <w:rFonts w:ascii="Times New Roman" w:hAnsi="Times New Roman" w:eastAsia="Times New Roman" w:cs="Times New Roman"/>
          <w:color w:val="000000"/>
          <w:sz w:val="24"/>
        </w:rPr>
        <w:t xml:space="preserve"> rộng dựa trên quy mô hoặc tốc độ phát triển quỹ đất.</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Sự thay đổi này phản ánh quá trình chuyển dịch của thị trường sang giai đoạn chú trọng hơn đến giá trị thực và tính bền vững trong phát triển. Người mua nhà ngày càng quan tâm nhiều hơn đến môi trường sống, tiện ích, khả năng kết nối giao thông cũng như ti</w:t>
      </w:r>
      <w:r>
        <w:rPr>
          <w:rFonts w:ascii="Times New Roman" w:hAnsi="Times New Roman" w:eastAsia="Times New Roman" w:cs="Times New Roman"/>
          <w:color w:val="000000"/>
          <w:sz w:val="24"/>
        </w:rPr>
        <w:t xml:space="preserve">ềm năng gia tăng giá trị trong dài hạn.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Bên cạnh đó, xu hướng dịch chuyển dân cư về các khu vực ngoại ô có hạ tầng kết nối ngày càng hoàn thiện cũng đang góp phần duy trì sức cầu trên thị trường. Những khu vực nằm ngoài trung tâm nhưng có khả năng kết nối thuận tiện với khu lõi đô thị đang trở t</w:t>
      </w:r>
      <w:r>
        <w:rPr>
          <w:rFonts w:ascii="Times New Roman" w:hAnsi="Times New Roman" w:eastAsia="Times New Roman" w:cs="Times New Roman"/>
          <w:color w:val="000000"/>
          <w:sz w:val="24"/>
        </w:rPr>
        <w:t xml:space="preserve">hành lựa chọn ưu tiên của nhiều gia đình trẻ.</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Đặc biệt, các dự án được quy hoạch bài bản, sở hữu hệ thống tiện ích đồng bộ và có tiến độ triển khai minh bạch, rõ ràng tiếp tục nhận được sự quan tâm lớn từ người mua nhà. Nhóm khách hàng có nhu cầu ở thực ngày càng đặt tiêu chí chất lượng sống lên hàng </w:t>
      </w:r>
      <w:r>
        <w:rPr>
          <w:rFonts w:ascii="Times New Roman" w:hAnsi="Times New Roman" w:eastAsia="Times New Roman" w:cs="Times New Roman"/>
          <w:color w:val="000000"/>
          <w:sz w:val="24"/>
        </w:rPr>
        <w:t xml:space="preserve">đầu, thay vì chỉ quan tâm đến yếu tố giá bán như trước đây.</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Theo bà Ngọc, nguồn cung nhà ở mới tại Hà Nội hiện chủ yếu tập trung tại các khu vực ngoài trung tâm. Đây là những địa bàn đang hưởng lợi từ hệ thống hạ tầng giao thông ngày càng hoàn thiện, quỹ đất phát triển còn dồi dào và mặt bằng giá bán hợp lý hơn so </w:t>
      </w:r>
      <w:r>
        <w:rPr>
          <w:rFonts w:ascii="Times New Roman" w:hAnsi="Times New Roman" w:eastAsia="Times New Roman" w:cs="Times New Roman"/>
          <w:color w:val="000000"/>
          <w:sz w:val="24"/>
        </w:rPr>
        <w:t xml:space="preserve">với khu vực lõi đô thị.</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Xét theo cơ cấu phân khúc, căn hộ trung cấp tiếp tục chiếm tỷ trọng lớn nhất, khoảng 45% tổng nguồn cung, phản ánh khá sát nhu cầu ở thực cũng như khả năng chi trả của nhóm khách hàng chủ lực trên thị trường.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Trong khi đó, phân khúc cao cấp chiếm gần 40%, chủ yếu tập trung tại các dự án có vị trí tốt, quy hoạch bài bản và hệ thống tiện ích đồng bộ. Đây thường là những dự án được phát triển bởi các chủ đầu tư lớn, hướng tới nhóm khách hàng có thu nhập khá và nhu</w:t>
      </w:r>
      <w:r>
        <w:rPr>
          <w:rFonts w:ascii="Times New Roman" w:hAnsi="Times New Roman" w:eastAsia="Times New Roman" w:cs="Times New Roman"/>
          <w:color w:val="000000"/>
          <w:sz w:val="24"/>
        </w:rPr>
        <w:t xml:space="preserve"> cầu nâng cấp chất lượng sống.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rPr>
        <w:t xml:space="preserve">Ngược lại, phân khúc căn hộ bình dân gần như vắng bóng trên thị trường. Điều này cho thấy khoảng trống nguồn cung dành cho nhóm khách hàng thu nhập thấp tại Thủ đô vẫn chưa được giải quyết, đồng thời đặt ra yêu cầu cần có thêm các chính sách phát triển nhà</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300" w:before="0"/>
        <w:ind w:right="0" w:firstLine="0" w:left="0"/>
        <w:jc w:val="both"/>
        <w:rPr>
          <w:rFonts w:ascii="Times New Roman" w:hAnsi="Times New Roman" w:cs="Times New Roman"/>
          <w:bCs/>
          <w:i/>
          <w:sz w:val="24"/>
          <w:szCs w:val="24"/>
        </w:rPr>
      </w:pPr>
      <w:r>
        <w:rPr>
          <w:rFonts w:ascii="Times New Roman" w:hAnsi="Times New Roman" w:eastAsia="Times New Roman" w:cs="Times New Roman"/>
          <w:i/>
          <w:iCs/>
          <w:color w:val="000000"/>
          <w:sz w:val="24"/>
          <w:highlight w:val="none"/>
        </w:rPr>
      </w:r>
      <w:r>
        <w:rPr>
          <w:rFonts w:ascii="Times New Roman" w:hAnsi="Times New Roman" w:eastAsia="Times New Roman" w:cs="Times New Roman"/>
          <w:i/>
          <w:iCs/>
          <w:color w:val="000000"/>
          <w:sz w:val="24"/>
          <w:highlight w:val="none"/>
        </w:rPr>
        <w:t xml:space="preserve">https://thoibaonganhang.vn/bat-dong-san-ha-noi-2026-phan-khuc-thu-cap-va-tho-cu-ky-vong-phuc-hoi-178546.html</w:t>
      </w:r>
      <w:r>
        <w:rPr>
          <w:rFonts w:ascii="Times New Roman" w:hAnsi="Times New Roman" w:eastAsia="Times New Roman" w:cs="Times New Roman"/>
          <w:i/>
          <w:iCs/>
          <w:color w:val="000000"/>
          <w:sz w:val="24"/>
          <w:highlight w:val="none"/>
        </w:rPr>
      </w:r>
      <w:r>
        <w:rPr>
          <w:rFonts w:ascii="Times New Roman" w:hAnsi="Times New Roman" w:cs="Times New Roman"/>
          <w:bCs/>
          <w:i/>
          <w:sz w:val="24"/>
          <w:szCs w:val="24"/>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2"/>
        <w:gridCol w:w="2041"/>
        <w:gridCol w:w="2361"/>
        <w:gridCol w:w="2815"/>
      </w:tblGrid>
      <w:tr>
        <w:trPr>
          <w:trHeight w:val="23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có địa chỉ: Căn L2.04 (TT1), Dự án TTTM nhà ở cao tầng và thấp tầng Hano Vid - Số 430 Cầu Am, phường Vạn Phúc, quận Hà Đông (nay là phường Hà Đông), thành phố Hà Nội theo Giấy chứng nhận quyền sử </w:t>
            </w:r>
            <w:r>
              <w:rPr>
                <w:rFonts w:ascii="Times New Roman" w:hAnsi="Times New Roman" w:eastAsia="Times New Roman" w:cs="Times New Roman"/>
                <w:b/>
                <w:color w:val="000000"/>
                <w:sz w:val="24"/>
              </w:rPr>
              <w:t xml:space="preserve">dụng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Căn L2.04 (TT1), Dự án TTTM nhà ở cao tầng và thấp tầng Hano Vid - Số 430 Cầu Am, phường Vạn Phúc, quận Hà Đông (nay là phường Hà Đông),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82,50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Nhận chuyển nhượng đất, được Nhà nước giao có thu tiền sử dụng đất</w:t>
            </w: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w:t>
            </w:r>
            <w:r/>
          </w:p>
        </w:tc>
      </w:tr>
      <w:tr>
        <w:trPr>
          <w:trHeight w:val="5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GCN này được cấp đổi từ GCN số: 476383 do Sở tài nguyên và Môi trường thành phố Hà Nội cấp ngày 25/1/2017 do nhận chuyển nhượng theo Hợp đồng mua bán nhà ở và chuyển nhượng quyền sử dụng đất số 357 lập tài phòng Công chứng số 7, thành phố Hà Nội cấp ngày 1</w:t>
            </w:r>
            <w:r>
              <w:rPr>
                <w:rFonts w:ascii="Times New Roman" w:hAnsi="Times New Roman" w:eastAsia="Times New Roman" w:cs="Times New Roman"/>
                <w:color w:val="000000"/>
                <w:sz w:val="24"/>
              </w:rPr>
              <w:t xml:space="preserve">1/3/2021</w:t>
            </w:r>
            <w:r/>
          </w:p>
        </w:tc>
      </w:tr>
      <w:tr>
        <w:trPr>
          <w:trHeight w:val="22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tờ, số thửa và sơ đồ sẽ được điều chỉnh khi có bản đồ điạ chính chính quy</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Căn L2.04 (TT1), Dự án TTTM nhà ở cao tầng và thấp tầng Hano Vid - Số 430 Cầu Am, phường Hà Đông,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nội khu</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Cách đường Vạn Phúc khoảng 40m</w:t>
            </w:r>
            <w:r/>
          </w:p>
        </w:tc>
      </w:tr>
      <w:tr>
        <w:trPr>
          <w:trHeight w:val="1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Tây Nam tiếp giáp đường giao thông;</w:t>
              <w:br/>
              <w:t xml:space="preserve">Các hường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20.977261299564308, 105.77495930724459</w:t>
            </w:r>
            <w:r>
              <w:rPr>
                <w:rFonts w:ascii="Times New Roman" w:hAnsi="Times New Roman" w:eastAsia="Times New Roman" w:cs="Times New Roman"/>
                <w:color w:val="000000"/>
                <w:sz w:val="24"/>
              </w:rPr>
            </w:r>
            <w:r/>
          </w:p>
        </w:tc>
      </w:tr>
      <w:tr>
        <w:trPr>
          <w:trHeight w:val="47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873140" cy="273624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22974" name=""/>
                              <pic:cNvPicPr>
                                <a:picLocks noChangeAspect="1"/>
                              </pic:cNvPicPr>
                              <pic:nvPr/>
                            </pic:nvPicPr>
                            <pic:blipFill rotWithShape="1">
                              <a:blip r:embed="rId17"/>
                              <a:stretch/>
                            </pic:blipFill>
                            <pic:spPr bwMode="auto">
                              <a:xfrm flipH="0" flipV="0">
                                <a:off x="0" y="0"/>
                                <a:ext cx="5873140" cy="2736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62.45pt;height:215.4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82,50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16,50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phân lô tái định cư: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154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dưới dự hướng dẫn của chủ tài sản, trên đất có Công trình xây dựng Nhà 05 tầng, diện tích xây dựng khoảng 63,1m2, tổng diện tích sàn khoảng 339..1m2. Công trình hiện đã được công nhận trên GCN QSDĐ.</w:t>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Căn L2.04 (TT1), Dự án TTTM nhà ở cao tầng và thấp tầng Hano Vid - Số 430 Cầu Am, phường Hà Đông,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Khu biệt thự Liền kề, Phường,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https://batdongsan.com.vn/ban-nha-biet-thu-lien-ke-duong-ngo-quyen-phuong-van-phuc-1-prj-khu-nha-o-phu-my/ban-rieng-kdt-dream-huse-95m2-thang-may-thich-pr44748010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0936416216</w:t>
            </w:r>
            <w:r>
              <w:rPr>
                <w:sz w:val="22"/>
                <w:szCs w:val="22"/>
              </w:rPr>
              <w:t xml:space="preserve"> </w:t>
            </w:r>
            <w:r>
              <w:rPr>
                <w:sz w:val="22"/>
                <w:szCs w:val="22"/>
              </w:rPr>
              <w:br/>
              <w:t xml:space="preserve">(</w:t>
            </w:r>
            <w:r>
              <w:rPr>
                <w:sz w:val="22"/>
                <w:szCs w:val="22"/>
              </w:rPr>
              <w:t xml:space="preserve">Nguyễn Hữu Xế</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0946657688</w:t>
            </w:r>
            <w:r>
              <w:rPr>
                <w:sz w:val="22"/>
                <w:szCs w:val="22"/>
              </w:rPr>
              <w:br/>
            </w:r>
            <w:r>
              <w:rPr>
                <w:sz w:val="22"/>
                <w:szCs w:val="22"/>
              </w:rPr>
              <w:t xml:space="preserve">(</w:t>
            </w:r>
            <w:r>
              <w:rPr>
                <w:sz w:val="22"/>
                <w:szCs w:val="22"/>
              </w:rPr>
              <w:t xml:space="preserve">Kim 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0975274885</w:t>
            </w:r>
            <w:r>
              <w:rPr>
                <w:sz w:val="22"/>
                <w:szCs w:val="22"/>
              </w:rPr>
              <w:br/>
            </w:r>
            <w:r>
              <w:rPr>
                <w:sz w:val="22"/>
                <w:szCs w:val="22"/>
              </w:rPr>
              <w:t xml:space="preserve">(</w:t>
            </w:r>
            <w:r>
              <w:rPr>
                <w:sz w:val="22"/>
                <w:szCs w:val="22"/>
              </w:rPr>
              <w:t xml:space="preserve">Thái Sơn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biệt thự Liền kề, Phường, Hà Đông,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18.67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05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05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05 tầng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2.661.651.941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2.523.586.432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1.940.618.071</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w:t>
            </w:r>
            <w:r>
              <w:rPr>
                <w:rFonts w:ascii="Arial" w:hAnsi="Arial" w:eastAsia="Arial" w:cs="Arial"/>
                <w:color w:val="000000"/>
                <w:sz w:val="20"/>
                <w:highlight w:val="white"/>
              </w:rPr>
              <w:t xml:space="preserve">425/QĐ-BXD</w:t>
            </w:r>
            <w:r>
              <w:rPr>
                <w:color w:val="000000"/>
                <w:sz w:val="22"/>
                <w:szCs w:val="22"/>
              </w:rPr>
              <w:t xml:space="preserve">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8.089.144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8.089.144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5.662.401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24.338.348.059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20.426.413.568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29.549.381.929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24.338.348.059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20.426.413.568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29.549.381.929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biệt thự Liền kề, Phường, Hà Đông,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234.518.904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18.761.512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253.280.416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-4.690.378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248.590.038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18.67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248.590.038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248.590.038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248.590.038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256.193.137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247.592.892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248.590.038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256.193.137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247.592.892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248.590.038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250.792.022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23.451.890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14.071.134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-1.28</w:t>
      </w:r>
      <w:r>
        <w:t xml:space="preserve">% đến </w:t>
      </w:r>
      <w:r>
        <w:t xml:space="preserve">2.15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256.193.137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85.414.792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247.592.892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82.522.711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248.590.038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82.855.060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250.792.563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1037"/>
        <w:tblInd w:w="630" w:type="dxa"/>
        <w:tblW w:w="465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38145"/>
        <w:gridCol w:w="10630"/>
        <w:gridCol w:w="32815"/>
        <w:gridCol w:w="9143"/>
        <w:gridCol w:w="49504"/>
      </w:tblGrid>
      <w:tr>
        <w:trPr/>
        <w:tc>
          <w:tcPr>
            <w:tcBorders/>
            <w:tcMar>
              <w:left w:w="0" w:type="dxa"/>
              <w:top w:w="0" w:type="dxa"/>
              <w:right w:w="0" w:type="dxa"/>
              <w:bottom w:w="0" w:type="dxa"/>
            </w:tcMar>
            <w:tcW w:w="38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10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328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91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49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pPr>
        <w:pBdr>
          <w:top w:val="none" w:color="000000" w:sz="4" w:space="0"/>
          <w:left w:val="none" w:color="000000" w:sz="4" w:space="0"/>
          <w:bottom w:val="none" w:color="000000" w:sz="4" w:space="0"/>
          <w:right w:val="none" w:color="000000" w:sz="4" w:space="0"/>
        </w:pBdr>
        <w:spacing w:after="120" w:before="120" w:line="264" w:lineRule="auto"/>
        <w:ind w:right="0" w:firstLine="0" w:left="284"/>
        <w:jc w:val="both"/>
        <w:rPr/>
      </w:pPr>
      <w:r>
        <w:rPr>
          <w:rFonts w:ascii="Times New Roman" w:hAnsi="Times New Roman" w:eastAsia="Times New Roman" w:cs="Times New Roman"/>
          <w:b/>
          <w:color w:val="000000"/>
          <w:sz w:val="24"/>
        </w:rPr>
        <w:t xml:space="preserve"> </w:t>
      </w: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chi phí thay thế</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highlight w:val="none"/>
        </w:rPr>
      </w:pPr>
      <w:r>
        <w:rPr>
          <w:rFonts w:ascii="Times New Roman" w:hAnsi="Times New Roman" w:eastAsia="Times New Roman" w:cs="Times New Roman"/>
          <w:color w:val="000000"/>
          <w:sz w:val="24"/>
          <w:highlight w:val="none"/>
        </w:rPr>
        <w:t xml:space="preserve">Qua tham khảo thị trường về đơn giá xây dựng mới đối với công trình Nhà ở 04 tầng, cân nhắc và xem xét với mức độ hoàn thiện của công trình xây dựng hiện có, Tổ thẩm định nhận thấy đơn giá vận dụng theo Quyết định số 425/QĐ-BXD ngày 30 tháng 3 năm 2026 của</w:t>
      </w:r>
      <w:r>
        <w:rPr>
          <w:rFonts w:ascii="Times New Roman" w:hAnsi="Times New Roman" w:eastAsia="Times New Roman" w:cs="Times New Roman"/>
          <w:color w:val="000000"/>
          <w:sz w:val="24"/>
          <w:highlight w:val="none"/>
        </w:rPr>
        <w:t xml:space="preserve"> Bộ Xây dựng về việc công bố suất vốn đầu tư xây dựng và giá xây dựng tổng hợp bộ phận kết cấu công trình năm 2024 là khá phù hợp với thị trường, theo đó: </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highlight w:val="none"/>
        </w:rPr>
      </w:pPr>
      <w:r>
        <w:rPr>
          <w:rFonts w:ascii="Times New Roman" w:hAnsi="Times New Roman" w:eastAsia="Times New Roman" w:cs="Times New Roman"/>
          <w:i/>
          <w:color w:val="000000"/>
          <w:sz w:val="24"/>
          <w:highlight w:val="none"/>
        </w:rPr>
        <w:t xml:space="preserve">“</w:t>
      </w:r>
      <w:r>
        <w:rPr>
          <w:rFonts w:ascii="Times New Roman" w:hAnsi="Times New Roman" w:eastAsia="Times New Roman" w:cs="Times New Roman"/>
          <w:i/>
          <w:color w:val="000000"/>
          <w:sz w:val="24"/>
          <w:highlight w:val="none"/>
        </w:rPr>
        <w:t xml:space="preserve">Nhà 4 đến 5 tầng, kết cấu khung chịu lực BTCT; tường bao xây gạch; sàn, mái BTCT đổ tại chỗ không có tầng hầm có diện tích xây dựng từ 50 m² đến dưới 70m² là 8.497.000 đồng/m² sàn, hệ số vùng 7 – TP Hà Nội là 0,952, tương đương đơn giá: </w:t>
      </w:r>
      <w:r>
        <w:rPr>
          <w:rFonts w:ascii="Times New Roman" w:hAnsi="Times New Roman" w:eastAsia="Times New Roman" w:cs="Times New Roman"/>
          <w:color w:val="000000"/>
          <w:sz w:val="24"/>
          <w:highlight w:val="none"/>
        </w:rPr>
        <w:t xml:space="preserve">8.089.144</w:t>
      </w:r>
      <w:r>
        <w:rPr>
          <w:rFonts w:ascii="Times New Roman" w:hAnsi="Times New Roman" w:eastAsia="Times New Roman" w:cs="Times New Roman"/>
          <w:i/>
          <w:color w:val="000000"/>
          <w:sz w:val="24"/>
          <w:highlight w:val="none"/>
        </w:rPr>
        <w:t xml:space="preserve"> đồng/m²</w:t>
      </w:r>
      <w:r>
        <w:rPr>
          <w:rFonts w:ascii="Times New Roman" w:hAnsi="Times New Roman" w:eastAsia="Times New Roman" w:cs="Times New Roman"/>
          <w:color w:val="000000"/>
          <w:sz w:val="24"/>
          <w:highlight w:val="none"/>
        </w:rPr>
        <w:t xml:space="preserve">. </w:t>
      </w:r>
      <w:r>
        <w:rPr>
          <w:highlight w:val="none"/>
        </w:rPr>
      </w:r>
      <w:r>
        <w:rPr>
          <w:highlight w:val="none"/>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80"/>
        <w:gridCol w:w="1984"/>
        <w:gridCol w:w="2975"/>
        <w:gridCol w:w="2409"/>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05 tầng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339,10 </w:t>
            </w:r>
            <w:r/>
          </w:p>
        </w:tc>
        <w:tc>
          <w:tcPr>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8.089.144 </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2.743.028.730</w:t>
            </w:r>
            <w:r/>
          </w:p>
        </w:tc>
      </w:tr>
    </w:tbl>
    <w:p>
      <w:pPr>
        <w:numPr>
          <w:ilvl w:val="0"/>
          <w:numId w:val="41"/>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hoàn thiện năm 2022, do đó, Tổ thẩm định ước tính tuổi đời hiệu quả của công trình là khoảng 4 năm.</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pacing w:val="2"/>
          <w:sz w:val="24"/>
        </w:rPr>
        <w:t xml:space="preserve">ông trình, Tổ thẩm định xác định tuổi đời kinh tế của tài sản thẩm định là 50 năm</w:t>
      </w:r>
      <w:r>
        <w:rPr>
          <w:rFonts w:ascii="Times New Roman" w:hAnsi="Times New Roman" w:eastAsia="Times New Roman" w:cs="Times New Roman"/>
          <w:color w:val="000000"/>
          <w:sz w:val="24"/>
        </w:rPr>
        <w:t xml:space="preserve">.</w:t>
      </w: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4669"/>
        <w:gridCol w:w="24669"/>
        <w:gridCol w:w="24699"/>
        <w:gridCol w:w="24669"/>
        <w:gridCol w:w="24669"/>
        <w:gridCol w:w="24700"/>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70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Nhà 05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0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219.442.298</w:t>
            </w:r>
            <w:r/>
          </w:p>
        </w:tc>
      </w:tr>
    </w:tbl>
    <w:p>
      <w:pPr>
        <w:numPr>
          <w:ilvl w:val="0"/>
          <w:numId w:val="42"/>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305"/>
        <w:gridCol w:w="1939"/>
        <w:gridCol w:w="1939"/>
        <w:gridCol w:w="1632"/>
        <w:gridCol w:w="28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2"/>
              </w:rPr>
              <w:t xml:space="preserve">(5) = (3) - (4)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3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Nhà 05 tầng</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939"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339,10</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193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2.743.028.730</w:t>
            </w:r>
            <w:r/>
          </w:p>
        </w:tc>
        <w:tc>
          <w:tcPr>
            <w:tcBorders>
              <w:bottom w:val="single" w:color="000000" w:sz="8" w:space="0"/>
              <w:right w:val="single" w:color="000000" w:sz="8" w:space="0"/>
            </w:tcBorders>
            <w:tcMar>
              <w:left w:w="108" w:type="dxa"/>
              <w:top w:w="0" w:type="dxa"/>
              <w:right w:w="108" w:type="dxa"/>
              <w:bottom w:w="0" w:type="dxa"/>
            </w:tcMar>
            <w:tcW w:w="16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219.442.298</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8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2.523.586.432</w:t>
            </w:r>
            <w:r/>
          </w:p>
        </w:tc>
      </w:tr>
    </w:tbl>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000000" w:fill="ffffff"/>
            <w:tcBorders/>
            <w:tcW w:w="2164"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40" w:lineRule="auto"/>
              <w:ind/>
              <w:jc w:val="both"/>
              <w:rPr>
                <w:b/>
                <w:bCs/>
              </w:rPr>
            </w:pPr>
            <w:r>
              <w:rPr>
                <w:b/>
                <w:bCs/>
                <w:color w:val="000000"/>
              </w:rPr>
            </w:r>
            <w:r>
              <w:rPr>
                <w:b/>
                <w:bCs/>
                <w:color w:val="000000"/>
              </w:rPr>
              <w:t xml:space="preserve">Quyền sử dụng đất và tài sản gắn liền với đất tại thửa đất có địa chỉ: Căn L2.04 (TT1), Dự án TTTM nhà ở cao tầng và thấp tầng Hano Vid - Số 430 Cầu Am, phường Vạn Phúc, quận Hà Đông (nay là phường Hà Đông), thành phố Hà Nội theo Giấy chứng nhận quyền sử d</w:t>
            </w:r>
            <w:r>
              <w:rPr>
                <w:b/>
                <w:bCs/>
                <w:color w:val="000000"/>
              </w:rPr>
              <w:t xml:space="preserve">ụng đất quyền sở hữu nhà ở và tài sản khác gắn liền với đất số: DB 525839, Số vào sổ cấp GCN: CS 14074 do Sở tài nguyên và Môi trường thành phố Hà Nội cấp ngày 22/3/2021; chủ sử dụng đất là Ông Nguyễn Vũ Thành và Bà Nguyễn Thị Phương Vân</w:t>
            </w:r>
            <w:r>
              <w:rPr>
                <w:b/>
                <w:bCs/>
              </w:rPr>
            </w:r>
            <w:r>
              <w:rPr>
                <w:b/>
                <w:bCs/>
              </w:rPr>
            </w:r>
          </w:p>
          <w:p>
            <w:pPr>
              <w:pBdr/>
              <w:spacing w:line="240" w:lineRule="auto"/>
              <w:ind/>
              <w:rPr>
                <w:b/>
                <w:bCs/>
              </w:rPr>
            </w:pPr>
            <w:r>
              <w:rPr>
                <w:b/>
                <w:bCs/>
              </w:rPr>
            </w:r>
            <w:r>
              <w:rPr>
                <w:b/>
                <w:bCs/>
              </w:rPr>
            </w:r>
            <w:r>
              <w:rPr>
                <w:b/>
                <w:bCs/>
              </w:rPr>
            </w:r>
          </w:p>
        </w:tc>
        <w:tc>
          <w:tcPr>
            <w:shd w:val="clear" w:color="000000" w:fill="ffffff"/>
            <w:tcBorders/>
            <w:tcW w:w="2164"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2025" w:type="dxa"/>
            <w:vAlign w:val="center"/>
            <w:textDirection w:val="lrTb"/>
            <w:noWrap w:val="false"/>
          </w:tcPr>
          <w:p>
            <w:pPr>
              <w:pBdr/>
              <w:spacing w:after="40" w:before="40" w:line="240"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40" w:lineRule="auto"/>
              <w:ind/>
              <w:jc w:val="center"/>
              <w:rPr>
                <w:color w:val="000000"/>
              </w:rPr>
            </w:pPr>
            <w:r>
              <w:rPr>
                <w:color w:val="000000" w:themeColor="text1"/>
              </w:rPr>
              <w:t xml:space="preserve">82.5</w:t>
            </w:r>
            <w:r>
              <w:rPr>
                <w:color w:val="000000"/>
              </w:rPr>
            </w:r>
            <w:r>
              <w:rPr>
                <w:color w:val="000000"/>
              </w:rPr>
            </w:r>
          </w:p>
        </w:tc>
        <w:tc>
          <w:tcPr>
            <w:shd w:val="clear" w:color="000000" w:fill="ffffff"/>
            <w:tcBorders/>
            <w:tcW w:w="2581" w:type="dxa"/>
            <w:vAlign w:val="center"/>
            <w:textDirection w:val="lrTb"/>
            <w:noWrap w:val="false"/>
          </w:tcPr>
          <w:p>
            <w:pPr>
              <w:pBdr/>
              <w:spacing w:after="40" w:before="40" w:line="240" w:lineRule="auto"/>
              <w:ind/>
              <w:jc w:val="center"/>
              <w:rPr/>
            </w:pPr>
            <w:r>
              <w:rPr>
                <w:color w:val="000000" w:themeColor="text1"/>
              </w:rPr>
              <w:t xml:space="preserve">250.000.000</w:t>
            </w:r>
            <w:r/>
          </w:p>
        </w:tc>
        <w:tc>
          <w:tcPr>
            <w:shd w:val="clear" w:color="000000" w:fill="ffffff"/>
            <w:tcBorders/>
            <w:tcW w:w="2164" w:type="dxa"/>
            <w:vAlign w:val="center"/>
            <w:textDirection w:val="lrTb"/>
            <w:noWrap w:val="false"/>
          </w:tcPr>
          <w:p>
            <w:pPr>
              <w:pBdr/>
              <w:spacing w:line="240" w:lineRule="auto"/>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40" w:lineRule="auto"/>
              <w:ind/>
              <w:jc w:val="center"/>
              <w:rPr/>
            </w:pPr>
            <w:r>
              <w:rPr>
                <w:color w:val="000000" w:themeColor="text1"/>
              </w:rPr>
              <w:t xml:space="preserve">20.625.000.000</w:t>
            </w:r>
            <w:r/>
          </w:p>
        </w:tc>
      </w:tr>
      <w:tr>
        <w:trPr>
          <w:trHeight w:val="20"/>
        </w:trPr>
        <w:tc>
          <w:tcPr>
            <w:shd w:val="clear" w:color="000000" w:fill="ffffff"/>
            <w:tcBorders/>
            <w:tcW w:w="952" w:type="dxa"/>
            <w:vAlign w:val="center"/>
            <w:textDirection w:val="lrTb"/>
            <w:noWrap w:val="false"/>
          </w:tcPr>
          <w:p>
            <w:pPr>
              <w:pBdr/>
              <w:spacing w:after="40" w:before="40" w:line="240" w:lineRule="auto"/>
              <w:ind/>
              <w:jc w:val="center"/>
              <w:rPr>
                <w:b w:val="0"/>
                <w:bCs w:val="0"/>
              </w:rPr>
            </w:pPr>
            <w:r>
              <w:rPr>
                <w:b w:val="0"/>
                <w:bCs w:val="0"/>
              </w:rPr>
              <w:t xml:space="preserve">2</w:t>
            </w:r>
            <w:r>
              <w:rPr>
                <w:b w:val="0"/>
                <w:bCs w:val="0"/>
              </w:rPr>
            </w:r>
            <w:r>
              <w:rPr>
                <w:b w:val="0"/>
                <w:bCs w:val="0"/>
              </w:rPr>
            </w:r>
          </w:p>
        </w:tc>
        <w:tc>
          <w:tcPr>
            <w:gridSpan w:val="2"/>
            <w:shd w:val="clear" w:color="000000" w:fill="ffffff"/>
            <w:tcBorders/>
            <w:tcW w:w="2025" w:type="dxa"/>
            <w:vAlign w:val="center"/>
            <w:textDirection w:val="lrTb"/>
            <w:noWrap w:val="false"/>
          </w:tcPr>
          <w:p>
            <w:pPr>
              <w:pBdr/>
              <w:spacing w:after="40" w:before="40" w:line="240" w:lineRule="auto"/>
              <w:ind/>
              <w:rPr>
                <w:b w:val="0"/>
                <w:bCs w:val="0"/>
              </w:rPr>
            </w:pPr>
            <w:r>
              <w:rPr>
                <w:b w:val="0"/>
                <w:bCs w:val="0"/>
              </w:rPr>
              <w:t xml:space="preserve">Nhà 05 tầng</w:t>
            </w:r>
            <w:r>
              <w:rPr>
                <w:b w:val="0"/>
                <w:bCs w:val="0"/>
              </w:rPr>
            </w:r>
            <w:r>
              <w:rPr>
                <w:b w:val="0"/>
                <w:bCs w:val="0"/>
              </w:rPr>
            </w:r>
          </w:p>
        </w:tc>
        <w:tc>
          <w:tcPr>
            <w:tcBorders/>
            <w:tcW w:w="1802" w:type="dxa"/>
            <w:vAlign w:val="center"/>
            <w:textDirection w:val="lrTb"/>
            <w:noWrap/>
          </w:tcPr>
          <w:p>
            <w:pPr>
              <w:pBdr/>
              <w:spacing w:after="40" w:before="40" w:line="240" w:lineRule="auto"/>
              <w:ind/>
              <w:jc w:val="center"/>
              <w:rPr>
                <w:color w:val="000000"/>
              </w:rPr>
            </w:pPr>
            <w:r>
              <w:rPr>
                <w:color w:val="000000" w:themeColor="text1"/>
              </w:rPr>
              <w:t xml:space="preserve">339.1</w:t>
            </w:r>
            <w:r>
              <w:rPr>
                <w:color w:val="000000"/>
              </w:rPr>
            </w:r>
            <w:r>
              <w:rPr>
                <w:color w:val="000000"/>
              </w:rPr>
            </w:r>
          </w:p>
        </w:tc>
        <w:tc>
          <w:tcPr>
            <w:shd w:val="clear" w:color="000000" w:fill="ffffff"/>
            <w:tcBorders/>
            <w:tcW w:w="2581" w:type="dxa"/>
            <w:vAlign w:val="center"/>
            <w:textDirection w:val="lrTb"/>
            <w:noWrap w:val="false"/>
          </w:tcPr>
          <w:p>
            <w:pPr>
              <w:pBdr/>
              <w:spacing w:after="40" w:before="40" w:line="240" w:lineRule="auto"/>
              <w:ind/>
              <w:jc w:val="center"/>
              <w:rPr/>
            </w:pPr>
            <w:r>
              <w:rPr>
                <w:color w:val="000000" w:themeColor="text1"/>
              </w:rPr>
            </w:r>
            <w:r>
              <w:rPr>
                <w:rFonts w:ascii="Times New Roman" w:hAnsi="Times New Roman" w:eastAsia="Times New Roman" w:cs="Times New Roman"/>
                <w:color w:val="000000"/>
                <w:sz w:val="24"/>
              </w:rPr>
              <w:t xml:space="preserve">8.089.144</w:t>
            </w:r>
            <w:r/>
          </w:p>
        </w:tc>
        <w:tc>
          <w:tcPr>
            <w:shd w:val="clear" w:color="000000" w:fill="ffffff"/>
            <w:tcBorders/>
            <w:tcW w:w="2164" w:type="dxa"/>
            <w:vAlign w:val="center"/>
            <w:textDirection w:val="lrTb"/>
            <w:noWrap w:val="false"/>
          </w:tcPr>
          <w:p>
            <w:pPr>
              <w:pBdr/>
              <w:spacing w:line="240" w:lineRule="auto"/>
              <w:ind/>
              <w:jc w:val="center"/>
              <w:rPr>
                <w:color w:val="000000" w:themeColor="text1"/>
              </w:rPr>
            </w:pPr>
            <w:r>
              <w:rPr>
                <w:color w:val="000000" w:themeColor="text1"/>
              </w:rPr>
              <w:t xml:space="preserve">92%</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40" w:lineRule="auto"/>
              <w:ind/>
              <w:jc w:val="center"/>
              <w:rPr/>
            </w:pPr>
            <w:r>
              <w:rPr>
                <w:color w:val="000000" w:themeColor="text1"/>
              </w:rPr>
              <w:t xml:space="preserve">2.523.586.432</w:t>
            </w:r>
            <w:r/>
          </w:p>
        </w:tc>
      </w:tr>
      <w:tr>
        <w:trPr>
          <w:trHeight w:val="20"/>
        </w:trPr>
        <w:tc>
          <w:tcPr>
            <w:gridSpan w:val="5"/>
            <w:tcBorders/>
            <w:tcW w:w="7361"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line="240" w:lineRule="auto"/>
              <w:ind/>
              <w:rPr/>
            </w:pPr>
            <w:r/>
            <w:r/>
          </w:p>
        </w:tc>
        <w:tc>
          <w:tcPr>
            <w:tcBorders/>
            <w:tcW w:w="2164" w:type="dxa"/>
            <w:vAlign w:val="center"/>
            <w:textDirection w:val="lrTb"/>
            <w:noWrap/>
          </w:tcPr>
          <w:p>
            <w:pPr>
              <w:pBdr/>
              <w:spacing w:after="40" w:before="40" w:line="240" w:lineRule="auto"/>
              <w:ind/>
              <w:jc w:val="center"/>
              <w:rPr>
                <w:b/>
                <w:bCs/>
                <w:color w:val="000000"/>
              </w:rPr>
            </w:pPr>
            <w:r>
              <w:t xml:space="preserve">23.148.586.432</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line="240" w:lineRule="auto"/>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40" w:lineRule="auto"/>
              <w:ind/>
              <w:jc w:val="center"/>
              <w:rPr>
                <w:b/>
                <w:bCs/>
                <w:color w:val="000000"/>
              </w:rPr>
            </w:pPr>
            <w:r>
              <w:rPr>
                <w:b/>
                <w:bCs/>
                <w:color w:val="000000"/>
              </w:rPr>
              <w:t xml:space="preserve">23.149.000.000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Hai mươi ba tỷ một trăm bốn mươi chín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275/2026/0535/VFI-CT.44.A</w:t>
      </w:r>
      <w:r>
        <w:rPr>
          <w:color w:val="ff0000"/>
          <w:lang w:val="vi-VN"/>
        </w:rPr>
        <w:t xml:space="preserve"> </w:t>
      </w:r>
      <w:r>
        <w:rPr>
          <w:color w:val="000000" w:themeColor="text1"/>
        </w:rPr>
        <w:t xml:space="preserve">ngày 7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275/2026/0535/VFI-BC.44.A</w:t>
      </w:r>
      <w:r>
        <w:rPr>
          <w:i/>
        </w:rPr>
        <w:t xml:space="preserve"> ngày</w:t>
      </w:r>
      <w:r>
        <w:rPr>
          <w:i/>
          <w:lang w:val="pt-BR"/>
        </w:rPr>
        <w:t xml:space="preserve"> </w:t>
      </w:r>
      <w:r>
        <w:rPr>
          <w:i/>
          <w:lang w:val="pt-BR"/>
        </w:rPr>
        <w:t xml:space="preserve">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561745" cy="33837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61699" name=""/>
                              <pic:cNvPicPr>
                                <a:picLocks noChangeAspect="1"/>
                              </pic:cNvPicPr>
                              <pic:nvPr/>
                            </pic:nvPicPr>
                            <pic:blipFill rotWithShape="1">
                              <a:blip r:embed="rId18"/>
                              <a:stretch/>
                            </pic:blipFill>
                            <pic:spPr bwMode="auto">
                              <a:xfrm flipH="0" flipV="0">
                                <a:off x="0" y="0"/>
                                <a:ext cx="1561745" cy="3383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2.97pt;height:266.44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4731" cy="19440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28080" name=""/>
                              <pic:cNvPicPr>
                                <a:picLocks noChangeAspect="1"/>
                              </pic:cNvPicPr>
                              <pic:nvPr/>
                            </pic:nvPicPr>
                            <pic:blipFill rotWithShape="1">
                              <a:blip r:embed="rId19"/>
                              <a:stretch/>
                            </pic:blipFill>
                            <pic:spPr bwMode="auto">
                              <a:xfrm flipH="0" flipV="0">
                                <a:off x="0" y="0"/>
                                <a:ext cx="2594731" cy="19440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4.31pt;height:153.07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16240" cy="23371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2794" name=""/>
                              <pic:cNvPicPr>
                                <a:picLocks noChangeAspect="1"/>
                              </pic:cNvPicPr>
                              <pic:nvPr/>
                            </pic:nvPicPr>
                            <pic:blipFill rotWithShape="1">
                              <a:blip r:embed="rId20"/>
                              <a:stretch/>
                            </pic:blipFill>
                            <pic:spPr bwMode="auto">
                              <a:xfrm flipH="0" flipV="0">
                                <a:off x="0" y="0"/>
                                <a:ext cx="3116239" cy="23371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5.37pt;height:184.03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64117" cy="22980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14278" name=""/>
                              <pic:cNvPicPr>
                                <a:picLocks noChangeAspect="1"/>
                              </pic:cNvPicPr>
                              <pic:nvPr/>
                            </pic:nvPicPr>
                            <pic:blipFill rotWithShape="1">
                              <a:blip r:embed="rId21"/>
                              <a:stretch/>
                            </pic:blipFill>
                            <pic:spPr bwMode="auto">
                              <a:xfrm flipH="0" flipV="0">
                                <a:off x="0" y="0"/>
                                <a:ext cx="3064117" cy="22980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1.27pt;height:180.9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93340" cy="157000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4801" name=""/>
                              <pic:cNvPicPr>
                                <a:picLocks noChangeAspect="1"/>
                              </pic:cNvPicPr>
                              <pic:nvPr/>
                            </pic:nvPicPr>
                            <pic:blipFill rotWithShape="1">
                              <a:blip r:embed="rId22"/>
                              <a:stretch/>
                            </pic:blipFill>
                            <pic:spPr bwMode="auto">
                              <a:xfrm flipH="0" flipV="0">
                                <a:off x="0" y="0"/>
                                <a:ext cx="2093339" cy="15700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4.83pt;height:123.62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17305" cy="166297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42937" name=""/>
                              <pic:cNvPicPr>
                                <a:picLocks noChangeAspect="1"/>
                              </pic:cNvPicPr>
                              <pic:nvPr/>
                            </pic:nvPicPr>
                            <pic:blipFill rotWithShape="1">
                              <a:blip r:embed="rId23"/>
                              <a:stretch/>
                            </pic:blipFill>
                            <pic:spPr bwMode="auto">
                              <a:xfrm flipH="0" flipV="0">
                                <a:off x="0" y="0"/>
                                <a:ext cx="2217304" cy="16629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4.59pt;height:130.9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jc w:val="center"/>
        <w:rPr>
          <w:highlight w:val="none"/>
        </w:rPr>
      </w:pPr>
      <w:r>
        <mc:AlternateContent>
          <mc:Choice Requires="wpg">
            <w:drawing>
              <wp:inline xmlns:wp="http://schemas.openxmlformats.org/drawingml/2006/wordprocessingDrawing" distT="0" distB="0" distL="0" distR="0">
                <wp:extent cx="2664933" cy="36475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09651" name=""/>
                        <pic:cNvPicPr>
                          <a:picLocks noChangeAspect="1"/>
                        </pic:cNvPicPr>
                        <pic:nvPr/>
                      </pic:nvPicPr>
                      <pic:blipFill rotWithShape="1">
                        <a:blip r:embed="rId24"/>
                        <a:stretch/>
                      </pic:blipFill>
                      <pic:spPr bwMode="auto">
                        <a:xfrm flipH="0" flipV="0">
                          <a:off x="0" y="0"/>
                          <a:ext cx="2664932" cy="3647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9.84pt;height:287.21pt;mso-wrap-distance-left:0.00pt;mso-wrap-distance-top:0.00pt;mso-wrap-distance-right:0.00pt;mso-wrap-distance-bottom:0.00pt;z-index:1;" stroked="false">
                <v:imagedata r:id="rId24" o:title=""/>
                <o:lock v:ext="edit" rotation="t"/>
              </v:shape>
            </w:pict>
          </mc:Fallback>
        </mc:AlternateContent>
      </w:r>
      <w:r>
        <mc:AlternateContent>
          <mc:Choice Requires="wpg">
            <w:drawing>
              <wp:inline xmlns:wp="http://schemas.openxmlformats.org/drawingml/2006/wordprocessingDrawing" distT="0" distB="0" distL="0" distR="0">
                <wp:extent cx="2693779" cy="35337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12432" name=""/>
                        <pic:cNvPicPr>
                          <a:picLocks noChangeAspect="1"/>
                        </pic:cNvPicPr>
                        <pic:nvPr/>
                      </pic:nvPicPr>
                      <pic:blipFill rotWithShape="1">
                        <a:blip r:embed="rId25"/>
                        <a:stretch/>
                      </pic:blipFill>
                      <pic:spPr bwMode="auto">
                        <a:xfrm flipH="0" flipV="0">
                          <a:off x="0" y="0"/>
                          <a:ext cx="2693779" cy="3533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2.11pt;height:278.25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ind/>
        <w:jc w:val="center"/>
        <w:rPr/>
      </w:pPr>
      <w:r>
        <w:rPr>
          <w:highlight w:val="none"/>
        </w:rPr>
      </w:r>
      <w:r>
        <mc:AlternateContent>
          <mc:Choice Requires="wpg">
            <w:drawing>
              <wp:inline xmlns:wp="http://schemas.openxmlformats.org/drawingml/2006/wordprocessingDrawing" distT="0" distB="0" distL="0" distR="0">
                <wp:extent cx="2682583" cy="370522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7409" name=""/>
                        <pic:cNvPicPr>
                          <a:picLocks noChangeAspect="1"/>
                        </pic:cNvPicPr>
                        <pic:nvPr/>
                      </pic:nvPicPr>
                      <pic:blipFill rotWithShape="1">
                        <a:blip r:embed="rId26"/>
                        <a:stretch/>
                      </pic:blipFill>
                      <pic:spPr bwMode="auto">
                        <a:xfrm flipH="0" flipV="0">
                          <a:off x="0" y="0"/>
                          <a:ext cx="2682582" cy="3705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1.23pt;height:291.75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2711361" cy="38004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675232" name=""/>
                        <pic:cNvPicPr>
                          <a:picLocks noChangeAspect="1"/>
                        </pic:cNvPicPr>
                        <pic:nvPr/>
                      </pic:nvPicPr>
                      <pic:blipFill rotWithShape="1">
                        <a:blip r:embed="rId27"/>
                        <a:stretch/>
                      </pic:blipFill>
                      <pic:spPr bwMode="auto">
                        <a:xfrm flipH="0" flipV="0">
                          <a:off x="0" y="0"/>
                          <a:ext cx="2711360" cy="38004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3.49pt;height:299.25pt;mso-wrap-distance-left:0.00pt;mso-wrap-distance-top:0.00pt;mso-wrap-distance-right:0.00pt;mso-wrap-distance-bottom:0.00pt;z-index:1;" stroked="false">
                <v:imagedata r:id="rId27" o:title=""/>
                <o:lock v:ext="edit" rotation="t"/>
              </v:shape>
            </w:pict>
          </mc:Fallback>
        </mc:AlternateContent>
      </w:r>
      <w:r>
        <w:rPr>
          <w:highlight w:val="none"/>
        </w:r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275/2026/0535/VFI-BC.44.A</w:t>
      </w:r>
      <w:r>
        <w:rPr>
          <w:i/>
        </w:rPr>
        <w:t xml:space="preserve"> ngày</w:t>
      </w:r>
      <w:r>
        <w:rPr>
          <w:i/>
          <w:lang w:val="pt-BR"/>
        </w:rPr>
        <w:t xml:space="preserve"> </w:t>
      </w:r>
      <w:r>
        <w:rPr>
          <w:i/>
          <w:lang w:val="pt-BR"/>
        </w:rPr>
        <w:t xml:space="preserve">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https://batdongsan.com.vn/ban-nha-biet-thu-lien-ke-duong-ngo-quyen-phuong-van-phuc-1-prj-khu-nha-o-phu-my/ban-rieng-kdt-dream-huse-95m2-thang-may-thich-pr44748010</w:t>
            </w:r>
            <w:r>
              <w:rPr>
                <w:color w:val="000000" w:themeColor="text1"/>
                <w:sz w:val="22"/>
                <w:szCs w:val="22"/>
              </w:rPr>
              <w:br/>
              <w:t xml:space="preserve">0936416216</w:t>
            </w:r>
            <w:r>
              <w:rPr>
                <w:sz w:val="22"/>
                <w:szCs w:val="22"/>
              </w:rPr>
              <w:t xml:space="preserve"> </w:t>
            </w:r>
            <w:r>
              <w:rPr>
                <w:sz w:val="22"/>
                <w:szCs w:val="22"/>
              </w:rPr>
              <w:br/>
              <w:t xml:space="preserve">(Nguyễn Hữu Xế</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biệt thự liền kề, Phường Hà Đông, Thành phố Hà Nội, độ rộng đường trước mặt tài sản 4.43m, mặt tiền 5.5m, 20.975937039288155, 105.77538843855922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67641" cy="257438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4867641" cy="2574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83.28pt;height:202.7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w:t>
            </w:r>
            <w:r>
              <w:rPr>
                <w:color w:val="000000"/>
                <w:sz w:val="22"/>
                <w:szCs w:val="22"/>
              </w:rPr>
            </w:r>
            <w:r>
              <w:rPr>
                <w:color w:val="000000"/>
                <w:sz w:val="22"/>
                <w:szCs w:val="22"/>
              </w:rPr>
            </w:r>
          </w:p>
        </w:tc>
      </w:tr>
    </w:tbl>
    <w:p>
      <w:pPr>
        <w:pBdr/>
        <w:spacing/>
        <w:ind/>
        <w:jc w:val="center"/>
        <w:rPr/>
      </w:pPr>
      <w:r>
        <w:rPr>
          <w:b/>
          <w:bCs/>
          <w:iCs/>
          <w:highlight w:val="none"/>
          <w:lang w:val="pt-BR"/>
        </w:rPr>
      </w:r>
      <w:r>
        <w:rPr>
          <w:b/>
          <w:bCs/>
          <w:iCs/>
          <w:highlight w:val="none"/>
          <w:lang w:val="pt-BR"/>
        </w:rPr>
      </w:r>
      <w:r/>
    </w:p>
    <w:p>
      <w:pPr>
        <w:pBdr/>
        <w:spacing/>
        <w:ind/>
        <w:jc w:val="center"/>
        <w:rPr>
          <w:b/>
          <w:bCs/>
          <w:highlight w:val="none"/>
          <w:lang w:val="pt-BR"/>
        </w:rPr>
      </w:pPr>
      <w:r>
        <w:rPr>
          <w:b/>
          <w:bCs/>
          <w:iCs/>
          <w:lang w:val="pt-BR"/>
        </w:rPr>
        <w:t xml:space="preserve">TSSS2</w:t>
      </w:r>
      <w:r>
        <w:rPr>
          <w:b/>
          <w:bCs/>
          <w:highlight w:val="none"/>
          <w:lang w:val="pt-BR"/>
        </w:rPr>
      </w:r>
      <w:r>
        <w:rPr>
          <w:b/>
          <w:b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0946657688</w:t>
            </w:r>
            <w:r>
              <w:rPr>
                <w:sz w:val="22"/>
                <w:szCs w:val="22"/>
              </w:rPr>
              <w:t xml:space="preserve"> </w:t>
            </w:r>
            <w:r>
              <w:rPr>
                <w:sz w:val="22"/>
                <w:szCs w:val="22"/>
              </w:rPr>
              <w:br/>
              <w:t xml:space="preserve">(Kim 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sz w:val="22"/>
                <w:szCs w:val="22"/>
              </w:rPr>
            </w:r>
            <w:r>
              <w:rPr>
                <w:sz w:val="22"/>
                <w:szCs w:val="22"/>
              </w:rPr>
            </w:r>
          </w:p>
          <w:p>
            <w:pPr>
              <w:pBdr/>
              <w:spacing w:line="276" w:lineRule="auto"/>
              <w:ind/>
              <w:jc w:val="center"/>
              <w:rPr>
                <w:sz w:val="22"/>
                <w:szCs w:val="22"/>
              </w:rPr>
            </w:pPr>
            <w:r>
              <w:rPr>
                <w:color w:val="000000" w:themeColor="text1"/>
                <w:sz w:val="22"/>
                <w:szCs w:val="22"/>
              </w:rPr>
              <w:t xml:space="preserve">, độ rộng đường trước mặt tài sản 6.5m, mặt tiền 5m, 20.977212143775127, 105.77482661210387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4039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9403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5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0975274885</w:t>
            </w:r>
            <w:r>
              <w:rPr>
                <w:sz w:val="22"/>
                <w:szCs w:val="22"/>
              </w:rPr>
              <w:t xml:space="preserve"> </w:t>
            </w:r>
            <w:r>
              <w:rPr>
                <w:sz w:val="22"/>
                <w:szCs w:val="22"/>
              </w:rPr>
              <w:br/>
              <w:t xml:space="preserve">(Thái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31.490.000.000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Dự án TTTM nhà ở cao tầng và thấp tầng Hano Vid - Số 430 Cầu Am, phường Hà Đông, thành phố Hà Nội</w:t>
            </w:r>
            <w:r>
              <w:rPr>
                <w:sz w:val="22"/>
                <w:szCs w:val="22"/>
              </w:rPr>
            </w:r>
            <w:r>
              <w:rPr>
                <w:sz w:val="22"/>
                <w:szCs w:val="22"/>
              </w:rPr>
            </w:r>
          </w:p>
          <w:p>
            <w:pPr>
              <w:pBdr/>
              <w:spacing w:line="276" w:lineRule="auto"/>
              <w:ind/>
              <w:jc w:val="center"/>
              <w:rPr>
                <w:sz w:val="22"/>
                <w:szCs w:val="22"/>
              </w:rPr>
            </w:pPr>
            <w:r>
              <w:rPr>
                <w:color w:val="000000" w:themeColor="text1"/>
                <w:sz w:val="22"/>
                <w:szCs w:val="22"/>
              </w:rPr>
              <w:t xml:space="preserve">, độ rộng đường trước mặt tài sản 6.5m, mặt tiền 6.75m, 20.976994257341847, 105.77476223908751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1525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4152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68.92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937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293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2.55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3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3.33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Lê Đình Duy</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08634"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2605"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1E553D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70D46E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4DC48B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764F730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513</cp:revision>
  <dcterms:created xsi:type="dcterms:W3CDTF">2025-09-15T02:01:00Z</dcterms:created>
  <dcterms:modified xsi:type="dcterms:W3CDTF">2026-04-09T05:07:38Z</dcterms:modified>
</cp:coreProperties>
</file>