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Override PartName="/word/comments.xml" ContentType="application/vnd.openxmlformats-officedocument.wordprocessingml.comment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commentsExtended.xml" ContentType="application/vnd.openxmlformats-officedocument.wordprocessingml.commentsExtended+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397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397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szCs w:val="24"/>
                                <w:highlight w:val="white"/>
                              </w:rPr>
                              <w:t xml:space="preserve">275/2026/0586/VFI-CT.53.A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1218, tờ bản đồ số: 14 có địa chỉ: N21-LK01, Khu đô thị mới tại lô đất N1+ N3 thuộc Khu đô thị Quốc Oai, xã Quốc Oai, thàn</w:t>
                            </w:r>
                            <w:r>
                              <w:rPr>
                                <w:color w:val="000000"/>
                              </w:rPr>
                              <w:t xml:space="preserve">h phố Hà</w:t>
                            </w:r>
                            <w:r>
                              <w:rPr>
                                <w:color w:val="000000"/>
                                <w:highlight w:val="white"/>
                              </w:rPr>
                              <w:t xml:space="preserve"> Nội </w:t>
                            </w:r>
                            <w:r>
                              <w:rPr>
                                <w:color w:val="000000"/>
                                <w:highlight w:val="white"/>
                              </w:rPr>
                              <w:t xml:space="preserve">(N</w:t>
                            </w:r>
                            <w:r>
                              <w:rPr>
                                <w:color w:val="000000"/>
                                <w:highlight w:val="white"/>
                              </w:rPr>
                              <w:t xml:space="preserve">ay </w:t>
                            </w:r>
                            <w:r>
                              <w:rPr>
                                <w:color w:val="000000"/>
                              </w:rPr>
                              <w:t xml:space="preserve">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2.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rFonts w:ascii="Times New Roman" w:hAnsi="Times New Roman" w:eastAsia="Times New Roman" w:cs="Times New Roman"/>
                          <w:color w:val="000000" w:themeColor="text1"/>
                          <w:spacing w:val="3"/>
                          <w:sz w:val="24"/>
                          <w:szCs w:val="24"/>
                          <w:highlight w:val="white"/>
                        </w:rPr>
                        <w:t xml:space="preserve">275/2026/0586/VFI-CT.53.A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NGÂN HÀNG NÔNG NGHIỆP VÀ PHÁT TRIỂN NÔNG THÔN VIỆT NAM- CHI NHÁNH THẠCH THẤT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1218, tờ bản đồ số: 14 có địa chỉ: N21-LK01, Khu đô thị mới tại lô đất N1+ N3 thuộc Khu đô thị Quốc Oai, xã Quốc Oai, thàn</w:t>
                      </w:r>
                      <w:r>
                        <w:rPr>
                          <w:color w:val="000000"/>
                        </w:rPr>
                        <w:t xml:space="preserve">h phố Hà</w:t>
                      </w:r>
                      <w:r>
                        <w:rPr>
                          <w:color w:val="000000"/>
                          <w:highlight w:val="white"/>
                        </w:rPr>
                        <w:t xml:space="preserve"> Nội </w:t>
                      </w:r>
                      <w:r>
                        <w:rPr>
                          <w:color w:val="000000"/>
                          <w:highlight w:val="white"/>
                        </w:rPr>
                        <w:t xml:space="preserve">(N</w:t>
                      </w:r>
                      <w:r>
                        <w:rPr>
                          <w:color w:val="000000"/>
                          <w:highlight w:val="white"/>
                        </w:rPr>
                        <w:t xml:space="preserve">ay </w:t>
                      </w:r>
                      <w:r>
                        <w:rPr>
                          <w:color w:val="000000"/>
                        </w:rPr>
                        <w:t xml:space="preserve">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04/2026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5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5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5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341" w:type="dxa"/>
        <w:tblBorders/>
        <w:tblLayout w:type="fixed"/>
        <w:tblLook w:val="04A0" w:firstRow="1" w:lastRow="0" w:firstColumn="1" w:lastColumn="0" w:noHBand="0" w:noVBand="1"/>
      </w:tblPr>
      <w:tblGrid>
        <w:gridCol w:w="856"/>
        <w:gridCol w:w="1157"/>
        <w:gridCol w:w="8329"/>
      </w:tblGrid>
      <w:tr>
        <w:trPr>
          <w:trHeight w:val="1152"/>
        </w:trPr>
        <w:tc>
          <w:tcPr>
            <w:gridSpan w:val="2"/>
            <w:tcBorders/>
            <w:tcW w:w="2013"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32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4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9486" w:type="dxa"/>
            <w:textDirection w:val="lrTb"/>
            <w:noWrap w:val="false"/>
          </w:tcPr>
          <w:p>
            <w:pPr>
              <w:pStyle w:val="1058"/>
              <w:pBdr/>
              <w:spacing w:after="60"/>
              <w:ind/>
              <w:rPr>
                <w:color w:val="000000" w:themeColor="text1"/>
                <w:sz w:val="24"/>
                <w:szCs w:val="24"/>
              </w:rPr>
            </w:pPr>
            <w:r>
              <w:rPr>
                <w:rStyle w:val="1057"/>
                <w:rFonts w:ascii="Times New Roman" w:hAnsi="Times New Roman"/>
                <w:color w:val="000000" w:themeColor="text1"/>
                <w:lang w:val="pt-BR"/>
              </w:rPr>
              <w:t xml:space="preserve">Số: </w:t>
            </w:r>
            <w:r>
              <w:rPr>
                <w:b/>
              </w:rPr>
              <w:t xml:space="preserve"> </w:t>
            </w:r>
            <w:r>
              <w:rPr>
                <w:rFonts w:ascii="Times New Roman" w:hAnsi="Times New Roman" w:eastAsia="Times New Roman" w:cs="Times New Roman"/>
                <w:color w:val="000000" w:themeColor="text1"/>
                <w:spacing w:val="3"/>
                <w:sz w:val="24"/>
                <w:szCs w:val="24"/>
                <w:highlight w:val="white"/>
              </w:rPr>
              <w:t xml:space="preserve">275/2026/0586/VFI-CT.53.A</w:t>
            </w:r>
            <w:r>
              <w:rPr>
                <w:color w:val="000000" w:themeColor="text1"/>
                <w:sz w:val="24"/>
                <w:szCs w:val="24"/>
              </w:rPr>
            </w:r>
            <w:r>
              <w:rPr>
                <w:color w:val="000000" w:themeColor="text1"/>
                <w:sz w:val="24"/>
                <w:szCs w:val="24"/>
              </w:rPr>
            </w:r>
          </w:p>
          <w:p>
            <w:pPr>
              <w:pStyle w:val="1058"/>
              <w:pBdr/>
              <w:spacing w:after="60"/>
              <w:ind w:right="-56"/>
              <w:jc w:val="center"/>
              <w:rPr>
                <w:color w:val="000000" w:themeColor="text1"/>
                <w:sz w:val="24"/>
                <w:szCs w:val="24"/>
                <w:lang w:val="vi-VN"/>
              </w:rPr>
            </w:pPr>
            <w:r>
              <w:rPr>
                <w:rStyle w:val="1057"/>
                <w:rFonts w:ascii="Times New Roman" w:hAnsi="Times New Roman"/>
                <w:i/>
                <w:color w:val="auto"/>
              </w:rPr>
              <w:t xml:space="preserve">                                           TP. Hà Nội</w:t>
            </w:r>
            <w:r>
              <w:rPr>
                <w:rStyle w:val="1057"/>
                <w:rFonts w:ascii="Times New Roman" w:hAnsi="Times New Roman"/>
                <w:i/>
                <w:color w:val="auto"/>
                <w:lang w:val="vi-VN"/>
              </w:rPr>
              <w:t xml:space="preserve">, </w:t>
            </w:r>
            <w:r>
              <w:rPr>
                <w:rStyle w:val="1057"/>
                <w:rFonts w:ascii="Times New Roman" w:hAnsi="Times New Roman"/>
                <w:i/>
                <w:color w:val="000000" w:themeColor="text1"/>
                <w:lang w:val="vi-VN"/>
              </w:rPr>
              <w:t xml:space="preserve">ngày 15 tháng 4 năm 2026</w:t>
            </w:r>
            <w:r>
              <w:rPr>
                <w:color w:val="000000" w:themeColor="text1"/>
                <w:sz w:val="24"/>
                <w:szCs w:val="24"/>
                <w:lang w:val="vi-VN"/>
              </w:rPr>
            </w:r>
            <w:r>
              <w:rPr>
                <w:color w:val="000000" w:themeColor="text1"/>
                <w:sz w:val="24"/>
                <w:szCs w:val="24"/>
                <w:lang w:val="vi-VN"/>
              </w:rPr>
            </w:r>
          </w:p>
        </w:tc>
      </w:tr>
    </w:tbl>
    <w:p>
      <w:pPr>
        <w:pStyle w:val="1058"/>
        <w:pBdr/>
        <w:spacing w:after="120" w:before="200" w:line="288" w:lineRule="auto"/>
        <w:ind/>
        <w:jc w:val="center"/>
        <w:rPr>
          <w:rStyle w:val="1057"/>
          <w:rFonts w:ascii="Times New Roman" w:hAnsi="Times New Roman"/>
          <w:b/>
          <w:bCs/>
          <w:color w:val="auto"/>
          <w:sz w:val="30"/>
          <w:szCs w:val="30"/>
          <w:lang w:val="vi-VN"/>
        </w:rPr>
      </w:pPr>
      <w:r>
        <w:rPr>
          <w:rStyle w:val="1057"/>
          <w:rFonts w:ascii="Times New Roman" w:hAnsi="Times New Roman"/>
          <w:b/>
          <w:bCs/>
          <w:color w:val="auto"/>
          <w:sz w:val="30"/>
          <w:szCs w:val="30"/>
          <w:lang w:val="vi-VN"/>
        </w:rPr>
        <w:t xml:space="preserve">CHỨNG THƯ THẨM ĐỊNH GIÁ</w:t>
      </w:r>
      <w:r>
        <w:rPr>
          <w:rStyle w:val="1057"/>
          <w:rFonts w:ascii="Times New Roman" w:hAnsi="Times New Roman"/>
          <w:b/>
          <w:bCs/>
          <w:color w:val="auto"/>
          <w:sz w:val="30"/>
          <w:szCs w:val="30"/>
          <w:lang w:val="vi-VN"/>
        </w:rPr>
      </w:r>
      <w:r>
        <w:rPr>
          <w:rStyle w:val="105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CHI NHÁNH THẠCH THẤT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rFonts w:ascii="Times New Roman" w:hAnsi="Times New Roman" w:cs="Times New Roman"/>
          <w:color w:val="000000" w:themeColor="text1"/>
          <w:spacing w:val="-4"/>
          <w:sz w:val="24"/>
          <w:szCs w:val="24"/>
          <w:highlight w:val="white"/>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rFonts w:ascii="Times New Roman" w:hAnsi="Times New Roman" w:eastAsia="Times New Roman" w:cs="Times New Roman"/>
          <w:color w:val="000000" w:themeColor="text1"/>
          <w:spacing w:val="-4"/>
          <w:sz w:val="24"/>
          <w:szCs w:val="24"/>
        </w:rPr>
        <w:t xml:space="preserve">:</w:t>
      </w:r>
      <w:r>
        <w:rPr>
          <w:rFonts w:ascii="Times New Roman" w:hAnsi="Times New Roman" w:eastAsia="Times New Roman" w:cs="Times New Roman"/>
          <w:color w:val="000000" w:themeColor="text1"/>
          <w:spacing w:val="-4"/>
          <w:sz w:val="24"/>
          <w:szCs w:val="24"/>
          <w:lang w:val="vi-VN"/>
        </w:rPr>
        <w:t xml:space="preserve"> </w:t>
      </w:r>
      <w:r>
        <w:rPr>
          <w:rFonts w:ascii="Times New Roman" w:hAnsi="Times New Roman" w:eastAsia="Times New Roman" w:cs="Times New Roman"/>
          <w:color w:val="000000" w:themeColor="text1"/>
          <w:spacing w:val="3"/>
          <w:sz w:val="24"/>
          <w:szCs w:val="24"/>
          <w:highlight w:val="white"/>
        </w:rPr>
        <w:t xml:space="preserve">275/2026/0586/VFI-HĐTĐ.53.A</w:t>
      </w:r>
      <w:r>
        <w:rPr>
          <w:spacing w:val="-4"/>
          <w:lang w:val="vi-VN"/>
        </w:rPr>
        <w:t xml:space="preserve"> ký ngày </w:t>
      </w:r>
      <w:r>
        <w:rPr>
          <w:color w:val="000000" w:themeColor="text1"/>
          <w:spacing w:val="-4"/>
        </w:rPr>
        <w:t xml:space="preserve">3 tháng 4 năm 2026</w:t>
      </w:r>
      <w:r>
        <w:rPr>
          <w:spacing w:val="-4"/>
          <w:lang w:val="vi-VN"/>
        </w:rPr>
        <w:t xml:space="preserve"> </w:t>
      </w:r>
      <w:r>
        <w:rPr>
          <w:spacing w:val="-4"/>
          <w:lang w:val="vi-VN"/>
        </w:rPr>
        <w:t xml:space="preserve">giữa </w:t>
      </w:r>
      <w:r>
        <w:rPr>
          <w:b/>
          <w:lang w:val="pt-BR"/>
        </w:rPr>
        <w:t xml:space="preserve"> </w:t>
      </w:r>
      <w:r>
        <w:rPr>
          <w:rFonts w:ascii="Times New Roman Bold" w:hAnsi="Times New Roman Bold"/>
          <w:b w:val="0"/>
          <w:bCs w:val="0"/>
          <w:color w:val="000000" w:themeColor="text1"/>
          <w:lang w:val="pt-BR"/>
        </w:rPr>
        <w:t xml:space="preserve">NGÂN HÀNG NÔNG NGHIỆP VÀ PHÁT TRIỂN NÔNG THÔN VIỆT NAM- CHI NHÁNH THẠCH THẤT</w:t>
      </w:r>
      <w:r>
        <w:rPr>
          <w:b w:val="0"/>
          <w:bCs w:val="0"/>
          <w:highlight w:val="white"/>
        </w:rPr>
        <w:t xml:space="preserve"> </w:t>
      </w:r>
      <w:r>
        <w:rPr>
          <w:spacing w:val="-6"/>
          <w:highlight w:val="white"/>
        </w:rPr>
        <w:t xml:space="preserve">v</w:t>
      </w:r>
      <w:r>
        <w:rPr>
          <w:spacing w:val="-6"/>
          <w:highlight w:val="white"/>
        </w:rPr>
        <w:t xml:space="preserve">ới</w:t>
      </w:r>
      <w:r>
        <w:rPr>
          <w:spacing w:val="-6"/>
          <w:highlight w:val="white"/>
        </w:rPr>
        <w:t xml:space="preserve"> </w:t>
      </w:r>
      <w:r>
        <w:rPr>
          <w:spacing w:val="-6"/>
          <w:highlight w:val="white"/>
        </w:rPr>
        <w:t xml:space="preserve"> </w:t>
      </w:r>
      <w:r>
        <w:rPr>
          <w:color w:val="000000" w:themeColor="text1"/>
          <w:spacing w:val="-4"/>
          <w:highlight w:val="white"/>
          <w:lang w:val="vi-VN"/>
        </w:rPr>
        <w:t xml:space="preserve">Công ty Cổ p</w:t>
      </w:r>
      <w:r>
        <w:rPr>
          <w:rFonts w:ascii="Times New Roman" w:hAnsi="Times New Roman" w:eastAsia="Times New Roman" w:cs="Times New Roman"/>
          <w:color w:val="000000" w:themeColor="text1"/>
          <w:spacing w:val="-4"/>
          <w:sz w:val="24"/>
          <w:szCs w:val="24"/>
          <w:highlight w:val="white"/>
          <w:lang w:val="vi-VN"/>
        </w:rPr>
        <w:t xml:space="preserve">h</w:t>
      </w:r>
      <w:r>
        <w:rPr>
          <w:rFonts w:ascii="Times New Roman" w:hAnsi="Times New Roman" w:eastAsia="Times New Roman" w:cs="Times New Roman"/>
          <w:color w:val="000000" w:themeColor="text1"/>
          <w:spacing w:val="-4"/>
          <w:sz w:val="24"/>
          <w:szCs w:val="24"/>
          <w:highlight w:val="white"/>
          <w:lang w:val="vi-VN"/>
        </w:rPr>
        <w:t xml:space="preserve">ần Thẩm định và Đầu tư Tài chính Hoa Sen</w:t>
      </w:r>
      <w:r>
        <w:rPr>
          <w:rFonts w:ascii="Times New Roman" w:hAnsi="Times New Roman" w:eastAsia="Times New Roman" w:cs="Times New Roman"/>
          <w:color w:val="000000" w:themeColor="text1"/>
          <w:spacing w:val="-4"/>
          <w:sz w:val="24"/>
          <w:szCs w:val="24"/>
          <w:highlight w:val="white"/>
        </w:rPr>
        <w:t xml:space="preserve">;</w:t>
      </w:r>
      <w:r>
        <w:rPr>
          <w:rFonts w:ascii="Times New Roman" w:hAnsi="Times New Roman" w:cs="Times New Roman"/>
          <w:color w:val="000000" w:themeColor="text1"/>
          <w:spacing w:val="-4"/>
          <w:sz w:val="24"/>
          <w:szCs w:val="24"/>
          <w:highlight w:val="white"/>
        </w:rPr>
      </w:r>
      <w:r>
        <w:rPr>
          <w:rFonts w:ascii="Times New Roman" w:hAnsi="Times New Roman" w:cs="Times New Roman"/>
          <w:color w:val="000000" w:themeColor="text1"/>
          <w:spacing w:val="-4"/>
          <w:sz w:val="24"/>
          <w:szCs w:val="24"/>
          <w:highlight w:val="white"/>
        </w:rPr>
      </w:r>
    </w:p>
    <w:p>
      <w:pPr>
        <w:pBdr/>
        <w:spacing w:after="120" w:before="120" w:line="288" w:lineRule="auto"/>
        <w:ind w:firstLine="432"/>
        <w:jc w:val="both"/>
        <w:rPr>
          <w:spacing w:val="-2"/>
        </w:rPr>
      </w:pPr>
      <w:r>
        <w:rPr>
          <w:rFonts w:ascii="Times New Roman" w:hAnsi="Times New Roman" w:eastAsia="Times New Roman" w:cs="Times New Roman"/>
          <w:color w:val="000000" w:themeColor="text1"/>
          <w:spacing w:val="-2"/>
          <w:sz w:val="24"/>
          <w:szCs w:val="24"/>
          <w:highlight w:val="white"/>
          <w:lang w:val="pt-BR"/>
        </w:rPr>
        <w:t xml:space="preserve">Căn cứ Báo cáo thẩm định giá số</w:t>
      </w:r>
      <w:r>
        <w:rPr>
          <w:rFonts w:ascii="Times New Roman" w:hAnsi="Times New Roman" w:eastAsia="Times New Roman" w:cs="Times New Roman"/>
          <w:color w:val="000000" w:themeColor="text1"/>
          <w:spacing w:val="-2"/>
          <w:sz w:val="24"/>
          <w:szCs w:val="24"/>
          <w:highlight w:val="white"/>
          <w:lang w:val="vi-VN"/>
        </w:rPr>
        <w:t xml:space="preserve"> </w:t>
      </w:r>
      <w:r>
        <w:rPr>
          <w:rFonts w:ascii="Times New Roman" w:hAnsi="Times New Roman" w:eastAsia="Times New Roman" w:cs="Times New Roman"/>
          <w:color w:val="000000" w:themeColor="text1"/>
          <w:spacing w:val="3"/>
          <w:sz w:val="24"/>
          <w:szCs w:val="24"/>
          <w:highlight w:val="white"/>
        </w:rPr>
        <w:t xml:space="preserve">275/2026/05786/VFI-BC.53.A</w:t>
      </w:r>
      <w:r>
        <w:rPr>
          <w:rFonts w:ascii="Times New Roman" w:hAnsi="Times New Roman" w:eastAsia="Times New Roman" w:cs="Times New Roman"/>
          <w:spacing w:val="-2"/>
          <w:sz w:val="24"/>
          <w:szCs w:val="24"/>
          <w:highlight w:val="white"/>
          <w:lang w:val="pt-BR"/>
        </w:rPr>
        <w:t xml:space="preserve"> </w:t>
      </w:r>
      <w:r>
        <w:rPr>
          <w:spacing w:val="-2"/>
          <w:highlight w:val="white"/>
          <w:lang w:val="pt-BR"/>
        </w:rPr>
        <w:t xml:space="preserve">ngày</w:t>
      </w:r>
      <w:r>
        <w:rPr>
          <w:spacing w:val="-2"/>
          <w:highlight w:val="white"/>
          <w:lang w:val="vi-VN"/>
        </w:rPr>
        <w:t xml:space="preserve"> </w:t>
      </w:r>
      <w:r>
        <w:rPr>
          <w:color w:val="000000" w:themeColor="text1"/>
          <w:spacing w:val="-2"/>
          <w:highlight w:val="white"/>
        </w:rPr>
        <w:t xml:space="preserve">15 tháng 4 năm 2026</w:t>
      </w:r>
      <w:r>
        <w:rPr>
          <w:spacing w:val="-2"/>
          <w:highlight w:val="white"/>
          <w:lang w:val="vi-VN"/>
        </w:rPr>
        <w:t xml:space="preserve"> </w:t>
      </w:r>
      <w:r>
        <w:rPr>
          <w:spacing w:val="-2"/>
          <w:highlight w:val="white"/>
          <w:lang w:val="pt-BR"/>
        </w:rPr>
        <w:t xml:space="preserve">củ</w:t>
      </w:r>
      <w:r>
        <w:rPr>
          <w:spacing w:val="-2"/>
          <w:lang w:val="pt-BR"/>
        </w:rPr>
        <w:t xml:space="preserve">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Style w:val="1063"/>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2296"/>
        <w:gridCol w:w="283"/>
        <w:gridCol w:w="6946"/>
      </w:tblGrid>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MST/CMTND/CCCD:</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0100686174-385</w:t>
            </w:r>
            <w:r/>
          </w:p>
        </w:tc>
      </w:tr>
      <w:tr>
        <w:trPr>
          <w:trHeight w:val="357"/>
        </w:trPr>
        <w:tc>
          <w:tcPr>
            <w:shd w:val="clear" w:color="ffffff" w:fill="ffffff"/>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both"/>
              <w:rPr/>
            </w:pPr>
            <w:r>
              <w:rPr>
                <w:rFonts w:ascii="Times New Roman" w:hAnsi="Times New Roman" w:eastAsia="Times New Roman" w:cs="Times New Roman"/>
                <w:color w:val="000000"/>
                <w:sz w:val="24"/>
              </w:rPr>
              <w:t xml:space="preserve">Địa chỉ</w:t>
            </w:r>
            <w:r/>
          </w:p>
        </w:tc>
        <w:tc>
          <w:tcPr>
            <w:shd w:val="clear" w:color="ffffff" w:fill="ffffff"/>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center"/>
              <w:rPr/>
            </w:pPr>
            <w:r>
              <w:rPr>
                <w:rFonts w:ascii="Times New Roman" w:hAnsi="Times New Roman" w:eastAsia="Times New Roman" w:cs="Times New Roman"/>
                <w:color w:val="000000"/>
                <w:sz w:val="24"/>
              </w:rPr>
              <w:t xml:space="preserve"> </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Kiểu Văn Thắng</w:t>
            </w:r>
            <w:r/>
          </w:p>
        </w:tc>
      </w:tr>
      <w:tr>
        <w:trPr>
          <w:trHeight w:val="20"/>
        </w:trPr>
        <w:tc>
          <w:tcPr>
            <w:tcBorders/>
            <w:tcMar>
              <w:left w:w="108" w:type="dxa"/>
              <w:top w:w="0" w:type="dxa"/>
              <w:right w:w="108" w:type="dxa"/>
              <w:bottom w:w="0" w:type="dxa"/>
            </w:tcMar>
            <w:tcW w:w="229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Chức vụ</w:t>
            </w:r>
            <w:r/>
          </w:p>
        </w:tc>
        <w:tc>
          <w:tcPr>
            <w:tcBorders/>
            <w:tcMar>
              <w:left w:w="108" w:type="dxa"/>
              <w:top w:w="0" w:type="dxa"/>
              <w:right w:w="108" w:type="dxa"/>
              <w:bottom w:w="0" w:type="dxa"/>
            </w:tcMar>
            <w:tcW w:w="283"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6946"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1218, tờ bản đồ số: 14 có địa chỉ: N21-LK01, Khu đô thị mới tại lô đất N1+ N3 thuộc Khu đô thị Quốc Oai, xã Quốc Oai, thàn</w:t>
      </w:r>
      <w:r>
        <w:rPr>
          <w:color w:val="000000" w:themeColor="text1"/>
        </w:rPr>
        <w:t xml:space="preserve">h phố Hà Nộ</w:t>
      </w:r>
      <w:r>
        <w:rPr>
          <w:color w:val="000000" w:themeColor="text1"/>
          <w:highlight w:val="white"/>
        </w:rPr>
        <w:t xml:space="preserve">i </w:t>
      </w:r>
      <w:r>
        <w:rPr>
          <w:color w:val="000000" w:themeColor="text1"/>
          <w:highlight w:val="white"/>
        </w:rPr>
        <w:t xml:space="preserve">(N</w:t>
      </w:r>
      <w:r>
        <w:rPr>
          <w:color w:val="000000" w:themeColor="text1"/>
          <w:highlight w:val="white"/>
        </w:rPr>
        <w:t xml:space="preserve">a</w:t>
      </w:r>
      <w:r>
        <w:rPr>
          <w:color w:val="000000" w:themeColor="text1"/>
        </w:rPr>
        <w:t xml:space="preserve">y 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04/2026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t</w:t>
      </w:r>
      <w:r>
        <w:rPr>
          <w:bCs/>
          <w:color w:val="000000" w:themeColor="text1"/>
          <w:lang w:val="nl-NL"/>
        </w:rPr>
        <w:t xml:space="preserve">háng 04/2026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6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04"/>
        <w:gridCol w:w="2693"/>
        <w:gridCol w:w="1418"/>
        <w:gridCol w:w="1559"/>
        <w:gridCol w:w="1418"/>
        <w:gridCol w:w="1723"/>
      </w:tblGrid>
      <w:tr>
        <w:trPr>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highlight w:val="white"/>
              </w:rPr>
            </w:pPr>
            <w:r>
              <w:rPr>
                <w:rFonts w:ascii="Times New Roman" w:hAnsi="Times New Roman" w:eastAsia="Times New Roman" w:cs="Times New Roman"/>
                <w:b/>
                <w:color w:val="000000"/>
                <w:sz w:val="24"/>
                <w:highlight w:val="white"/>
              </w:rPr>
              <w:t xml:space="preserve"> </w:t>
            </w:r>
            <w:r>
              <w:rPr>
                <w:highlight w:val="white"/>
              </w:rPr>
            </w:r>
            <w:r>
              <w:rPr>
                <w:highlight w:val="white"/>
              </w:rP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0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60" w:lineRule="auto"/>
              <w:ind w:right="0" w:firstLine="0" w:left="0"/>
              <w:jc w:val="both"/>
              <w:rPr>
                <w:highlight w:val="white"/>
              </w:rPr>
            </w:pPr>
            <w:r>
              <w:rPr>
                <w:rFonts w:ascii="Times New Roman" w:hAnsi="Times New Roman" w:eastAsia="Times New Roman" w:cs="Times New Roman"/>
                <w:b/>
                <w:color w:val="000000"/>
                <w:sz w:val="24"/>
                <w:highlight w:val="white"/>
              </w:rPr>
            </w:r>
            <w:r>
              <w:rPr>
                <w:rFonts w:ascii="Times New Roman" w:hAnsi="Times New Roman" w:eastAsia="Times New Roman" w:cs="Times New Roman"/>
                <w:b/>
                <w:color w:val="000000"/>
                <w:sz w:val="24"/>
                <w:highlight w:val="white"/>
              </w:rPr>
              <w:t xml:space="preserve">Quyền sử dụng đất và tài sản gắn liền v</w:t>
            </w:r>
            <w:r>
              <w:rPr>
                <w:rFonts w:ascii="Times New Roman" w:hAnsi="Times New Roman" w:eastAsia="Times New Roman" w:cs="Times New Roman"/>
                <w:b/>
                <w:color w:val="000000"/>
                <w:sz w:val="24"/>
                <w:highlight w:val="white"/>
              </w:rPr>
              <w:t xml:space="preserve">ới đất tại thửa đất số: 739, tờ bản đồ số 06 có địa chỉ: Xóm 2, Thôn Đông Lao, xã Đông La, huyện Hoài Đức, Thành phố Hà Nội theo Giấy chứng nhận quyền sử dụng đất, quyền sở hữu tài sản gắn liền với đất  số: AA</w:t>
            </w:r>
            <w:r>
              <w:rPr>
                <w:rFonts w:ascii="Times New Roman" w:hAnsi="Times New Roman" w:eastAsia="Times New Roman" w:cs="Times New Roman"/>
                <w:b/>
                <w:color w:val="000000"/>
                <w:sz w:val="24"/>
                <w:highlight w:val="white"/>
              </w:rPr>
              <w:t xml:space="preserve"> 00662082, số vào sổ cấp GCN: CN 1061 do Chi nhánh văn phòng đăng ký đất đai Hà Nội, huyện Hoài Đức cấp ngày 08/4/2025; Chủ sử dụng đất là Ông Nguyễn Văn Canh và vợ Bà Nguyễn Thị Đào.</w:t>
            </w:r>
            <w:r>
              <w:rPr>
                <w:highlight w:val="white"/>
              </w:rPr>
            </w:r>
            <w:r>
              <w:rPr>
                <w:highlight w:val="white"/>
              </w:rP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right"/>
              <w:rPr/>
            </w:pPr>
            <w:r>
              <w:rPr>
                <w:rFonts w:ascii="Times New Roman" w:hAnsi="Times New Roman" w:eastAsia="Times New Roman" w:cs="Times New Roman"/>
                <w:b/>
                <w:color w:val="000000"/>
                <w:sz w:val="24"/>
              </w:rPr>
              <w:t xml:space="preserve">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01</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spacing w:after="40" w:before="40" w:line="240" w:lineRule="auto"/>
              <w:ind/>
              <w:rPr>
                <w:b w:val="0"/>
                <w:bCs w:val="0"/>
              </w:rPr>
            </w:pPr>
            <w:r>
              <w:rPr>
                <w:b w:val="0"/>
                <w:bCs w:val="0"/>
              </w:rPr>
              <w:t xml:space="preserve">Quyền sử dụng đất ở tại đô thị</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418" w:type="dxa"/>
            <w:vAlign w:val="center"/>
            <w:textDirection w:val="lrTb"/>
            <w:noWrap/>
          </w:tcPr>
          <w:p>
            <w:pPr>
              <w:pBdr/>
              <w:spacing w:after="40" w:before="40" w:line="240" w:lineRule="auto"/>
              <w:ind/>
              <w:jc w:val="center"/>
              <w:rPr>
                <w:color w:val="000000"/>
              </w:rPr>
            </w:pPr>
            <w:r>
              <w:rPr>
                <w:color w:val="000000" w:themeColor="text1"/>
              </w:rPr>
              <w:t xml:space="preserve">152</w:t>
            </w:r>
            <w:r>
              <w:rPr>
                <w:color w:val="000000"/>
              </w:rPr>
            </w:r>
            <w:r>
              <w:rPr>
                <w:color w:val="000000"/>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40" w:before="40" w:line="240" w:lineRule="auto"/>
              <w:ind/>
              <w:jc w:val="center"/>
              <w:rPr/>
            </w:pPr>
            <w:r>
              <w:rPr>
                <w:color w:val="000000" w:themeColor="text1"/>
              </w:rPr>
              <w:t xml:space="preserve">130.000.000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100%</w:t>
            </w:r>
            <w:r>
              <w:rPr>
                <w:rFonts w:ascii="Times New Roman" w:hAnsi="Times New Roman" w:eastAsia="Times New Roman" w:cs="Times New Roman"/>
                <w:sz w:val="24"/>
              </w:rPr>
            </w:r>
            <w:r>
              <w:rPr>
                <w:rFonts w:ascii="Times New Roman" w:hAnsi="Times New Roman" w:eastAsia="Times New Roman" w:cs="Times New Roman"/>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19.760.000.000 </w:t>
            </w:r>
            <w:r/>
          </w:p>
        </w:tc>
      </w:tr>
      <w:tr>
        <w:trPr>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70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40" w:lineRule="auto"/>
              <w:ind w:right="0" w:firstLine="0" w:left="0"/>
              <w:jc w:val="center"/>
              <w:rPr>
                <w:rFonts w:ascii="Times New Roman" w:hAnsi="Times New Roman" w:eastAsia="Times New Roman" w:cs="Times New Roman"/>
                <w:b w:val="0"/>
                <w:bCs w:val="0"/>
                <w:sz w:val="24"/>
              </w:rPr>
            </w:pPr>
            <w:r>
              <w:rPr>
                <w:rFonts w:ascii="Times New Roman" w:hAnsi="Times New Roman" w:eastAsia="Times New Roman" w:cs="Times New Roman"/>
                <w:b w:val="0"/>
                <w:bCs w:val="0"/>
                <w:color w:val="000000"/>
                <w:sz w:val="24"/>
              </w:rPr>
              <w:t xml:space="preserve">02</w:t>
            </w:r>
            <w:r>
              <w:rPr>
                <w:rFonts w:ascii="Times New Roman" w:hAnsi="Times New Roman" w:eastAsia="Times New Roman" w:cs="Times New Roman"/>
                <w:b w:val="0"/>
                <w:bCs w:val="0"/>
                <w:sz w:val="24"/>
              </w:rPr>
            </w:r>
            <w:r>
              <w:rPr>
                <w:rFonts w:ascii="Times New Roman" w:hAnsi="Times New Roman" w:eastAsia="Times New Roman" w:cs="Times New Roman"/>
                <w:b w:val="0"/>
                <w:bCs w:val="0"/>
                <w:sz w:val="24"/>
              </w:rPr>
            </w:r>
          </w:p>
        </w:tc>
        <w:tc>
          <w:tcPr>
            <w:shd w:val="clear" w:color="ffffff" w:fill="ffffff"/>
            <w:tcBorders>
              <w:bottom w:val="single" w:color="000000" w:sz="8" w:space="0"/>
              <w:right w:val="single" w:color="000000" w:sz="8" w:space="0"/>
            </w:tcBorders>
            <w:tcMar>
              <w:left w:w="0" w:type="dxa"/>
              <w:top w:w="0" w:type="dxa"/>
              <w:right w:w="0" w:type="dxa"/>
              <w:bottom w:w="0" w:type="dxa"/>
            </w:tcMar>
            <w:tcW w:w="2693" w:type="dxa"/>
            <w:vAlign w:val="center"/>
            <w:textDirection w:val="lrTb"/>
            <w:noWrap w:val="false"/>
          </w:tcPr>
          <w:p>
            <w:pPr>
              <w:pBdr/>
              <w:spacing w:after="40" w:before="40" w:line="240" w:lineRule="auto"/>
              <w:ind/>
              <w:rPr>
                <w:b w:val="0"/>
                <w:bCs w:val="0"/>
              </w:rPr>
            </w:pPr>
            <w:r>
              <w:rPr>
                <w:b w:val="0"/>
                <w:bCs w:val="0"/>
              </w:rPr>
              <w:t xml:space="preserve">Nhà liền kề 4 tầng, xây thô</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418" w:type="dxa"/>
            <w:vAlign w:val="center"/>
            <w:textDirection w:val="lrTb"/>
            <w:noWrap/>
          </w:tcPr>
          <w:p>
            <w:pPr>
              <w:pBdr/>
              <w:spacing w:after="40" w:before="40" w:line="240" w:lineRule="auto"/>
              <w:ind/>
              <w:jc w:val="center"/>
              <w:rPr>
                <w:color w:val="000000" w:themeColor="text1"/>
              </w:rPr>
            </w:pPr>
            <w:r>
              <w:rPr>
                <w:color w:val="000000" w:themeColor="text1"/>
              </w:rPr>
              <w:t xml:space="preserve">345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4.232.021 </w:t>
            </w:r>
            <w:r/>
          </w:p>
        </w:tc>
        <w:tc>
          <w:tcPr>
            <w:shd w:val="clear" w:color="ffffff" w:fill="ffffff"/>
            <w:tcBorders>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1.314.042.521 </w:t>
            </w:r>
            <w:r/>
          </w:p>
        </w:tc>
      </w:tr>
      <w:tr>
        <w:trPr>
          <w:trHeight w:val="512"/>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79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TỔNG CỘNG</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2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21.074.042.521</w:t>
            </w:r>
            <w:r>
              <w:rPr>
                <w:rFonts w:ascii="Times New Roman" w:hAnsi="Times New Roman" w:eastAsia="Times New Roman" w:cs="Times New Roman"/>
                <w:color w:val="000000"/>
                <w:sz w:val="24"/>
              </w:rPr>
              <w:t xml:space="preserve"> </w:t>
            </w:r>
            <w:r/>
          </w:p>
        </w:tc>
      </w:tr>
      <w:tr>
        <w:trPr>
          <w:trHeight w:val="2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79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LÀM TRÒN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bottom w:val="single" w:color="000000" w:sz="8" w:space="0"/>
              <w:right w:val="single" w:color="000000" w:sz="8" w:space="0"/>
            </w:tcBorders>
            <w:tcMar>
              <w:left w:w="0" w:type="dxa"/>
              <w:top w:w="0" w:type="dxa"/>
              <w:right w:w="0" w:type="dxa"/>
              <w:bottom w:w="0" w:type="dxa"/>
            </w:tcMar>
            <w:tcW w:w="172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4"/>
              </w:rPr>
              <w:t xml:space="preserve">   </w:t>
            </w:r>
            <w:r>
              <w:rPr>
                <w:rFonts w:ascii="Times New Roman" w:hAnsi="Times New Roman" w:eastAsia="Times New Roman" w:cs="Times New Roman"/>
                <w:b/>
                <w:bCs/>
                <w:color w:val="000000"/>
                <w:sz w:val="24"/>
              </w:rPr>
              <w:t xml:space="preserve">21.074.000.000</w:t>
            </w:r>
            <w:r>
              <w:rPr>
                <w:rFonts w:ascii="Times New Roman" w:hAnsi="Times New Roman" w:eastAsia="Times New Roman" w:cs="Times New Roman"/>
                <w:color w:val="000000"/>
                <w:sz w:val="24"/>
              </w:rPr>
              <w:t xml:space="preserve"> </w:t>
            </w:r>
            <w:r/>
          </w:p>
        </w:tc>
      </w:tr>
      <w:tr>
        <w:trPr>
          <w:trHeight w:val="2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5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40" w:lineRule="auto"/>
              <w:ind w:right="0" w:firstLine="0" w:left="0"/>
              <w:jc w:val="center"/>
              <w:rPr>
                <w:rFonts w:ascii="Times New Roman" w:hAnsi="Times New Roman" w:eastAsia="Times New Roman" w:cs="Times New Roman"/>
                <w:sz w:val="24"/>
              </w:rPr>
            </w:pPr>
            <w:r>
              <w:rPr>
                <w:rFonts w:ascii="Times New Roman" w:hAnsi="Times New Roman" w:eastAsia="Times New Roman" w:cs="Times New Roman"/>
                <w:b/>
                <w:i/>
                <w:color w:val="000000"/>
                <w:sz w:val="24"/>
              </w:rPr>
              <w:t xml:space="preserve">(Bằng chữ: Hai mươi mốt tỷ, bảy mươi bốn triệu đồng chẵn./.)</w:t>
            </w:r>
            <w:r>
              <w:rPr>
                <w:rFonts w:ascii="Times New Roman" w:hAnsi="Times New Roman" w:eastAsia="Times New Roman" w:cs="Times New Roman"/>
                <w:sz w:val="24"/>
              </w:rPr>
            </w:r>
            <w:r>
              <w:rPr>
                <w:rFonts w:ascii="Times New Roman" w:hAnsi="Times New Roman" w:eastAsia="Times New Roman" w:cs="Times New Roman"/>
                <w:sz w:val="24"/>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tiết như Báo cáo kèm theo.</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344" w:type="dxa"/>
        <w:tblBorders/>
        <w:tblLayout w:type="fixed"/>
        <w:tblLook w:val="04A0" w:firstRow="1" w:lastRow="0" w:firstColumn="1" w:lastColumn="0" w:noHBand="0" w:noVBand="1"/>
      </w:tblPr>
      <w:tblGrid>
        <w:gridCol w:w="856"/>
        <w:gridCol w:w="590"/>
        <w:gridCol w:w="8898"/>
      </w:tblGrid>
      <w:tr>
        <w:trPr>
          <w:trHeight w:val="1843"/>
        </w:trPr>
        <w:tc>
          <w:tcPr>
            <w:gridSpan w:val="2"/>
            <w:tcBorders/>
            <w:tcW w:w="144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889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4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9488" w:type="dxa"/>
            <w:textDirection w:val="lrTb"/>
            <w:noWrap w:val="false"/>
          </w:tcPr>
          <w:p>
            <w:pPr>
              <w:pStyle w:val="1058"/>
              <w:pBdr/>
              <w:spacing w:after="60"/>
              <w:ind/>
              <w:rPr>
                <w:color w:val="000000" w:themeColor="text1"/>
                <w:sz w:val="24"/>
                <w:szCs w:val="24"/>
              </w:rPr>
            </w:pPr>
            <w:r>
              <w:rPr>
                <w:rStyle w:val="1057"/>
                <w:rFonts w:ascii="Times New Roman" w:hAnsi="Times New Roman"/>
                <w:color w:val="000000" w:themeColor="text1"/>
                <w:lang w:val="pt-BR"/>
              </w:rPr>
              <w:t xml:space="preserve">S</w:t>
            </w:r>
            <w:r>
              <w:rPr>
                <w:rStyle w:val="1057"/>
                <w:rFonts w:ascii="Times New Roman" w:hAnsi="Times New Roman"/>
                <w:color w:val="000000" w:themeColor="text1"/>
                <w:highlight w:val="white"/>
                <w:lang w:val="pt-BR"/>
              </w:rPr>
              <w:t xml:space="preserve">ố:</w:t>
            </w:r>
            <w:r>
              <w:rPr>
                <w:rStyle w:val="1057"/>
                <w:rFonts w:ascii="Times New Roman" w:hAnsi="Times New Roman"/>
                <w:color w:val="000000" w:themeColor="text1"/>
                <w:highlight w:val="white"/>
                <w:lang w:val="pt-BR"/>
              </w:rPr>
              <w:t xml:space="preserve"> </w:t>
            </w:r>
            <w:r>
              <w:rPr>
                <w:rFonts w:ascii="Times New Roman" w:hAnsi="Times New Roman" w:eastAsia="Times New Roman" w:cs="Times New Roman"/>
                <w:color w:val="000000" w:themeColor="text1"/>
                <w:spacing w:val="3"/>
                <w:sz w:val="24"/>
                <w:szCs w:val="24"/>
                <w:highlight w:val="white"/>
              </w:rPr>
              <w:t xml:space="preserve">275/2026/05786/VFI-BC.53.A</w:t>
            </w:r>
            <w:r>
              <w:rPr>
                <w:color w:val="000000" w:themeColor="text1"/>
                <w:sz w:val="24"/>
                <w:szCs w:val="24"/>
              </w:rPr>
            </w:r>
            <w:r>
              <w:rPr>
                <w:color w:val="000000" w:themeColor="text1"/>
                <w:sz w:val="24"/>
                <w:szCs w:val="24"/>
              </w:rPr>
            </w:r>
          </w:p>
          <w:p>
            <w:pPr>
              <w:pStyle w:val="1058"/>
              <w:pBdr/>
              <w:spacing w:after="60"/>
              <w:ind w:right="-56"/>
              <w:jc w:val="center"/>
              <w:rPr>
                <w:color w:val="000000" w:themeColor="text1"/>
                <w:sz w:val="24"/>
                <w:szCs w:val="24"/>
                <w:lang w:val="vi-VN"/>
              </w:rPr>
            </w:pPr>
            <w:r>
              <w:rPr>
                <w:rStyle w:val="1057"/>
                <w:rFonts w:ascii="Times New Roman" w:hAnsi="Times New Roman"/>
                <w:i/>
                <w:color w:val="auto"/>
              </w:rPr>
              <w:t xml:space="preserve">                                                     TP. Hà Nội</w:t>
            </w:r>
            <w:r>
              <w:rPr>
                <w:rStyle w:val="1057"/>
                <w:rFonts w:ascii="Times New Roman" w:hAnsi="Times New Roman"/>
                <w:i/>
                <w:color w:val="auto"/>
                <w:lang w:val="vi-VN"/>
              </w:rPr>
              <w:t xml:space="preserve">, </w:t>
            </w:r>
            <w:r>
              <w:rPr>
                <w:rStyle w:val="1057"/>
                <w:rFonts w:ascii="Times New Roman" w:hAnsi="Times New Roman"/>
                <w:i/>
                <w:color w:val="000000" w:themeColor="text1"/>
                <w:lang w:val="vi-VN"/>
              </w:rPr>
              <w:t xml:space="preserve">ng</w:t>
            </w:r>
            <w:r>
              <w:rPr>
                <w:rStyle w:val="1057"/>
                <w:rFonts w:ascii="Times New Roman" w:hAnsi="Times New Roman"/>
                <w:i/>
                <w:color w:val="000000" w:themeColor="text1"/>
                <w:lang w:val="vi-VN"/>
              </w:rPr>
              <w:t xml:space="preserve">ày 15 tháng 4 năm</w:t>
            </w:r>
            <w:r>
              <w:rPr>
                <w:rStyle w:val="1057"/>
                <w:rFonts w:ascii="Times New Roman" w:hAnsi="Times New Roman"/>
                <w:i/>
                <w:color w:val="000000" w:themeColor="text1"/>
                <w:lang w:val="vi-VN"/>
              </w:rPr>
              <w:t xml:space="preserve">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590" w:type="dxa"/>
            <w:textDirection w:val="lrTb"/>
            <w:noWrap w:val="false"/>
          </w:tcPr>
          <w:p>
            <w:pPr>
              <w:pStyle w:val="1058"/>
              <w:pBdr/>
              <w:spacing w:after="60"/>
              <w:ind/>
              <w:rPr>
                <w:rStyle w:val="1057"/>
                <w:rFonts w:ascii="Times New Roman" w:hAnsi="Times New Roman"/>
                <w:color w:val="000000" w:themeColor="text1"/>
                <w:lang w:val="pt-BR"/>
              </w:rPr>
            </w:pPr>
            <w:r>
              <w:rPr>
                <w:rStyle w:val="1057"/>
                <w:rFonts w:ascii="Times New Roman" w:hAnsi="Times New Roman"/>
                <w:color w:val="000000" w:themeColor="text1"/>
                <w:lang w:val="pt-BR"/>
              </w:rPr>
            </w:r>
            <w:r>
              <w:rPr>
                <w:rStyle w:val="1057"/>
                <w:rFonts w:ascii="Times New Roman" w:hAnsi="Times New Roman"/>
                <w:color w:val="000000" w:themeColor="text1"/>
                <w:lang w:val="pt-BR"/>
              </w:rPr>
            </w:r>
            <w:r>
              <w:rPr>
                <w:rStyle w:val="1057"/>
                <w:rFonts w:ascii="Times New Roman" w:hAnsi="Times New Roman"/>
                <w:color w:val="000000" w:themeColor="text1"/>
                <w:lang w:val="pt-BR"/>
              </w:rPr>
            </w:r>
          </w:p>
        </w:tc>
        <w:tc>
          <w:tcPr>
            <w:shd w:val="clear" w:color="auto" w:fill="auto"/>
            <w:tcBorders/>
            <w:tcMar>
              <w:left w:w="108" w:type="dxa"/>
              <w:top w:w="0" w:type="dxa"/>
              <w:right w:w="108" w:type="dxa"/>
              <w:bottom w:w="0" w:type="dxa"/>
            </w:tcMar>
            <w:tcW w:w="8898" w:type="dxa"/>
            <w:textDirection w:val="lrTb"/>
            <w:noWrap w:val="false"/>
          </w:tcPr>
          <w:p>
            <w:pPr>
              <w:pStyle w:val="1058"/>
              <w:pBdr/>
              <w:spacing w:after="60"/>
              <w:ind w:right="-56"/>
              <w:rPr>
                <w:rStyle w:val="1057"/>
                <w:rFonts w:ascii="Times New Roman" w:hAnsi="Times New Roman"/>
                <w:i/>
                <w:color w:val="auto"/>
              </w:rPr>
            </w:pPr>
            <w:r>
              <w:rPr>
                <w:rFonts w:ascii="Times New Roman" w:hAnsi="Times New Roman"/>
                <w:i/>
                <w:color w:val="auto"/>
              </w:rPr>
            </w:r>
            <w:r>
              <w:rPr>
                <w:rStyle w:val="1057"/>
                <w:rFonts w:ascii="Times New Roman" w:hAnsi="Times New Roman"/>
                <w:i/>
                <w:color w:val="auto"/>
              </w:rPr>
            </w:r>
            <w:r>
              <w:rPr>
                <w:rStyle w:val="1057"/>
                <w:rFonts w:ascii="Times New Roman" w:hAnsi="Times New Roman"/>
                <w:i/>
                <w:color w:val="auto"/>
              </w:rPr>
            </w:r>
          </w:p>
        </w:tc>
      </w:tr>
    </w:tbl>
    <w:p>
      <w:pPr>
        <w:pStyle w:val="105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3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w:t>
      </w:r>
      <w:r>
        <w:rPr>
          <w:b w:val="0"/>
          <w:i/>
          <w:spacing w:val="-6"/>
          <w:sz w:val="24"/>
          <w:szCs w:val="24"/>
          <w:highlight w:val="white"/>
          <w:lang w:val="pt-BR"/>
        </w:rPr>
        <w:t xml:space="preserve">iá số:</w:t>
      </w:r>
      <w:r>
        <w:rPr>
          <w:b w:val="0"/>
          <w:i/>
          <w:spacing w:val="-6"/>
          <w:sz w:val="24"/>
          <w:szCs w:val="24"/>
          <w:highlight w:val="white"/>
          <w:lang w:val="pt-BR"/>
        </w:rPr>
        <w:t xml:space="preserve"> </w:t>
      </w:r>
      <w:r>
        <w:rPr>
          <w:rFonts w:ascii="Times New Roman" w:hAnsi="Times New Roman" w:eastAsia="Times New Roman" w:cs="Times New Roman"/>
          <w:b w:val="0"/>
          <w:bCs w:val="0"/>
          <w:color w:val="000000" w:themeColor="text1"/>
          <w:spacing w:val="3"/>
          <w:sz w:val="24"/>
          <w:szCs w:val="24"/>
          <w:highlight w:val="white"/>
        </w:rPr>
        <w:t xml:space="preserve">275/2026/05786/VFI-CT.</w:t>
      </w:r>
      <w:r>
        <w:rPr>
          <w:rFonts w:ascii="Times New Roman" w:hAnsi="Times New Roman" w:eastAsia="Times New Roman" w:cs="Times New Roman"/>
          <w:b w:val="0"/>
          <w:bCs w:val="0"/>
          <w:color w:val="000000" w:themeColor="text1"/>
          <w:spacing w:val="3"/>
          <w:sz w:val="24"/>
          <w:szCs w:val="24"/>
          <w:highlight w:val="white"/>
        </w:rPr>
        <w:t xml:space="preserve">5</w:t>
      </w:r>
      <w:r>
        <w:rPr>
          <w:rFonts w:ascii="Times New Roman" w:hAnsi="Times New Roman" w:eastAsia="Times New Roman" w:cs="Times New Roman"/>
          <w:b w:val="0"/>
          <w:bCs w:val="0"/>
          <w:color w:val="000000" w:themeColor="text1"/>
          <w:spacing w:val="3"/>
          <w:sz w:val="24"/>
          <w:szCs w:val="24"/>
          <w:highlight w:val="white"/>
        </w:rPr>
        <w:t xml:space="preserve">3.A</w:t>
      </w:r>
      <w:r>
        <w:rPr>
          <w:b w:val="0"/>
          <w:i/>
          <w:color w:val="000000" w:themeColor="text1"/>
          <w:spacing w:val="-6"/>
          <w:sz w:val="24"/>
          <w:szCs w:val="24"/>
          <w:highlight w:val="white"/>
          <w:lang w:val="pt-BR"/>
        </w:rPr>
        <w:t xml:space="preserve"> </w:t>
      </w:r>
      <w:r>
        <w:rPr>
          <w:b w:val="0"/>
          <w:i/>
          <w:color w:val="000000" w:themeColor="text1"/>
          <w:spacing w:val="-6"/>
          <w:sz w:val="24"/>
          <w:szCs w:val="24"/>
          <w:highlight w:val="white"/>
          <w:lang w:val="pt-BR"/>
        </w:rPr>
        <w:t xml:space="preserve">ng</w:t>
      </w:r>
      <w:r>
        <w:rPr>
          <w:b w:val="0"/>
          <w:i/>
          <w:color w:val="000000" w:themeColor="text1"/>
          <w:spacing w:val="-6"/>
          <w:sz w:val="24"/>
          <w:szCs w:val="24"/>
          <w:lang w:val="pt-BR"/>
        </w:rPr>
        <w:t xml:space="preserve">ày 15 tháng 4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3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5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Tên khách hàng</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pacing w:val="-8"/>
                <w:sz w:val="24"/>
              </w:rPr>
              <w:t xml:space="preserve">NGÂN HÀNG NÔNG NGHIỆP VÀ PHÁT TRIỂN NÔNG THÔN VIỆT NAM- CHI NHÁNH THẠCH THẤT</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MST/CMTND/CCCD:</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0100686174-385</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both"/>
              <w:rPr/>
            </w:pPr>
            <w:r>
              <w:rPr>
                <w:rFonts w:ascii="Times New Roman" w:hAnsi="Times New Roman" w:eastAsia="Times New Roman" w:cs="Times New Roman"/>
                <w:color w:val="000000"/>
                <w:sz w:val="24"/>
              </w:rPr>
              <w:t xml:space="preserve">Địa chỉ</w:t>
            </w:r>
            <w:r/>
          </w:p>
        </w:tc>
        <w:tc>
          <w:tcPr>
            <w:tcBorders/>
            <w:tcW w:w="284"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40" w:before="40" w:line="274" w:lineRule="auto"/>
              <w:ind w:right="0" w:firstLine="0" w:left="0"/>
              <w:jc w:val="center"/>
              <w:rPr/>
            </w:pPr>
            <w:r>
              <w:rPr>
                <w:rFonts w:ascii="Times New Roman" w:hAnsi="Times New Roman" w:eastAsia="Times New Roman" w:cs="Times New Roman"/>
                <w:color w:val="000000"/>
                <w:sz w:val="24"/>
              </w:rPr>
              <w:t xml:space="preserve"> </w:t>
            </w: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color w:val="000000"/>
                <w:sz w:val="24"/>
              </w:rPr>
              <w:t xml:space="preserve">Đường 419, xã Thạch Thất, Thành phố Hà Nội (địa chỉ cũ: Đường 419, TT Liên Quan, Huyện Thạch Thất, Thành phố Hà Nội)</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Ông Kiểu Văn Thắng</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both"/>
              <w:rPr/>
            </w:pPr>
            <w:r>
              <w:rPr>
                <w:rFonts w:ascii="Times New Roman" w:hAnsi="Times New Roman" w:eastAsia="Times New Roman" w:cs="Times New Roman"/>
                <w:color w:val="000000"/>
                <w:sz w:val="24"/>
              </w:rPr>
              <w:t xml:space="preserve">Chức vụ</w:t>
            </w:r>
            <w:r/>
          </w:p>
        </w:tc>
        <w:tc>
          <w:tcPr>
            <w:tcBorders/>
            <w:tcW w:w="284"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74" w:lineRule="auto"/>
              <w:ind w:right="0" w:firstLine="0" w:left="0"/>
              <w:jc w:val="center"/>
              <w:rPr/>
            </w:pPr>
            <w:r>
              <w:rPr>
                <w:rFonts w:ascii="Times New Roman" w:hAnsi="Times New Roman" w:eastAsia="Times New Roman" w:cs="Times New Roman"/>
                <w:color w:val="000000"/>
                <w:sz w:val="24"/>
              </w:rPr>
              <w:t xml:space="preserve">:</w:t>
            </w: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40" w:before="40" w:line="288" w:lineRule="auto"/>
              <w:ind w:right="0" w:firstLine="0" w:left="0"/>
              <w:rPr/>
            </w:pPr>
            <w:r>
              <w:rPr>
                <w:rFonts w:ascii="Times New Roman" w:hAnsi="Times New Roman" w:eastAsia="Times New Roman" w:cs="Times New Roman"/>
                <w:b/>
                <w:color w:val="000000"/>
                <w:sz w:val="24"/>
              </w:rPr>
              <w:t xml:space="preserve">Giám đốc</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1218, tờ bản đồ số: 14 có địa chỉ: N21-LK01, Khu đô thị mới tại lô đất N1+ N3 thuộc Khu đô thị Quốc Oai, xã Quốc Oai, thàn</w:t>
            </w:r>
            <w:r>
              <w:rPr>
                <w:bCs/>
                <w:color w:val="000000" w:themeColor="text1"/>
                <w:lang w:val="pt-BR"/>
              </w:rPr>
              <w:t xml:space="preserve">h phố Hà Nội ( Nay 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04/2026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Quốc Oai,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3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(21.013222222222, 105.64213888889)</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5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04/2026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5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5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5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59"/>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 Giá số 16/2023/QH15 ngày 19/6/2023;</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5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5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5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5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5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5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spacing w:val="-4"/>
          <w:highlight w:val="white"/>
          <w14:ligatures w14:val="none"/>
        </w:rPr>
      </w:pPr>
      <w:r>
        <w:rPr>
          <w:spacing w:val="-4"/>
          <w:highlight w:val="white"/>
          <w:lang w:val="pt-BR"/>
        </w:rPr>
        <w:t xml:space="preserve">Quyết định số 425/QĐ-BXD ngày 31/03/2026 của Bộ Xây dựng về việc Công bố suất vốn đầu tư xây dựng công trình và giá xây dựng tổng hợp bộ phận kết cấu công trình năm 2025;</w:t>
      </w:r>
      <w:r>
        <w:rPr>
          <w:spacing w:val="-4"/>
          <w:highlight w:val="white"/>
          <w14:ligatures w14:val="none"/>
        </w:rPr>
      </w:r>
      <w:r>
        <w:rPr>
          <w:spacing w:val="-4"/>
          <w:highlight w:val="white"/>
          <w14:ligatures w14:val="none"/>
        </w:rPr>
      </w:r>
    </w:p>
    <w:p>
      <w:pPr>
        <w:pStyle w:val="1059"/>
        <w:numPr>
          <w:ilvl w:val="0"/>
          <w:numId w:val="1"/>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spacing w:val="-4"/>
          <w:lang w:val="pt-BR"/>
          <w14:ligatures w14:val="none"/>
        </w:rPr>
      </w:pPr>
      <w:r>
        <w:rPr>
          <w:spacing w:val="-4"/>
          <w:lang w:val="pt-BR"/>
        </w:rPr>
        <w:t xml:space="preserve">Công văn số 1326/BXD-QLN của Bộ Xây dựng ban hành ngày 08/8/2011 về việc hướng dẫn kiểm kê, đánh giá lại giá trị tài sản cố định là nhà, vật kiến trúc;</w:t>
      </w:r>
      <w:r>
        <w:rPr>
          <w:spacing w:val="-4"/>
          <w:lang w:val="pt-BR"/>
          <w14:ligatures w14:val="none"/>
        </w:rPr>
      </w:r>
      <w:r>
        <w:rPr>
          <w:spacing w:val="-4"/>
          <w:lang w:val="pt-BR"/>
          <w14:ligatures w14:val="none"/>
        </w:rPr>
      </w:r>
    </w:p>
    <w:p>
      <w:pPr>
        <w:pStyle w:val="1059"/>
        <w:numPr>
          <w:ilvl w:val="0"/>
          <w:numId w:val="1"/>
        </w:numPr>
        <w:pBdr/>
        <w:tabs>
          <w:tab w:val="left" w:leader="none" w:pos="993"/>
        </w:tabs>
        <w:spacing w:after="120" w:before="120" w:line="276" w:lineRule="auto"/>
        <w:ind/>
        <w:jc w:val="both"/>
        <w:rPr>
          <w:spacing w:val="-4"/>
          <w:lang w:val="pt-BR"/>
          <w14:ligatures w14:val="none"/>
        </w:rPr>
      </w:pPr>
      <w:r>
        <w:rPr>
          <w:spacing w:val="-4"/>
          <w:lang w:val="pt-BR"/>
        </w:rPr>
        <w:t xml:space="preserve">Và các văn bản pháp luật có liên quan khác.</w:t>
      </w:r>
      <w:r>
        <w:rPr>
          <w:spacing w:val="-4"/>
          <w:lang w:val="pt-BR"/>
          <w14:ligatures w14:val="none"/>
        </w:rPr>
      </w:r>
      <w:r>
        <w:rPr>
          <w:spacing w:val="-4"/>
          <w:lang w:val="pt-BR"/>
          <w14:ligatures w14:val="none"/>
        </w:rPr>
      </w:r>
    </w:p>
    <w:p>
      <w:pPr>
        <w:pStyle w:val="105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5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5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06888030, số vào sổ cấp GCN: VP 67034 do Văn phòng Đăng ký đất đai Hà Nội  cấp ngày 25/3/2026 cho Ông Nguyễn Văn Dũng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59"/>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color w:val="000000" w:themeColor="text1"/>
          <w:lang w:val="pt-BR"/>
          <w14:ligatures w14:val="none"/>
        </w:rPr>
      </w:pPr>
      <w:r>
        <w:rPr>
          <w:color w:val="000000" w:themeColor="text1"/>
          <w:lang w:val="pt-BR"/>
        </w:rPr>
        <w:t xml:space="preserve">Hợp đồng số </w:t>
      </w:r>
      <w:r>
        <w:rPr>
          <w:color w:val="000000" w:themeColor="text1"/>
          <w:lang w:val="pt-BR"/>
        </w:rPr>
        <w:t xml:space="preserve">275/2026/0586/VFI-HĐTĐ.53.A</w:t>
      </w:r>
      <w:r>
        <w:rPr>
          <w:color w:val="000000" w:themeColor="text1"/>
          <w:lang w:val="pt-BR"/>
        </w:rPr>
        <w:t xml:space="preserve"> ngày 03/04/2026 giữa </w:t>
      </w:r>
      <w:r>
        <w:rPr>
          <w:color w:val="000000" w:themeColor="text1"/>
          <w:lang w:val="pt-BR"/>
        </w:rPr>
        <w:t xml:space="preserve">Ngân Hàng Nông Nghiệp Và Phát Triển Nông Thôn Việt Nam- Chi Nhánh Thạch Thất </w:t>
      </w:r>
      <w:r>
        <w:rPr>
          <w:color w:val="000000" w:themeColor="text1"/>
          <w:lang w:val="pt-BR"/>
        </w:rPr>
        <w:t xml:space="preserve">với Công ty Cổ phần Thẩm định và Đầu tư Tài chính Hoa Sen.</w:t>
      </w:r>
      <w:r>
        <w:rPr>
          <w:color w:val="000000" w:themeColor="text1"/>
          <w:lang w:val="pt-BR"/>
          <w14:ligatures w14:val="none"/>
        </w:rPr>
      </w:r>
      <w:r>
        <w:rPr>
          <w:color w:val="000000" w:themeColor="text1"/>
          <w:lang w:val="pt-BR"/>
          <w14:ligatures w14:val="none"/>
        </w:rPr>
      </w:r>
    </w:p>
    <w:p>
      <w:pPr>
        <w:pStyle w:val="105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highlight w:val="none"/>
          <w:lang w:val="pt-BR"/>
        </w:rPr>
      </w:pPr>
      <w:r>
        <w:rPr>
          <w:b/>
          <w:bCs/>
          <w:lang w:val="pt-BR"/>
        </w:rPr>
        <w:t xml:space="preserve">III</w:t>
      </w:r>
      <w:r>
        <w:rPr>
          <w:b/>
          <w:bCs/>
          <w:lang w:val="pt-BR"/>
        </w:rPr>
        <w:t xml:space="preserve">. TỔNG QUAN VỀ THỊ TRƯỜNG CỦA TÀI SẢN THẨM ĐỊNH GIÁ</w:t>
      </w:r>
      <w:r>
        <w:rPr>
          <w:b/>
          <w:bCs/>
          <w:highlight w:val="none"/>
          <w:lang w:val="pt-BR"/>
        </w:rPr>
      </w:r>
      <w:r>
        <w:rPr>
          <w:b/>
          <w:bCs/>
          <w:highlight w:val="none"/>
          <w:lang w:val="pt-BR"/>
        </w:rPr>
      </w:r>
    </w:p>
    <w:p>
      <w:pPr>
        <w:pBdr/>
        <w:tabs>
          <w:tab w:val="left" w:leader="none" w:pos="993"/>
        </w:tabs>
        <w:spacing w:after="120" w:before="120" w:line="380" w:lineRule="atLeast"/>
        <w:ind/>
        <w:jc w:val="both"/>
        <w:rPr>
          <w:rFonts w:ascii="Times New Roman" w:hAnsi="Times New Roman" w:cs="Times New Roman"/>
          <w:b/>
          <w:bCs/>
          <w:color w:val="000000" w:themeColor="text1"/>
          <w:sz w:val="24"/>
          <w:szCs w:val="24"/>
          <w:highlight w:val="none"/>
        </w:rPr>
      </w:pPr>
      <w:r>
        <w:rPr>
          <w:rFonts w:ascii="Times New Roman" w:hAnsi="Times New Roman" w:eastAsia="Times New Roman" w:cs="Times New Roman"/>
          <w:b/>
          <w:b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Sau khi thực hiện việc sắp xếp lại đơn vị hành chính theo Nghị quyết của Ủy ban Thường vụ Quốc hội, huyện Quốc Oai (Hà Nội) đang bước vào giai đoạn quy hoạch mới. Quy hoạch lần này không chỉ nhằm đáp ứng yêu cầu phát triển bền vững mà còn hướng đến việc nâ</w:t>
      </w:r>
      <w:r>
        <w:rPr>
          <w:rFonts w:ascii="Times New Roman" w:hAnsi="Times New Roman" w:eastAsia="Times New Roman" w:cs="Times New Roman"/>
          <w:color w:val="000000" w:themeColor="text1"/>
          <w:sz w:val="24"/>
          <w:szCs w:val="24"/>
        </w:rPr>
        <w:t xml:space="preserve">ng cao chất lượng sống cho người dân, khai thác hiệu quả tiềm năng vùng ven đô và bảo tồn các giá trị văn hóa lịch sử đặc trưng của địa phương. Bài viết dưới đây sẽ cung cấp cái nhìn tổng quan và cập nhật chi tiết về quy hoạch huyện Quốc Oai đến năm 2030, </w:t>
      </w:r>
      <w:r>
        <w:rPr>
          <w:rFonts w:ascii="Times New Roman" w:hAnsi="Times New Roman" w:eastAsia="Times New Roman" w:cs="Times New Roman"/>
          <w:color w:val="000000" w:themeColor="text1"/>
          <w:sz w:val="24"/>
          <w:szCs w:val="24"/>
        </w:rPr>
        <w:t xml:space="preserve">tầm nhìn 2050.</w:t>
      </w:r>
      <w:r>
        <w:rPr>
          <w:rFonts w:ascii="Times New Roman" w:hAnsi="Times New Roman" w:cs="Times New Roman"/>
          <w:b/>
          <w:bCs/>
          <w:color w:val="000000" w:themeColor="text1"/>
          <w:sz w:val="24"/>
          <w:szCs w:val="24"/>
          <w:highlight w:val="none"/>
        </w:rPr>
      </w:r>
      <w:r>
        <w:rPr>
          <w:rFonts w:ascii="Times New Roman" w:hAnsi="Times New Roman" w:cs="Times New Roman"/>
          <w:b/>
          <w:bCs/>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Thị trấn Quốc Oai được xác định là trung tâm hành chính - chính trị của huyện, nơi tập trung các cơ quan công quyền, dịch vụ công cộng và các hoạt động thương mại. Khu vực này đang được quy hoạch để phát triển hạ tầng đô thị hiện đại, đáp ứng nhu cầu dân c</w:t>
      </w:r>
      <w:r>
        <w:rPr>
          <w:rFonts w:ascii="Times New Roman" w:hAnsi="Times New Roman" w:eastAsia="Times New Roman" w:cs="Times New Roman"/>
          <w:color w:val="000000" w:themeColor="text1"/>
          <w:sz w:val="24"/>
          <w:szCs w:val="24"/>
        </w:rPr>
        <w:t xml:space="preserve">ư và tạo điều kiện thuận lợi cho các hoạt động kinh tế - xã hội.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Các xã Sài Sơn, Phượng Cách và Yên Sơn nằm trong vùng quy hoạch phát triển đô thị sinh thái và dịch vụ. Đặc biệt, khu vực này bao gồm di tích chùa Thầy và núi đá Sài Sơn, đã được quy hoạch với diện tích khoảng 98,3 ha để bảo tồn và phát triển du lịch văn h</w:t>
      </w:r>
      <w:r>
        <w:rPr>
          <w:rFonts w:ascii="Times New Roman" w:hAnsi="Times New Roman" w:eastAsia="Times New Roman" w:cs="Times New Roman"/>
          <w:color w:val="000000" w:themeColor="text1"/>
          <w:sz w:val="24"/>
          <w:szCs w:val="24"/>
        </w:rPr>
        <w:t xml:space="preserve">óa - tâm linh, kết hợp với các khu đô thị mới và dịch vụ thương mại.</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Huyện Quốc Oai đang đẩy mạnh phát triển các cụm công nghiệp tại các xã Ngọc Liệp, Ngọc Mỹ và Liệp Tuyết. Cụ thể, dự án Cụm công nghiệp Ngọc Liệp (phần mở rộng) có quy mô khoảng 9,8 ha với tổng mức đầu tư khoảng 209 tỷ đồng, được định hướng là cụm công nghi</w:t>
      </w:r>
      <w:r>
        <w:rPr>
          <w:rFonts w:ascii="Times New Roman" w:hAnsi="Times New Roman" w:eastAsia="Times New Roman" w:cs="Times New Roman"/>
          <w:color w:val="000000" w:themeColor="text1"/>
          <w:sz w:val="24"/>
          <w:szCs w:val="24"/>
        </w:rPr>
        <w:t xml:space="preserve">ệp đa ngành nghề. Ngoài ra, huyện đặt mục tiêu đến năm 2025 sẽ hoàn thành và đưa vào hoạt động 5 cụm công nghiệp, bao gồm Ngọc Mỹ - Thạch Thán, Tân Hòa, Nghĩa Hương, Liệp Tuyết và Ngọc Liệp.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0"/>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Sau khi quy hoạch huyện Quốc Oai được công bố và triển khai, thị trường bất động sản tại đây đang mở ra nhiều cơ hội hấp dẫn cho nhà đầu tư. Thứ nhất, kế hoạch sử dụng đất năm 2025 với 126 dự án trên hơn 1.000 ha được phê duyệt đã giúp thị trường minh bạch</w:t>
      </w:r>
      <w:r>
        <w:rPr>
          <w:rFonts w:ascii="Times New Roman" w:hAnsi="Times New Roman" w:eastAsia="Times New Roman" w:cs="Times New Roman"/>
          <w:color w:val="000000" w:themeColor="text1"/>
          <w:sz w:val="24"/>
          <w:szCs w:val="24"/>
        </w:rPr>
        <w:t xml:space="preserve"> hơn, tạo nền tảng pháp lý rõ ràng cho việc đầu tư dài hạn.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Thứ hai, hệ thống hạ tầng giao thông đang được tập trung phát triển với nhiều tuyến đường mới, đê kết hợp đường giao thông, và kết nối mạnh mẽ với đô thị vệ tinh Hòa Lạc nơi tập trung các trường đại học, viện nghiên cứu và khu công nghệ cao. Bên cạnh đó, Q</w:t>
      </w:r>
      <w:r>
        <w:rPr>
          <w:rFonts w:ascii="Times New Roman" w:hAnsi="Times New Roman" w:eastAsia="Times New Roman" w:cs="Times New Roman"/>
          <w:color w:val="000000" w:themeColor="text1"/>
          <w:sz w:val="24"/>
          <w:szCs w:val="24"/>
        </w:rPr>
        <w:t xml:space="preserve">uốc Oai còn được đánh giá là “cửa ngõ phía Tây” Hà Nội, đóng vai trò cầu nối giữa nội đô và các vùng phát triển năng động, giúp gia tăng giá trị bất động sản theo thời gian.</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thị trường cũng tồn tại những rủi ro nhất định. Việc giá đất tăng nhanh chóng trong thời gian ngắn, đặc biệt tại các phiên đấu giá, có thể tạo nên hiện tượng sốt ảo hoặc "bong bóng" nếu không được kiểm soát. Một số khu vực vẫn còn vướng mắc pháp</w:t>
      </w:r>
      <w:r>
        <w:rPr>
          <w:rFonts w:ascii="Times New Roman" w:hAnsi="Times New Roman" w:eastAsia="Times New Roman" w:cs="Times New Roman"/>
          <w:color w:val="000000" w:themeColor="text1"/>
          <w:sz w:val="24"/>
          <w:szCs w:val="24"/>
        </w:rPr>
        <w:t xml:space="preserve"> lý, quy hoạch chưa đồng bộ hoặc chưa có hạ tầng kỹ thuật hoàn thiện, dễ khiến nhà đầu tư rơi vào thế bị động.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Ngoài ra, tâm lý đầu tư theo phong trào, đặc biệt từ các nhà đầu tư cá nhân thiếu kinh nghiệm, cũng có thể dẫn đến các quyết định thiếu cân nhắc và rủi ro về thanh khoản. Vì vậy, để tối ưu hóa cơ hội và giảm thiểu rủi ro, nhà đầu tư cần thẩm định kỹ lưỡng </w:t>
      </w:r>
      <w:r>
        <w:rPr>
          <w:rFonts w:ascii="Times New Roman" w:hAnsi="Times New Roman" w:eastAsia="Times New Roman" w:cs="Times New Roman"/>
          <w:color w:val="000000" w:themeColor="text1"/>
          <w:sz w:val="24"/>
          <w:szCs w:val="24"/>
        </w:rPr>
        <w:t xml:space="preserve">quy hoạch, chọn đúng thời điểm và ưu tiên khu vực đã rõ pháp lý, có tiềm năng phát triển thực chất.</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jc w:val="both"/>
        <w:rPr>
          <w:rFonts w:ascii="Times New Roman" w:hAnsi="Times New Roman" w:eastAsia="Times New Roman" w:cs="Times New Roman"/>
          <w:color w:val="000000" w:themeColor="text1"/>
          <w:sz w:val="24"/>
          <w:szCs w:val="24"/>
          <w:highlight w:val="none"/>
        </w:rPr>
      </w:pPr>
      <w:r>
        <w:rPr>
          <w:rFonts w:ascii="Times New Roman" w:hAnsi="Times New Roman" w:eastAsia="Times New Roman" w:cs="Times New Roman"/>
          <w:color w:val="000000" w:themeColor="text1"/>
          <w:sz w:val="24"/>
          <w:szCs w:val="24"/>
        </w:rPr>
        <w:t xml:space="preserve">Từ một vùng bán sơn địa phía Tây Hà Nội, quy hoạch huyện Quốc Oai dần khẳng định vai trò là cực tăng trưởng mới, kết nối chặt chẽ với đô thị vệ tinh Hòa Lạc và các khu vực trọng điểm của Thủ đô. Với nền tảng quy hoạch rõ ràng, các dự án đầu tư đồng bộ và t</w:t>
      </w:r>
      <w:r>
        <w:rPr>
          <w:rFonts w:ascii="Times New Roman" w:hAnsi="Times New Roman" w:eastAsia="Times New Roman" w:cs="Times New Roman"/>
          <w:color w:val="000000" w:themeColor="text1"/>
          <w:sz w:val="24"/>
          <w:szCs w:val="24"/>
        </w:rPr>
        <w:t xml:space="preserve">ầm nhìn dài hạn, Quốc Oai được kỳ vọng sẽ trở thành một đô thị vệ tinh năng động, hiện đại, phát triển bền vững trong tương lai gần.</w:t>
      </w:r>
      <w:r>
        <w:rPr>
          <w:rFonts w:ascii="Times New Roman" w:hAnsi="Times New Roman" w:eastAsia="Times New Roman" w:cs="Times New Roman"/>
          <w:color w:val="000000" w:themeColor="text1"/>
          <w:sz w:val="24"/>
          <w:szCs w:val="24"/>
          <w:highlight w:val="none"/>
        </w:rPr>
      </w:r>
      <w:r>
        <w:rPr>
          <w:rFonts w:ascii="Times New Roman" w:hAnsi="Times New Roman" w:eastAsia="Times New Roman" w:cs="Times New Roman"/>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bCs/>
          <w:i/>
          <w:color w:val="000000" w:themeColor="text1"/>
          <w:sz w:val="24"/>
          <w:szCs w:val="24"/>
          <w:u w:val="single"/>
        </w:rPr>
      </w:pPr>
      <w:r>
        <w:rPr>
          <w:rFonts w:ascii="Times New Roman" w:hAnsi="Times New Roman" w:eastAsia="Times New Roman" w:cs="Times New Roman"/>
          <w:i/>
          <w:iCs/>
          <w:color w:val="000000" w:themeColor="text1"/>
          <w:sz w:val="24"/>
          <w:szCs w:val="24"/>
          <w:highlight w:val="none"/>
          <w:u w:val="single"/>
        </w:rPr>
        <w:t xml:space="preserve">(Nguồn:</w:t>
      </w:r>
      <w:r>
        <w:rPr>
          <w:rFonts w:ascii="Times New Roman" w:hAnsi="Times New Roman" w:eastAsia="Times New Roman" w:cs="Times New Roman"/>
          <w:i/>
          <w:iCs/>
          <w:color w:val="000000" w:themeColor="text1"/>
          <w:sz w:val="24"/>
          <w:szCs w:val="24"/>
          <w:highlight w:val="none"/>
          <w:u w:val="single"/>
        </w:rPr>
        <w:t xml:space="preserve">https://onehousing.vn/blog/quy-hoach-huyen-quoc-oai-ha-noi-sau-khi-sap-xep-lai-don-vi-hanh-chinh-n17t</w:t>
      </w:r>
      <w:r>
        <w:rPr>
          <w:rFonts w:ascii="Times New Roman" w:hAnsi="Times New Roman" w:eastAsia="Times New Roman" w:cs="Times New Roman"/>
          <w:i/>
          <w:iCs/>
          <w:color w:val="000000" w:themeColor="text1"/>
          <w:sz w:val="24"/>
          <w:szCs w:val="24"/>
          <w:highlight w:val="none"/>
          <w:u w:val="single"/>
        </w:rPr>
        <w:t xml:space="preserve">)</w:t>
      </w:r>
      <w:r>
        <w:rPr>
          <w:rFonts w:ascii="Times New Roman" w:hAnsi="Times New Roman" w:cs="Times New Roman"/>
          <w:bCs/>
          <w:i/>
          <w:color w:val="000000" w:themeColor="text1"/>
          <w:sz w:val="24"/>
          <w:szCs w:val="24"/>
          <w:u w:val="single"/>
        </w:rPr>
      </w:r>
      <w:r>
        <w:rPr>
          <w:rFonts w:ascii="Times New Roman" w:hAnsi="Times New Roman" w:cs="Times New Roman"/>
          <w:bCs/>
          <w:i/>
          <w:color w:val="000000" w:themeColor="text1"/>
          <w:sz w:val="24"/>
          <w:szCs w:val="24"/>
          <w:u w:val="single"/>
        </w:rPr>
      </w:r>
    </w:p>
    <w:p>
      <w:pPr>
        <w:pStyle w:val="105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1218, tờ bản đồ số: 14 có địa chỉ: N21-LK01, Khu đô thị mới tại lô đất N1+ N3 thuộc Khu đô thị Quốc Oai, xã Quốc Oai, thàn</w:t>
            </w:r>
            <w:r>
              <w:rPr>
                <w:b/>
                <w:bCs/>
                <w:color w:val="000000"/>
              </w:rPr>
              <w:t xml:space="preserve">h phố Hà Nội ( Nay 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1218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14</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Địa chỉ:</w:t>
            </w:r>
            <w:r>
              <w:rPr>
                <w:color w:val="000000"/>
                <w:highlight w:val="white"/>
              </w:rPr>
            </w:r>
            <w:r>
              <w:rPr>
                <w:color w:val="000000"/>
                <w:highlight w:val="white"/>
              </w:rPr>
            </w:r>
          </w:p>
        </w:tc>
        <w:tc>
          <w:tcPr>
            <w:gridSpan w:val="3"/>
            <w:tcBorders/>
            <w:tcW w:w="62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4"/>
                <w:highlight w:val="white"/>
              </w:rPr>
              <w:t xml:space="preserve">N21-LK01, Khu đô thị mới tại lô đất N1+ N3 thuộc Khu đô thị Quốc Oai, xã Quốc Oai, thành phố Hà Nội </w:t>
            </w:r>
            <w:r>
              <w:rPr>
                <w:rFonts w:ascii="Times New Roman" w:hAnsi="Times New Roman" w:eastAsia="Times New Roman" w:cs="Times New Roman"/>
                <w:color w:val="000000"/>
                <w:sz w:val="24"/>
                <w:highlight w:val="white"/>
              </w:rPr>
              <w:t xml:space="preserve">(</w:t>
            </w:r>
            <w:r>
              <w:rPr>
                <w:rFonts w:ascii="Times New Roman" w:hAnsi="Times New Roman" w:eastAsia="Times New Roman" w:cs="Times New Roman"/>
                <w:color w:val="000000"/>
                <w:sz w:val="24"/>
                <w:highlight w:val="white"/>
              </w:rPr>
              <w:t xml:space="preserve">n</w:t>
            </w:r>
            <w:r>
              <w:rPr>
                <w:rFonts w:ascii="Times New Roman" w:hAnsi="Times New Roman" w:eastAsia="Times New Roman" w:cs="Times New Roman"/>
                <w:color w:val="000000"/>
                <w:sz w:val="24"/>
                <w:highlight w:val="white"/>
              </w:rPr>
              <w:t xml:space="preserve">ay là xã Quốc Oai, Thành phố Hà Nội)</w:t>
            </w:r>
            <w:r>
              <w:rPr>
                <w:highlight w:val="white"/>
              </w:rPr>
            </w:r>
            <w:r>
              <w:rPr>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152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152 m2</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Ghi chú</w:t>
            </w:r>
            <w:r>
              <w:rPr>
                <w:color w:val="000000"/>
              </w:rPr>
            </w:r>
            <w:r>
              <w:rPr>
                <w:color w:val="000000"/>
              </w:rPr>
            </w:r>
          </w:p>
        </w:tc>
        <w:tc>
          <w:tcPr>
            <w:gridSpan w:val="3"/>
            <w:tcBorders/>
            <w:tcW w:w="6259" w:type="dxa"/>
            <w:vAlign w:val="center"/>
            <w:textDirection w:val="lrTb"/>
            <w:noWrap w:val="false"/>
          </w:tcPr>
          <w:p>
            <w:pPr>
              <w:pStyle w:val="1059"/>
              <w:numPr>
                <w:ilvl w:val="0"/>
                <w:numId w:val="39"/>
              </w:numPr>
              <w:pBdr/>
              <w:spacing/>
              <w:ind w:right="0" w:hanging="11" w:left="360"/>
              <w:jc w:val="left"/>
              <w:rPr>
                <w:color w:val="000000"/>
              </w:rPr>
            </w:pPr>
            <w:r>
              <w:rPr>
                <w:color w:val="000000"/>
              </w:rPr>
              <w:t xml:space="preserve">Số tờ, số thửa được xác định theo bản đồ địa hình xã Sài Sơn, huyện Quốc Oai (</w:t>
            </w:r>
            <w:r>
              <w:rPr>
                <w:color w:val="000000"/>
              </w:rPr>
              <w:t xml:space="preserve">cũ)                                                   -    Giấy chứng nhận này được cấp đổi từ Giấy chứng nhận quyền sở hữu đất, quyền sở hữu tài sản gắn liền với đất số AA 05988821 do Văn phòng Đăng ký đất đai Hà Nội cấp ngày 12/01/2026 do nhận tặng cho.</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Hướng Tây </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2 mặt đường, phố</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11</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11</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sản nằm tiếp giáp đường nội khu khu đô thị Sunny Garden City</w:t>
            </w:r>
            <w:r>
              <w:rPr>
                <w:color w:val="000000"/>
              </w:rPr>
            </w:r>
            <w:r>
              <w:rPr>
                <w:color w:val="000000"/>
              </w:rPr>
            </w:r>
          </w:p>
        </w:tc>
      </w:tr>
      <w:tr>
        <w:trPr>
          <w:trHeight w:val="23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 </w:t>
            </w:r>
            <w:r>
              <w:rPr>
                <w:color w:val="000000"/>
              </w:rPr>
            </w:r>
            <w:r>
              <w:rPr>
                <w:color w:val="000000"/>
              </w:rPr>
            </w:r>
          </w:p>
        </w:tc>
        <w:tc>
          <w:tcPr>
            <w:gridSpan w:val="3"/>
            <w:tcBorders/>
            <w:tcW w:w="6259" w:type="dxa"/>
            <w:vAlign w:val="center"/>
            <w:textDirection w:val="lrTb"/>
            <w:noWrap w:val="false"/>
          </w:tcPr>
          <w:p>
            <w:pPr>
              <w:pBdr/>
              <w:spacing/>
              <w:ind/>
              <w:rPr>
                <w:color w:val="auto"/>
                <w:highlight w:val="white"/>
              </w:rPr>
            </w:pPr>
            <w:r>
              <w:rPr>
                <w:color w:val="auto"/>
                <w:highlight w:val="white"/>
              </w:rPr>
              <w:t xml:space="preserve">-Hướng Tây: Tiếp giáp đường nội khu khu đô thị                                                                              - </w:t>
            </w:r>
            <w:r>
              <w:rPr>
                <w:color w:val="auto"/>
                <w:highlight w:val="white"/>
              </w:rPr>
              <w:t xml:space="preserve">Hướng Bắc : T</w:t>
            </w:r>
            <w:r>
              <w:rPr>
                <w:color w:val="auto"/>
                <w:highlight w:val="white"/>
              </w:rPr>
              <w:t xml:space="preserve">iếp giáp đường nội khu khu đô thị                       - Các hướng còn lại: Tiếp giáp các thửa đất khác.</w:t>
            </w:r>
            <w:r>
              <w:rPr>
                <w:color w:val="auto"/>
                <w:highlight w:val="white"/>
              </w:rPr>
            </w:r>
            <w:r>
              <w:rPr>
                <w:color w:val="auto"/>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21.013510429342478, 105.6420631981525</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5026520" cy="268866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640117" name=""/>
                              <pic:cNvPicPr>
                                <a:picLocks noChangeAspect="1"/>
                              </pic:cNvPicPr>
                              <pic:nvPr/>
                            </pic:nvPicPr>
                            <pic:blipFill rotWithShape="1">
                              <a:blip r:embed="rId17"/>
                              <a:stretch/>
                            </pic:blipFill>
                            <pic:spPr bwMode="auto">
                              <a:xfrm flipH="0" flipV="0">
                                <a:off x="0" y="0"/>
                                <a:ext cx="5026519" cy="26886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95.79pt;height:211.71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548"/>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Diện tích sử dụng riêng thực tế (m²):</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152</w:t>
            </w:r>
            <w:r>
              <w:rPr>
                <w:color w:val="000000"/>
                <w:highlight w:val="white"/>
              </w:rPr>
            </w:r>
            <w:r>
              <w:rPr>
                <w:color w:val="000000"/>
                <w:highlight w:val="white"/>
              </w:rPr>
            </w:r>
          </w:p>
        </w:tc>
        <w:tc>
          <w:tcPr>
            <w:tcBorders/>
            <w:tcW w:w="2126" w:type="dxa"/>
            <w:vAlign w:val="center"/>
            <w:textDirection w:val="lrTb"/>
            <w:noWrap w:val="false"/>
          </w:tcPr>
          <w:p>
            <w:pPr>
              <w:pBdr/>
              <w:spacing/>
              <w:ind/>
              <w:rPr>
                <w:color w:val="000000"/>
                <w:highlight w:val="white"/>
              </w:rPr>
            </w:pPr>
            <w:r>
              <w:rPr>
                <w:color w:val="000000"/>
                <w:highlight w:val="white"/>
              </w:rPr>
              <w:t xml:space="preserve">Diện tích sử dụng chung thực tế (m²):</w:t>
            </w:r>
            <w:r>
              <w:rPr>
                <w:color w:val="000000"/>
                <w:highlight w:val="white"/>
              </w:rPr>
            </w:r>
            <w:r>
              <w:rPr>
                <w:color w:val="000000"/>
                <w:highlight w:val="white"/>
              </w:rPr>
            </w:r>
          </w:p>
        </w:tc>
        <w:tc>
          <w:tcPr>
            <w:tcBorders/>
            <w:tcW w:w="2007" w:type="dxa"/>
            <w:vAlign w:val="center"/>
            <w:textDirection w:val="lrTb"/>
            <w:noWrap w:val="false"/>
          </w:tcPr>
          <w:p>
            <w:pPr>
              <w:pBdr/>
              <w:spacing/>
              <w:ind/>
              <w:jc w:val="center"/>
              <w:rPr>
                <w:color w:val="000000"/>
                <w:highlight w:val="white"/>
              </w:rPr>
            </w:pPr>
            <w:r>
              <w:rPr>
                <w:color w:val="000000" w:themeColor="text1"/>
                <w:highlight w:val="white"/>
              </w:rPr>
              <w:t xml:space="preserve">-</w:t>
            </w:r>
            <w:r>
              <w:rPr>
                <w:color w:val="000000"/>
                <w:highlight w:val="white"/>
              </w:rPr>
            </w:r>
            <w:r>
              <w:rPr>
                <w:color w:val="000000"/>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highlight w:val="white"/>
              </w:rPr>
            </w:pPr>
            <w:r>
              <w:rPr>
                <w:color w:val="000000"/>
                <w:highlight w:val="white"/>
              </w:rPr>
              <w:t xml:space="preserve">Mặt tiền (m):</w:t>
            </w:r>
            <w:r>
              <w:rPr>
                <w:color w:val="000000"/>
                <w:highlight w:val="white"/>
              </w:rPr>
            </w:r>
            <w:r>
              <w:rPr>
                <w:color w:val="000000"/>
                <w:highlight w:val="white"/>
              </w:rPr>
            </w:r>
          </w:p>
        </w:tc>
        <w:tc>
          <w:tcPr>
            <w:tcBorders/>
            <w:tcW w:w="2126" w:type="dxa"/>
            <w:vAlign w:val="center"/>
            <w:textDirection w:val="lrTb"/>
            <w:noWrap w:val="false"/>
          </w:tcPr>
          <w:p>
            <w:pPr>
              <w:pBdr/>
              <w:spacing/>
              <w:ind/>
              <w:jc w:val="center"/>
              <w:rPr>
                <w:color w:val="000000"/>
                <w:highlight w:val="white"/>
              </w:rPr>
            </w:pPr>
            <w:r>
              <w:rPr>
                <w:color w:val="000000" w:themeColor="text1"/>
                <w:highlight w:val="white"/>
              </w:rPr>
              <w:t xml:space="preserve">9,69</w:t>
            </w:r>
            <w:r>
              <w:rPr>
                <w:color w:val="000000"/>
                <w:highlight w:val="white"/>
              </w:rPr>
            </w:r>
            <w:r>
              <w:rPr>
                <w:color w:val="000000"/>
                <w:highlight w:val="white"/>
              </w:rPr>
            </w:r>
          </w:p>
        </w:tc>
        <w:tc>
          <w:tcPr>
            <w:tcBorders/>
            <w:tcW w:w="2126" w:type="dxa"/>
            <w:vAlign w:val="center"/>
            <w:textDirection w:val="lrTb"/>
            <w:noWrap w:val="false"/>
          </w:tcPr>
          <w:p>
            <w:pPr>
              <w:pBdr/>
              <w:spacing/>
              <w:ind/>
              <w:rPr>
                <w:highlight w:val="white"/>
              </w:rPr>
            </w:pPr>
            <w:r>
              <w:rPr>
                <w:highlight w:val="white"/>
              </w:rPr>
              <w:t xml:space="preserve">Chiều sâu (m): </w:t>
            </w:r>
            <w:r>
              <w:rPr>
                <w:highlight w:val="white"/>
              </w:rPr>
            </w:r>
            <w:r>
              <w:rPr>
                <w:highlight w:val="white"/>
              </w:rPr>
            </w:r>
          </w:p>
        </w:tc>
        <w:tc>
          <w:tcPr>
            <w:tcBorders/>
            <w:tcW w:w="2007" w:type="dxa"/>
            <w:vAlign w:val="center"/>
            <w:textDirection w:val="lrTb"/>
            <w:noWrap w:val="false"/>
          </w:tcPr>
          <w:p>
            <w:pPr>
              <w:pBdr/>
              <w:spacing/>
              <w:ind/>
              <w:jc w:val="center"/>
              <w:rPr>
                <w:color w:val="000000" w:themeColor="text1"/>
                <w:highlight w:val="white"/>
              </w:rPr>
            </w:pPr>
            <w:r>
              <w:rPr>
                <w:color w:val="000000" w:themeColor="text1"/>
                <w:highlight w:val="white"/>
              </w:rPr>
              <w:t xml:space="preserve">20,01</w:t>
            </w:r>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left"/>
              <w:rPr>
                <w:color w:val="000000"/>
                <w:highlight w:val="yellow"/>
              </w:rPr>
            </w:pPr>
            <w:r>
              <w:rPr>
                <w:color w:val="000000"/>
                <w:highlight w:val="none"/>
              </w:rPr>
              <w:t xml:space="preserve">Tương đối vuông vức</w:t>
            </w:r>
            <w:r>
              <w:rPr>
                <w:color w:val="000000"/>
                <w:highlight w:val="yellow"/>
              </w:rPr>
            </w:r>
            <w:r>
              <w:rPr>
                <w:color w:val="000000"/>
                <w:highlight w:val="yellow"/>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291"/>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ff0000"/>
              </w:rPr>
            </w:pPr>
            <w:r>
              <w:rPr>
                <w:color w:val="ff0000"/>
              </w:rPr>
              <w:t xml:space="preserve">Khu vực tập trung dân cư</w:t>
            </w:r>
            <w:r>
              <w:rPr>
                <w:color w:val="ff0000"/>
              </w:rPr>
            </w:r>
            <w:r>
              <w:rPr>
                <w:color w:val="ff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ff0000"/>
              </w:rPr>
            </w:pPr>
            <w:r>
              <w:rPr>
                <w:color w:val="ff0000"/>
              </w:rPr>
              <w:t xml:space="preserve">Ổn định</w:t>
            </w:r>
            <w:r>
              <w:rPr>
                <w:color w:val="ff0000"/>
              </w:rPr>
            </w:r>
            <w:r>
              <w:rPr>
                <w:color w:val="ff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Phù hợp để ở</w:t>
            </w:r>
            <w:r/>
            <w:r/>
            <w:r>
              <w:rPr>
                <w:color w:val="000000" w:themeColor="text1"/>
              </w:rPr>
            </w:r>
            <w:r>
              <w:rPr>
                <w:color w:val="000000" w:themeColor="text1"/>
              </w:rPr>
            </w: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:+ 01 nhà liền kề 4 tầng, tổng diện tích sàn xây dựng là 345m2. Xây thô, hoàn thiện mặt ngoài. Hiện công trình đã được chứng nhận trên GCN số </w:t>
            </w:r>
            <w:r>
              <w:rPr>
                <w:color w:val="000000"/>
              </w:rPr>
              <w:t xml:space="preserve">AA 06888030.</w:t>
            </w:r>
            <w:r>
              <w:rPr>
                <w:color w:val="000000"/>
              </w:rPr>
            </w:r>
            <w:r>
              <w:rPr>
                <w:color w:val="000000"/>
              </w:rPr>
            </w:r>
          </w:p>
        </w:tc>
      </w:tr>
    </w:tbl>
    <w:p>
      <w:pPr>
        <w:pBdr/>
        <w:spacing/>
        <w:ind/>
        <w:rPr>
          <w:b/>
          <w:bCs/>
        </w:rPr>
      </w:pPr>
      <w:r>
        <w:rPr>
          <w:b/>
          <w:bCs/>
        </w:rPr>
      </w:r>
      <w:r>
        <w:rPr>
          <w:b/>
          <w:bCs/>
        </w:rPr>
      </w:r>
      <w:r>
        <w:rPr>
          <w:b/>
          <w:bCs/>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S=0.5ha)&lt;5ha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highlight w:val="none"/>
          <w:u w:val="single"/>
        </w:rPr>
      </w:r>
      <w:r>
        <w:rPr>
          <w:b/>
          <w:bCs/>
          <w:u w:val="single"/>
        </w:rPr>
      </w:r>
      <w:r>
        <w:rPr>
          <w:b/>
          <w:bCs/>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p>
      <w:pPr>
        <w:pBdr/>
        <w:spacing w:line="235" w:lineRule="auto"/>
        <w:ind w:left="284"/>
        <w:jc w:val="both"/>
        <w:rPr>
          <w:b/>
          <w:bCs/>
          <w:highlight w:val="none"/>
          <w:u w:val="single"/>
        </w:rPr>
      </w:pPr>
      <w:r>
        <w:rPr>
          <w:b/>
          <w:bCs/>
          <w:highlight w:val="none"/>
          <w:u w:val="single"/>
        </w:rPr>
      </w:r>
      <w:r>
        <w:rPr>
          <w:b/>
          <w:bCs/>
          <w:highlight w:val="none"/>
          <w:u w:val="single"/>
        </w:rPr>
      </w:r>
      <w:r>
        <w:rPr>
          <w:b/>
          <w:bCs/>
          <w:highlight w:val="none"/>
          <w:u w:val="single"/>
        </w:rPr>
      </w:r>
    </w:p>
    <w:p>
      <w:pPr>
        <w:pBdr/>
        <w:spacing w:line="235" w:lineRule="auto"/>
        <w:ind w:left="284"/>
        <w:jc w:val="both"/>
        <w:rPr>
          <w:b/>
          <w:bCs/>
          <w:highlight w:val="none"/>
          <w:u w:val="single"/>
        </w:rPr>
      </w:pPr>
      <w:r>
        <w:rPr>
          <w:b/>
          <w:bCs/>
          <w:u w:val="single"/>
        </w:rPr>
        <w:t xml:space="preserve">Các </w:t>
      </w:r>
      <w:r>
        <w:rPr>
          <w:b/>
          <w:bCs/>
          <w:u w:val="single"/>
        </w:rPr>
        <w:t xml:space="preserve">bất lợi thương mại </w:t>
      </w:r>
      <w:r>
        <w:rPr>
          <w:b/>
          <w:bCs/>
          <w:u w:val="single"/>
        </w:rPr>
        <w:t xml:space="preserve">của thửa đất:</w:t>
      </w:r>
      <w:r>
        <w:rPr>
          <w:b/>
          <w:bCs/>
          <w:highlight w:val="none"/>
          <w:u w:val="single"/>
        </w:rPr>
      </w:r>
      <w:r>
        <w:rPr>
          <w:b/>
          <w:bCs/>
          <w:highlight w:val="none"/>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xung</w:t>
            </w:r>
            <w:r>
              <w:rPr>
                <w:lang w:eastAsia="ko-KR"/>
              </w:rPr>
              <w:t xml:space="preserve"> :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5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5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5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5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5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59"/>
        <w:numPr>
          <w:ilvl w:val="0"/>
          <w:numId w:val="55"/>
        </w:numPr>
        <w:pBdr/>
        <w:tabs>
          <w:tab w:val="left" w:leader="none" w:pos="993"/>
        </w:tabs>
        <w:spacing w:after="120" w:before="120" w:line="276" w:lineRule="auto"/>
        <w:ind w:right="0"/>
        <w:jc w:val="both"/>
        <w:rPr>
          <w:bCs/>
          <w:highlight w:val="white"/>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w:t>
      </w:r>
      <w:r>
        <w:rPr>
          <w:bCs/>
          <w:highlight w:val="white"/>
          <w:lang w:val="pt-BR"/>
        </w:rPr>
        <w:t xml:space="preserve">sản thẩm định giá với các tài sản so sánh đã có các thông tin về giá trên thị trường</w:t>
      </w:r>
      <w:r>
        <w:rPr>
          <w:bCs/>
          <w:highlight w:val="white"/>
          <w:lang w:val="pt-BR"/>
        </w:rPr>
        <w:t xml:space="preserve">.</w:t>
      </w:r>
      <w:r>
        <w:rPr>
          <w:bCs/>
          <w:highlight w:val="white"/>
        </w:rPr>
      </w:r>
      <w:r>
        <w:rPr>
          <w:bCs/>
          <w:highlight w:val="white"/>
        </w:rPr>
      </w:r>
    </w:p>
    <w:p>
      <w:pPr>
        <w:pStyle w:val="1059"/>
        <w:numPr>
          <w:ilvl w:val="0"/>
          <w:numId w:val="53"/>
        </w:numPr>
        <w:pBdr/>
        <w:shd w:val="nil" w:color="auto"/>
        <w:spacing/>
        <w:ind/>
        <w:rPr>
          <w:highlight w:val="white"/>
          <w14:ligatures w14:val="none"/>
        </w:rPr>
      </w:pPr>
      <w:r>
        <w:rPr>
          <w:bCs/>
          <w:i/>
          <w:iCs/>
          <w:highlight w:val="white"/>
          <w:lang w:val="pt-BR"/>
        </w:rPr>
      </w:r>
      <w:r>
        <w:rPr>
          <w:bCs/>
          <w:i/>
          <w:iCs/>
          <w:highlight w:val="white"/>
          <w:lang w:val="pt-BR"/>
        </w:rPr>
        <w:t xml:space="preserve">Phương pháp so sánh:</w:t>
      </w:r>
      <w:r>
        <w:rPr>
          <w:bCs/>
          <w:highlight w:val="white"/>
          <w:lang w:val="pt-BR"/>
        </w:rPr>
        <w:t xml:space="preserve"> </w:t>
      </w:r>
      <w:r>
        <w:rPr>
          <w:bCs/>
          <w:highlight w:val="white"/>
          <w:lang w:val="pt-BR"/>
        </w:rPr>
        <w:t xml:space="preserve">X</w:t>
      </w:r>
      <w:r>
        <w:rPr>
          <w:bCs/>
          <w:highlight w:val="white"/>
          <w:lang w:val="pt-BR"/>
        </w:rPr>
        <w:t xml:space="preserve">ác đ</w:t>
      </w:r>
      <w:r>
        <w:rPr>
          <w:bCs/>
          <w:highlight w:val="white"/>
          <w:lang w:val="pt-BR"/>
        </w:rPr>
        <w:t xml:space="preserve">ịnh giá trị của tài sản thẩm định giá dựa trên cơ sở đối chiếu, phân tích và đánh giá các yếu tố so sánh của các tài sản so sánh với tài sản thẩm định giá từ đó điều </w:t>
      </w:r>
      <w:r>
        <w:rPr>
          <w:highlight w:val="white"/>
          <w:lang w:val="pt-BR"/>
        </w:rPr>
        <w:t xml:space="preserve">chỉnh mức giá của các tài sản so sánh làm cơ sở ước tính giá trị của tài sản thẩm định giá</w:t>
      </w:r>
      <w:r>
        <w:rPr>
          <w:highlight w:val="white"/>
          <w:lang w:val="pt-BR"/>
        </w:rPr>
        <w:t xml:space="preserve">.</w:t>
      </w:r>
      <w:r>
        <w:rPr>
          <w:highlight w:val="white"/>
          <w14:ligatures w14:val="none"/>
        </w:rPr>
      </w:r>
      <w:r>
        <w:rPr>
          <w:highlight w:val="white"/>
          <w14:ligatures w14:val="none"/>
        </w:rPr>
      </w:r>
    </w:p>
    <w:p>
      <w:pPr>
        <w:pStyle w:val="1059"/>
        <w:numPr>
          <w:ilvl w:val="0"/>
          <w:numId w:val="53"/>
        </w:numPr>
        <w:pBdr/>
        <w:shd w:val="nil" w:color="auto"/>
        <w:spacing/>
        <w:ind/>
        <w:rPr>
          <w:highlight w:val="white"/>
          <w14:ligatures w14:val="none"/>
        </w:rPr>
      </w:pPr>
      <w:r>
        <w:rPr>
          <w:i/>
          <w:iCs/>
          <w:highlight w:val="white"/>
          <w:lang w:val="vi-VN"/>
        </w:rPr>
        <w:t xml:space="preserve">Cách tiếp cận từ chi p</w:t>
      </w:r>
      <w:r>
        <w:rPr>
          <w:i/>
          <w:iCs/>
          <w:highlight w:val="white"/>
          <w:lang w:val="vi-VN"/>
        </w:rPr>
        <w:t xml:space="preserve">h</w:t>
      </w:r>
      <w:r>
        <w:rPr>
          <w:i/>
          <w:iCs/>
          <w:highlight w:val="white"/>
          <w:lang w:val="vi-VN"/>
        </w:rPr>
        <w:t xml:space="preserve">í</w:t>
      </w:r>
      <w:r>
        <w:rPr>
          <w:highlight w:val="white"/>
        </w:rPr>
        <w:t xml:space="preserve">:</w:t>
      </w:r>
      <w:r>
        <w:rPr>
          <w:highlight w:val="white"/>
          <w:lang w:val="vi-VN"/>
        </w:rPr>
        <w:t xml:space="preserve"> </w:t>
      </w:r>
      <w:r>
        <w:rPr>
          <w:highlight w:val="white"/>
        </w:rPr>
        <w:t xml:space="preserve">L</w:t>
      </w:r>
      <w:r>
        <w:rPr>
          <w:highlight w:val="white"/>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highlight w:val="white"/>
          <w:lang w:val="pt-BR"/>
        </w:rPr>
        <w:t xml:space="preserve">.</w:t>
      </w:r>
      <w:r>
        <w:rPr>
          <w:highlight w:val="white"/>
          <w14:ligatures w14:val="none"/>
        </w:rPr>
      </w:r>
      <w:r>
        <w:rPr>
          <w:highlight w:val="white"/>
          <w14:ligatures w14:val="none"/>
        </w:rPr>
      </w:r>
    </w:p>
    <w:p>
      <w:pPr>
        <w:pStyle w:val="1059"/>
        <w:numPr>
          <w:ilvl w:val="0"/>
          <w:numId w:val="53"/>
        </w:numPr>
        <w:pBdr/>
        <w:shd w:val="nil" w:color="auto"/>
        <w:spacing/>
        <w:ind/>
        <w:rPr>
          <w:highlight w:val="white"/>
          <w14:ligatures w14:val="none"/>
        </w:rPr>
      </w:pPr>
      <w:r>
        <w:rPr>
          <w:i/>
          <w:iCs/>
          <w:highlight w:val="white"/>
          <w:lang w:val="vi-VN"/>
        </w:rPr>
        <w:t xml:space="preserve">Phương pháp chi phí thay thế</w:t>
      </w:r>
      <w:r>
        <w:rPr>
          <w:highlight w:val="white"/>
        </w:rPr>
        <w:t xml:space="preserve">:</w:t>
      </w:r>
      <w:r>
        <w:rPr>
          <w:highlight w:val="white"/>
          <w:lang w:val="vi-VN"/>
        </w:rPr>
        <w:t xml:space="preserve"> </w:t>
      </w:r>
      <w:r>
        <w:rPr>
          <w:highlight w:val="white"/>
        </w:rPr>
        <w:t xml:space="preserve">L</w:t>
      </w:r>
      <w:r>
        <w:rPr>
          <w:highlight w:val="white"/>
          <w:lang w:val="vi-VN"/>
        </w:rPr>
        <w:t xml:space="preserve">à phương pháp thẩm </w:t>
      </w:r>
      <w:r>
        <w:rPr>
          <w:highlight w:val="white"/>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highlight w:val="white"/>
          <w:lang w:val="pt-BR"/>
        </w:rPr>
        <w:t xml:space="preserve">.</w:t>
      </w:r>
      <w:r>
        <w:rPr>
          <w:highlight w:val="white"/>
          <w14:ligatures w14:val="none"/>
        </w:rPr>
      </w:r>
      <w:r>
        <w:rPr>
          <w:highlight w:val="white"/>
          <w14:ligatures w14:val="none"/>
        </w:rPr>
      </w:r>
    </w:p>
    <w:p>
      <w:pPr>
        <w:pBdr/>
        <w:shd w:val="nil" w:color="auto"/>
        <w:spacing/>
        <w:ind w:firstLine="0" w:left="0"/>
        <w:rPr>
          <w:b/>
          <w:bCs/>
          <w:highlight w:val="white"/>
          <w14:ligatures w14:val="none"/>
        </w:rPr>
      </w:pPr>
      <w:r>
        <w:rPr>
          <w:b/>
          <w:bCs/>
          <w:highlight w:val="none"/>
          <w:lang w:val="pt-BR"/>
        </w:rPr>
        <w:t xml:space="preserve">2.   </w:t>
      </w:r>
      <w:r>
        <w:rPr>
          <w:b/>
          <w:bCs/>
          <w:highlight w:val="white"/>
          <w:lang w:val="pt-BR"/>
        </w:rPr>
        <w:t xml:space="preserve">Xác định cách tiếp cận và phương pháp đối với tài sản thẩm định giá</w:t>
      </w:r>
      <w:r>
        <w:rPr>
          <w:b/>
          <w:bCs/>
          <w:highlight w:val="white"/>
          <w:lang w:val="pt-BR"/>
        </w:rPr>
        <w:t xml:space="preserve">:</w:t>
      </w:r>
      <w:r>
        <w:rPr>
          <w:b/>
          <w:bCs/>
          <w:highlight w:val="white"/>
          <w14:ligatures w14:val="none"/>
        </w:rPr>
      </w:r>
      <w:r>
        <w:rPr>
          <w:b/>
          <w:bCs/>
          <w:highlight w:val="white"/>
          <w14:ligatures w14:val="none"/>
        </w:rPr>
      </w:r>
    </w:p>
    <w:p>
      <w:pPr>
        <w:pStyle w:val="1059"/>
        <w:numPr>
          <w:ilvl w:val="0"/>
          <w:numId w:val="53"/>
        </w:numPr>
        <w:pBdr/>
        <w:shd w:val="nil" w:color="auto"/>
        <w:spacing/>
        <w:ind/>
        <w:rPr>
          <w:highlight w:val="white"/>
          <w14:ligatures w14:val="none"/>
        </w:rPr>
      </w:pPr>
      <w:r>
        <w:rPr>
          <w:highlight w:val="white"/>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highlight w:val="white"/>
          <w:lang w:val="pt-BR"/>
        </w:rPr>
        <w:t xml:space="preserve"> giá </w:t>
      </w:r>
      <w:r>
        <w:rPr>
          <w:highlight w:val="white"/>
          <w:lang w:val="pt-BR"/>
        </w:rPr>
        <w:t xml:space="preserve">trị</w:t>
      </w:r>
      <w:r>
        <w:rPr>
          <w:highlight w:val="white"/>
          <w:lang w:val="pt-BR"/>
        </w:rPr>
        <w:t xml:space="preserve"> </w:t>
      </w:r>
      <w:r>
        <w:rPr>
          <w:highlight w:val="white"/>
          <w:lang w:val="pt-BR"/>
        </w:rPr>
        <w:t xml:space="preserve">q</w:t>
      </w:r>
      <w:r>
        <w:rPr>
          <w:highlight w:val="white"/>
          <w:lang w:val="pt-BR"/>
        </w:rPr>
        <w:t xml:space="preserve">uyền</w:t>
      </w:r>
      <w:r>
        <w:rPr>
          <w:highlight w:val="white"/>
          <w:lang w:val="pt-BR"/>
        </w:rPr>
        <w:t xml:space="preserve"> sử dụn</w:t>
      </w:r>
      <w:r>
        <w:rPr>
          <w:highlight w:val="white"/>
          <w:lang w:val="pt-BR"/>
        </w:rPr>
        <w:t xml:space="preserve">g đất của</w:t>
      </w:r>
      <w:r>
        <w:rPr>
          <w:highlight w:val="white"/>
          <w:lang w:val="pt-BR"/>
        </w:rPr>
        <w:t xml:space="preserve"> tài sản thẩm định giá</w:t>
      </w:r>
      <w:r>
        <w:rPr>
          <w:highlight w:val="white"/>
          <w:lang w:val="pt-BR"/>
        </w:rPr>
        <w:t xml:space="preserve">.</w:t>
      </w:r>
      <w:r>
        <w:rPr>
          <w:highlight w:val="white"/>
          <w14:ligatures w14:val="none"/>
        </w:rPr>
      </w:r>
      <w:r>
        <w:rPr>
          <w:highlight w:val="white"/>
          <w14:ligatures w14:val="none"/>
        </w:rPr>
      </w:r>
    </w:p>
    <w:p>
      <w:pPr>
        <w:pStyle w:val="1059"/>
        <w:numPr>
          <w:ilvl w:val="0"/>
          <w:numId w:val="53"/>
        </w:numPr>
        <w:pBdr/>
        <w:shd w:val="nil" w:color="auto"/>
        <w:spacing/>
        <w:ind/>
        <w:rPr>
          <w:highlight w:val="white"/>
          <w14:ligatures w14:val="none"/>
        </w:rPr>
      </w:pPr>
      <w:r>
        <w:rPr>
          <w:highlight w:val="white"/>
          <w:lang w:val="pt-BR"/>
        </w:rPr>
        <w:t xml:space="preserve">Đối với công trình xây dựng gắn liền trên đất, tại thời điểm thẩm định giá, qua thu thập thông tin từ thị trường, Tổ thẩm định nh</w:t>
      </w:r>
      <w:r>
        <w:rPr>
          <w:highlight w:val="white"/>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highlight w:val="white"/>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highlight w:val="white"/>
          <w:lang w:val="pt-BR"/>
        </w:rPr>
        <w:t xml:space="preserve">tài sản so sánh và </w:t>
      </w:r>
      <w:r>
        <w:rPr>
          <w:highlight w:val="white"/>
          <w:lang w:val="pt-BR"/>
        </w:rPr>
        <w:t xml:space="preserve">tài sản thẩm định</w:t>
      </w:r>
      <w:r>
        <w:rPr>
          <w:highlight w:val="white"/>
          <w:lang w:val="pt-BR"/>
        </w:rPr>
        <w:t xml:space="preserve">.</w:t>
      </w:r>
      <w:r>
        <w:rPr>
          <w:highlight w:val="white"/>
          <w14:ligatures w14:val="none"/>
        </w:rPr>
      </w:r>
      <w:r>
        <w:rPr>
          <w:highlight w:val="white"/>
          <w14:ligatures w14:val="none"/>
        </w:rPr>
      </w:r>
    </w:p>
    <w:p>
      <w:pPr>
        <w:pStyle w:val="1059"/>
        <w:pBdr/>
        <w:spacing w:after="120" w:before="120" w:line="276" w:lineRule="auto"/>
        <w:ind w:left="0"/>
        <w:jc w:val="both"/>
        <w:rPr>
          <w:highlight w:val="white"/>
        </w:rPr>
      </w:pPr>
      <w:r>
        <w:rPr>
          <w:b/>
          <w:bCs/>
          <w:highlight w:val="white"/>
          <w:lang w:val="pt-BR"/>
        </w:rPr>
        <w:t xml:space="preserve">VII</w:t>
      </w:r>
      <w:r>
        <w:rPr>
          <w:b/>
          <w:bCs/>
          <w:highlight w:val="white"/>
          <w:lang w:val="pt-BR"/>
        </w:rPr>
        <w:t xml:space="preserve">I</w:t>
      </w:r>
      <w:r>
        <w:rPr>
          <w:b/>
          <w:bCs/>
          <w:highlight w:val="white"/>
          <w:lang w:val="pt-BR"/>
        </w:rPr>
        <w:t xml:space="preserve">. </w:t>
      </w:r>
      <w:r>
        <w:rPr>
          <w:b/>
          <w:bCs/>
          <w:highlight w:val="white"/>
          <w:lang w:val="pt-BR"/>
        </w:rPr>
        <w:t xml:space="preserve">GIÁ TRỊ TÀI SẢN</w:t>
      </w:r>
      <w:r>
        <w:rPr>
          <w:b/>
          <w:bCs/>
          <w:highlight w:val="white"/>
          <w:lang w:val="pt-BR"/>
        </w:rPr>
        <w:t xml:space="preserve"> THẨM ĐỊNH</w:t>
      </w:r>
      <w:r>
        <w:rPr>
          <w:highlight w:val="white"/>
        </w:rPr>
      </w:r>
      <w:r>
        <w:rPr>
          <w:highlight w:val="white"/>
        </w:rPr>
      </w:r>
    </w:p>
    <w:p>
      <w:pPr>
        <w:pStyle w:val="105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5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hội,… với tài sản thẩm định giá, cụ thể như sau:</w:t>
      </w:r>
      <w:r>
        <w:rPr>
          <w:bCs/>
          <w:lang w:val="pt-BR"/>
        </w:rPr>
      </w:r>
      <w:r>
        <w:rPr>
          <w:bCs/>
          <w:lang w:val="pt-BR"/>
        </w:rPr>
      </w:r>
    </w:p>
    <w:p>
      <w:pPr>
        <w:pStyle w:val="105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6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1559"/>
        <w:gridCol w:w="1843"/>
        <w:gridCol w:w="1843"/>
        <w:gridCol w:w="1843"/>
        <w:gridCol w:w="1843"/>
      </w:tblGrid>
      <w:tr>
        <w:trPr>
          <w:trHeight w:val="3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ĐẶC ĐIỂM BĐS</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83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r>
      <w:tr>
        <w:trPr>
          <w:trHeight w:val="10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rPr/>
            </w:pPr>
            <w:r>
              <w:rPr>
                <w:rFonts w:ascii="Arial" w:hAnsi="Arial" w:eastAsia="Arial" w:cs="Arial"/>
                <w:color w:val="0000ff"/>
                <w:sz w:val="22"/>
                <w:u w:val="single"/>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https://www.facebook.com/share/p/1GPh2hEpkK/</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6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SĐT: 0966399368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SĐT: 0966399368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SĐT: 0987636869</w:t>
            </w:r>
            <w:r/>
          </w:p>
        </w:tc>
      </w:tr>
      <w:tr>
        <w:trPr>
          <w:trHeight w:val="63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4/2026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924"/>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Mục đích sử dụng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Đất ở tại đô thị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Đất ở tại đô thị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Đất ở tại đô thị  </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Đất ở tại đô thị  </w:t>
            </w:r>
            <w:r>
              <w:rPr>
                <w:highlight w:val="white"/>
              </w:rPr>
            </w:r>
            <w:r>
              <w:rPr>
                <w:highlight w:val="white"/>
              </w:rPr>
            </w:r>
          </w:p>
        </w:tc>
      </w:tr>
      <w:tr>
        <w:trPr>
          <w:trHeight w:val="810"/>
        </w:trPr>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Thời hạn sử dụng đất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15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tại xã Quốc Oai, Thành phố Hà Nội. Tài sản nằm trong khu đô thị Sunny Garden.</w:t>
            </w:r>
            <w:r/>
          </w:p>
        </w:tc>
      </w:tr>
      <w:tr>
        <w:trPr>
          <w:trHeight w:val="13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nhựa rộng khoảng 11m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nhựa rộng khoảng 11m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nhựa rộng khoảng 11m</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tiếp giáp đường nhựa rộng khoảng 11m</w:t>
            </w:r>
            <w:r/>
          </w:p>
        </w:tc>
      </w:tr>
      <w:tr>
        <w:trPr>
          <w:trHeight w:val="7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365,8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98,7</w:t>
            </w:r>
            <w:r/>
          </w:p>
        </w:tc>
      </w:tr>
      <w:tr>
        <w:trPr>
          <w:trHeight w:val="42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highlight w:val="white"/>
              </w:rPr>
            </w:pPr>
            <w:r>
              <w:rPr>
                <w:rFonts w:ascii="Times New Roman" w:hAnsi="Times New Roman" w:eastAsia="Times New Roman" w:cs="Times New Roman"/>
                <w:color w:val="000000"/>
                <w:sz w:val="22"/>
                <w:highlight w:val="white"/>
              </w:rPr>
              <w:t xml:space="preserve">Mặt tiền (m)</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9,69 </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20,34</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r>
      <w:tr>
        <w:trPr>
          <w:trHeight w:val="108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mặt tiền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mặt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w:t>
            </w:r>
            <w:r/>
          </w:p>
        </w:tc>
      </w:tr>
      <w:tr>
        <w:trPr>
          <w:trHeight w:val="52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73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Phù hợp để ở</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Phù hợp để ở</w:t>
            </w:r>
            <w:r/>
            <w:r/>
            <w:r>
              <w:rPr>
                <w:rFonts w:ascii="Times New Roman" w:hAnsi="Times New Roman" w:eastAsia="Times New Roman" w:cs="Times New Roman"/>
                <w:color w:val="000000"/>
                <w:sz w:val="22"/>
              </w:rPr>
            </w:r>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Phù hợp để ở</w:t>
            </w:r>
            <w:r/>
            <w:r/>
            <w:r>
              <w:rPr>
                <w:rFonts w:ascii="Times New Roman" w:hAnsi="Times New Roman" w:eastAsia="Times New Roman" w:cs="Times New Roman"/>
                <w:color w:val="000000"/>
                <w:sz w:val="22"/>
              </w:rPr>
            </w: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r>
            <w:r>
              <w:rPr>
                <w:rFonts w:ascii="Times New Roman" w:hAnsi="Times New Roman" w:eastAsia="Times New Roman" w:cs="Times New Roman"/>
                <w:color w:val="000000"/>
                <w:sz w:val="22"/>
              </w:rPr>
              <w:t xml:space="preserve">Phù hợp để ở</w:t>
            </w:r>
            <w:r/>
            <w:r/>
            <w:r>
              <w:rPr>
                <w:rFonts w:ascii="Times New Roman" w:hAnsi="Times New Roman" w:eastAsia="Times New Roman" w:cs="Times New Roman"/>
                <w:color w:val="000000"/>
                <w:sz w:val="22"/>
              </w:rPr>
            </w:r>
            <w:r/>
            <w:r/>
          </w:p>
        </w:tc>
      </w:tr>
      <w:tr>
        <w:trPr>
          <w:trHeight w:val="158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liền kề 4 tầng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liền kề 4 tầng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liền kề 4 tầng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Nhà liền kề 4 tầng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tầng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4,0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left"/>
              <w:rPr/>
            </w:pPr>
            <w:r>
              <w:rPr>
                <w:rFonts w:ascii="Times New Roman" w:hAnsi="Times New Roman" w:eastAsia="Times New Roman" w:cs="Times New Roman"/>
                <w:color w:val="000000"/>
                <w:sz w:val="22"/>
              </w:rPr>
              <w:t xml:space="preserve">             4,0 </w:t>
            </w:r>
            <w:r/>
          </w:p>
        </w:tc>
      </w:tr>
      <w:tr>
        <w:trPr>
          <w:trHeight w:val="600"/>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bottom"/>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sử dụng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bottom"/>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345,0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300,0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564,7 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264,2</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51.000.000.000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17.500.000.000</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15.130.000.000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45.390.000.000</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15.575.000.000</w:t>
            </w:r>
            <w:r/>
          </w:p>
        </w:tc>
      </w:tr>
      <w:tr>
        <w:trPr>
          <w:trHeight w:val="315"/>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w:t>
            </w:r>
            <w:r/>
          </w:p>
        </w:tc>
      </w:tr>
      <w:tr>
        <w:trPr>
          <w:trHeight w:val="801"/>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1.798.560.288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4.722.175.450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1.483.153.701 </w:t>
            </w:r>
            <w:r/>
          </w:p>
        </w:tc>
      </w:tr>
      <w:tr>
        <w:trPr>
          <w:trHeight w:val="169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xây dựng theo Quyết định 409/QĐ-BXD năm 2025 của Bộ Xây Dựng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7.137.144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9.837.968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6.930.560</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Tỷ lệ % CLCL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81%</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ở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13.331.439.712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40.667.824.550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2"/>
              </w:rPr>
              <w:t xml:space="preserve">     14.091.846.299   </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        135.070.311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          111.175.026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right"/>
              <w:rPr/>
            </w:pPr>
            <w:r>
              <w:rPr>
                <w:rFonts w:ascii="Times New Roman" w:hAnsi="Times New Roman" w:eastAsia="Times New Roman" w:cs="Times New Roman"/>
                <w:color w:val="000000"/>
                <w:sz w:val="22"/>
              </w:rPr>
              <w:t xml:space="preserve">          142.774.532   </w:t>
            </w:r>
            <w:r/>
          </w:p>
        </w:tc>
      </w:tr>
      <w:tr>
        <w:trPr>
          <w:trHeight w:val="31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ở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52"/>
        </w:trPr>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595"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55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dựa trên ba tài sản so sánh tương đồng với tài sản thẩm định giá, Tổ thẩm định phân tích các </w:t>
      </w:r>
      <w:r>
        <w:rPr>
          <w:lang w:val="it-IT"/>
        </w:rPr>
        <w:t xml:space="preserve">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5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6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73"/>
        <w:gridCol w:w="2168"/>
        <w:gridCol w:w="811"/>
        <w:gridCol w:w="2525"/>
        <w:gridCol w:w="2458"/>
        <w:gridCol w:w="2832"/>
        <w:gridCol w:w="2498"/>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thẩm định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so sánh 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QSDĐ thị trường (Ước tính sau thương lượng)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13.331.439.712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40.667.824.550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14.091.846.299 </w:t>
            </w:r>
            <w:r>
              <w:rPr>
                <w:color w:val="000000" w:themeColor="text1"/>
              </w:rPr>
            </w:r>
            <w:r>
              <w:rPr>
                <w:color w:val="000000" w:themeColor="text1"/>
              </w:rPr>
            </w:r>
          </w:p>
        </w:tc>
      </w:tr>
      <w:tr>
        <w:trPr>
          <w:trHeight w:val="39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đất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135.070.311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111.175.026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142.774.532 </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93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72"/>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135.070.311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111.175.026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142.774.532 </w:t>
            </w:r>
            <w:r>
              <w:rPr>
                <w:color w:val="000000" w:themeColor="text1"/>
              </w:rPr>
            </w:r>
            <w:r>
              <w:rPr>
                <w:color w:val="000000" w:themeColor="text1"/>
              </w:rPr>
            </w:r>
          </w:p>
        </w:tc>
      </w:tr>
      <w:tr>
        <w:trPr>
          <w:trHeight w:val="165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xã Quốc Oai, Thành phố Hà Nội. Tài sản nằm trong khu đô thị Sunny Garden.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xã Quốc Oai, Thành phố Hà Nội. Tài sản nằm trong khu đô thị Sunny Garden.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xã Quốc Oai, Thành phố Hà Nội. Tài sản nằm trong khu đô thị Sunny Garden.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tại xã Quốc Oai, Thành phố Hà Nội. Tài sản nằm trong khu đô thị Sunny Garden.</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135.070.311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111.175.026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142.774.532 </w:t>
            </w:r>
            <w:r>
              <w:rPr>
                <w:color w:val="000000" w:themeColor="text1"/>
              </w:rPr>
            </w:r>
            <w:r>
              <w:rPr>
                <w:color w:val="000000" w:themeColor="text1"/>
              </w:rPr>
            </w:r>
          </w:p>
        </w:tc>
      </w:tr>
      <w:tr>
        <w:trPr>
          <w:trHeight w:val="14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Giao thông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nhựa rộng khoảng 11m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nhựa rộng khoảng 11m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nhựa rộng khoảng 11m</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Tài sản nằm tiếp giáp đường nhựa rộng khoảng 11m</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135.070.311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111.175.026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142.774.532 </w:t>
            </w:r>
            <w:r>
              <w:rPr>
                <w:color w:val="000000" w:themeColor="text1"/>
              </w:rPr>
            </w:r>
            <w:r>
              <w:rPr>
                <w:color w:val="000000" w:themeColor="text1"/>
              </w:rPr>
            </w:r>
          </w:p>
        </w:tc>
      </w:tr>
      <w:tr>
        <w:trPr>
          <w:trHeight w:val="61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diện tích đất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152,0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98,7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365,8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98,7</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16,00%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-9.454.922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17.788.004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-9.994.217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125.615.389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128.963.030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132.780.315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tiền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9,69</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20,34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6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-11.117.503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08"/>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125.615.389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132.780.315 </w:t>
            </w:r>
            <w:r>
              <w:rPr>
                <w:color w:val="000000" w:themeColor="text1"/>
              </w:rPr>
            </w:r>
            <w:r>
              <w:rPr>
                <w:color w:val="000000" w:themeColor="text1"/>
              </w:rPr>
            </w:r>
          </w:p>
        </w:tc>
      </w:tr>
      <w:tr>
        <w:trPr>
          <w:trHeight w:val="741"/>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Số lượng 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 tiền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 mặt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 mặt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6.753.516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7.138.727 </w:t>
            </w:r>
            <w:r>
              <w:rPr>
                <w:color w:val="000000" w:themeColor="text1"/>
              </w:rPr>
            </w:r>
            <w:r>
              <w:rPr>
                <w:color w:val="000000" w:themeColor="text1"/>
              </w:rPr>
            </w:r>
          </w:p>
        </w:tc>
      </w:tr>
      <w:tr>
        <w:trPr>
          <w:trHeight w:val="42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132.368.905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139.919.041 </w:t>
            </w:r>
            <w:r>
              <w:rPr>
                <w:color w:val="000000" w:themeColor="text1"/>
              </w:rPr>
            </w:r>
            <w:r>
              <w:rPr>
                <w:color w:val="000000" w:themeColor="text1"/>
              </w:rPr>
            </w:r>
          </w:p>
        </w:tc>
      </w:tr>
      <w:tr>
        <w:trPr>
          <w:trHeight w:val="447"/>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Hình dáng thửa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Vuông vức</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447"/>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132.368.905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139.919.041 </w:t>
            </w:r>
            <w:r>
              <w:rPr>
                <w:color w:val="000000" w:themeColor="text1"/>
              </w:rPr>
            </w:r>
            <w:r>
              <w:rPr>
                <w:color w:val="000000" w:themeColor="text1"/>
              </w:rPr>
            </w:r>
          </w:p>
        </w:tc>
      </w:tr>
      <w:tr>
        <w:trPr>
          <w:trHeight w:val="85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Lợi thế kinh doanh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Phù hợp để ở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132.368.905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139.919.041 </w:t>
            </w:r>
            <w:r>
              <w:rPr>
                <w:color w:val="000000" w:themeColor="text1"/>
              </w:rPr>
            </w:r>
            <w:r>
              <w:rPr>
                <w:color w:val="000000" w:themeColor="text1"/>
              </w:rPr>
            </w:r>
          </w:p>
        </w:tc>
      </w:tr>
      <w:tr>
        <w:trPr>
          <w:trHeight w:val="1572"/>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73"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kiện cơ sở hạ tầng kỹ thuật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ind/>
              <w:jc w:val="center"/>
              <w:rPr>
                <w:highlight w:val="white"/>
              </w:rPr>
            </w:pPr>
            <w:r>
              <w:rPr>
                <w:highlight w:val="white"/>
              </w:rPr>
            </w:r>
            <w:r>
              <w:rPr>
                <w:rFonts w:ascii="Times New Roman" w:hAnsi="Times New Roman" w:eastAsia="Times New Roman" w:cs="Times New Roman"/>
                <w:color w:val="000000"/>
                <w:sz w:val="22"/>
                <w:highlight w:val="white"/>
              </w:rPr>
              <w:t xml:space="preserve">Hạ tầng khu </w:t>
            </w:r>
            <w:r>
              <w:rPr>
                <w:rFonts w:ascii="Times New Roman" w:hAnsi="Times New Roman" w:eastAsia="Times New Roman" w:cs="Times New Roman"/>
                <w:color w:val="000000"/>
                <w:sz w:val="22"/>
                <w:highlight w:val="white"/>
              </w:rPr>
              <w:t xml:space="preserve">đô thị: Hệ thống cấp điện, cấp thoát nước đầy đủ</w:t>
            </w:r>
            <w:r>
              <w:rPr>
                <w:highlight w:val="white"/>
              </w:rPr>
            </w:r>
            <w:r>
              <w:rPr>
                <w:highlight w:val="white"/>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132.368.905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139.919.041 </w:t>
            </w:r>
            <w:r>
              <w:rPr>
                <w:color w:val="000000" w:themeColor="text1"/>
              </w:rPr>
            </w:r>
            <w:r>
              <w:rPr>
                <w:color w:val="000000" w:themeColor="text1"/>
              </w:rPr>
            </w:r>
          </w:p>
        </w:tc>
      </w:tr>
      <w:tr>
        <w:trPr>
          <w:trHeight w:val="43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132.368.905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117.845.528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139.919.041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7787"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130.044.491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F</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cho tài sản thẩm định (làm tròn)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gridSpan w:val="3"/>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7787"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130.000.000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7,6%</w:t>
            </w:r>
            <w:r>
              <w:rPr>
                <w:color w:val="000000" w:themeColor="text1"/>
              </w:rPr>
            </w:r>
            <w:r>
              <w:rPr>
                <w:color w:val="000000" w:themeColor="text1"/>
              </w:rPr>
            </w:r>
          </w:p>
        </w:tc>
      </w:tr>
      <w:tr>
        <w:trPr>
          <w:trHeight w:val="39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gridSpan w:val="6"/>
            <w:shd w:val="clear" w:color="ffffff" w:fill="ffffff"/>
            <w:tcBorders>
              <w:top w:val="single" w:color="000000" w:sz="5" w:space="0"/>
              <w:bottom w:val="single" w:color="000000" w:sz="5" w:space="0"/>
              <w:right w:val="single" w:color="000000" w:sz="4" w:space="0"/>
            </w:tcBorders>
            <w:tcMar>
              <w:left w:w="0" w:type="dxa"/>
              <w:top w:w="0" w:type="dxa"/>
              <w:right w:w="0" w:type="dxa"/>
              <w:bottom w:w="0" w:type="dxa"/>
            </w:tcMar>
            <w:tcW w:w="13291"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16.208.437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28.905.507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17.132.944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5%-10%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9%-18%</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7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16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811"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52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5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(2.701.406)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83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6.670.502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249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(2.855.491)</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từ </w:t>
      </w:r>
      <w:r>
        <w:t xml:space="preserve"> </w:t>
      </w:r>
      <w:r>
        <w:t xml:space="preserve">-9,4</w:t>
      </w:r>
      <w:r>
        <w:t xml:space="preserve">% đến </w:t>
      </w:r>
      <w:r>
        <w:t xml:space="preserve">7,6%,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both"/>
        <w:rPr>
          <w:bCs/>
          <w:i/>
        </w:rPr>
      </w:pPr>
      <w:r>
        <w:rPr>
          <w:i/>
          <w:iCs/>
        </w:rPr>
      </w: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130.000.000</w:t>
      </w:r>
      <w:r>
        <w:rPr>
          <w:b/>
          <w:bCs/>
          <w:color w:val="000000" w:themeColor="text1"/>
        </w:rPr>
        <w:t xml:space="preserve"> </w:t>
      </w:r>
      <w:r>
        <w:rPr>
          <w:b/>
          <w:bCs/>
        </w:rPr>
        <w:t xml:space="preserve">đồng/m².</w:t>
      </w:r>
      <w:r>
        <w:rPr>
          <w:bCs/>
          <w:i/>
        </w:rPr>
      </w:r>
      <w:r>
        <w:rPr>
          <w:bCs/>
          <w:i/>
        </w:rPr>
      </w:r>
    </w:p>
    <w:p>
      <w:pPr>
        <w:pStyle w:val="1059"/>
        <w:numPr>
          <w:ilvl w:val="0"/>
          <w:numId w:val="26"/>
        </w:numPr>
        <w:pBdr/>
        <w:spacing w:after="120" w:before="120" w:line="276" w:lineRule="auto"/>
        <w:ind w:hanging="357" w:left="357"/>
        <w:jc w:val="both"/>
        <w:rPr>
          <w:b/>
          <w:bCs/>
          <w:color w:val="auto"/>
          <w:highlight w:val="white"/>
        </w:rPr>
      </w:pPr>
      <w:r>
        <w:rPr>
          <w:b/>
          <w:bCs/>
          <w:color w:val="auto"/>
          <w:highlight w:val="white"/>
        </w:rPr>
        <w:t xml:space="preserve">Xác định giá trị tài sản gắn liền với đất</w:t>
      </w:r>
      <w:r>
        <w:rPr>
          <w:b/>
          <w:bCs/>
          <w:color w:val="auto"/>
          <w:highlight w:val="white"/>
        </w:rPr>
      </w:r>
      <w:r>
        <w:rPr>
          <w:b/>
          <w:bCs/>
          <w:color w:val="auto"/>
          <w:highlight w:val="white"/>
        </w:rPr>
      </w:r>
    </w:p>
    <w:p>
      <w:pPr>
        <w:pBdr>
          <w:top w:val="none" w:color="000000" w:sz="4" w:space="0"/>
          <w:left w:val="none" w:color="000000" w:sz="4" w:space="0"/>
          <w:bottom w:val="none" w:color="000000" w:sz="4" w:space="0"/>
          <w:right w:val="none" w:color="000000" w:sz="4" w:space="0"/>
        </w:pBdr>
        <w:spacing w:line="274" w:lineRule="auto"/>
        <w:ind w:firstLine="0" w:left="0"/>
        <w:jc w:val="both"/>
        <w:rPr>
          <w:color w:val="auto"/>
          <w:highlight w:val="white"/>
        </w:rPr>
      </w:pPr>
      <w:r>
        <w:rPr>
          <w:rFonts w:ascii="Times New Roman" w:hAnsi="Times New Roman" w:eastAsia="Times New Roman" w:cs="Times New Roman"/>
          <w:b/>
          <w:color w:val="auto"/>
          <w:sz w:val="24"/>
          <w:highlight w:val="white"/>
        </w:rPr>
        <w:t xml:space="preserve">       Xác định đơn giá xây mới của công trình xây dựng trên đất:</w:t>
      </w:r>
      <w:r>
        <w:rPr>
          <w:color w:val="auto"/>
          <w:highlight w:val="white"/>
        </w:rPr>
      </w:r>
      <w:r>
        <w:rPr>
          <w:color w:val="auto"/>
          <w:highlight w:val="white"/>
        </w:rPr>
      </w:r>
    </w:p>
    <w:p>
      <w:pPr>
        <w:pBdr>
          <w:top w:val="none" w:color="000000" w:sz="4" w:space="0"/>
          <w:left w:val="none" w:color="000000" w:sz="4" w:space="0"/>
          <w:bottom w:val="none" w:color="000000" w:sz="4" w:space="0"/>
          <w:right w:val="none" w:color="000000" w:sz="4" w:space="0"/>
        </w:pBdr>
        <w:tabs>
          <w:tab w:val="left" w:leader="none" w:pos="560"/>
        </w:tabs>
        <w:spacing w:line="274" w:lineRule="auto"/>
        <w:ind w:right="0" w:firstLine="0" w:left="0"/>
        <w:jc w:val="both"/>
        <w:rPr>
          <w:color w:val="auto"/>
          <w:highlight w:val="white"/>
        </w:rPr>
      </w:pPr>
      <w:r>
        <w:rPr>
          <w:rFonts w:ascii="Times New Roman" w:hAnsi="Times New Roman" w:eastAsia="Times New Roman" w:cs="Times New Roman"/>
          <w:color w:val="auto"/>
          <w:sz w:val="24"/>
          <w:highlight w:val="white"/>
        </w:rPr>
        <w:t xml:space="preserve">Qua tham khảo thị trường về đơn giá xây dựng mới đối với công trình Nhà 04 tầng, cân nhắc và xem xét với mức độ hoàn thiện của công trình xây dựng hiện có, Tổ thẩm định nhận thấy đơn giá vận dụng theo Quyết định số 425/QĐ-BXD ngày 30/3/2026 của Bộ Xây dựng</w:t>
      </w:r>
      <w:r>
        <w:rPr>
          <w:rFonts w:ascii="Times New Roman" w:hAnsi="Times New Roman" w:eastAsia="Times New Roman" w:cs="Times New Roman"/>
          <w:color w:val="auto"/>
          <w:sz w:val="24"/>
          <w:highlight w:val="white"/>
        </w:rPr>
        <w:t xml:space="preserve"> về việc Công bố suất vốn đầu tư xây dựng công trình và giá xây dựng tổng hợp bộ phận kết cấu công trình năm 2026 là khá phù hợp với thị trường, theo đó:</w:t>
      </w:r>
      <w:r>
        <w:rPr>
          <w:color w:val="auto"/>
          <w:highlight w:val="white"/>
        </w:rPr>
      </w:r>
      <w:r>
        <w:rPr>
          <w:color w:val="auto"/>
          <w:highlight w:val="whit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color w:val="auto"/>
          <w:highlight w:val="white"/>
        </w:rPr>
      </w:pPr>
      <w:r>
        <w:rPr>
          <w:rFonts w:ascii="Times New Roman" w:hAnsi="Times New Roman" w:eastAsia="Times New Roman" w:cs="Times New Roman"/>
          <w:i/>
          <w:color w:val="auto"/>
          <w:sz w:val="24"/>
          <w:highlight w:val="white"/>
        </w:rPr>
        <w:t xml:space="preserve">“Suất vốn đầu tư Nhà từ 4 đến 5 tầng, kết cấu khung chịu lực BTCT; tường bao xây gạch; sàn, mái BTCT đổ tại chỗ, không có tầng hầm - Diện tích xây dựng từ 140 - dưới 180m² có đơn giá đã bao gồm VAT là: </w:t>
      </w:r>
      <w:r>
        <w:rPr>
          <w:rFonts w:ascii="Times New Roman" w:hAnsi="Times New Roman" w:eastAsia="Times New Roman" w:cs="Times New Roman"/>
          <w:i/>
          <w:color w:val="auto"/>
          <w:sz w:val="24"/>
          <w:highlight w:val="white"/>
        </w:rPr>
        <w:t xml:space="preserve">7.409.000 </w:t>
      </w:r>
      <w:r>
        <w:rPr>
          <w:rFonts w:ascii="Times New Roman" w:hAnsi="Times New Roman" w:eastAsia="Times New Roman" w:cs="Times New Roman"/>
          <w:i/>
          <w:color w:val="auto"/>
          <w:sz w:val="24"/>
          <w:highlight w:val="white"/>
        </w:rPr>
        <w:t xml:space="preserve">đồng/m².</w:t>
      </w:r>
      <w:r>
        <w:rPr>
          <w:color w:val="auto"/>
          <w:highlight w:val="white"/>
        </w:rPr>
      </w:r>
      <w:r>
        <w:rPr>
          <w:color w:val="auto"/>
          <w:highlight w:val="white"/>
        </w:rPr>
      </w:r>
    </w:p>
    <w:p>
      <w:pPr>
        <w:pBdr>
          <w:top w:val="none" w:color="000000" w:sz="4" w:space="0"/>
          <w:left w:val="none" w:color="000000" w:sz="4" w:space="0"/>
          <w:bottom w:val="none" w:color="000000" w:sz="4" w:space="0"/>
          <w:right w:val="none" w:color="000000" w:sz="4" w:space="0"/>
        </w:pBdr>
        <w:tabs>
          <w:tab w:val="left" w:leader="none" w:pos="560"/>
        </w:tabs>
        <w:spacing w:line="274" w:lineRule="auto"/>
        <w:ind w:right="0" w:firstLine="0" w:left="0"/>
        <w:jc w:val="both"/>
        <w:rPr>
          <w:color w:val="auto"/>
          <w:highlight w:val="white"/>
        </w:rPr>
      </w:pPr>
      <w:r>
        <w:rPr>
          <w:rFonts w:ascii="Times New Roman" w:hAnsi="Times New Roman" w:eastAsia="Times New Roman" w:cs="Times New Roman"/>
          <w:i/>
          <w:color w:val="auto"/>
          <w:sz w:val="24"/>
          <w:highlight w:val="white"/>
        </w:rPr>
        <w:t xml:space="preserve">Hệ số điều chỉnh vùng cho Suất vốn đầu tư: Thành phố Hà Nội thuộc vùng 7 có hệ số điều chỉnh là 0,952.”</w:t>
      </w:r>
      <w:r>
        <w:rPr>
          <w:color w:val="auto"/>
          <w:highlight w:val="white"/>
        </w:rPr>
      </w:r>
      <w:r>
        <w:rPr>
          <w:color w:val="auto"/>
          <w:highlight w:val="whit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color w:val="auto"/>
          <w:highlight w:val="white"/>
        </w:rPr>
      </w:pPr>
      <w:r>
        <w:rPr>
          <w:rFonts w:ascii="Times New Roman" w:hAnsi="Times New Roman" w:eastAsia="Times New Roman" w:cs="Times New Roman"/>
          <w:i/>
          <w:color w:val="auto"/>
          <w:sz w:val="24"/>
          <w:highlight w:val="white"/>
        </w:rPr>
        <w:t xml:space="preserve">Do đó, Tổ thẩm định xác định đơn giá xây mới của công trình xây dựng là: (Suất vốn đầu tư) x (Hệ số vùng) = </w:t>
      </w:r>
      <w:r>
        <w:rPr>
          <w:rFonts w:ascii="Times New Roman" w:hAnsi="Times New Roman" w:eastAsia="Times New Roman" w:cs="Times New Roman"/>
          <w:i/>
          <w:color w:val="auto"/>
          <w:sz w:val="24"/>
          <w:highlight w:val="white"/>
        </w:rPr>
        <w:t xml:space="preserve">7.409.000 </w:t>
      </w:r>
      <w:r>
        <w:rPr>
          <w:rFonts w:ascii="Times New Roman" w:hAnsi="Times New Roman" w:eastAsia="Times New Roman" w:cs="Times New Roman"/>
          <w:i/>
          <w:color w:val="auto"/>
          <w:sz w:val="24"/>
          <w:highlight w:val="white"/>
        </w:rPr>
        <w:t xml:space="preserve">x 0,952 =</w:t>
      </w:r>
      <w:r>
        <w:rPr>
          <w:rFonts w:ascii="Times New Roman" w:hAnsi="Times New Roman" w:eastAsia="Times New Roman" w:cs="Times New Roman"/>
          <w:b/>
          <w:i/>
          <w:color w:val="auto"/>
          <w:sz w:val="24"/>
          <w:highlight w:val="white"/>
        </w:rPr>
        <w:t xml:space="preserve"> 7.053.368 đồng/m².</w:t>
      </w:r>
      <w:r>
        <w:rPr>
          <w:color w:val="auto"/>
          <w:highlight w:val="white"/>
        </w:rPr>
      </w:r>
      <w:r>
        <w:rPr>
          <w:color w:val="auto"/>
          <w:highlight w:val="whit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b/>
          <w:bCs/>
          <w:color w:val="auto"/>
          <w:sz w:val="24"/>
          <w:szCs w:val="24"/>
          <w:highlight w:val="white"/>
        </w:rPr>
      </w:pPr>
      <w:r>
        <w:rPr>
          <w:rFonts w:ascii="Times New Roman" w:hAnsi="Times New Roman" w:eastAsia="Times New Roman" w:cs="Times New Roman"/>
          <w:color w:val="auto"/>
          <w:sz w:val="24"/>
          <w:highlight w:val="white"/>
        </w:rPr>
        <w:t xml:space="preserve">Tại thời điểm khảo sát, công trình xây dựng trên đất có hiện trạng xây thô tham khảo thông tin thị trường, tổ thẩm định xác định tỉ lệ hoàn thiện khoảng 60%, tương ứng đơn giá xây mới của công trình hiện có là: 7.053.368 x 60% </w:t>
      </w:r>
      <w:r>
        <w:rPr>
          <w:rFonts w:ascii="Times New Roman" w:hAnsi="Times New Roman" w:eastAsia="Times New Roman" w:cs="Times New Roman"/>
          <w:b/>
          <w:color w:val="auto"/>
          <w:sz w:val="24"/>
          <w:highlight w:val="white"/>
        </w:rPr>
        <w:t xml:space="preserve">= 4.232.021 đ</w:t>
      </w:r>
      <w:r>
        <w:rPr>
          <w:rFonts w:ascii="Times New Roman" w:hAnsi="Times New Roman" w:eastAsia="Times New Roman" w:cs="Times New Roman"/>
          <w:b/>
          <w:color w:val="auto"/>
          <w:sz w:val="24"/>
          <w:highlight w:val="white"/>
        </w:rPr>
        <w:t xml:space="preserve">ồng/m² sàn. </w:t>
      </w:r>
      <w:r>
        <w:rPr>
          <w:rFonts w:ascii="Times New Roman" w:hAnsi="Times New Roman" w:eastAsia="Times New Roman" w:cs="Times New Roman"/>
          <w:b/>
          <w:bCs/>
          <w:color w:val="auto"/>
          <w:sz w:val="24"/>
          <w:szCs w:val="24"/>
          <w:highlight w:val="white"/>
        </w:rPr>
      </w:r>
      <w:r>
        <w:rPr>
          <w:rFonts w:ascii="Times New Roman" w:hAnsi="Times New Roman" w:eastAsia="Times New Roman" w:cs="Times New Roman"/>
          <w:b/>
          <w:bCs/>
          <w:color w:val="auto"/>
          <w:sz w:val="24"/>
          <w:szCs w:val="24"/>
          <w:highlight w:val="white"/>
        </w:rPr>
      </w:r>
    </w:p>
    <w:p>
      <w:pPr>
        <w:pBdr>
          <w:top w:val="none" w:color="000000" w:sz="4" w:space="0"/>
          <w:left w:val="none" w:color="000000" w:sz="4" w:space="0"/>
          <w:bottom w:val="none" w:color="000000" w:sz="4" w:space="0"/>
          <w:right w:val="none" w:color="000000" w:sz="4" w:space="0"/>
        </w:pBdr>
        <w:spacing w:line="274" w:lineRule="auto"/>
        <w:ind w:firstLine="0" w:left="720"/>
        <w:jc w:val="both"/>
        <w:rPr/>
      </w:pPr>
      <w:r>
        <w:rPr>
          <w:rFonts w:ascii="Times New Roman" w:hAnsi="Times New Roman" w:eastAsia="Times New Roman" w:cs="Times New Roman"/>
          <w:b/>
          <w:color w:val="000000"/>
          <w:sz w:val="24"/>
          <w:highlight w:val="none"/>
        </w:rPr>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line="274" w:lineRule="auto"/>
        <w:ind w:firstLine="0" w:left="72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b/>
          <w:color w:val="000000"/>
          <w:sz w:val="24"/>
        </w:rPr>
        <w:t xml:space="preserve">Xác định giá trị hao mòn theo phương pháp tổng cộng:</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color w:val="000000"/>
          <w:sz w:val="24"/>
        </w:rPr>
        <w:t xml:space="preserve">Qua khảo sát hiện trạng, dựa vào đặc điểm tài sản và tham khảo ý kiến các chuyên giá về xây dựng, Tổ thẩm định đánh giá tỷ lệ chất lượng còn lại của công trình xây dựng theo Văn bản số 1326/BXD-QLN do Bộ Xây dựng ban hành ngày 08/8/2011 về việc hướng dẫn k</w:t>
      </w:r>
      <w:r>
        <w:rPr>
          <w:rFonts w:ascii="Times New Roman" w:hAnsi="Times New Roman" w:eastAsia="Times New Roman" w:cs="Times New Roman"/>
          <w:color w:val="000000"/>
          <w:sz w:val="24"/>
        </w:rPr>
        <w:t xml:space="preserve">iểm kê, đánh giá lại giá trị tài sản cố định là nhà, vật kiến trúc như sau: Tỷ lệ chất lượng còn lạicủa nhà, vật kiến trúc được xác định căn cứ vào tỷ lệ chất lượng còn lại của các kết cấu chính (nếu là nhà thì kết cấu chính gồm: móng, khung, cột, tường, n</w:t>
      </w:r>
      <w:r>
        <w:rPr>
          <w:rFonts w:ascii="Times New Roman" w:hAnsi="Times New Roman" w:eastAsia="Times New Roman" w:cs="Times New Roman"/>
          <w:color w:val="000000"/>
          <w:sz w:val="24"/>
        </w:rPr>
        <w:t xml:space="preserve">ền, sàn, kết cấu đỡ mái và mái) tạo nên nhà đó và tỷ lệ giá trị của các kết cấu chính đó so với tổng giá trị của nhà hoặc vật kiến trúc.</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Công thức tính như sau:</w:t>
      </w:r>
      <w:r/>
    </w:p>
    <w:tbl>
      <w:tblPr>
        <w:tblStyle w:val="106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580"/>
        <w:gridCol w:w="690"/>
        <w:gridCol w:w="870"/>
        <w:gridCol w:w="3570"/>
        <w:gridCol w:w="795"/>
        <w:gridCol w:w="3075"/>
      </w:tblGrid>
      <w:tr>
        <w:trPr/>
        <w:tc>
          <w:tcPr>
            <w:tcBorders/>
            <w:tcMar>
              <w:left w:w="15" w:type="dxa"/>
              <w:top w:w="15" w:type="dxa"/>
              <w:right w:w="15" w:type="dxa"/>
              <w:bottom w:w="15" w:type="dxa"/>
            </w:tcMar>
            <w:tcW w:w="258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lại của nhà, vật kiến trúc (%)</w:t>
            </w:r>
            <w:r/>
          </w:p>
        </w:tc>
        <w:tc>
          <w:tcPr>
            <w:tcBorders/>
            <w:tcMar>
              <w:left w:w="15" w:type="dxa"/>
              <w:top w:w="15" w:type="dxa"/>
              <w:right w:w="15" w:type="dxa"/>
              <w:bottom w:w="15" w:type="dxa"/>
            </w:tcMar>
            <w:tcW w:w="690"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w:t>
            </w:r>
            <w:r/>
          </w:p>
        </w:tc>
        <w:tc>
          <w:tcPr>
            <w:tcBorders/>
            <w:tcMar>
              <w:left w:w="15" w:type="dxa"/>
              <w:top w:w="15" w:type="dxa"/>
              <w:right w:w="15" w:type="dxa"/>
              <w:bottom w:w="15" w:type="dxa"/>
            </w:tcMar>
            <w:tcW w:w="8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mc:AlternateContent>
                <mc:Choice Requires="wpg">
                  <w:drawing>
                    <wp:inline xmlns:wp="http://schemas.openxmlformats.org/drawingml/2006/wordprocessingDrawing" distT="0" distB="0" distL="0" distR="0">
                      <wp:extent cx="304800" cy="42862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0562" name=""/>
                              <pic:cNvPicPr>
                                <a:picLocks noChangeAspect="1"/>
                              </pic:cNvPicPr>
                              <pic:nvPr/>
                            </pic:nvPicPr>
                            <pic:blipFill rotWithShape="1">
                              <a:blip r:embed="rId18"/>
                              <a:stretch/>
                            </pic:blipFill>
                            <pic:spPr bwMode="auto">
                              <a:xfrm>
                                <a:off x="0" y="0"/>
                                <a:ext cx="304799" cy="4286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4.00pt;height:33.75pt;mso-wrap-distance-left:0.00pt;mso-wrap-distance-top:0.00pt;mso-wrap-distance-right:0.00pt;mso-wrap-distance-bottom:0.00pt;z-index:1;" stroked="false">
                      <v:imagedata r:id="rId18" o:title=""/>
                      <o:lock v:ext="edit" rotation="t"/>
                    </v:shape>
                  </w:pict>
                </mc:Fallback>
              </mc:AlternateContent>
            </w:r>
            <w:r>
              <w:rPr>
                <w:rFonts w:ascii="Times New Roman" w:hAnsi="Times New Roman" w:eastAsia="Times New Roman" w:cs="Times New Roman"/>
                <w:color w:val="000000"/>
                <w:sz w:val="24"/>
              </w:rPr>
              <w:t xml:space="preserve"> </w:t>
            </w:r>
            <w:r/>
          </w:p>
        </w:tc>
        <w:tc>
          <w:tcPr>
            <w:tcBorders/>
            <w:tcMar>
              <w:left w:w="15" w:type="dxa"/>
              <w:top w:w="15" w:type="dxa"/>
              <w:right w:w="15" w:type="dxa"/>
              <w:bottom w:w="15" w:type="dxa"/>
            </w:tcMar>
            <w:tcW w:w="357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chất lượng còn lại của kết cấu chính thức i (%)</w:t>
            </w:r>
            <w:r/>
          </w:p>
        </w:tc>
        <w:tc>
          <w:tcPr>
            <w:tcBorders/>
            <w:tcMar>
              <w:left w:w="15" w:type="dxa"/>
              <w:top w:w="15" w:type="dxa"/>
              <w:right w:w="15" w:type="dxa"/>
              <w:bottom w:w="15" w:type="dxa"/>
            </w:tcMar>
            <w:tcW w:w="79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x</w:t>
            </w:r>
            <w:r/>
          </w:p>
        </w:tc>
        <w:tc>
          <w:tcPr>
            <w:tcBorders/>
            <w:tcMar>
              <w:left w:w="15" w:type="dxa"/>
              <w:top w:w="15" w:type="dxa"/>
              <w:right w:w="15" w:type="dxa"/>
              <w:bottom w:w="15" w:type="dxa"/>
            </w:tcMar>
            <w:tcW w:w="3075"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Tỷ lệ giá trị của kết cấu chính thứ i so với tổng giá trị của ngôi nhà hoặc vật kiến trúc (%)</w:t>
            </w:r>
            <w:r/>
          </w:p>
        </w:tc>
      </w:tr>
      <w:tr>
        <w:trPr/>
        <w:tc>
          <w:tcPr>
            <w:tcBorders/>
            <w:vMerge w:val="continue"/>
            <w:textDirection w:val="lrTb"/>
            <w:noWrap w:val="false"/>
          </w:tcPr>
          <w:p>
            <w:pPr>
              <w:pBdr/>
              <w:spacing/>
              <w:ind/>
              <w:rPr/>
            </w:pPr>
            <w:r/>
            <w:r/>
          </w:p>
        </w:tc>
        <w:tc>
          <w:tcPr>
            <w:tcBorders/>
            <w:vMerge w:val="continue"/>
            <w:textDirection w:val="lrTb"/>
            <w:noWrap w:val="false"/>
          </w:tcPr>
          <w:p>
            <w:pPr>
              <w:pBdr/>
              <w:spacing/>
              <w:ind/>
              <w:rPr/>
            </w:pPr>
            <w:r/>
            <w:r/>
          </w:p>
        </w:tc>
        <w:tc>
          <w:tcPr>
            <w:gridSpan w:val="4"/>
            <w:tcBorders/>
            <w:tcMar>
              <w:left w:w="15" w:type="dxa"/>
              <w:top w:w="15" w:type="dxa"/>
              <w:right w:w="15" w:type="dxa"/>
              <w:bottom w:w="15" w:type="dxa"/>
            </w:tcMar>
            <w:tcW w:w="831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4" w:lineRule="auto"/>
              <w:ind w:right="0" w:firstLine="0" w:left="0"/>
              <w:jc w:val="center"/>
              <w:rPr/>
            </w:pPr>
            <w:r>
              <w:rPr>
                <w:rFonts w:ascii="Times New Roman" w:hAnsi="Times New Roman" w:eastAsia="Times New Roman" w:cs="Times New Roman"/>
                <w:color w:val="000000"/>
                <w:sz w:val="24"/>
              </w:rPr>
              <w:t xml:space="preserve">Tổng tỷ lệ giá trị của các kết cấu chính so với tổng giá trị của ngôi nhà hoặc vật kiến trúc (%)</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i/>
          <w:color w:val="000000"/>
          <w:sz w:val="24"/>
        </w:rPr>
        <w:t xml:space="preserve">Trong đó:</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i: số thứ tự của kết cấu chính</w:t>
      </w:r>
      <w:r/>
    </w:p>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n: số các kết cấu chính.</w:t>
      </w:r>
      <w:r/>
    </w:p>
    <w:tbl>
      <w:tblPr>
        <w:tblStyle w:val="1063"/>
        <w:tblInd w:w="0" w:type="dxa"/>
        <w:tblW w:w="0" w:type="auto"/>
        <w:tblCellMar>
          <w:left w:w="100" w:type="dxa"/>
          <w:top w:w="0" w:type="dxa"/>
          <w:right w:w="10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660"/>
        <w:gridCol w:w="2344"/>
        <w:gridCol w:w="2268"/>
        <w:gridCol w:w="1701"/>
        <w:gridCol w:w="1980"/>
      </w:tblGrid>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KẾT CẤU CHÍNH</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các kết cấu chính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 các kết cấu chính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giá trị còn lại các kết cấu chính (%)</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a</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b</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c</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d</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i/>
                <w:color w:val="000000"/>
                <w:sz w:val="24"/>
              </w:rPr>
              <w:t xml:space="preserve">e = c x d/g</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Móng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16%</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Khung, cột</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Tường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28%</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Nền, sàn</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25%</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5</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Kết cấu đỡ mái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0%</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6</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Mái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4"/>
              </w:rPr>
              <w:t xml:space="preserve">14%</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22%</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Tổng cộng (g)</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58%</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r>
      <w:tr>
        <w:trPr/>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660"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34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Tỷ lệ chất lượng còn lại:</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226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15" w:type="dxa"/>
              <w:top w:w="15" w:type="dxa"/>
              <w:right w:w="15" w:type="dxa"/>
              <w:bottom w:w="15" w:type="dxa"/>
            </w:tcMar>
            <w:tcW w:w="170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tcBorders>
              <w:top w:val="single" w:color="000000" w:sz="4" w:space="0"/>
              <w:left w:val="single" w:color="000000" w:sz="4" w:space="0"/>
              <w:bottom w:val="single" w:color="000000" w:sz="4" w:space="0"/>
              <w:right w:val="single" w:color="000000" w:sz="4" w:space="0"/>
            </w:tcBorders>
            <w:tcMar>
              <w:left w:w="0" w:type="dxa"/>
              <w:top w:w="0" w:type="dxa"/>
              <w:right w:w="0" w:type="dxa"/>
              <w:bottom w:w="0" w:type="dxa"/>
            </w:tcMar>
            <w:tcW w:w="1980"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90%</w:t>
            </w:r>
            <w:r/>
          </w:p>
        </w:tc>
      </w:tr>
    </w:tbl>
    <w:p>
      <w:pPr>
        <w:pBdr>
          <w:top w:val="none" w:color="000000" w:sz="4" w:space="0"/>
          <w:left w:val="none" w:color="000000" w:sz="4" w:space="0"/>
          <w:bottom w:val="none" w:color="000000" w:sz="4" w:space="0"/>
          <w:right w:val="none" w:color="000000" w:sz="4" w:space="0"/>
        </w:pBdr>
        <w:spacing w:line="274" w:lineRule="auto"/>
        <w:ind w:right="0" w:firstLine="0" w:left="0"/>
        <w:rPr/>
      </w:pPr>
      <w:r>
        <w:rPr>
          <w:rFonts w:ascii="Times New Roman" w:hAnsi="Times New Roman" w:eastAsia="Times New Roman" w:cs="Times New Roman"/>
          <w:color w:val="000000"/>
          <w:sz w:val="24"/>
        </w:rPr>
        <w:t xml:space="preserve"> </w:t>
      </w:r>
      <w:r/>
    </w:p>
    <w:p>
      <w:pPr>
        <w:pBdr>
          <w:top w:val="none" w:color="000000" w:sz="4" w:space="0"/>
          <w:left w:val="none" w:color="000000" w:sz="4" w:space="0"/>
          <w:bottom w:val="none" w:color="000000" w:sz="4" w:space="0"/>
          <w:right w:val="none" w:color="000000" w:sz="4" w:space="0"/>
        </w:pBdr>
        <w:spacing w:line="274" w:lineRule="auto"/>
        <w:ind w:right="0" w:firstLine="0" w:left="0"/>
        <w:jc w:val="both"/>
        <w:rPr>
          <w:rFonts w:ascii="Times New Roman" w:hAnsi="Times New Roman" w:eastAsia="Times New Roman" w:cs="Times New Roman"/>
          <w:b/>
          <w:bCs/>
          <w:color w:val="000000"/>
          <w:sz w:val="24"/>
          <w:szCs w:val="24"/>
          <w:highlight w:val="none"/>
        </w:rPr>
      </w:pPr>
      <w:r>
        <w:rPr>
          <w:rFonts w:ascii="Times New Roman" w:hAnsi="Times New Roman" w:eastAsia="Times New Roman" w:cs="Times New Roman"/>
          <w:color w:val="000000"/>
          <w:sz w:val="24"/>
        </w:rPr>
        <w:t xml:space="preserve">Tổ thẩm định xác định, tỷ lệ chất lượng còn lại của công trình xây dựng là: </w:t>
      </w:r>
      <w:r>
        <w:rPr>
          <w:rFonts w:ascii="Times New Roman" w:hAnsi="Times New Roman" w:eastAsia="Times New Roman" w:cs="Times New Roman"/>
          <w:b/>
          <w:color w:val="000000"/>
          <w:sz w:val="24"/>
        </w:rPr>
        <w:t xml:space="preserve">90%. </w:t>
      </w:r>
      <w:r>
        <w:rPr>
          <w:rFonts w:ascii="Times New Roman" w:hAnsi="Times New Roman" w:eastAsia="Times New Roman" w:cs="Times New Roman"/>
          <w:b/>
          <w:bCs/>
          <w:color w:val="000000"/>
          <w:sz w:val="24"/>
          <w:szCs w:val="24"/>
          <w:highlight w:val="none"/>
        </w:rPr>
      </w:r>
      <w:r>
        <w:rPr>
          <w:rFonts w:ascii="Times New Roman" w:hAnsi="Times New Roman" w:eastAsia="Times New Roman" w:cs="Times New Roman"/>
          <w:b/>
          <w:bCs/>
          <w:color w:val="000000"/>
          <w:sz w:val="24"/>
          <w:szCs w:val="24"/>
          <w:highlight w:val="none"/>
        </w:rP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000000"/>
          <w:sz w:val="24"/>
          <w:highlight w:val="none"/>
        </w:rPr>
        <w:t xml:space="preserve">Do đó, tỷ lệ hao mòn của công trình là 100%-90%=10%</w:t>
      </w:r>
      <w:r>
        <w:rPr>
          <w:rFonts w:ascii="Times New Roman" w:hAnsi="Times New Roman" w:eastAsia="Times New Roman" w:cs="Times New Roman"/>
          <w:b/>
          <w:color w:val="000000"/>
          <w:sz w:val="24"/>
          <w:highlight w:val="none"/>
        </w:rPr>
      </w:r>
      <w:r/>
    </w:p>
    <w:p>
      <w:pPr>
        <w:pBdr>
          <w:top w:val="none" w:color="000000" w:sz="4" w:space="0"/>
          <w:left w:val="none" w:color="000000" w:sz="4" w:space="0"/>
          <w:bottom w:val="none" w:color="000000" w:sz="4" w:space="0"/>
          <w:right w:val="none" w:color="000000" w:sz="4" w:space="0"/>
        </w:pBdr>
        <w:spacing w:line="274" w:lineRule="auto"/>
        <w:ind w:firstLine="0" w:left="0"/>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63"/>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41"/>
        <w:gridCol w:w="3672"/>
        <w:gridCol w:w="319"/>
        <w:gridCol w:w="2311"/>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tcBorders/>
            <w:tcMar>
              <w:left w:w="108" w:type="dxa"/>
              <w:top w:w="0" w:type="dxa"/>
              <w:right w:w="108" w:type="dxa"/>
              <w:bottom w:w="0" w:type="dxa"/>
            </w:tcMar>
            <w:tcW w:w="34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367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before="0"/>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tcBorders/>
            <w:tcMar>
              <w:left w:w="108" w:type="dxa"/>
              <w:top w:w="0" w:type="dxa"/>
              <w:right w:w="108" w:type="dxa"/>
              <w:bottom w:w="0" w:type="dxa"/>
            </w:tcMar>
            <w:tcW w:w="31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w:t>
            </w:r>
            <w:r/>
          </w:p>
        </w:tc>
        <w:tc>
          <w:tcPr>
            <w:tcBorders/>
            <w:tcMar>
              <w:left w:w="108" w:type="dxa"/>
              <w:top w:w="0" w:type="dxa"/>
              <w:right w:w="108" w:type="dxa"/>
              <w:bottom w:w="0" w:type="dxa"/>
            </w:tcMar>
            <w:tcW w:w="231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0" w:before="0"/>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
    </w:p>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i/>
          <w:color w:val="000000"/>
          <w:sz w:val="24"/>
        </w:rPr>
      </w:r>
      <w:r/>
    </w:p>
    <w:tbl>
      <w:tblPr>
        <w:tblStyle w:val="1063"/>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861"/>
        <w:gridCol w:w="1002"/>
        <w:gridCol w:w="1276"/>
        <w:gridCol w:w="1319"/>
        <w:gridCol w:w="666"/>
        <w:gridCol w:w="1559"/>
        <w:gridCol w:w="1843"/>
      </w:tblGrid>
      <w:tr>
        <w:trPr>
          <w:trHeight w:val="936"/>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1861"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Tài sản</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002"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Diện tích sàn</w:t>
              <w:br/>
              <w:t xml:space="preserve"> (m²</w:t>
            </w:r>
            <w:r>
              <w:rPr>
                <w:rFonts w:ascii="Times New Roman" w:hAnsi="Times New Roman" w:eastAsia="Times New Roman" w:cs="Times New Roman"/>
                <w:b/>
                <w:bCs/>
                <w:color w:val="auto"/>
                <w:sz w:val="22"/>
                <w:szCs w:val="22"/>
              </w:rPr>
              <w:t xml:space="preserve">)</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Đơn giá xây dựng mới (đồng/m²)</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Chi phí thay thế (đồng)</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666"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Tỷ lệ hao mòn </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Gía trị hao mòn </w:t>
            </w:r>
            <w:r>
              <w:rPr>
                <w:b/>
                <w:bCs/>
                <w:color w:val="auto"/>
                <w:sz w:val="22"/>
                <w:szCs w:val="22"/>
              </w:rPr>
            </w:r>
            <w:r>
              <w:rPr>
                <w:b/>
                <w:bCs/>
                <w:color w:val="auto"/>
                <w:sz w:val="22"/>
                <w:szCs w:val="22"/>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bCs/>
                <w:color w:val="auto"/>
                <w:sz w:val="22"/>
                <w:szCs w:val="22"/>
              </w:rPr>
            </w:pPr>
            <w:r>
              <w:rPr>
                <w:rFonts w:ascii="Times New Roman" w:hAnsi="Times New Roman" w:eastAsia="Times New Roman" w:cs="Times New Roman"/>
                <w:b/>
                <w:bCs/>
                <w:color w:val="auto"/>
                <w:sz w:val="22"/>
                <w:szCs w:val="22"/>
              </w:rPr>
              <w:t xml:space="preserve">Giá trị thẩm định tại thời điểm thẩm định giá (đồng)</w:t>
            </w:r>
            <w:r>
              <w:rPr>
                <w:b/>
                <w:bCs/>
                <w:color w:val="auto"/>
                <w:sz w:val="22"/>
                <w:szCs w:val="22"/>
              </w:rPr>
            </w:r>
            <w:r>
              <w:rPr>
                <w:b/>
                <w:bCs/>
                <w:color w:val="auto"/>
                <w:sz w:val="22"/>
                <w:szCs w:val="22"/>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1861"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(A)</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002"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1</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2</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319"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(3) = (2) * (1)</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666"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(4)</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(5)= (3)*(4)</w:t>
            </w:r>
            <w:r>
              <w:rPr>
                <w:b w:val="0"/>
                <w:bCs w:val="0"/>
                <w:color w:val="auto"/>
                <w:sz w:val="22"/>
                <w:szCs w:val="22"/>
              </w:rPr>
            </w:r>
            <w:r>
              <w:rPr>
                <w:b w:val="0"/>
                <w:bCs w:val="0"/>
                <w:color w:val="auto"/>
                <w:sz w:val="22"/>
                <w:szCs w:val="22"/>
              </w:rPr>
            </w:r>
          </w:p>
        </w:tc>
        <w:tc>
          <w:tcPr>
            <w:shd w:val="clear" w:color="ffffff" w:fill="ffffff"/>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(6) = (3) - (5)</w:t>
            </w:r>
            <w:r>
              <w:rPr>
                <w:b w:val="0"/>
                <w:bCs w:val="0"/>
                <w:color w:val="auto"/>
                <w:sz w:val="22"/>
                <w:szCs w:val="22"/>
              </w:rPr>
            </w:r>
            <w:r>
              <w:rPr>
                <w:b w:val="0"/>
                <w:bCs w:val="0"/>
                <w:color w:val="auto"/>
                <w:sz w:val="22"/>
                <w:szCs w:val="22"/>
              </w:rPr>
            </w:r>
          </w:p>
        </w:tc>
      </w:tr>
      <w:tr>
        <w:trPr>
          <w:trHeight w:val="300"/>
        </w:trPr>
        <w:tc>
          <w:tcPr>
            <w:tcBorders>
              <w:left w:val="single" w:color="000000" w:sz="5" w:space="0"/>
              <w:bottom w:val="single" w:color="000000" w:sz="5" w:space="0"/>
              <w:right w:val="single" w:color="000000" w:sz="5" w:space="0"/>
            </w:tcBorders>
            <w:tcMar>
              <w:left w:w="0" w:type="dxa"/>
              <w:top w:w="0" w:type="dxa"/>
              <w:right w:w="0" w:type="dxa"/>
              <w:bottom w:w="0" w:type="dxa"/>
            </w:tcMar>
            <w:tcW w:w="1861" w:type="dxa"/>
            <w:vAlign w:val="center"/>
            <w:textDirection w:val="lrTb"/>
            <w:noWrap/>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Nhà liền kề 4 tầng, xây thô  </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1002" w:type="dxa"/>
            <w:vAlign w:val="center"/>
            <w:textDirection w:val="lrTb"/>
            <w:noWrap/>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345</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1276"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r>
            <w:r>
              <w:rPr>
                <w:rFonts w:ascii="Times New Roman" w:hAnsi="Times New Roman" w:eastAsia="Times New Roman" w:cs="Times New Roman"/>
                <w:b w:val="0"/>
                <w:bCs w:val="0"/>
                <w:color w:val="auto"/>
                <w:sz w:val="22"/>
                <w:szCs w:val="22"/>
              </w:rPr>
              <w:t xml:space="preserve">4.232.021</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1319" w:type="dxa"/>
            <w:vAlign w:val="center"/>
            <w:textDirection w:val="lrTb"/>
            <w:noWrap/>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1.460.047.245</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666" w:type="dxa"/>
            <w:vAlign w:val="center"/>
            <w:textDirection w:val="lrTb"/>
            <w:noWrap/>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10%</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1559" w:type="dxa"/>
            <w:vAlign w:val="center"/>
            <w:textDirection w:val="lrTb"/>
            <w:noWrap/>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146.004.725</w:t>
            </w:r>
            <w:r>
              <w:rPr>
                <w:b w:val="0"/>
                <w:bCs w:val="0"/>
                <w:color w:val="auto"/>
                <w:sz w:val="22"/>
                <w:szCs w:val="22"/>
              </w:rPr>
            </w:r>
            <w:r>
              <w:rPr>
                <w:b w:val="0"/>
                <w:bCs w:val="0"/>
                <w:color w:val="auto"/>
                <w:sz w:val="22"/>
                <w:szCs w:val="22"/>
              </w:rPr>
            </w:r>
          </w:p>
        </w:tc>
        <w:tc>
          <w:tcPr>
            <w:tcBorders>
              <w:bottom w:val="single" w:color="000000" w:sz="5" w:space="0"/>
              <w:right w:val="single" w:color="000000" w:sz="5" w:space="0"/>
            </w:tcBorders>
            <w:tcMar>
              <w:left w:w="0" w:type="dxa"/>
              <w:top w:w="0" w:type="dxa"/>
              <w:right w:w="0" w:type="dxa"/>
              <w:bottom w:w="0" w:type="dxa"/>
            </w:tcMar>
            <w:tcW w:w="1843" w:type="dxa"/>
            <w:vAlign w:val="center"/>
            <w:textDirection w:val="lrTb"/>
            <w:noWrap w:val="false"/>
          </w:tcPr>
          <w:p>
            <w:pPr>
              <w:pBdr/>
              <w:spacing w:after="0" w:before="0" w:line="240" w:lineRule="auto"/>
              <w:ind/>
              <w:jc w:val="center"/>
              <w:rPr>
                <w:b w:val="0"/>
                <w:bCs w:val="0"/>
                <w:color w:val="auto"/>
                <w:sz w:val="22"/>
                <w:szCs w:val="22"/>
              </w:rPr>
            </w:pPr>
            <w:r>
              <w:rPr>
                <w:rFonts w:ascii="Times New Roman" w:hAnsi="Times New Roman" w:eastAsia="Times New Roman" w:cs="Times New Roman"/>
                <w:b w:val="0"/>
                <w:bCs w:val="0"/>
                <w:color w:val="auto"/>
                <w:sz w:val="22"/>
                <w:szCs w:val="22"/>
              </w:rPr>
              <w:t xml:space="preserve">     1.314.042.521 </w:t>
            </w:r>
            <w:r>
              <w:rPr>
                <w:b w:val="0"/>
                <w:bCs w:val="0"/>
                <w:color w:val="auto"/>
                <w:sz w:val="22"/>
                <w:szCs w:val="22"/>
              </w:rPr>
            </w:r>
            <w:r>
              <w:rPr>
                <w:b w:val="0"/>
                <w:bCs w:val="0"/>
                <w:color w:val="auto"/>
                <w:sz w:val="22"/>
                <w:szCs w:val="22"/>
              </w:rPr>
            </w:r>
          </w:p>
        </w:tc>
      </w:tr>
    </w:tbl>
    <w:p>
      <w:pPr>
        <w:pBdr>
          <w:top w:val="none" w:color="000000" w:sz="4" w:space="0"/>
          <w:left w:val="none" w:color="000000" w:sz="4" w:space="0"/>
          <w:bottom w:val="none" w:color="000000" w:sz="4" w:space="0"/>
          <w:right w:val="none" w:color="000000" w:sz="4" w:space="0"/>
        </w:pBdr>
        <w:spacing w:line="274" w:lineRule="auto"/>
        <w:ind w:right="0" w:firstLine="0" w:left="0"/>
        <w:jc w:val="both"/>
        <w:rPr/>
      </w:pPr>
      <w:r>
        <w:rPr>
          <w:rFonts w:ascii="Times New Roman" w:hAnsi="Times New Roman" w:eastAsia="Times New Roman" w:cs="Times New Roman"/>
          <w:b/>
          <w:color w:val="ee0000"/>
          <w:sz w:val="24"/>
          <w:highlight w:val="none"/>
        </w:rPr>
      </w:r>
      <w:r>
        <w:rPr>
          <w:rFonts w:ascii="Times New Roman" w:hAnsi="Times New Roman" w:eastAsia="Times New Roman" w:cs="Times New Roman"/>
          <w:b/>
          <w:color w:val="ee0000"/>
          <w:sz w:val="24"/>
          <w:highlight w:val="none"/>
        </w:rPr>
      </w:r>
      <w:r/>
    </w:p>
    <w:p>
      <w:pPr>
        <w:pStyle w:val="105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59"/>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rPr>
          <w:color w:val="000000" w:themeColor="text1"/>
          <w:lang w:val="pt-BR"/>
        </w:rPr>
        <w:t xml:space="preserve">Tháng 04/2026</w:t>
      </w:r>
      <w:r>
        <w:t xml:space="preserve"> </w:t>
      </w:r>
      <w:r>
        <w:t xml:space="preserve">ước tính </w:t>
      </w:r>
      <w:r>
        <w:t xml:space="preserve">như sau</w:t>
      </w:r>
      <w:r>
        <w:t xml:space="preserve">:</w:t>
      </w:r>
      <w:r>
        <w:rPr>
          <w:highlight w:val="none"/>
        </w:rPr>
      </w:r>
      <w:r>
        <w:rPr>
          <w:highlight w:val="none"/>
        </w:rPr>
      </w:r>
    </w:p>
    <w:tbl>
      <w:tblPr>
        <w:tblStyle w:val="1063"/>
        <w:tblInd w:w="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595"/>
        <w:gridCol w:w="2802"/>
        <w:gridCol w:w="1418"/>
        <w:gridCol w:w="1559"/>
        <w:gridCol w:w="1418"/>
        <w:gridCol w:w="1723"/>
        <w:gridCol w:w="2876"/>
      </w:tblGrid>
      <w:tr>
        <w:trPr>
          <w:gridAfter w:val="1"/>
          <w:trHeight w:val="20"/>
        </w:trPr>
        <w:tc>
          <w:tcPr>
            <w:shd w:val="clear" w:color="ffffff" w:fill="ffffff"/>
            <w:tcBorders>
              <w:top w:val="single" w:color="000000" w:sz="8" w:space="0"/>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28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CLCL </w:t>
              <w:br/>
              <w:t xml:space="preserve"> (%)</w:t>
            </w:r>
            <w:r/>
          </w:p>
        </w:tc>
        <w:tc>
          <w:tcPr>
            <w:shd w:val="clear" w:color="ffffff" w:fill="ffffff"/>
            <w:tcBorders>
              <w:top w:val="single" w:color="000000" w:sz="8" w:space="0"/>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Thành tiền (đồng)</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b/>
                <w:color w:val="000000"/>
                <w:sz w:val="24"/>
              </w:rPr>
              <w:t xml:space="preserve"> </w:t>
            </w:r>
            <w:r/>
          </w:p>
        </w:tc>
        <w:tc>
          <w:tcPr>
            <w:gridSpan w:val="4"/>
            <w:shd w:val="clear" w:color="ffffff" w:fill="ffffff"/>
            <w:tcBorders>
              <w:bottom w:val="single" w:color="000000" w:sz="8" w:space="0"/>
              <w:right w:val="single" w:color="000000" w:sz="8" w:space="0"/>
            </w:tcBorders>
            <w:tcMar>
              <w:left w:w="0" w:type="dxa"/>
              <w:top w:w="0" w:type="dxa"/>
              <w:right w:w="0" w:type="dxa"/>
              <w:bottom w:w="0" w:type="dxa"/>
            </w:tcMar>
            <w:tcW w:w="7196" w:type="dxa"/>
            <w:vAlign w:val="center"/>
            <w:textDirection w:val="lrTb"/>
            <w:noWrap w:val="false"/>
          </w:tcPr>
          <w:p>
            <w:pPr>
              <w:pBdr/>
              <w:spacing w:after="40" w:before="40" w:line="288" w:lineRule="auto"/>
              <w:ind/>
              <w:jc w:val="both"/>
              <w:rPr>
                <w:b/>
                <w:bCs/>
              </w:rPr>
            </w:pPr>
            <w:r>
              <w:rPr>
                <w:b/>
                <w:bCs/>
                <w:color w:val="000000"/>
              </w:rPr>
              <w:t xml:space="preserve">Quyền sử dụng đất tại thửa đất số: 1218, tờ bản đồ số: 14 có địa chỉ: N21-LK01, Khu đô thị mới tại lô đất N1+ N3 thuộc Khu đô thị Quốc Oai, xã Quốc Oai, thàn</w:t>
            </w:r>
            <w:r>
              <w:rPr>
                <w:b/>
                <w:bCs/>
                <w:color w:val="000000"/>
              </w:rPr>
              <w:t xml:space="preserve">h phố Hà Nội ( Nay là xã Quốc Oai, Thành phố Hà Nội) theo Giấy chứng nhận quyền sử dụng đất, quyền sở hữu tài sản gắn liền với đất  số: AA 06888030, số vào sổ cấp GCN: VP 67034 do Văn phòng Đăng ký đất đai Hà Nội  cấp ngày 25/3/2026 cho Ông Nguyễn Văn Dũng</w:t>
            </w:r>
            <w:r>
              <w:rPr>
                <w:b/>
                <w:bCs/>
              </w:rPr>
              <w:t xml:space="preserve">.</w:t>
            </w:r>
            <w:r>
              <w:rPr>
                <w:b/>
                <w:bCs/>
              </w:rPr>
            </w:r>
            <w:r>
              <w:rPr>
                <w:b/>
                <w:bCs/>
              </w:rP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right"/>
              <w:rPr/>
            </w:pPr>
            <w:r>
              <w:rPr>
                <w:rFonts w:ascii="Times New Roman" w:hAnsi="Times New Roman" w:eastAsia="Times New Roman" w:cs="Times New Roman"/>
                <w:b/>
                <w:color w:val="000000"/>
                <w:sz w:val="24"/>
              </w:rPr>
              <w:t xml:space="preserve">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b w:val="0"/>
                <w:bCs w:val="0"/>
              </w:rPr>
            </w:pPr>
            <w:r>
              <w:rPr>
                <w:rFonts w:ascii="Times New Roman" w:hAnsi="Times New Roman" w:eastAsia="Times New Roman" w:cs="Times New Roman"/>
                <w:b w:val="0"/>
                <w:bCs w:val="0"/>
                <w:color w:val="000000"/>
                <w:sz w:val="24"/>
              </w:rPr>
              <w:t xml:space="preserve">01</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2802" w:type="dxa"/>
            <w:vAlign w:val="center"/>
            <w:textDirection w:val="lrTb"/>
            <w:noWrap w:val="false"/>
          </w:tcPr>
          <w:p>
            <w:pPr>
              <w:pBdr/>
              <w:spacing w:after="40" w:before="40" w:line="288" w:lineRule="auto"/>
              <w:ind/>
              <w:rPr>
                <w:b w:val="0"/>
                <w:bCs w:val="0"/>
              </w:rPr>
            </w:pPr>
            <w:r>
              <w:rPr>
                <w:b w:val="0"/>
                <w:bCs w:val="0"/>
              </w:rPr>
              <w:t xml:space="preserve">Quyền sử dụng đất ở tại đô thị</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418" w:type="dxa"/>
            <w:vAlign w:val="center"/>
            <w:textDirection w:val="lrTb"/>
            <w:noWrap/>
          </w:tcPr>
          <w:p>
            <w:pPr>
              <w:pBdr/>
              <w:spacing w:after="40" w:before="40" w:line="288" w:lineRule="auto"/>
              <w:ind/>
              <w:jc w:val="center"/>
              <w:rPr>
                <w:color w:val="000000"/>
              </w:rPr>
            </w:pPr>
            <w:r>
              <w:rPr>
                <w:color w:val="000000" w:themeColor="text1"/>
              </w:rPr>
              <w:t xml:space="preserve">152</w:t>
            </w:r>
            <w:r>
              <w:rPr>
                <w:color w:val="000000"/>
              </w:rPr>
            </w:r>
            <w:r>
              <w:rPr>
                <w:color w:val="000000"/>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40" w:before="40" w:line="288" w:lineRule="auto"/>
              <w:ind/>
              <w:jc w:val="center"/>
              <w:rPr/>
            </w:pPr>
            <w:r>
              <w:rPr>
                <w:color w:val="000000" w:themeColor="text1"/>
              </w:rPr>
              <w:t xml:space="preserve">130.000.000</w:t>
            </w:r>
            <w:r/>
          </w:p>
        </w:tc>
        <w:tc>
          <w:tcPr>
            <w:shd w:val="clear" w:color="ffffff" w:fill="ffffff"/>
            <w:tcBorders>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pPr>
            <w:r>
              <w:rPr>
                <w:rFonts w:ascii="Times New Roman" w:hAnsi="Times New Roman" w:eastAsia="Times New Roman" w:cs="Times New Roman"/>
                <w:color w:val="000000"/>
                <w:sz w:val="24"/>
              </w:rPr>
              <w:t xml:space="preserve">100%</w:t>
            </w: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19.760.000.000 </w:t>
            </w:r>
            <w:r/>
          </w:p>
        </w:tc>
      </w:tr>
      <w:tr>
        <w:trPr>
          <w:gridAfter w:val="1"/>
          <w:trHeight w:val="20"/>
        </w:trPr>
        <w:tc>
          <w:tcPr>
            <w:shd w:val="clear" w:color="ffffff" w:fill="ffffff"/>
            <w:tcBorders>
              <w:left w:val="single" w:color="000000" w:sz="8" w:space="0"/>
              <w:bottom w:val="single" w:color="000000" w:sz="8" w:space="0"/>
              <w:right w:val="single" w:color="000000" w:sz="8" w:space="0"/>
            </w:tcBorders>
            <w:tcMar>
              <w:left w:w="0" w:type="dxa"/>
              <w:top w:w="0" w:type="dxa"/>
              <w:right w:w="0" w:type="dxa"/>
              <w:bottom w:w="0" w:type="dxa"/>
            </w:tcMar>
            <w:tcW w:w="5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312" w:lineRule="auto"/>
              <w:ind w:right="0" w:firstLine="0" w:left="0"/>
              <w:jc w:val="center"/>
              <w:rPr>
                <w:b w:val="0"/>
                <w:bCs w:val="0"/>
              </w:rPr>
            </w:pPr>
            <w:r>
              <w:rPr>
                <w:rFonts w:ascii="Times New Roman" w:hAnsi="Times New Roman" w:eastAsia="Times New Roman" w:cs="Times New Roman"/>
                <w:b w:val="0"/>
                <w:bCs w:val="0"/>
                <w:color w:val="000000"/>
                <w:sz w:val="24"/>
              </w:rPr>
              <w:t xml:space="preserve">02</w:t>
            </w:r>
            <w:r>
              <w:rPr>
                <w:b w:val="0"/>
                <w:bCs w:val="0"/>
              </w:rPr>
            </w:r>
            <w:r>
              <w:rPr>
                <w:b w:val="0"/>
                <w:bCs w:val="0"/>
              </w:rPr>
            </w:r>
          </w:p>
        </w:tc>
        <w:tc>
          <w:tcPr>
            <w:shd w:val="clear" w:color="ffffff" w:fill="ffffff"/>
            <w:tcBorders>
              <w:bottom w:val="single" w:color="000000" w:sz="8" w:space="0"/>
              <w:right w:val="single" w:color="000000" w:sz="8" w:space="0"/>
            </w:tcBorders>
            <w:tcMar>
              <w:left w:w="0" w:type="dxa"/>
              <w:top w:w="0" w:type="dxa"/>
              <w:right w:w="0" w:type="dxa"/>
              <w:bottom w:w="0" w:type="dxa"/>
            </w:tcMar>
            <w:tcW w:w="2802" w:type="dxa"/>
            <w:vAlign w:val="center"/>
            <w:textDirection w:val="lrTb"/>
            <w:noWrap w:val="false"/>
          </w:tcPr>
          <w:p>
            <w:pPr>
              <w:pBdr/>
              <w:spacing w:after="40" w:before="40" w:line="288" w:lineRule="auto"/>
              <w:ind/>
              <w:rPr>
                <w:b w:val="0"/>
                <w:bCs w:val="0"/>
              </w:rPr>
            </w:pPr>
            <w:r>
              <w:rPr>
                <w:b w:val="0"/>
                <w:bCs w:val="0"/>
              </w:rPr>
              <w:t xml:space="preserve">Nhà liền kề 4 tầng, xây thô</w:t>
            </w:r>
            <w:r>
              <w:rPr>
                <w:b w:val="0"/>
                <w:bCs w:val="0"/>
              </w:rPr>
            </w:r>
            <w:r>
              <w:rPr>
                <w:b w:val="0"/>
                <w:bCs w:val="0"/>
              </w:rPr>
            </w:r>
          </w:p>
        </w:tc>
        <w:tc>
          <w:tcPr>
            <w:tcBorders>
              <w:bottom w:val="single" w:color="000000" w:sz="8" w:space="0"/>
              <w:right w:val="single" w:color="000000" w:sz="8" w:space="0"/>
            </w:tcBorders>
            <w:tcMar>
              <w:left w:w="0" w:type="dxa"/>
              <w:top w:w="0" w:type="dxa"/>
              <w:right w:w="0" w:type="dxa"/>
              <w:bottom w:w="0" w:type="dxa"/>
            </w:tcMar>
            <w:tcW w:w="1418" w:type="dxa"/>
            <w:vAlign w:val="center"/>
            <w:textDirection w:val="lrTb"/>
            <w:noWrap/>
          </w:tcPr>
          <w:p>
            <w:pPr>
              <w:pBdr/>
              <w:spacing w:after="40" w:before="40" w:line="288" w:lineRule="auto"/>
              <w:ind/>
              <w:jc w:val="center"/>
              <w:rPr>
                <w:color w:val="000000" w:themeColor="text1"/>
              </w:rPr>
            </w:pPr>
            <w:r>
              <w:rPr>
                <w:color w:val="000000" w:themeColor="text1"/>
              </w:rPr>
              <w:t xml:space="preserve">345</w:t>
            </w:r>
            <w:r>
              <w:rPr>
                <w:color w:val="000000" w:themeColor="text1"/>
              </w:rPr>
            </w:r>
            <w:r>
              <w:rPr>
                <w:color w:val="000000" w:themeColor="text1"/>
              </w:rPr>
            </w:r>
          </w:p>
        </w:tc>
        <w:tc>
          <w:tcPr>
            <w:shd w:val="clear" w:color="ffffff" w:fill="ffffff"/>
            <w:tcBorders>
              <w:bottom w:val="single" w:color="000000" w:sz="8" w:space="0"/>
              <w:right w:val="single" w:color="000000" w:sz="8" w:space="0"/>
            </w:tcBorders>
            <w:tcMar>
              <w:left w:w="0" w:type="dxa"/>
              <w:top w:w="0" w:type="dxa"/>
              <w:right w:w="0" w:type="dxa"/>
              <w:bottom w:w="0" w:type="dxa"/>
            </w:tcMar>
            <w:tcW w:w="155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4.232.021 </w:t>
            </w:r>
            <w:r/>
          </w:p>
        </w:tc>
        <w:tc>
          <w:tcPr>
            <w:shd w:val="clear" w:color="ffffff" w:fill="ffffff"/>
            <w:tcBorders>
              <w:bottom w:val="single" w:color="000000" w:sz="8" w:space="0"/>
              <w:right w:val="single" w:color="000000" w:sz="8" w:space="0"/>
            </w:tcBorders>
            <w:tcMar>
              <w:left w:w="0" w:type="dxa"/>
              <w:top w:w="0" w:type="dxa"/>
              <w:right w:w="0" w:type="dxa"/>
              <w:bottom w:w="0" w:type="dxa"/>
            </w:tcMar>
            <w:tcW w:w="14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90%</w:t>
            </w:r>
            <w:r/>
          </w:p>
        </w:tc>
        <w:tc>
          <w:tcPr>
            <w:shd w:val="clear" w:color="ffffff" w:fill="ffffff"/>
            <w:tcBorders>
              <w:bottom w:val="single" w:color="000000" w:sz="8" w:space="0"/>
              <w:right w:val="single" w:color="000000" w:sz="8" w:space="0"/>
            </w:tcBorders>
            <w:tcMar>
              <w:left w:w="0" w:type="dxa"/>
              <w:top w:w="0" w:type="dxa"/>
              <w:right w:w="0" w:type="dxa"/>
              <w:bottom w:w="0" w:type="dxa"/>
            </w:tcMar>
            <w:tcW w:w="1723"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1.314.042.521 </w:t>
            </w:r>
            <w:r/>
          </w:p>
        </w:tc>
      </w:tr>
      <w:tr>
        <w:trPr>
          <w:trHeight w:val="2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79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b/>
                <w:color w:val="000000"/>
                <w:sz w:val="24"/>
              </w:rPr>
              <w:t xml:space="preserve">TỔNG CỘNG</w:t>
            </w:r>
            <w:r/>
          </w:p>
        </w:tc>
        <w:tc>
          <w:tcPr>
            <w:tcBorders>
              <w:bottom w:val="single" w:color="000000" w:sz="8" w:space="0"/>
              <w:right w:val="single" w:color="000000" w:sz="8" w:space="0"/>
            </w:tcBorders>
            <w:tcMar>
              <w:left w:w="0" w:type="dxa"/>
              <w:top w:w="0" w:type="dxa"/>
              <w:right w:w="0" w:type="dxa"/>
              <w:bottom w:w="0" w:type="dxa"/>
            </w:tcMar>
            <w:tcW w:w="1723"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   21.074.042.521 </w:t>
            </w:r>
            <w:r>
              <w:rPr>
                <w:b/>
                <w:bCs/>
              </w:rPr>
            </w:r>
            <w:r>
              <w:rPr>
                <w:b/>
                <w:bCs/>
              </w:rPr>
            </w:r>
          </w:p>
        </w:tc>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2876"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21.074.042.521 </w:t>
            </w:r>
            <w:r/>
          </w:p>
        </w:tc>
      </w:tr>
      <w:tr>
        <w:trPr>
          <w:gridAfter w:val="1"/>
          <w:trHeight w:val="20"/>
        </w:trPr>
        <w:tc>
          <w:tcPr>
            <w:gridSpan w:val="5"/>
            <w:tcBorders>
              <w:left w:val="single" w:color="000000" w:sz="8" w:space="0"/>
              <w:bottom w:val="single" w:color="000000" w:sz="8" w:space="0"/>
              <w:right w:val="single" w:color="000000" w:sz="8" w:space="0"/>
            </w:tcBorders>
            <w:tcMar>
              <w:left w:w="0" w:type="dxa"/>
              <w:top w:w="0" w:type="dxa"/>
              <w:right w:w="0" w:type="dxa"/>
              <w:bottom w:w="0" w:type="dxa"/>
            </w:tcMar>
            <w:tcW w:w="779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b/>
                <w:color w:val="000000"/>
                <w:sz w:val="24"/>
              </w:rPr>
              <w:t xml:space="preserve">LÀM TRÒN</w:t>
            </w:r>
            <w:r/>
          </w:p>
        </w:tc>
        <w:tc>
          <w:tcPr>
            <w:tcBorders>
              <w:bottom w:val="single" w:color="000000" w:sz="8" w:space="0"/>
              <w:right w:val="single" w:color="000000" w:sz="8" w:space="0"/>
            </w:tcBorders>
            <w:tcMar>
              <w:left w:w="0" w:type="dxa"/>
              <w:top w:w="0" w:type="dxa"/>
              <w:right w:w="0" w:type="dxa"/>
              <w:bottom w:w="0" w:type="dxa"/>
            </w:tcMar>
            <w:tcW w:w="1723" w:type="dxa"/>
            <w:vAlign w:val="center"/>
            <w:textDirection w:val="lrTb"/>
            <w:noWrap/>
          </w:tcPr>
          <w:p>
            <w:pPr>
              <w:pBdr/>
              <w:spacing w:after="0" w:before="0" w:line="240" w:lineRule="auto"/>
              <w:ind/>
              <w:jc w:val="right"/>
              <w:rPr>
                <w:b/>
                <w:bCs/>
              </w:rPr>
            </w:pPr>
            <w:r>
              <w:rPr>
                <w:rFonts w:ascii="Times New Roman" w:hAnsi="Times New Roman" w:eastAsia="Times New Roman" w:cs="Times New Roman"/>
                <w:b/>
                <w:bCs/>
                <w:color w:val="000000"/>
                <w:sz w:val="24"/>
              </w:rPr>
              <w:t xml:space="preserve">   21.074.000.000 </w:t>
            </w:r>
            <w:r>
              <w:rPr>
                <w:b/>
                <w:bCs/>
              </w:rPr>
            </w:r>
            <w:r>
              <w:rPr>
                <w:b/>
                <w:bCs/>
              </w:rPr>
            </w:r>
          </w:p>
        </w:tc>
      </w:tr>
      <w:tr>
        <w:trPr>
          <w:gridAfter w:val="1"/>
          <w:trHeight w:val="20"/>
        </w:trPr>
        <w:tc>
          <w:tcPr>
            <w:gridSpan w:val="6"/>
            <w:tcBorders>
              <w:left w:val="single" w:color="000000" w:sz="8" w:space="0"/>
              <w:bottom w:val="single" w:color="000000" w:sz="8" w:space="0"/>
              <w:right w:val="single" w:color="000000" w:sz="8" w:space="0"/>
            </w:tcBorders>
            <w:tcMar>
              <w:left w:w="0" w:type="dxa"/>
              <w:top w:w="0" w:type="dxa"/>
              <w:right w:w="0" w:type="dxa"/>
              <w:bottom w:w="0" w:type="dxa"/>
            </w:tcMar>
            <w:tcW w:w="9514"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312" w:lineRule="auto"/>
              <w:ind w:right="0" w:firstLine="0" w:left="0"/>
              <w:jc w:val="center"/>
              <w:rPr/>
            </w:pPr>
            <w:r>
              <w:rPr>
                <w:rFonts w:ascii="Times New Roman" w:hAnsi="Times New Roman" w:eastAsia="Times New Roman" w:cs="Times New Roman"/>
                <w:b/>
                <w:i/>
                <w:color w:val="000000"/>
                <w:sz w:val="24"/>
              </w:rPr>
              <w:t xml:space="preserve">(Bằng chữ: Hai mươi mốt tỷ, bảy mươi bốn triệu đồng chẵn./.)</w:t>
            </w:r>
            <w:r/>
          </w:p>
        </w:tc>
      </w:tr>
    </w:tbl>
    <w:p>
      <w:pPr>
        <w:pStyle w:val="1059"/>
        <w:pBdr/>
        <w:tabs>
          <w:tab w:val="left" w:leader="none" w:pos="993"/>
        </w:tabs>
        <w:spacing w:after="120" w:before="120" w:line="276" w:lineRule="auto"/>
        <w:ind w:left="0"/>
        <w:jc w:val="both"/>
        <w:rPr/>
      </w:pPr>
      <w:r/>
      <w:r/>
    </w:p>
    <w:p>
      <w:pPr>
        <w:pStyle w:val="105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5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5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5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59"/>
        <w:numPr>
          <w:ilvl w:val="0"/>
          <w:numId w:val="5"/>
        </w:numPr>
        <w:pBdr/>
        <w:tabs>
          <w:tab w:val="left" w:leader="none" w:pos="993"/>
        </w:tabs>
        <w:spacing w:after="120" w:before="120" w:line="288" w:lineRule="auto"/>
        <w:ind/>
        <w:jc w:val="both"/>
        <w:rPr>
          <w:lang w:val="pt-BR"/>
        </w:rPr>
      </w:pPr>
      <w:r>
        <w:rPr>
          <w:lang w:val="pt-BR"/>
        </w:rPr>
        <w:t xml:space="preserve">Thẩm định giá không phải là</w:t>
      </w:r>
      <w:r>
        <w:rPr>
          <w:lang w:val="pt-BR"/>
        </w:rPr>
        <w:t xml:space="preserve">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thẩm định giá và không hẳn phù hợp với </w:t>
      </w:r>
      <w:r>
        <w:rPr>
          <w:lang w:val="pt-BR"/>
        </w:rPr>
        <w:t xml:space="preserve">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5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5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5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5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5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5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5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5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5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5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5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5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5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5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đất  đã cung cấp cho chúng tôi.</w:t>
      </w:r>
      <w:r>
        <w:rPr>
          <w:shd w:val="clear" w:color="auto" w:fill="ffffff"/>
          <w:lang w:val="pt-BR"/>
        </w:rPr>
      </w:r>
      <w:r>
        <w:rPr>
          <w:shd w:val="clear" w:color="auto" w:fill="ffffff"/>
          <w:lang w:val="pt-BR"/>
        </w:rPr>
      </w:r>
    </w:p>
    <w:p>
      <w:pPr>
        <w:pStyle w:val="105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5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ngày phát hành chứng thư thẩm định giá, Chúng tôi không nhận được bất kỳ văn bản đánh giá hiện trạng công trình tài sản th</w:t>
      </w:r>
      <w:r>
        <w:rPr>
          <w:bCs/>
          <w:spacing w:val="-2"/>
          <w:lang w:val="pt-BR"/>
        </w:rPr>
        <w:t xml:space="preserve">ẩm định của các cơ quan có chức năng. Do vậy, việc đánh giá chất lượng còn lại của Công trình xây dựng của chúng tôi chỉ dựa vào các văn bản pháp quy hiện hành và qua khảo sát thực tế độc lập, minh bạch dưới sự hướng dẫn khảo sát của các bên liên quan. Vì </w:t>
      </w:r>
      <w:r>
        <w:rPr>
          <w:bCs/>
          <w:spacing w:val="-2"/>
          <w:lang w:val="pt-BR"/>
        </w:rPr>
        <w:t xml:space="preserve">vậy, chất lượng còn lại của tài sản được trình bày trên báo cáo này ch</w:t>
      </w:r>
      <w:r>
        <w:rPr>
          <w:bCs/>
          <w:spacing w:val="-2"/>
          <w:lang w:val="pt-BR"/>
        </w:rPr>
        <w:t xml:space="preserve">ỉ mang tính ước lượng chủ quan của Chúng tôi và nó không nhất thiết phải trùng khớp kết quả với bất kỳ bên thứ ba nào khác cùng đưa ra các đánh giá này. Việc ảnh hưởng của các ước lượng này (nếu có) nó không thuộc nghĩa vụ bắt buộc liên quan đến chúng tôi.</w:t>
      </w:r>
      <w:r>
        <w:rPr>
          <w:bCs/>
          <w:spacing w:val="-2"/>
          <w:lang w:val="pt-BR"/>
        </w:rPr>
      </w:r>
      <w:r>
        <w:rPr>
          <w:bCs/>
          <w:spacing w:val="-2"/>
          <w:lang w:val="pt-BR"/>
        </w:rPr>
      </w:r>
    </w:p>
    <w:p>
      <w:pPr>
        <w:pStyle w:val="105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5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59"/>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5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59"/>
        <w:pBdr/>
        <w:tabs>
          <w:tab w:val="left" w:leader="none" w:pos="993"/>
        </w:tabs>
        <w:spacing w:after="120" w:before="120" w:line="288" w:lineRule="auto"/>
        <w:ind w:left="0"/>
        <w:jc w:val="both"/>
        <w:rPr>
          <w:highlight w:val="none"/>
          <w:lang w:val="pt-BR"/>
        </w:rPr>
      </w:pPr>
      <w:r>
        <w:rPr>
          <w:lang w:val="pt-BR"/>
        </w:rPr>
        <w:t xml:space="preserve">Phụ lục 2: Thông tin </w:t>
      </w:r>
      <w:r>
        <w:rPr>
          <w:lang w:val="pt-BR"/>
        </w:rPr>
        <w:t xml:space="preserve">thu thập thị trường</w:t>
      </w:r>
      <w:r>
        <w:rPr>
          <w:lang w:val="pt-BR"/>
        </w:rPr>
        <w:t xml:space="preserve">.</w:t>
      </w:r>
      <w:r>
        <w:rPr>
          <w:highlight w:val="none"/>
          <w:lang w:val="pt-BR"/>
        </w:rPr>
      </w:r>
      <w:r>
        <w:rPr>
          <w:highlight w:val="none"/>
          <w:lang w:val="pt-BR"/>
        </w:rPr>
      </w:r>
    </w:p>
    <w:p>
      <w:pPr>
        <w:pStyle w:val="1059"/>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rFonts w:ascii="Times New Roman" w:hAnsi="Times New Roman" w:eastAsia="Times New Roman" w:cs="Times New Roman"/>
          <w:color w:val="081b3a"/>
          <w:spacing w:val="3"/>
          <w:sz w:val="24"/>
          <w:szCs w:val="24"/>
          <w:highlight w:val="white"/>
        </w:rPr>
        <w:t xml:space="preserve">275/2026/0586/VFI-HĐTĐ.53.A</w:t>
      </w:r>
      <w:r>
        <w:rPr>
          <w:rFonts w:ascii="Times New Roman" w:hAnsi="Times New Roman" w:eastAsia="Times New Roman" w:cs="Times New Roman"/>
          <w:color w:val="ff0000"/>
          <w:sz w:val="24"/>
          <w:szCs w:val="24"/>
          <w:lang w:val="vi-VN"/>
        </w:rPr>
        <w:t xml:space="preserve"> </w:t>
      </w:r>
      <w:r>
        <w:rPr>
          <w:color w:val="000000" w:themeColor="text1"/>
        </w:rPr>
        <w:t xml:space="preserve">ngày 15 tháng 4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rFonts w:ascii="Times New Roman" w:hAnsi="Times New Roman" w:eastAsia="Times New Roman" w:cs="Times New Roman"/>
          <w:color w:val="081b3a"/>
          <w:spacing w:val="3"/>
          <w:sz w:val="24"/>
          <w:szCs w:val="24"/>
          <w:highlight w:val="none"/>
        </w:rPr>
        <w:t xml:space="preserve"> </w:t>
      </w:r>
      <w:r>
        <w:rPr>
          <w:rFonts w:ascii="Times New Roman" w:hAnsi="Times New Roman" w:eastAsia="Times New Roman" w:cs="Times New Roman"/>
          <w:color w:val="081b3a"/>
          <w:spacing w:val="3"/>
          <w:sz w:val="24"/>
          <w:szCs w:val="24"/>
          <w:highlight w:val="white"/>
        </w:rPr>
        <w:t xml:space="preserve">275/2026/0586/VFI-BC.53.A</w:t>
      </w:r>
      <w:r>
        <w:rPr>
          <w:i/>
        </w:rPr>
        <w:t xml:space="preserve">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6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228331" cy="26624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729587" name=""/>
                              <pic:cNvPicPr>
                                <a:picLocks noChangeAspect="1"/>
                              </pic:cNvPicPr>
                              <pic:nvPr/>
                            </pic:nvPicPr>
                            <pic:blipFill rotWithShape="1">
                              <a:blip r:embed="rId19"/>
                              <a:stretch/>
                            </pic:blipFill>
                            <pic:spPr bwMode="auto">
                              <a:xfrm flipH="0" flipV="0">
                                <a:off x="0" y="0"/>
                                <a:ext cx="2228330" cy="26624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75.46pt;height:209.64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27123" cy="234534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049047" name=""/>
                              <pic:cNvPicPr>
                                <a:picLocks noChangeAspect="1"/>
                              </pic:cNvPicPr>
                              <pic:nvPr/>
                            </pic:nvPicPr>
                            <pic:blipFill rotWithShape="1">
                              <a:blip r:embed="rId20"/>
                              <a:stretch/>
                            </pic:blipFill>
                            <pic:spPr bwMode="auto">
                              <a:xfrm flipH="0" flipV="0">
                                <a:off x="0" y="0"/>
                                <a:ext cx="3127123" cy="2345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46.23pt;height:184.67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0463" cy="2190347"/>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12322" name=""/>
                              <pic:cNvPicPr>
                                <a:picLocks noChangeAspect="1"/>
                              </pic:cNvPicPr>
                              <pic:nvPr/>
                            </pic:nvPicPr>
                            <pic:blipFill rotWithShape="1">
                              <a:blip r:embed="rId21"/>
                              <a:stretch/>
                            </pic:blipFill>
                            <pic:spPr bwMode="auto">
                              <a:xfrm flipH="0" flipV="0">
                                <a:off x="0" y="0"/>
                                <a:ext cx="2920463" cy="219034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9.96pt;height:172.47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27123" cy="2345342"/>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474031" name=""/>
                              <pic:cNvPicPr>
                                <a:picLocks noChangeAspect="1"/>
                              </pic:cNvPicPr>
                              <pic:nvPr/>
                            </pic:nvPicPr>
                            <pic:blipFill rotWithShape="1">
                              <a:blip r:embed="rId22"/>
                              <a:stretch/>
                            </pic:blipFill>
                            <pic:spPr bwMode="auto">
                              <a:xfrm flipH="0" flipV="0">
                                <a:off x="0" y="0"/>
                                <a:ext cx="3127123" cy="234534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6.23pt;height:184.67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53495" cy="23651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868268" name=""/>
                              <pic:cNvPicPr>
                                <a:picLocks noChangeAspect="1"/>
                              </pic:cNvPicPr>
                              <pic:nvPr/>
                            </pic:nvPicPr>
                            <pic:blipFill rotWithShape="1">
                              <a:blip r:embed="rId23"/>
                              <a:stretch/>
                            </pic:blipFill>
                            <pic:spPr bwMode="auto">
                              <a:xfrm flipH="0" flipV="0">
                                <a:off x="0" y="0"/>
                                <a:ext cx="3153494" cy="23651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48.31pt;height:186.2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141010" cy="235575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774683" name=""/>
                              <pic:cNvPicPr>
                                <a:picLocks noChangeAspect="1"/>
                              </pic:cNvPicPr>
                              <pic:nvPr/>
                            </pic:nvPicPr>
                            <pic:blipFill rotWithShape="1">
                              <a:blip r:embed="rId24"/>
                              <a:stretch/>
                            </pic:blipFill>
                            <pic:spPr bwMode="auto">
                              <a:xfrm flipH="0" flipV="0">
                                <a:off x="0" y="0"/>
                                <a:ext cx="3141010" cy="23557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47.32pt;height:185.49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after="200" w:line="276" w:lineRule="auto"/>
        <w:ind/>
        <w:rPr/>
      </w:pPr>
      <w:r>
        <w:rPr>
          <w:highlight w:val="none"/>
        </w:rPr>
      </w:r>
      <w:r/>
    </w:p>
    <w:p>
      <w:pPr>
        <w:pBdr/>
        <w:spacing w:after="200" w:line="276" w:lineRule="auto"/>
        <w:ind/>
        <w:rPr>
          <w:highlight w:val="none"/>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highlight w:val="none"/>
        </w:rPr>
      </w:r>
      <w:r>
        <w:rPr>
          <w:highlight w:val="none"/>
        </w:rPr>
      </w:r>
    </w:p>
    <w:p>
      <w:pPr>
        <w:pBdr/>
        <w:spacing/>
        <w:ind/>
        <w:jc w:val="center"/>
        <w:rPr>
          <w:i/>
          <w:lang w:val="pt-BR"/>
        </w:rPr>
      </w:pPr>
      <w:r>
        <w:rPr>
          <w:i/>
          <w:lang w:val="pt-BR"/>
        </w:rPr>
        <w:t xml:space="preserve">(Kèm theo Báo cáo thẩm định số </w:t>
      </w:r>
      <w:r>
        <w:rPr>
          <w:rFonts w:ascii="Times New Roman" w:hAnsi="Times New Roman" w:eastAsia="Times New Roman" w:cs="Times New Roman"/>
          <w:color w:val="081b3a"/>
          <w:spacing w:val="3"/>
          <w:sz w:val="24"/>
          <w:szCs w:val="24"/>
          <w:highlight w:val="white"/>
        </w:rPr>
        <w:t xml:space="preserve">275/2026/0586/VFI-BC.53.A</w:t>
      </w:r>
      <w:r>
        <w:rPr>
          <w:i/>
        </w:rPr>
        <w:t xml:space="preserve"> ngày</w:t>
      </w:r>
      <w:r>
        <w:rPr>
          <w:i/>
          <w:lang w:val="pt-BR"/>
        </w:rPr>
        <w:t xml:space="preserve"> </w:t>
      </w:r>
      <w:r>
        <w:rPr>
          <w:i/>
          <w:lang w:val="pt-BR"/>
        </w:rPr>
        <w:t xml:space="preserve">15 tháng 4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https://www.facebook.com/share/p/1GPh2hEpkK/</w:t>
            </w:r>
            <w:r>
              <w:rPr>
                <w:color w:val="000000" w:themeColor="text1"/>
                <w:sz w:val="22"/>
                <w:szCs w:val="22"/>
              </w:rPr>
              <w:br/>
              <w:t xml:space="preserve">0966399368</w:t>
            </w:r>
            <w:r>
              <w:rPr>
                <w:sz w:val="22"/>
                <w:szCs w:val="22"/>
              </w:rPr>
              <w:t xml:space="preserve"> </w:t>
            </w:r>
            <w:r>
              <w:rPr>
                <w:sz w:val="22"/>
                <w:szCs w:val="22"/>
              </w:rPr>
              <w:br/>
              <w:t xml:space="preserve">(Thắng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15.130.000.000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nằm tại xã Quốc Oai, Thành phố Hà Nội. Tài sản nằm trong khu đô thị Sunny Garden.</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4246"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49842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392.4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12.50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98424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98424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92.46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5340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245340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93.18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0966399368</w:t>
            </w:r>
            <w:r>
              <w:rPr>
                <w:sz w:val="22"/>
                <w:szCs w:val="22"/>
              </w:rPr>
              <w:t xml:space="preserve"> </w:t>
            </w:r>
            <w:r>
              <w:rPr>
                <w:sz w:val="22"/>
                <w:szCs w:val="22"/>
              </w:rPr>
              <w:br/>
              <w:t xml:space="preserve">(Thắng Nguyễn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45.390.000.000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(365.8m²)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nằm tại xã Quốc Oai, Thành phố Hà Nội. Tài sản nằm trong khu đô thị Sunny Garden.</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365,8</w:t>
            </w:r>
            <w:r>
              <w:rPr>
                <w:sz w:val="22"/>
                <w:szCs w:val="22"/>
              </w:rPr>
            </w:r>
            <w:r>
              <w:rPr>
                <w:sz w:val="22"/>
                <w:szCs w:val="22"/>
              </w:rPr>
            </w:r>
          </w:p>
        </w:tc>
      </w:tr>
      <w:tr>
        <w:trPr>
          <w:trHeight w:val="33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20,34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12.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599465743" name="" descr=""/>
                              <pic:cNvPicPr/>
                              <pic:nvPr/>
                            </pic:nvPicPr>
                            <pic:blipFill rotWithShape="1">
                              <a:blip r:embed="rId30"/>
                              <a:stretch/>
                            </pic:blipFill>
                            <pic:spPr bwMode="auto">
                              <a:xfrm>
                                <a:off x="0" y="0"/>
                                <a:ext cx="142875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12.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12.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0987636869</w:t>
            </w:r>
            <w:r>
              <w:rPr>
                <w:sz w:val="22"/>
                <w:szCs w:val="22"/>
              </w:rPr>
              <w:t xml:space="preserve"> </w:t>
            </w:r>
            <w:r>
              <w:rPr>
                <w:sz w:val="22"/>
                <w:szCs w:val="22"/>
              </w:rPr>
              <w:br/>
              <w:t xml:space="preserve">(Phượng Bùi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17.500.000.000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15.575.000.000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04/2026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(98,7m²)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color w:val="000000" w:themeColor="text1"/>
              </w:rPr>
            </w:pPr>
            <w:r>
              <w:rPr>
                <w:rFonts w:ascii="Times New Roman" w:hAnsi="Times New Roman" w:eastAsia="Times New Roman" w:cs="Times New Roman"/>
                <w:b w:val="0"/>
                <w:bCs w:val="0"/>
                <w:color w:val="000000" w:themeColor="text1"/>
                <w:sz w:val="22"/>
              </w:rPr>
              <w:t xml:space="preserve">Tài sản nằm tại xã Quốc Oai, Thành phố Hà Nội. Tài sản nằm trong khu đô thị Sunny Garden.</w:t>
            </w:r>
            <w:r>
              <w:rPr>
                <w:b w:val="0"/>
                <w:bCs w:val="0"/>
                <w:color w:val="000000" w:themeColor="text1"/>
              </w:rPr>
            </w:r>
            <w:r>
              <w:rPr>
                <w:b w:val="0"/>
                <w:bCs w:val="0"/>
                <w:color w:val="000000" w:themeColor="text1"/>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98,7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53184"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245318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93.16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12.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1428750"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287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2.50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t xml:space="preserve">Trần Thị Thanh Tâm</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8533366"/>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7239" name=""/>
                        <pic:cNvPicPr>
                          <a:picLocks noChangeAspect="1"/>
                        </pic:cNvPicPr>
                        <pic:nvPr/>
                      </pic:nvPicPr>
                      <pic:blipFill rotWithShape="1">
                        <a:blip r:embed="rId35"/>
                        <a:stretch/>
                      </pic:blipFill>
                      <pic:spPr bwMode="auto">
                        <a:xfrm>
                          <a:off x="0" y="0"/>
                          <a:ext cx="6048374" cy="853336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71.92pt;mso-wrap-distance-left:0.00pt;mso-wrap-distance-top:0.00pt;mso-wrap-distance-right:0.00pt;mso-wrap-distance-bottom:0.00pt;z-index:1;" stroked="false">
                <v:imagedata r:id="rId35"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lang w:val="pt-BR"/>
        </w:rPr>
      </w:pPr>
      <w:r>
        <w:rPr>
          <w:b/>
          <w:bCs/>
          <w:iCs/>
          <w:highlight w:val="none"/>
          <w:lang w:val="pt-BR"/>
        </w:rPr>
      </w:r>
      <w:r>
        <mc:AlternateContent>
          <mc:Choice Requires="wpg">
            <w:drawing>
              <wp:inline xmlns:wp="http://schemas.openxmlformats.org/drawingml/2006/wordprocessingDrawing" distT="0" distB="0" distL="0" distR="0">
                <wp:extent cx="6048375" cy="9033976"/>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9741" name=""/>
                        <pic:cNvPicPr>
                          <a:picLocks noChangeAspect="1"/>
                        </pic:cNvPicPr>
                        <pic:nvPr/>
                      </pic:nvPicPr>
                      <pic:blipFill rotWithShape="1">
                        <a:blip r:embed="rId36"/>
                        <a:stretch/>
                      </pic:blipFill>
                      <pic:spPr bwMode="auto">
                        <a:xfrm>
                          <a:off x="0" y="0"/>
                          <a:ext cx="6048374" cy="903397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711.34pt;mso-wrap-distance-left:0.00pt;mso-wrap-distance-top:0.00pt;mso-wrap-distance-right:0.00pt;mso-wrap-distance-bottom:0.00pt;z-index:1;" stroked="false">
                <v:imagedata r:id="rId36" o:title=""/>
                <o:lock v:ext="edit" rotation="t"/>
              </v:shape>
            </w:pict>
          </mc:Fallback>
        </mc:AlternateContent>
      </w:r>
      <w:r>
        <w:rPr>
          <w:b/>
          <w:bCs/>
          <w:highlight w:val="none"/>
          <w:lang w:val="pt-BR"/>
        </w:rPr>
      </w:r>
      <w:r>
        <w:rPr>
          <w:b/>
          <w:bCs/>
          <w:highlight w:val="none"/>
          <w:lang w:val="pt-BR"/>
        </w:rPr>
      </w:r>
    </w:p>
    <w:p>
      <w:pPr>
        <w:pBdr/>
        <w:spacing w:after="200" w:line="276" w:lineRule="auto"/>
        <w:ind/>
        <w:jc w:val="center"/>
        <w:rPr>
          <w:b/>
          <w:bCs/>
          <w:highlight w:val="none"/>
          <w:lang w:val="pt-BR"/>
        </w:rPr>
      </w:pPr>
      <w:r>
        <w:rPr>
          <w:b/>
          <w:bCs/>
          <w:iCs/>
          <w:highlight w:val="none"/>
          <w:lang w:val="pt-BR"/>
        </w:rPr>
        <w:t xml:space="preserve">B</w:t>
      </w:r>
      <w:commentRangeStart w:id="0"/>
      <w:r>
        <w:rPr>
          <w:b/>
          <w:bCs/>
          <w:iCs/>
          <w:highlight w:val="none"/>
          <w:lang w:val="pt-BR"/>
        </w:rPr>
        <w:t xml:space="preserve">IÊN BẢN KHẢO SÁT </w:t>
      </w:r>
      <w:r>
        <w:rPr>
          <w:b/>
          <w:bCs/>
          <w:highlight w:val="none"/>
          <w:lang w:val="pt-BR"/>
        </w:rPr>
      </w:r>
      <w:commentRangeEnd w:id="0"/>
      <w:r>
        <w:commentReference w:id="0"/>
      </w:r>
      <w:r>
        <w:rPr>
          <w:b/>
          <w:bCs/>
          <w:highlight w:val="none"/>
          <w:lang w:val="pt-BR"/>
        </w:rPr>
      </w:r>
      <w:r>
        <w:rPr>
          <w:b/>
          <w:b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6048375" cy="806450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1600572" name=""/>
                        <pic:cNvPicPr>
                          <a:picLocks noChangeAspect="1"/>
                        </pic:cNvPicPr>
                        <pic:nvPr/>
                      </pic:nvPicPr>
                      <pic:blipFill rotWithShape="1">
                        <a:blip r:embed="rId37"/>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5.00pt;mso-wrap-distance-left:0.00pt;mso-wrap-distance-top:0.00pt;mso-wrap-distance-right:0.00pt;mso-wrap-distance-bottom:0.00pt;z-index:1;" stroked="false">
                <v:imagedata r:id="rId37"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Nguyễn Thị Thùy Dương" w:date="2026-04-19T21:05:49Z" w:initials="NTTD">
    <w:p w14:paraId="00000001" w14:textId="00000001">
      <w:pPr>
        <w:spacing w:line="240" w:after="0" w:lineRule="auto" w:before="0"/>
        <w:ind w:firstLine="0" w:left="0" w:right="0"/>
        <w:jc w:val="left"/>
      </w:pPr>
      <w:r>
        <w:rPr>
          <w:rFonts w:eastAsia="Arial" w:ascii="Arial" w:hAnsi="Arial" w:cs="Arial"/>
          <w:sz w:val="22"/>
        </w:rPr>
        <w:t xml:space="preserve">Sai phiêu skharo sát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7623C71" w16cex:dateUtc="2026-04-19T14:05:49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7623C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5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5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302A365"/>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9">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0">
    <w:nsid w:val="39FCE4F3"/>
    <w:lvl w:ilvl="0">
      <w:isLgl w:val="false"/>
      <w:lvlJc w:val="left"/>
      <w:lvlText w:val="&quot;&quot;"/>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decimal"/>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decimal"/>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decimal"/>
      <w:pPr>
        <w:pBdr/>
        <w:spacing/>
        <w:ind w:hanging="180" w:left="6480"/>
      </w:pPr>
      <w:rPr/>
      <w:start w:val="1"/>
      <w:suff w:val="tab"/>
    </w:lvl>
  </w:abstractNum>
  <w:abstractNum w:abstractNumId="41">
    <w:nsid w:val="454BE445"/>
    <w:lvl w:ilvl="0">
      <w:isLgl w:val="false"/>
      <w:lvlJc w:val="left"/>
      <w:lvlText w:val="&quot;&quot;"/>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decimal"/>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decimal"/>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decimal"/>
      <w:pPr>
        <w:pBdr/>
        <w:spacing/>
        <w:ind w:hanging="180" w:left="6480"/>
      </w:pPr>
      <w:rPr/>
      <w:start w:val="1"/>
      <w:suff w:val="tab"/>
    </w:lvl>
  </w:abstractNum>
  <w:abstractNum w:abstractNumId="4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3">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4">
    <w:nsid w:val="09544CDE"/>
    <w:lvl w:ilvl="0">
      <w:isLgl w:val="false"/>
      <w:lvlJc w:val="left"/>
      <w:lvlText w:val="&quot;-&quot;"/>
      <w:numFmt w:val="bullet"/>
      <w:pPr>
        <w:pBdr/>
        <w:spacing/>
        <w:ind w:hanging="360" w:left="360"/>
      </w:pPr>
      <w:rPr>
        <w:rFonts w:hint="default" w:ascii="Symbol" w:hAnsi="Symbol" w:eastAsia="Symbol" w:cs="Symbol"/>
      </w:rPr>
      <w:start w:val="1"/>
      <w:suff w:val="tab"/>
    </w:lvl>
    <w:lvl w:ilvl="1">
      <w:isLgl w:val="false"/>
      <w:lvlJc w:val="left"/>
      <w:lvlText w:val="&quot;o&quot;"/>
      <w:numFmt w:val="bullet"/>
      <w:pPr>
        <w:pBdr/>
        <w:spacing/>
        <w:ind w:hanging="360" w:left="1080"/>
      </w:pPr>
      <w:rPr>
        <w:rFonts w:hint="default" w:ascii="Courier New" w:hAnsi="Courier New" w:eastAsia="Courier New" w:cs="Courier New"/>
      </w:rPr>
      <w:start w:val="1"/>
      <w:suff w:val="tab"/>
    </w:lvl>
    <w:lvl w:ilvl="2">
      <w:isLgl w:val="false"/>
      <w:lvlJc w:val="left"/>
      <w:lvlText w:val="&quot;&quot;"/>
      <w:numFmt w:val="bullet"/>
      <w:pPr>
        <w:pBdr/>
        <w:spacing/>
        <w:ind w:hanging="360" w:left="1800"/>
      </w:pPr>
      <w:rPr>
        <w:rFonts w:hint="default" w:ascii="Wingdings" w:hAnsi="Wingdings" w:eastAsia="Wingdings" w:cs="Wingdings"/>
      </w:rPr>
      <w:start w:val="1"/>
      <w:suff w:val="tab"/>
    </w:lvl>
    <w:lvl w:ilvl="3">
      <w:isLgl w:val="false"/>
      <w:lvlJc w:val="left"/>
      <w:lvlText w:val="&quot;&quot;"/>
      <w:numFmt w:val="bullet"/>
      <w:pPr>
        <w:pBdr/>
        <w:spacing/>
        <w:ind w:hanging="360" w:left="2520"/>
      </w:pPr>
      <w:rPr>
        <w:rFonts w:hint="default" w:ascii="Symbol" w:hAnsi="Symbol" w:eastAsia="Symbol" w:cs="Symbol"/>
      </w:rPr>
      <w:start w:val="1"/>
      <w:suff w:val="tab"/>
    </w:lvl>
    <w:lvl w:ilvl="4">
      <w:isLgl w:val="false"/>
      <w:lvlJc w:val="left"/>
      <w:lvlText w:val="&quot;o&quot;"/>
      <w:numFmt w:val="bullet"/>
      <w:pPr>
        <w:pBdr/>
        <w:spacing/>
        <w:ind w:hanging="360" w:left="3240"/>
      </w:pPr>
      <w:rPr>
        <w:rFonts w:hint="default" w:ascii="Courier New" w:hAnsi="Courier New" w:eastAsia="Courier New" w:cs="Courier New"/>
      </w:rPr>
      <w:start w:val="1"/>
      <w:suff w:val="tab"/>
    </w:lvl>
    <w:lvl w:ilvl="5">
      <w:isLgl w:val="false"/>
      <w:lvlJc w:val="left"/>
      <w:lvlText w:val="&quot;&quot;"/>
      <w:numFmt w:val="bullet"/>
      <w:pPr>
        <w:pBdr/>
        <w:spacing/>
        <w:ind w:hanging="360" w:left="3960"/>
      </w:pPr>
      <w:rPr>
        <w:rFonts w:hint="default" w:ascii="Wingdings" w:hAnsi="Wingdings" w:eastAsia="Wingdings" w:cs="Wingdings"/>
      </w:rPr>
      <w:start w:val="1"/>
      <w:suff w:val="tab"/>
    </w:lvl>
    <w:lvl w:ilvl="6">
      <w:isLgl w:val="false"/>
      <w:lvlJc w:val="left"/>
      <w:lvlText w:val="&quot;&quot;"/>
      <w:numFmt w:val="bullet"/>
      <w:pPr>
        <w:pBdr/>
        <w:spacing/>
        <w:ind w:hanging="360" w:left="4680"/>
      </w:pPr>
      <w:rPr>
        <w:rFonts w:hint="default" w:ascii="Symbol" w:hAnsi="Symbol" w:eastAsia="Symbol" w:cs="Symbol"/>
      </w:rPr>
      <w:start w:val="1"/>
      <w:suff w:val="tab"/>
    </w:lvl>
    <w:lvl w:ilvl="7">
      <w:isLgl w:val="false"/>
      <w:lvlJc w:val="left"/>
      <w:lvlText w:val="&quot;o&quot;"/>
      <w:numFmt w:val="bullet"/>
      <w:pPr>
        <w:pBdr/>
        <w:spacing/>
        <w:ind w:hanging="360" w:left="5400"/>
      </w:pPr>
      <w:rPr>
        <w:rFonts w:hint="default" w:ascii="Courier New" w:hAnsi="Courier New" w:eastAsia="Courier New" w:cs="Courier New"/>
      </w:rPr>
      <w:start w:val="1"/>
      <w:suff w:val="tab"/>
    </w:lvl>
    <w:lvl w:ilvl="8">
      <w:isLgl w:val="false"/>
      <w:lvlJc w:val="left"/>
      <w:lvlText w:val="&quot;&quot;"/>
      <w:numFmt w:val="bullet"/>
      <w:pPr>
        <w:pBdr/>
        <w:spacing/>
        <w:ind w:hanging="360" w:left="6120"/>
      </w:pPr>
      <w:rPr>
        <w:rFonts w:hint="default" w:ascii="Wingdings" w:hAnsi="Wingdings" w:eastAsia="Wingdings" w:cs="Wingdings"/>
      </w:rPr>
      <w:start w:val="1"/>
      <w:suff w:val="tab"/>
    </w:lvl>
  </w:abstractNum>
  <w:abstractNum w:abstractNumId="45">
    <w:nsid w:val="16DDAAC2"/>
    <w:lvl w:ilvl="0">
      <w:isLgl w:val="false"/>
      <w:lvlJc w:val="left"/>
      <w:lvlText w:val="–"/>
      <w:numFmt w:val="bullet"/>
      <w:pPr>
        <w:pBdr/>
        <w:spacing/>
        <w:ind w:hanging="360" w:left="1069"/>
      </w:pPr>
      <w:rPr>
        <w:rFonts w:hint="default" w:ascii="Arial" w:hAnsi="Arial" w:eastAsia="Arial" w:cs="Arial"/>
      </w:rPr>
      <w:start w:val="1"/>
      <w:suff w:val="tab"/>
    </w:lvl>
    <w:lvl w:ilvl="1">
      <w:isLgl w:val="false"/>
      <w:lvlJc w:val="left"/>
      <w:lvlText w:val="o"/>
      <w:numFmt w:val="bullet"/>
      <w:pPr>
        <w:pBdr/>
        <w:spacing/>
        <w:ind w:hanging="360" w:left="1789"/>
      </w:pPr>
      <w:rPr>
        <w:rFonts w:hint="default" w:ascii="Courier New" w:hAnsi="Courier New" w:eastAsia="Courier New" w:cs="Courier New"/>
      </w:rPr>
      <w:start w:val="1"/>
      <w:suff w:val="tab"/>
    </w:lvl>
    <w:lvl w:ilvl="2">
      <w:isLgl w:val="false"/>
      <w:lvlJc w:val="left"/>
      <w:lvlText w:val="§"/>
      <w:numFmt w:val="bullet"/>
      <w:pPr>
        <w:pBdr/>
        <w:spacing/>
        <w:ind w:hanging="360" w:left="2509"/>
      </w:pPr>
      <w:rPr>
        <w:rFonts w:hint="default" w:ascii="Wingdings" w:hAnsi="Wingdings" w:eastAsia="Wingdings" w:cs="Wingdings"/>
      </w:rPr>
      <w:start w:val="1"/>
      <w:suff w:val="tab"/>
    </w:lvl>
    <w:lvl w:ilvl="3">
      <w:isLgl w:val="false"/>
      <w:lvlJc w:val="left"/>
      <w:lvlText w:val="·"/>
      <w:numFmt w:val="bullet"/>
      <w:pPr>
        <w:pBdr/>
        <w:spacing/>
        <w:ind w:hanging="360" w:left="3229"/>
      </w:pPr>
      <w:rPr>
        <w:rFonts w:hint="default" w:ascii="Symbol" w:hAnsi="Symbol" w:eastAsia="Symbol" w:cs="Symbol"/>
      </w:rPr>
      <w:start w:val="1"/>
      <w:suff w:val="tab"/>
    </w:lvl>
    <w:lvl w:ilvl="4">
      <w:isLgl w:val="false"/>
      <w:lvlJc w:val="left"/>
      <w:lvlText w:val="o"/>
      <w:numFmt w:val="bullet"/>
      <w:pPr>
        <w:pBdr/>
        <w:spacing/>
        <w:ind w:hanging="360" w:left="3949"/>
      </w:pPr>
      <w:rPr>
        <w:rFonts w:hint="default" w:ascii="Courier New" w:hAnsi="Courier New" w:eastAsia="Courier New" w:cs="Courier New"/>
      </w:rPr>
      <w:start w:val="1"/>
      <w:suff w:val="tab"/>
    </w:lvl>
    <w:lvl w:ilvl="5">
      <w:isLgl w:val="false"/>
      <w:lvlJc w:val="left"/>
      <w:lvlText w:val="§"/>
      <w:numFmt w:val="bullet"/>
      <w:pPr>
        <w:pBdr/>
        <w:spacing/>
        <w:ind w:hanging="360" w:left="4669"/>
      </w:pPr>
      <w:rPr>
        <w:rFonts w:hint="default" w:ascii="Wingdings" w:hAnsi="Wingdings" w:eastAsia="Wingdings" w:cs="Wingdings"/>
      </w:rPr>
      <w:start w:val="1"/>
      <w:suff w:val="tab"/>
    </w:lvl>
    <w:lvl w:ilvl="6">
      <w:isLgl w:val="false"/>
      <w:lvlJc w:val="left"/>
      <w:lvlText w:val="·"/>
      <w:numFmt w:val="bullet"/>
      <w:pPr>
        <w:pBdr/>
        <w:spacing/>
        <w:ind w:hanging="360" w:left="5389"/>
      </w:pPr>
      <w:rPr>
        <w:rFonts w:hint="default" w:ascii="Symbol" w:hAnsi="Symbol" w:eastAsia="Symbol" w:cs="Symbol"/>
      </w:rPr>
      <w:start w:val="1"/>
      <w:suff w:val="tab"/>
    </w:lvl>
    <w:lvl w:ilvl="7">
      <w:isLgl w:val="false"/>
      <w:lvlJc w:val="left"/>
      <w:lvlText w:val="o"/>
      <w:numFmt w:val="bullet"/>
      <w:pPr>
        <w:pBdr/>
        <w:spacing/>
        <w:ind w:hanging="360" w:left="6109"/>
      </w:pPr>
      <w:rPr>
        <w:rFonts w:hint="default" w:ascii="Courier New" w:hAnsi="Courier New" w:eastAsia="Courier New" w:cs="Courier New"/>
      </w:rPr>
      <w:start w:val="1"/>
      <w:suff w:val="tab"/>
    </w:lvl>
    <w:lvl w:ilvl="8">
      <w:isLgl w:val="false"/>
      <w:lvlJc w:val="left"/>
      <w:lvlText w:val="§"/>
      <w:numFmt w:val="bullet"/>
      <w:pPr>
        <w:pBdr/>
        <w:spacing/>
        <w:ind w:hanging="360" w:left="6829"/>
      </w:pPr>
      <w:rPr>
        <w:rFonts w:hint="default" w:ascii="Wingdings" w:hAnsi="Wingdings" w:eastAsia="Wingdings" w:cs="Wingdings"/>
      </w:rPr>
      <w:start w:val="1"/>
      <w:suff w:val="tab"/>
    </w:lvl>
  </w:abstractNum>
  <w:abstractNum w:abstractNumId="46">
    <w:nsid w:val="70469D5A"/>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8">
    <w:nsid w:val="44404E1D"/>
    <w:lvl w:ilvl="0">
      <w:isLgl w:val="false"/>
      <w:lvlJc w:val="left"/>
      <w:lvlText w:val="–"/>
      <w:numFmt w:val="bullet"/>
      <w:pPr>
        <w:pBdr/>
        <w:spacing/>
        <w:ind w:hanging="360" w:left="799"/>
      </w:pPr>
      <w:rPr>
        <w:rFonts w:hint="default" w:ascii="Arial" w:hAnsi="Arial" w:eastAsia="Arial" w:cs="Arial"/>
      </w:rPr>
      <w:start w:val="1"/>
      <w:suff w:val="tab"/>
    </w:lvl>
    <w:lvl w:ilvl="1">
      <w:isLgl w:val="false"/>
      <w:lvlJc w:val="left"/>
      <w:lvlText w:val="o"/>
      <w:numFmt w:val="bullet"/>
      <w:pPr>
        <w:pBdr/>
        <w:spacing/>
        <w:ind w:hanging="360" w:left="1519"/>
      </w:pPr>
      <w:rPr>
        <w:rFonts w:hint="default" w:ascii="Courier New" w:hAnsi="Courier New" w:eastAsia="Courier New" w:cs="Courier New"/>
      </w:rPr>
      <w:start w:val="1"/>
      <w:suff w:val="tab"/>
    </w:lvl>
    <w:lvl w:ilvl="2">
      <w:isLgl w:val="false"/>
      <w:lvlJc w:val="left"/>
      <w:lvlText w:val="§"/>
      <w:numFmt w:val="bullet"/>
      <w:pPr>
        <w:pBdr/>
        <w:spacing/>
        <w:ind w:hanging="360" w:left="2239"/>
      </w:pPr>
      <w:rPr>
        <w:rFonts w:hint="default" w:ascii="Wingdings" w:hAnsi="Wingdings" w:eastAsia="Wingdings" w:cs="Wingdings"/>
      </w:rPr>
      <w:start w:val="1"/>
      <w:suff w:val="tab"/>
    </w:lvl>
    <w:lvl w:ilvl="3">
      <w:isLgl w:val="false"/>
      <w:lvlJc w:val="left"/>
      <w:lvlText w:val="·"/>
      <w:numFmt w:val="bullet"/>
      <w:pPr>
        <w:pBdr/>
        <w:spacing/>
        <w:ind w:hanging="360" w:left="2959"/>
      </w:pPr>
      <w:rPr>
        <w:rFonts w:hint="default" w:ascii="Symbol" w:hAnsi="Symbol" w:eastAsia="Symbol" w:cs="Symbol"/>
      </w:rPr>
      <w:start w:val="1"/>
      <w:suff w:val="tab"/>
    </w:lvl>
    <w:lvl w:ilvl="4">
      <w:isLgl w:val="false"/>
      <w:lvlJc w:val="left"/>
      <w:lvlText w:val="o"/>
      <w:numFmt w:val="bullet"/>
      <w:pPr>
        <w:pBdr/>
        <w:spacing/>
        <w:ind w:hanging="360" w:left="3679"/>
      </w:pPr>
      <w:rPr>
        <w:rFonts w:hint="default" w:ascii="Courier New" w:hAnsi="Courier New" w:eastAsia="Courier New" w:cs="Courier New"/>
      </w:rPr>
      <w:start w:val="1"/>
      <w:suff w:val="tab"/>
    </w:lvl>
    <w:lvl w:ilvl="5">
      <w:isLgl w:val="false"/>
      <w:lvlJc w:val="left"/>
      <w:lvlText w:val="§"/>
      <w:numFmt w:val="bullet"/>
      <w:pPr>
        <w:pBdr/>
        <w:spacing/>
        <w:ind w:hanging="360" w:left="4399"/>
      </w:pPr>
      <w:rPr>
        <w:rFonts w:hint="default" w:ascii="Wingdings" w:hAnsi="Wingdings" w:eastAsia="Wingdings" w:cs="Wingdings"/>
      </w:rPr>
      <w:start w:val="1"/>
      <w:suff w:val="tab"/>
    </w:lvl>
    <w:lvl w:ilvl="6">
      <w:isLgl w:val="false"/>
      <w:lvlJc w:val="left"/>
      <w:lvlText w:val="·"/>
      <w:numFmt w:val="bullet"/>
      <w:pPr>
        <w:pBdr/>
        <w:spacing/>
        <w:ind w:hanging="360" w:left="5119"/>
      </w:pPr>
      <w:rPr>
        <w:rFonts w:hint="default" w:ascii="Symbol" w:hAnsi="Symbol" w:eastAsia="Symbol" w:cs="Symbol"/>
      </w:rPr>
      <w:start w:val="1"/>
      <w:suff w:val="tab"/>
    </w:lvl>
    <w:lvl w:ilvl="7">
      <w:isLgl w:val="false"/>
      <w:lvlJc w:val="left"/>
      <w:lvlText w:val="o"/>
      <w:numFmt w:val="bullet"/>
      <w:pPr>
        <w:pBdr/>
        <w:spacing/>
        <w:ind w:hanging="360" w:left="5839"/>
      </w:pPr>
      <w:rPr>
        <w:rFonts w:hint="default" w:ascii="Courier New" w:hAnsi="Courier New" w:eastAsia="Courier New" w:cs="Courier New"/>
      </w:rPr>
      <w:start w:val="1"/>
      <w:suff w:val="tab"/>
    </w:lvl>
    <w:lvl w:ilvl="8">
      <w:isLgl w:val="false"/>
      <w:lvlJc w:val="left"/>
      <w:lvlText w:val="§"/>
      <w:numFmt w:val="bullet"/>
      <w:pPr>
        <w:pBdr/>
        <w:spacing/>
        <w:ind w:hanging="360" w:left="6559"/>
      </w:pPr>
      <w:rPr>
        <w:rFonts w:hint="default" w:ascii="Wingdings" w:hAnsi="Wingdings" w:eastAsia="Wingdings" w:cs="Wingdings"/>
      </w:rPr>
      <w:start w:val="1"/>
      <w:suff w:val="tab"/>
    </w:lvl>
  </w:abstractNum>
  <w:abstractNum w:abstractNumId="49">
    <w:nsid w:val="3AD0C4D4"/>
    <w:lvl w:ilvl="0">
      <w:isLgl w:val="false"/>
      <w:lvlJc w:val="left"/>
      <w:lvlText w:val="&quot;&quot;"/>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decimal"/>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decimal"/>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decimal"/>
      <w:pPr>
        <w:pBdr/>
        <w:spacing/>
        <w:ind w:hanging="180" w:left="6480"/>
      </w:pPr>
      <w:rPr/>
      <w:start w:val="1"/>
      <w:suff w:val="tab"/>
    </w:lvl>
  </w:abstractNum>
  <w:abstractNum w:abstractNumId="50">
    <w:nsid w:val="23D8F6E5"/>
    <w:lvl w:ilvl="0">
      <w:isLgl w:val="false"/>
      <w:lvlJc w:val="left"/>
      <w:lvlText w:val="&quot;&quot;"/>
      <w:numFmt w:val="bullet"/>
      <w:pPr>
        <w:pBdr/>
        <w:spacing/>
        <w:ind w:hanging="360" w:left="720"/>
      </w:pPr>
      <w:rPr>
        <w:rFonts w:hint="default" w:ascii="Wingdings" w:hAnsi="Wingdings" w:eastAsia="Wingdings" w:cs="Wingdings"/>
      </w:rPr>
      <w:start w:val="1"/>
      <w:suff w:val="tab"/>
    </w:lvl>
    <w:lvl w:ilvl="1">
      <w:isLgl w:val="false"/>
      <w:lvlJc w:val="left"/>
      <w:lvlText w:val="&quot;o&quot;"/>
      <w:numFmt w:val="bullet"/>
      <w:pPr>
        <w:pBdr/>
        <w:spacing/>
        <w:ind w:hanging="360" w:left="1440"/>
      </w:pPr>
      <w:rPr>
        <w:rFonts w:hint="default" w:ascii="Courier New" w:hAnsi="Courier New" w:eastAsia="Courier New" w:cs="Courier New"/>
      </w:rPr>
      <w:start w:val="1"/>
      <w:suff w:val="tab"/>
    </w:lvl>
    <w:lvl w:ilvl="2">
      <w:isLgl w:val="false"/>
      <w:lvlJc w:val="left"/>
      <w:lvlText w:val="&quot;&quot;"/>
      <w:numFmt w:val="bullet"/>
      <w:pPr>
        <w:pBdr/>
        <w:spacing/>
        <w:ind w:hanging="360" w:left="2160"/>
      </w:pPr>
      <w:rPr>
        <w:rFonts w:hint="default" w:ascii="Wingdings" w:hAnsi="Wingdings" w:eastAsia="Wingdings" w:cs="Wingdings"/>
      </w:rPr>
      <w:start w:val="1"/>
      <w:suff w:val="tab"/>
    </w:lvl>
    <w:lvl w:ilvl="3">
      <w:isLgl w:val="false"/>
      <w:lvlJc w:val="left"/>
      <w:lvlText w:val="&quot;&quot;"/>
      <w:numFmt w:val="bullet"/>
      <w:pPr>
        <w:pBdr/>
        <w:spacing/>
        <w:ind w:hanging="360" w:left="2880"/>
      </w:pPr>
      <w:rPr>
        <w:rFonts w:hint="default" w:ascii="Symbol" w:hAnsi="Symbol" w:eastAsia="Symbol" w:cs="Symbol"/>
      </w:rPr>
      <w:start w:val="1"/>
      <w:suff w:val="tab"/>
    </w:lvl>
    <w:lvl w:ilvl="4">
      <w:isLgl w:val="false"/>
      <w:lvlJc w:val="left"/>
      <w:lvlText w:val="&quot;o&quot;"/>
      <w:numFmt w:val="bullet"/>
      <w:pPr>
        <w:pBdr/>
        <w:spacing/>
        <w:ind w:hanging="360" w:left="3600"/>
      </w:pPr>
      <w:rPr>
        <w:rFonts w:hint="default" w:ascii="Courier New" w:hAnsi="Courier New" w:eastAsia="Courier New" w:cs="Courier New"/>
      </w:rPr>
      <w:start w:val="1"/>
      <w:suff w:val="tab"/>
    </w:lvl>
    <w:lvl w:ilvl="5">
      <w:isLgl w:val="false"/>
      <w:lvlJc w:val="left"/>
      <w:lvlText w:val="&quot;&quot;"/>
      <w:numFmt w:val="bullet"/>
      <w:pPr>
        <w:pBdr/>
        <w:spacing/>
        <w:ind w:hanging="360" w:left="4320"/>
      </w:pPr>
      <w:rPr>
        <w:rFonts w:hint="default" w:ascii="Wingdings" w:hAnsi="Wingdings" w:eastAsia="Wingdings" w:cs="Wingdings"/>
      </w:rPr>
      <w:start w:val="1"/>
      <w:suff w:val="tab"/>
    </w:lvl>
    <w:lvl w:ilvl="6">
      <w:isLgl w:val="false"/>
      <w:lvlJc w:val="left"/>
      <w:lvlText w:val="&quot;&quot;"/>
      <w:numFmt w:val="bullet"/>
      <w:pPr>
        <w:pBdr/>
        <w:spacing/>
        <w:ind w:hanging="360" w:left="5040"/>
      </w:pPr>
      <w:rPr>
        <w:rFonts w:hint="default" w:ascii="Symbol" w:hAnsi="Symbol" w:eastAsia="Symbol" w:cs="Symbol"/>
      </w:rPr>
      <w:start w:val="1"/>
      <w:suff w:val="tab"/>
    </w:lvl>
    <w:lvl w:ilvl="7">
      <w:isLgl w:val="false"/>
      <w:lvlJc w:val="left"/>
      <w:lvlText w:val="&quot;o&quot;"/>
      <w:numFmt w:val="bullet"/>
      <w:pPr>
        <w:pBdr/>
        <w:spacing/>
        <w:ind w:hanging="360" w:left="5760"/>
      </w:pPr>
      <w:rPr>
        <w:rFonts w:hint="default" w:ascii="Courier New" w:hAnsi="Courier New" w:eastAsia="Courier New" w:cs="Courier New"/>
      </w:rPr>
      <w:start w:val="1"/>
      <w:suff w:val="tab"/>
    </w:lvl>
    <w:lvl w:ilvl="8">
      <w:isLgl w:val="false"/>
      <w:lvlJc w:val="left"/>
      <w:lvlText w:val="&quot;&quot;"/>
      <w:numFmt w:val="bullet"/>
      <w:pPr>
        <w:pBdr/>
        <w:spacing/>
        <w:ind w:hanging="360" w:left="6480"/>
      </w:pPr>
      <w:rPr>
        <w:rFonts w:hint="default" w:ascii="Wingdings" w:hAnsi="Wingdings" w:eastAsia="Wingdings" w:cs="Wingdings"/>
      </w:rPr>
      <w:start w:val="1"/>
      <w:suff w:val="tab"/>
    </w:lvl>
  </w:abstractNum>
  <w:abstractNum w:abstractNumId="51">
    <w:nsid w:val="1AD6620B"/>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2">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53">
    <w:nsid w:val="14F9AFB8"/>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 w:numId="50">
    <w:abstractNumId w:val="48"/>
  </w:num>
  <w:num w:numId="51">
    <w:abstractNumId w:val="49"/>
  </w:num>
  <w:num w:numId="52">
    <w:abstractNumId w:val="50"/>
  </w:num>
  <w:num w:numId="53">
    <w:abstractNumId w:val="51"/>
  </w:num>
  <w:num w:numId="54">
    <w:abstractNumId w:val="52"/>
  </w:num>
  <w:num w:numId="55">
    <w:abstractNumId w:val="5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Nguyễn Thị Thùy Dương">
    <w15:presenceInfo w15:providerId="Teamlab" w15:userId="u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71">
    <w:name w:val="Table Grid Light"/>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Plain Table 1"/>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Plain Table 2"/>
    <w:basedOn w:val="104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Plain Table 3"/>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Plain Table 4"/>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Plain Table 5"/>
    <w:basedOn w:val="104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1 Light"/>
    <w:basedOn w:val="104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1 Light - Accent 1"/>
    <w:basedOn w:val="10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1 Light - Accent 2"/>
    <w:basedOn w:val="10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1 Light - Accent 3"/>
    <w:basedOn w:val="10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1 Light - Accent 4"/>
    <w:basedOn w:val="10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1 Light - Accent 5"/>
    <w:basedOn w:val="10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1 Light - Accent 6"/>
    <w:basedOn w:val="10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2"/>
    <w:basedOn w:val="10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2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2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2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2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2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2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3"/>
    <w:basedOn w:val="104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3 - Accent 1"/>
    <w:basedOn w:val="104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3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3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3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3 - Accent 5"/>
    <w:basedOn w:val="104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3 - Accent 6"/>
    <w:basedOn w:val="104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4"/>
    <w:basedOn w:val="104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4 - Accent 1"/>
    <w:basedOn w:val="104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4 - Accent 2"/>
    <w:basedOn w:val="104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Grid Table 4 - Accent 3"/>
    <w:basedOn w:val="104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4 - Accent 4"/>
    <w:basedOn w:val="104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4 - Accent 5"/>
    <w:basedOn w:val="104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4 - Accent 6"/>
    <w:basedOn w:val="104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5 Dark"/>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5 Dark- Accent 1"/>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5 Dark - Accent 2"/>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5 Dark - Accent 3"/>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5 Dark- Accent 4"/>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5 Dark - Accent 5"/>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5 Dark - Accent 6"/>
    <w:basedOn w:val="104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6 Colorful"/>
    <w:basedOn w:val="104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3">
    <w:name w:val="Grid Table 6 Colorful - Accent 1"/>
    <w:basedOn w:val="104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14">
    <w:name w:val="Grid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15">
    <w:name w:val="Grid Table 6 Colorful - Accent 3"/>
    <w:basedOn w:val="104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16">
    <w:name w:val="Grid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17">
    <w:name w:val="Grid Table 6 Colorful - Accent 5"/>
    <w:basedOn w:val="104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8">
    <w:name w:val="Grid Table 6 Colorful - Accent 6"/>
    <w:basedOn w:val="104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19">
    <w:name w:val="Grid Table 7 Colorful"/>
    <w:basedOn w:val="104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Grid Table 7 Colorful - Accent 1"/>
    <w:basedOn w:val="104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Grid Table 7 Colorful - Accent 2"/>
    <w:basedOn w:val="104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Grid Table 7 Colorful - Accent 3"/>
    <w:basedOn w:val="104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Grid Table 7 Colorful - Accent 4"/>
    <w:basedOn w:val="104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Grid Table 7 Colorful - Accent 5"/>
    <w:basedOn w:val="104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Grid Table 7 Colorful - Accent 6"/>
    <w:basedOn w:val="104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1 Light"/>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1 Light - Accent 1"/>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1 Light - Accent 2"/>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1 Light - Accent 3"/>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1 Light - Accent 4"/>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1 Light - Accent 5"/>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1 Light - Accent 6"/>
    <w:basedOn w:val="104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2"/>
    <w:basedOn w:val="104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2 - Accent 1"/>
    <w:basedOn w:val="104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2 - Accent 2"/>
    <w:basedOn w:val="104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2 - Accent 3"/>
    <w:basedOn w:val="104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2 - Accent 4"/>
    <w:basedOn w:val="104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2 - Accent 5"/>
    <w:basedOn w:val="104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2 - Accent 6"/>
    <w:basedOn w:val="104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3"/>
    <w:basedOn w:val="10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3 - Accent 1"/>
    <w:basedOn w:val="104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3 - Accent 2"/>
    <w:basedOn w:val="104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st Table 3 - Accent 3"/>
    <w:basedOn w:val="104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3 - Accent 4"/>
    <w:basedOn w:val="104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3 - Accent 5"/>
    <w:basedOn w:val="104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3 - Accent 6"/>
    <w:basedOn w:val="104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4"/>
    <w:basedOn w:val="104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4 - Accent 1"/>
    <w:basedOn w:val="104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4 - Accent 2"/>
    <w:basedOn w:val="104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4 - Accent 3"/>
    <w:basedOn w:val="104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4 - Accent 4"/>
    <w:basedOn w:val="104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4 - Accent 5"/>
    <w:basedOn w:val="104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4 - Accent 6"/>
    <w:basedOn w:val="104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5 Dark"/>
    <w:basedOn w:val="104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5">
    <w:name w:val="List Table 5 Dark - Accent 1"/>
    <w:basedOn w:val="104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6">
    <w:name w:val="List Table 5 Dark - Accent 2"/>
    <w:basedOn w:val="104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7">
    <w:name w:val="List Table 5 Dark - Accent 3"/>
    <w:basedOn w:val="104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8">
    <w:name w:val="List Table 5 Dark - Accent 4"/>
    <w:basedOn w:val="104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59">
    <w:name w:val="List Table 5 Dark - Accent 5"/>
    <w:basedOn w:val="104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0">
    <w:name w:val="List Table 5 Dark - Accent 6"/>
    <w:basedOn w:val="104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61">
    <w:name w:val="List Table 6 Colorful"/>
    <w:basedOn w:val="104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st Table 6 Colorful - Accent 1"/>
    <w:basedOn w:val="104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st Table 6 Colorful - Accent 2"/>
    <w:basedOn w:val="104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st Table 6 Colorful - Accent 3"/>
    <w:basedOn w:val="104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st Table 6 Colorful - Accent 4"/>
    <w:basedOn w:val="104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st Table 6 Colorful - Accent 5"/>
    <w:basedOn w:val="104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st Table 6 Colorful - Accent 6"/>
    <w:basedOn w:val="104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st Table 7 Colorful"/>
    <w:basedOn w:val="104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69">
    <w:name w:val="List Table 7 Colorful - Accent 1"/>
    <w:basedOn w:val="104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70">
    <w:name w:val="List Table 7 Colorful - Accent 2"/>
    <w:basedOn w:val="104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71">
    <w:name w:val="List Table 7 Colorful - Accent 3"/>
    <w:basedOn w:val="104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72">
    <w:name w:val="List Table 7 Colorful - Accent 4"/>
    <w:basedOn w:val="104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73">
    <w:name w:val="List Table 7 Colorful - Accent 5"/>
    <w:basedOn w:val="104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74">
    <w:name w:val="List Table 7 Colorful - Accent 6"/>
    <w:basedOn w:val="104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75">
    <w:name w:val="Lined - Accent"/>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Lined - Accent 1"/>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Lined - Accent 2"/>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Lined - Accent 3"/>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Lined - Accent 4"/>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Lined - Accent 5"/>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Lined - Accent 6"/>
    <w:basedOn w:val="104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amp; Lined - Accent"/>
    <w:basedOn w:val="104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amp; Lined - Accent 1"/>
    <w:basedOn w:val="104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4">
    <w:name w:val="Bordered &amp; Lined - Accent 2"/>
    <w:basedOn w:val="104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5">
    <w:name w:val="Bordered &amp; Lined - Accent 3"/>
    <w:basedOn w:val="104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6">
    <w:name w:val="Bordered &amp; Lined - Accent 4"/>
    <w:basedOn w:val="104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7">
    <w:name w:val="Bordered &amp; Lined - Accent 5"/>
    <w:basedOn w:val="104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8">
    <w:name w:val="Bordered &amp; Lined - Accent 6"/>
    <w:basedOn w:val="104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9">
    <w:name w:val="Bordered"/>
    <w:basedOn w:val="104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0">
    <w:name w:val="Bordered - Accent 1"/>
    <w:basedOn w:val="104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1">
    <w:name w:val="Bordered - Accent 2"/>
    <w:basedOn w:val="104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2">
    <w:name w:val="Bordered - Accent 3"/>
    <w:basedOn w:val="104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3">
    <w:name w:val="Bordered - Accent 4"/>
    <w:basedOn w:val="104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4">
    <w:name w:val="Bordered - Accent 5"/>
    <w:basedOn w:val="104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5">
    <w:name w:val="Bordered - Accent 6"/>
    <w:basedOn w:val="104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name w:val="Heading 5"/>
    <w:basedOn w:val="1037"/>
    <w:next w:val="1037"/>
    <w:link w:val="100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97">
    <w:name w:val="Heading 6"/>
    <w:basedOn w:val="1037"/>
    <w:next w:val="1037"/>
    <w:link w:val="100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98">
    <w:name w:val="Heading 7"/>
    <w:basedOn w:val="1037"/>
    <w:next w:val="1037"/>
    <w:link w:val="100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99">
    <w:name w:val="Heading 8"/>
    <w:basedOn w:val="1037"/>
    <w:next w:val="1037"/>
    <w:link w:val="100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000">
    <w:name w:val="Heading 9"/>
    <w:basedOn w:val="1037"/>
    <w:next w:val="1037"/>
    <w:link w:val="100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001">
    <w:name w:val="Heading 5 Char"/>
    <w:basedOn w:val="1042"/>
    <w:link w:val="996"/>
    <w:uiPriority w:val="9"/>
    <w:pPr>
      <w:pBdr/>
      <w:spacing/>
      <w:ind/>
    </w:pPr>
    <w:rPr>
      <w:rFonts w:ascii="Arial" w:hAnsi="Arial" w:eastAsia="Arial" w:cs="Arial"/>
      <w:color w:val="0f4761" w:themeColor="accent1" w:themeShade="BF"/>
    </w:rPr>
  </w:style>
  <w:style w:type="character" w:styleId="1002">
    <w:name w:val="Heading 6 Char"/>
    <w:basedOn w:val="1042"/>
    <w:link w:val="997"/>
    <w:uiPriority w:val="9"/>
    <w:pPr>
      <w:pBdr/>
      <w:spacing/>
      <w:ind/>
    </w:pPr>
    <w:rPr>
      <w:rFonts w:ascii="Arial" w:hAnsi="Arial" w:eastAsia="Arial" w:cs="Arial"/>
      <w:i/>
      <w:iCs/>
      <w:color w:val="595959" w:themeColor="text1" w:themeTint="A6"/>
    </w:rPr>
  </w:style>
  <w:style w:type="character" w:styleId="1003">
    <w:name w:val="Heading 7 Char"/>
    <w:basedOn w:val="1042"/>
    <w:link w:val="998"/>
    <w:uiPriority w:val="9"/>
    <w:pPr>
      <w:pBdr/>
      <w:spacing/>
      <w:ind/>
    </w:pPr>
    <w:rPr>
      <w:rFonts w:ascii="Arial" w:hAnsi="Arial" w:eastAsia="Arial" w:cs="Arial"/>
      <w:color w:val="595959" w:themeColor="text1" w:themeTint="A6"/>
    </w:rPr>
  </w:style>
  <w:style w:type="character" w:styleId="1004">
    <w:name w:val="Heading 8 Char"/>
    <w:basedOn w:val="1042"/>
    <w:link w:val="999"/>
    <w:uiPriority w:val="9"/>
    <w:pPr>
      <w:pBdr/>
      <w:spacing/>
      <w:ind/>
    </w:pPr>
    <w:rPr>
      <w:rFonts w:ascii="Arial" w:hAnsi="Arial" w:eastAsia="Arial" w:cs="Arial"/>
      <w:i/>
      <w:iCs/>
      <w:color w:val="272727" w:themeColor="text1" w:themeTint="D8"/>
    </w:rPr>
  </w:style>
  <w:style w:type="character" w:styleId="1005">
    <w:name w:val="Heading 9 Char"/>
    <w:basedOn w:val="1042"/>
    <w:link w:val="1000"/>
    <w:uiPriority w:val="9"/>
    <w:pPr>
      <w:pBdr/>
      <w:spacing/>
      <w:ind/>
    </w:pPr>
    <w:rPr>
      <w:rFonts w:ascii="Arial" w:hAnsi="Arial" w:eastAsia="Arial" w:cs="Arial"/>
      <w:i/>
      <w:iCs/>
      <w:color w:val="272727" w:themeColor="text1" w:themeTint="D8"/>
    </w:rPr>
  </w:style>
  <w:style w:type="paragraph" w:styleId="1006">
    <w:name w:val="Subtitle"/>
    <w:basedOn w:val="1037"/>
    <w:next w:val="1037"/>
    <w:link w:val="1007"/>
    <w:uiPriority w:val="11"/>
    <w:qFormat/>
    <w:pPr>
      <w:numPr>
        <w:ilvl w:val="1"/>
      </w:numPr>
      <w:pBdr/>
      <w:spacing/>
      <w:ind/>
    </w:pPr>
    <w:rPr>
      <w:color w:val="595959" w:themeColor="text1" w:themeTint="A6"/>
      <w:spacing w:val="15"/>
      <w:sz w:val="28"/>
      <w:szCs w:val="28"/>
    </w:rPr>
  </w:style>
  <w:style w:type="character" w:styleId="1007">
    <w:name w:val="Subtitle Char"/>
    <w:basedOn w:val="1042"/>
    <w:link w:val="1006"/>
    <w:uiPriority w:val="11"/>
    <w:pPr>
      <w:pBdr/>
      <w:spacing/>
      <w:ind/>
    </w:pPr>
    <w:rPr>
      <w:color w:val="595959" w:themeColor="text1" w:themeTint="A6"/>
      <w:spacing w:val="15"/>
      <w:sz w:val="28"/>
      <w:szCs w:val="28"/>
    </w:rPr>
  </w:style>
  <w:style w:type="paragraph" w:styleId="1008">
    <w:name w:val="Quote"/>
    <w:basedOn w:val="1037"/>
    <w:next w:val="1037"/>
    <w:link w:val="1009"/>
    <w:uiPriority w:val="29"/>
    <w:qFormat/>
    <w:pPr>
      <w:pBdr/>
      <w:spacing w:before="160"/>
      <w:ind/>
      <w:jc w:val="center"/>
    </w:pPr>
    <w:rPr>
      <w:i/>
      <w:iCs/>
      <w:color w:val="404040" w:themeColor="text1" w:themeTint="BF"/>
    </w:rPr>
  </w:style>
  <w:style w:type="character" w:styleId="1009">
    <w:name w:val="Quote Char"/>
    <w:basedOn w:val="1042"/>
    <w:link w:val="1008"/>
    <w:uiPriority w:val="29"/>
    <w:pPr>
      <w:pBdr/>
      <w:spacing/>
      <w:ind/>
    </w:pPr>
    <w:rPr>
      <w:i/>
      <w:iCs/>
      <w:color w:val="404040" w:themeColor="text1" w:themeTint="BF"/>
    </w:rPr>
  </w:style>
  <w:style w:type="character" w:styleId="1010">
    <w:name w:val="Intense Emphasis"/>
    <w:basedOn w:val="1042"/>
    <w:uiPriority w:val="21"/>
    <w:qFormat/>
    <w:pPr>
      <w:pBdr/>
      <w:spacing/>
      <w:ind/>
    </w:pPr>
    <w:rPr>
      <w:i/>
      <w:iCs/>
      <w:color w:val="0f4761" w:themeColor="accent1" w:themeShade="BF"/>
    </w:rPr>
  </w:style>
  <w:style w:type="paragraph" w:styleId="1011">
    <w:name w:val="Intense Quote"/>
    <w:basedOn w:val="1037"/>
    <w:next w:val="1037"/>
    <w:link w:val="101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12">
    <w:name w:val="Intense Quote Char"/>
    <w:basedOn w:val="1042"/>
    <w:link w:val="1011"/>
    <w:uiPriority w:val="30"/>
    <w:pPr>
      <w:pBdr/>
      <w:spacing/>
      <w:ind/>
    </w:pPr>
    <w:rPr>
      <w:i/>
      <w:iCs/>
      <w:color w:val="0f4761" w:themeColor="accent1" w:themeShade="BF"/>
    </w:rPr>
  </w:style>
  <w:style w:type="character" w:styleId="1013">
    <w:name w:val="Intense Reference"/>
    <w:basedOn w:val="1042"/>
    <w:uiPriority w:val="32"/>
    <w:qFormat/>
    <w:pPr>
      <w:pBdr/>
      <w:spacing/>
      <w:ind/>
    </w:pPr>
    <w:rPr>
      <w:b/>
      <w:bCs/>
      <w:smallCaps/>
      <w:color w:val="0f4761" w:themeColor="accent1" w:themeShade="BF"/>
      <w:spacing w:val="5"/>
    </w:rPr>
  </w:style>
  <w:style w:type="paragraph" w:styleId="1014">
    <w:name w:val="No Spacing"/>
    <w:basedOn w:val="1037"/>
    <w:uiPriority w:val="1"/>
    <w:qFormat/>
    <w:pPr>
      <w:pBdr/>
      <w:spacing w:after="0" w:line="240" w:lineRule="auto"/>
      <w:ind/>
    </w:pPr>
  </w:style>
  <w:style w:type="character" w:styleId="1015">
    <w:name w:val="Subtle Emphasis"/>
    <w:basedOn w:val="1042"/>
    <w:uiPriority w:val="19"/>
    <w:qFormat/>
    <w:pPr>
      <w:pBdr/>
      <w:spacing/>
      <w:ind/>
    </w:pPr>
    <w:rPr>
      <w:i/>
      <w:iCs/>
      <w:color w:val="404040" w:themeColor="text1" w:themeTint="BF"/>
    </w:rPr>
  </w:style>
  <w:style w:type="character" w:styleId="1016">
    <w:name w:val="Subtle Reference"/>
    <w:basedOn w:val="1042"/>
    <w:uiPriority w:val="31"/>
    <w:qFormat/>
    <w:pPr>
      <w:pBdr/>
      <w:spacing/>
      <w:ind/>
    </w:pPr>
    <w:rPr>
      <w:smallCaps/>
      <w:color w:val="5a5a5a" w:themeColor="text1" w:themeTint="A5"/>
    </w:rPr>
  </w:style>
  <w:style w:type="character" w:styleId="1017">
    <w:name w:val="Book Title"/>
    <w:basedOn w:val="1042"/>
    <w:uiPriority w:val="33"/>
    <w:qFormat/>
    <w:pPr>
      <w:pBdr/>
      <w:spacing/>
      <w:ind/>
    </w:pPr>
    <w:rPr>
      <w:b/>
      <w:bCs/>
      <w:i/>
      <w:iCs/>
      <w:spacing w:val="5"/>
    </w:rPr>
  </w:style>
  <w:style w:type="paragraph" w:styleId="1018">
    <w:name w:val="Caption"/>
    <w:basedOn w:val="1037"/>
    <w:next w:val="1037"/>
    <w:uiPriority w:val="35"/>
    <w:unhideWhenUsed/>
    <w:qFormat/>
    <w:pPr>
      <w:pBdr/>
      <w:spacing w:after="200" w:line="240" w:lineRule="auto"/>
      <w:ind/>
    </w:pPr>
    <w:rPr>
      <w:i/>
      <w:iCs/>
      <w:color w:val="0e2841" w:themeColor="text2"/>
      <w:sz w:val="18"/>
      <w:szCs w:val="18"/>
    </w:rPr>
  </w:style>
  <w:style w:type="paragraph" w:styleId="1019">
    <w:name w:val="footnote text"/>
    <w:basedOn w:val="1037"/>
    <w:link w:val="1020"/>
    <w:uiPriority w:val="99"/>
    <w:semiHidden/>
    <w:unhideWhenUsed/>
    <w:pPr>
      <w:pBdr/>
      <w:spacing w:after="0" w:line="240" w:lineRule="auto"/>
      <w:ind/>
    </w:pPr>
    <w:rPr>
      <w:sz w:val="20"/>
      <w:szCs w:val="20"/>
    </w:rPr>
  </w:style>
  <w:style w:type="character" w:styleId="1020">
    <w:name w:val="Footnote Text Char"/>
    <w:basedOn w:val="1042"/>
    <w:link w:val="1019"/>
    <w:uiPriority w:val="99"/>
    <w:semiHidden/>
    <w:pPr>
      <w:pBdr/>
      <w:spacing/>
      <w:ind/>
    </w:pPr>
    <w:rPr>
      <w:sz w:val="20"/>
      <w:szCs w:val="20"/>
    </w:rPr>
  </w:style>
  <w:style w:type="character" w:styleId="1021">
    <w:name w:val="footnote reference"/>
    <w:basedOn w:val="1042"/>
    <w:uiPriority w:val="99"/>
    <w:semiHidden/>
    <w:unhideWhenUsed/>
    <w:pPr>
      <w:pBdr/>
      <w:spacing/>
      <w:ind/>
    </w:pPr>
    <w:rPr>
      <w:vertAlign w:val="superscript"/>
    </w:rPr>
  </w:style>
  <w:style w:type="paragraph" w:styleId="1022">
    <w:name w:val="endnote text"/>
    <w:basedOn w:val="1037"/>
    <w:link w:val="1023"/>
    <w:uiPriority w:val="99"/>
    <w:semiHidden/>
    <w:unhideWhenUsed/>
    <w:pPr>
      <w:pBdr/>
      <w:spacing w:after="0" w:line="240" w:lineRule="auto"/>
      <w:ind/>
    </w:pPr>
    <w:rPr>
      <w:sz w:val="20"/>
      <w:szCs w:val="20"/>
    </w:rPr>
  </w:style>
  <w:style w:type="character" w:styleId="1023">
    <w:name w:val="Endnote Text Char"/>
    <w:basedOn w:val="1042"/>
    <w:link w:val="1022"/>
    <w:uiPriority w:val="99"/>
    <w:semiHidden/>
    <w:pPr>
      <w:pBdr/>
      <w:spacing/>
      <w:ind/>
    </w:pPr>
    <w:rPr>
      <w:sz w:val="20"/>
      <w:szCs w:val="20"/>
    </w:rPr>
  </w:style>
  <w:style w:type="character" w:styleId="1024">
    <w:name w:val="endnote reference"/>
    <w:basedOn w:val="1042"/>
    <w:uiPriority w:val="99"/>
    <w:semiHidden/>
    <w:unhideWhenUsed/>
    <w:pPr>
      <w:pBdr/>
      <w:spacing/>
      <w:ind/>
    </w:pPr>
    <w:rPr>
      <w:vertAlign w:val="superscript"/>
    </w:rPr>
  </w:style>
  <w:style w:type="paragraph" w:styleId="1025">
    <w:name w:val="toc 1"/>
    <w:basedOn w:val="1037"/>
    <w:next w:val="1037"/>
    <w:uiPriority w:val="39"/>
    <w:unhideWhenUsed/>
    <w:pPr>
      <w:pBdr/>
      <w:spacing w:after="100"/>
      <w:ind/>
    </w:pPr>
  </w:style>
  <w:style w:type="paragraph" w:styleId="1026">
    <w:name w:val="toc 2"/>
    <w:basedOn w:val="1037"/>
    <w:next w:val="1037"/>
    <w:uiPriority w:val="39"/>
    <w:unhideWhenUsed/>
    <w:pPr>
      <w:pBdr/>
      <w:spacing w:after="100"/>
      <w:ind w:left="220"/>
    </w:pPr>
  </w:style>
  <w:style w:type="paragraph" w:styleId="1027">
    <w:name w:val="toc 3"/>
    <w:basedOn w:val="1037"/>
    <w:next w:val="1037"/>
    <w:uiPriority w:val="39"/>
    <w:unhideWhenUsed/>
    <w:pPr>
      <w:pBdr/>
      <w:spacing w:after="100"/>
      <w:ind w:left="440"/>
    </w:pPr>
  </w:style>
  <w:style w:type="paragraph" w:styleId="1028">
    <w:name w:val="toc 4"/>
    <w:basedOn w:val="1037"/>
    <w:next w:val="1037"/>
    <w:uiPriority w:val="39"/>
    <w:unhideWhenUsed/>
    <w:pPr>
      <w:pBdr/>
      <w:spacing w:after="100"/>
      <w:ind w:left="660"/>
    </w:pPr>
  </w:style>
  <w:style w:type="paragraph" w:styleId="1029">
    <w:name w:val="toc 5"/>
    <w:basedOn w:val="1037"/>
    <w:next w:val="1037"/>
    <w:uiPriority w:val="39"/>
    <w:unhideWhenUsed/>
    <w:pPr>
      <w:pBdr/>
      <w:spacing w:after="100"/>
      <w:ind w:left="880"/>
    </w:pPr>
  </w:style>
  <w:style w:type="paragraph" w:styleId="1030">
    <w:name w:val="toc 6"/>
    <w:basedOn w:val="1037"/>
    <w:next w:val="1037"/>
    <w:uiPriority w:val="39"/>
    <w:unhideWhenUsed/>
    <w:pPr>
      <w:pBdr/>
      <w:spacing w:after="100"/>
      <w:ind w:left="1100"/>
    </w:pPr>
  </w:style>
  <w:style w:type="paragraph" w:styleId="1031">
    <w:name w:val="toc 7"/>
    <w:basedOn w:val="1037"/>
    <w:next w:val="1037"/>
    <w:uiPriority w:val="39"/>
    <w:unhideWhenUsed/>
    <w:pPr>
      <w:pBdr/>
      <w:spacing w:after="100"/>
      <w:ind w:left="1320"/>
    </w:pPr>
  </w:style>
  <w:style w:type="paragraph" w:styleId="1032">
    <w:name w:val="toc 8"/>
    <w:basedOn w:val="1037"/>
    <w:next w:val="1037"/>
    <w:uiPriority w:val="39"/>
    <w:unhideWhenUsed/>
    <w:pPr>
      <w:pBdr/>
      <w:spacing w:after="100"/>
      <w:ind w:left="1540"/>
    </w:pPr>
  </w:style>
  <w:style w:type="paragraph" w:styleId="1033">
    <w:name w:val="toc 9"/>
    <w:basedOn w:val="1037"/>
    <w:next w:val="1037"/>
    <w:uiPriority w:val="39"/>
    <w:unhideWhenUsed/>
    <w:pPr>
      <w:pBdr/>
      <w:spacing w:after="100"/>
      <w:ind w:left="1760"/>
    </w:pPr>
  </w:style>
  <w:style w:type="character" w:styleId="1034">
    <w:name w:val="Placeholder Text"/>
    <w:basedOn w:val="1042"/>
    <w:uiPriority w:val="99"/>
    <w:semiHidden/>
    <w:pPr>
      <w:pBdr/>
      <w:spacing/>
      <w:ind/>
    </w:pPr>
    <w:rPr>
      <w:color w:val="666666"/>
    </w:rPr>
  </w:style>
  <w:style w:type="paragraph" w:styleId="1035">
    <w:name w:val="TOC Heading"/>
    <w:uiPriority w:val="39"/>
    <w:unhideWhenUsed/>
    <w:pPr>
      <w:pBdr/>
      <w:spacing/>
      <w:ind/>
    </w:pPr>
  </w:style>
  <w:style w:type="paragraph" w:styleId="1036">
    <w:name w:val="table of figures"/>
    <w:basedOn w:val="1037"/>
    <w:next w:val="1037"/>
    <w:uiPriority w:val="99"/>
    <w:unhideWhenUsed/>
    <w:pPr>
      <w:pBdr/>
      <w:spacing w:after="0" w:afterAutospacing="0"/>
      <w:ind/>
    </w:pPr>
  </w:style>
  <w:style w:type="paragraph" w:styleId="1037" w:default="1">
    <w:name w:val="Normal"/>
    <w:qFormat/>
    <w:pPr>
      <w:pBdr/>
      <w:spacing w:after="0" w:line="240" w:lineRule="auto"/>
      <w:ind/>
    </w:pPr>
    <w:rPr>
      <w:rFonts w:ascii="Times New Roman" w:hAnsi="Times New Roman" w:eastAsia="Times New Roman" w:cs="Times New Roman"/>
      <w:sz w:val="24"/>
      <w:szCs w:val="24"/>
    </w:rPr>
  </w:style>
  <w:style w:type="paragraph" w:styleId="1038">
    <w:name w:val="Heading 1"/>
    <w:basedOn w:val="1037"/>
    <w:next w:val="1037"/>
    <w:link w:val="1045"/>
    <w:qFormat/>
    <w:pPr>
      <w:keepNext w:val="true"/>
      <w:pBdr/>
      <w:spacing w:after="120" w:before="120"/>
      <w:ind/>
      <w:jc w:val="center"/>
      <w:outlineLvl w:val="0"/>
    </w:pPr>
    <w:rPr>
      <w:b/>
      <w:bCs/>
      <w:sz w:val="27"/>
      <w:szCs w:val="27"/>
    </w:rPr>
  </w:style>
  <w:style w:type="paragraph" w:styleId="1039">
    <w:name w:val="Heading 2"/>
    <w:basedOn w:val="1037"/>
    <w:next w:val="1037"/>
    <w:link w:val="104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40">
    <w:name w:val="Heading 3"/>
    <w:basedOn w:val="1037"/>
    <w:next w:val="1037"/>
    <w:link w:val="1047"/>
    <w:qFormat/>
    <w:pPr>
      <w:keepNext w:val="true"/>
      <w:pBdr/>
      <w:spacing w:before="60"/>
      <w:ind/>
      <w:outlineLvl w:val="2"/>
    </w:pPr>
    <w:rPr>
      <w:sz w:val="28"/>
      <w:szCs w:val="28"/>
    </w:rPr>
  </w:style>
  <w:style w:type="paragraph" w:styleId="1041">
    <w:name w:val="Heading 4"/>
    <w:basedOn w:val="1037"/>
    <w:next w:val="1037"/>
    <w:link w:val="1048"/>
    <w:qFormat/>
    <w:pPr>
      <w:keepNext w:val="true"/>
      <w:pBdr/>
      <w:spacing/>
      <w:ind/>
      <w:jc w:val="center"/>
      <w:outlineLvl w:val="3"/>
    </w:pPr>
    <w:rPr>
      <w:b/>
      <w:bCs/>
    </w:rPr>
  </w:style>
  <w:style w:type="character" w:styleId="1042" w:default="1">
    <w:name w:val="Default Paragraph Font"/>
    <w:uiPriority w:val="1"/>
    <w:semiHidden/>
    <w:unhideWhenUsed/>
    <w:pPr>
      <w:pBdr/>
      <w:spacing/>
      <w:ind/>
    </w:pPr>
  </w:style>
  <w:style w:type="table" w:styleId="104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44" w:default="1">
    <w:name w:val="No List"/>
    <w:uiPriority w:val="99"/>
    <w:semiHidden/>
    <w:unhideWhenUsed/>
    <w:pPr>
      <w:pBdr/>
      <w:spacing/>
      <w:ind/>
    </w:pPr>
  </w:style>
  <w:style w:type="character" w:styleId="1045" w:customStyle="1">
    <w:name w:val="Heading 1 Char"/>
    <w:basedOn w:val="1042"/>
    <w:link w:val="1038"/>
    <w:pPr>
      <w:pBdr/>
      <w:spacing/>
      <w:ind/>
    </w:pPr>
    <w:rPr>
      <w:rFonts w:ascii="Times New Roman" w:hAnsi="Times New Roman" w:eastAsia="Times New Roman" w:cs="Times New Roman"/>
      <w:b/>
      <w:bCs/>
      <w:sz w:val="27"/>
      <w:szCs w:val="27"/>
    </w:rPr>
  </w:style>
  <w:style w:type="character" w:styleId="1046" w:customStyle="1">
    <w:name w:val="Heading 2 Char"/>
    <w:basedOn w:val="1042"/>
    <w:link w:val="1039"/>
    <w:uiPriority w:val="9"/>
    <w:pPr>
      <w:pBdr/>
      <w:spacing/>
      <w:ind/>
    </w:pPr>
    <w:rPr>
      <w:rFonts w:asciiTheme="majorHAnsi" w:hAnsiTheme="majorHAnsi" w:eastAsiaTheme="majorEastAsia" w:cstheme="majorBidi"/>
      <w:color w:val="365f91" w:themeColor="accent1" w:themeShade="BF"/>
      <w:sz w:val="26"/>
      <w:szCs w:val="26"/>
    </w:rPr>
  </w:style>
  <w:style w:type="character" w:styleId="1047" w:customStyle="1">
    <w:name w:val="Heading 3 Char"/>
    <w:basedOn w:val="1042"/>
    <w:link w:val="1040"/>
    <w:pPr>
      <w:pBdr/>
      <w:spacing/>
      <w:ind/>
    </w:pPr>
    <w:rPr>
      <w:rFonts w:ascii="Times New Roman" w:hAnsi="Times New Roman" w:eastAsia="Times New Roman" w:cs="Times New Roman"/>
      <w:sz w:val="28"/>
      <w:szCs w:val="28"/>
    </w:rPr>
  </w:style>
  <w:style w:type="character" w:styleId="1048" w:customStyle="1">
    <w:name w:val="Heading 4 Char"/>
    <w:basedOn w:val="1042"/>
    <w:link w:val="1041"/>
    <w:pPr>
      <w:pBdr/>
      <w:spacing/>
      <w:ind/>
    </w:pPr>
    <w:rPr>
      <w:rFonts w:ascii="Times New Roman" w:hAnsi="Times New Roman" w:eastAsia="Times New Roman" w:cs="Times New Roman"/>
      <w:b/>
      <w:bCs/>
      <w:sz w:val="24"/>
      <w:szCs w:val="24"/>
    </w:rPr>
  </w:style>
  <w:style w:type="character" w:styleId="1049">
    <w:name w:val="Hyperlink"/>
    <w:uiPriority w:val="99"/>
    <w:pPr>
      <w:pBdr/>
      <w:spacing/>
      <w:ind/>
    </w:pPr>
    <w:rPr>
      <w:color w:val="000000"/>
      <w:u w:val="single"/>
    </w:rPr>
  </w:style>
  <w:style w:type="character" w:styleId="1050">
    <w:name w:val="Strong"/>
    <w:uiPriority w:val="22"/>
    <w:qFormat/>
    <w:pPr>
      <w:pBdr/>
      <w:spacing/>
      <w:ind/>
    </w:pPr>
    <w:rPr>
      <w:b/>
      <w:bCs/>
    </w:rPr>
  </w:style>
  <w:style w:type="paragraph" w:styleId="1051">
    <w:name w:val="Balloon Text"/>
    <w:basedOn w:val="1037"/>
    <w:link w:val="1052"/>
    <w:uiPriority w:val="99"/>
    <w:semiHidden/>
    <w:unhideWhenUsed/>
    <w:pPr>
      <w:pBdr/>
      <w:spacing/>
      <w:ind/>
    </w:pPr>
    <w:rPr>
      <w:rFonts w:ascii="Tahoma" w:hAnsi="Tahoma" w:cs="Tahoma"/>
      <w:sz w:val="16"/>
      <w:szCs w:val="16"/>
    </w:rPr>
  </w:style>
  <w:style w:type="character" w:styleId="1052" w:customStyle="1">
    <w:name w:val="Balloon Text Char"/>
    <w:basedOn w:val="1042"/>
    <w:link w:val="1051"/>
    <w:uiPriority w:val="99"/>
    <w:semiHidden/>
    <w:pPr>
      <w:pBdr/>
      <w:spacing/>
      <w:ind/>
    </w:pPr>
    <w:rPr>
      <w:rFonts w:ascii="Tahoma" w:hAnsi="Tahoma" w:eastAsia="Times New Roman" w:cs="Tahoma"/>
      <w:sz w:val="16"/>
      <w:szCs w:val="16"/>
    </w:rPr>
  </w:style>
  <w:style w:type="paragraph" w:styleId="1053">
    <w:name w:val="Header"/>
    <w:basedOn w:val="1037"/>
    <w:link w:val="1054"/>
    <w:unhideWhenUsed/>
    <w:pPr>
      <w:pBdr/>
      <w:tabs>
        <w:tab w:val="center" w:leader="none" w:pos="4680"/>
        <w:tab w:val="right" w:leader="none" w:pos="9360"/>
      </w:tabs>
      <w:spacing/>
      <w:ind/>
    </w:pPr>
  </w:style>
  <w:style w:type="character" w:styleId="1054" w:customStyle="1">
    <w:name w:val="Header Char"/>
    <w:basedOn w:val="1042"/>
    <w:link w:val="1053"/>
    <w:pPr>
      <w:pBdr/>
      <w:spacing/>
      <w:ind/>
    </w:pPr>
    <w:rPr>
      <w:rFonts w:ascii="Times New Roman" w:hAnsi="Times New Roman" w:eastAsia="Times New Roman" w:cs="Times New Roman"/>
      <w:sz w:val="24"/>
      <w:szCs w:val="24"/>
    </w:rPr>
  </w:style>
  <w:style w:type="paragraph" w:styleId="1055">
    <w:name w:val="Footer"/>
    <w:basedOn w:val="1037"/>
    <w:link w:val="1056"/>
    <w:uiPriority w:val="99"/>
    <w:unhideWhenUsed/>
    <w:pPr>
      <w:pBdr/>
      <w:tabs>
        <w:tab w:val="center" w:leader="none" w:pos="4680"/>
        <w:tab w:val="right" w:leader="none" w:pos="9360"/>
      </w:tabs>
      <w:spacing/>
      <w:ind/>
    </w:pPr>
  </w:style>
  <w:style w:type="character" w:styleId="1056" w:customStyle="1">
    <w:name w:val="Footer Char"/>
    <w:basedOn w:val="1042"/>
    <w:link w:val="1055"/>
    <w:uiPriority w:val="99"/>
    <w:pPr>
      <w:pBdr/>
      <w:spacing/>
      <w:ind/>
    </w:pPr>
    <w:rPr>
      <w:rFonts w:ascii="Times New Roman" w:hAnsi="Times New Roman" w:eastAsia="Times New Roman" w:cs="Times New Roman"/>
      <w:sz w:val="24"/>
      <w:szCs w:val="24"/>
    </w:rPr>
  </w:style>
  <w:style w:type="character" w:styleId="1057" w:customStyle="1">
    <w:name w:val="normal-h1"/>
    <w:pPr>
      <w:pBdr/>
      <w:spacing/>
      <w:ind/>
    </w:pPr>
    <w:rPr>
      <w:rFonts w:hint="default" w:ascii=".VnTime" w:hAnsi=".VnTime"/>
      <w:color w:val="0000ff"/>
      <w:sz w:val="24"/>
      <w:szCs w:val="24"/>
    </w:rPr>
  </w:style>
  <w:style w:type="paragraph" w:styleId="1058" w:customStyle="1">
    <w:name w:val="normal-p"/>
    <w:basedOn w:val="1037"/>
    <w:pPr>
      <w:pBdr/>
      <w:spacing/>
      <w:ind/>
      <w:jc w:val="both"/>
    </w:pPr>
    <w:rPr>
      <w:sz w:val="20"/>
      <w:szCs w:val="20"/>
    </w:rPr>
  </w:style>
  <w:style w:type="paragraph" w:styleId="1059">
    <w:name w:val="List Paragraph"/>
    <w:basedOn w:val="1037"/>
    <w:link w:val="1146"/>
    <w:uiPriority w:val="34"/>
    <w:qFormat/>
    <w:pPr>
      <w:pBdr/>
      <w:spacing/>
      <w:ind w:left="720"/>
    </w:pPr>
  </w:style>
  <w:style w:type="paragraph" w:styleId="1060">
    <w:name w:val="Normal (Web)"/>
    <w:basedOn w:val="1037"/>
    <w:uiPriority w:val="99"/>
    <w:pPr>
      <w:pBdr/>
      <w:spacing w:after="100" w:afterAutospacing="1" w:before="100" w:beforeAutospacing="1"/>
      <w:ind/>
    </w:pPr>
  </w:style>
  <w:style w:type="paragraph" w:styleId="1061">
    <w:name w:val="Body Text"/>
    <w:basedOn w:val="1037"/>
    <w:link w:val="1062"/>
    <w:pPr>
      <w:pBdr/>
      <w:spacing w:after="120"/>
      <w:ind/>
      <w:jc w:val="both"/>
    </w:pPr>
  </w:style>
  <w:style w:type="character" w:styleId="1062" w:customStyle="1">
    <w:name w:val="Body Text Char"/>
    <w:basedOn w:val="1042"/>
    <w:link w:val="1061"/>
    <w:pPr>
      <w:pBdr/>
      <w:spacing/>
      <w:ind/>
    </w:pPr>
    <w:rPr>
      <w:rFonts w:ascii="Times New Roman" w:hAnsi="Times New Roman" w:eastAsia="Times New Roman" w:cs="Times New Roman"/>
      <w:sz w:val="24"/>
      <w:szCs w:val="24"/>
    </w:rPr>
  </w:style>
  <w:style w:type="table" w:styleId="1063">
    <w:name w:val="Table Grid"/>
    <w:basedOn w:val="104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6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65">
    <w:name w:val="annotation reference"/>
    <w:basedOn w:val="1042"/>
    <w:uiPriority w:val="99"/>
    <w:semiHidden/>
    <w:unhideWhenUsed/>
    <w:pPr>
      <w:pBdr/>
      <w:spacing/>
      <w:ind/>
    </w:pPr>
    <w:rPr>
      <w:sz w:val="16"/>
      <w:szCs w:val="16"/>
    </w:rPr>
  </w:style>
  <w:style w:type="paragraph" w:styleId="1066">
    <w:name w:val="annotation text"/>
    <w:basedOn w:val="1037"/>
    <w:link w:val="1067"/>
    <w:uiPriority w:val="99"/>
    <w:unhideWhenUsed/>
    <w:pPr>
      <w:pBdr/>
      <w:spacing/>
      <w:ind/>
    </w:pPr>
    <w:rPr>
      <w:sz w:val="20"/>
      <w:szCs w:val="20"/>
    </w:rPr>
  </w:style>
  <w:style w:type="character" w:styleId="1067" w:customStyle="1">
    <w:name w:val="Comment Text Char"/>
    <w:basedOn w:val="1042"/>
    <w:link w:val="1066"/>
    <w:uiPriority w:val="99"/>
    <w:pPr>
      <w:pBdr/>
      <w:spacing/>
      <w:ind/>
    </w:pPr>
    <w:rPr>
      <w:rFonts w:ascii="Times New Roman" w:hAnsi="Times New Roman" w:eastAsia="Times New Roman" w:cs="Times New Roman"/>
      <w:sz w:val="20"/>
      <w:szCs w:val="20"/>
    </w:rPr>
  </w:style>
  <w:style w:type="paragraph" w:styleId="1068">
    <w:name w:val="annotation subject"/>
    <w:basedOn w:val="1066"/>
    <w:next w:val="1066"/>
    <w:link w:val="1069"/>
    <w:uiPriority w:val="99"/>
    <w:semiHidden/>
    <w:unhideWhenUsed/>
    <w:pPr>
      <w:pBdr/>
      <w:spacing/>
      <w:ind/>
    </w:pPr>
    <w:rPr>
      <w:b/>
      <w:bCs/>
    </w:rPr>
  </w:style>
  <w:style w:type="character" w:styleId="1069" w:customStyle="1">
    <w:name w:val="Comment Subject Char"/>
    <w:basedOn w:val="1067"/>
    <w:link w:val="1068"/>
    <w:uiPriority w:val="99"/>
    <w:semiHidden/>
    <w:pPr>
      <w:pBdr/>
      <w:spacing/>
      <w:ind/>
    </w:pPr>
    <w:rPr>
      <w:rFonts w:ascii="Times New Roman" w:hAnsi="Times New Roman" w:eastAsia="Times New Roman" w:cs="Times New Roman"/>
      <w:b/>
      <w:bCs/>
      <w:sz w:val="20"/>
      <w:szCs w:val="20"/>
    </w:rPr>
  </w:style>
  <w:style w:type="paragraph" w:styleId="1070" w:customStyle="1">
    <w:name w:val="font5"/>
    <w:basedOn w:val="1037"/>
    <w:pPr>
      <w:pBdr/>
      <w:spacing w:after="100" w:afterAutospacing="1" w:before="100" w:beforeAutospacing="1"/>
      <w:ind/>
    </w:pPr>
    <w:rPr>
      <w:rFonts w:ascii="Tahoma" w:hAnsi="Tahoma" w:cs="Tahoma"/>
      <w:color w:val="000000"/>
      <w:sz w:val="18"/>
      <w:szCs w:val="18"/>
    </w:rPr>
  </w:style>
  <w:style w:type="paragraph" w:styleId="1071" w:customStyle="1">
    <w:name w:val="font6"/>
    <w:basedOn w:val="1037"/>
    <w:pPr>
      <w:pBdr/>
      <w:spacing w:after="100" w:afterAutospacing="1" w:before="100" w:beforeAutospacing="1"/>
      <w:ind/>
    </w:pPr>
    <w:rPr>
      <w:rFonts w:ascii="Tahoma" w:hAnsi="Tahoma" w:cs="Tahoma"/>
      <w:b/>
      <w:bCs/>
      <w:color w:val="000000"/>
      <w:sz w:val="18"/>
      <w:szCs w:val="18"/>
    </w:rPr>
  </w:style>
  <w:style w:type="paragraph" w:styleId="1072" w:customStyle="1">
    <w:name w:val="xl233"/>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34"/>
    <w:basedOn w:val="1037"/>
    <w:pPr>
      <w:pBdr/>
      <w:spacing w:after="100" w:afterAutospacing="1" w:before="100" w:beforeAutospacing="1"/>
      <w:ind/>
      <w:jc w:val="center"/>
    </w:pPr>
  </w:style>
  <w:style w:type="paragraph" w:styleId="1074" w:customStyle="1">
    <w:name w:val="xl235"/>
    <w:basedOn w:val="1037"/>
    <w:pPr>
      <w:pBdr/>
      <w:spacing w:after="100" w:afterAutospacing="1" w:before="100" w:beforeAutospacing="1"/>
      <w:ind/>
      <w:jc w:val="center"/>
    </w:pPr>
    <w:rPr>
      <w:b/>
      <w:bCs/>
    </w:rPr>
  </w:style>
  <w:style w:type="paragraph" w:styleId="1075" w:customStyle="1">
    <w:name w:val="xl236"/>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3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38"/>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8" w:customStyle="1">
    <w:name w:val="xl23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79" w:customStyle="1">
    <w:name w:val="xl240"/>
    <w:basedOn w:val="1037"/>
    <w:pPr>
      <w:pBdr/>
      <w:spacing w:after="100" w:afterAutospacing="1" w:before="100" w:beforeAutospacing="1"/>
      <w:ind/>
    </w:pPr>
  </w:style>
  <w:style w:type="paragraph" w:styleId="1080" w:customStyle="1">
    <w:name w:val="xl241"/>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42"/>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43"/>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44"/>
    <w:basedOn w:val="1037"/>
    <w:pPr>
      <w:pBdr/>
      <w:spacing w:after="100" w:afterAutospacing="1" w:before="100" w:beforeAutospacing="1"/>
      <w:ind/>
    </w:pPr>
    <w:rPr>
      <w:b/>
      <w:bCs/>
    </w:rPr>
  </w:style>
  <w:style w:type="paragraph" w:styleId="1084" w:customStyle="1">
    <w:name w:val="xl245"/>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5" w:customStyle="1">
    <w:name w:val="xl246"/>
    <w:basedOn w:val="103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6" w:customStyle="1">
    <w:name w:val="xl247"/>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7" w:customStyle="1">
    <w:name w:val="xl248"/>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4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50"/>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51"/>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5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2" w:customStyle="1">
    <w:name w:val="xl253"/>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54"/>
    <w:basedOn w:val="103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55"/>
    <w:basedOn w:val="103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5" w:customStyle="1">
    <w:name w:val="xl256"/>
    <w:basedOn w:val="103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96" w:customStyle="1">
    <w:name w:val="xl25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7" w:customStyle="1">
    <w:name w:val="xl258"/>
    <w:basedOn w:val="103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8" w:customStyle="1">
    <w:name w:val="xl25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60"/>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0" w:customStyle="1">
    <w:name w:val="xl261"/>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1" w:customStyle="1">
    <w:name w:val="xl262"/>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2" w:customStyle="1">
    <w:name w:val="xl263"/>
    <w:basedOn w:val="1037"/>
    <w:pPr>
      <w:pBdr/>
      <w:shd w:val="clear" w:color="000000" w:fill="ffffff"/>
      <w:spacing w:after="100" w:afterAutospacing="1" w:before="100" w:beforeAutospacing="1"/>
      <w:ind/>
    </w:pPr>
  </w:style>
  <w:style w:type="paragraph" w:styleId="1103" w:customStyle="1">
    <w:name w:val="xl264"/>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4" w:customStyle="1">
    <w:name w:val="xl265"/>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6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106" w:customStyle="1">
    <w:name w:val="xl267"/>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68"/>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8" w:customStyle="1">
    <w:name w:val="xl269"/>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109" w:customStyle="1">
    <w:name w:val="xl270"/>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71"/>
    <w:basedOn w:val="103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111" w:customStyle="1">
    <w:name w:val="xl27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12" w:customStyle="1">
    <w:name w:val="xl273"/>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3" w:customStyle="1">
    <w:name w:val="xl274"/>
    <w:basedOn w:val="103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14" w:customStyle="1">
    <w:name w:val="xl275"/>
    <w:basedOn w:val="1037"/>
    <w:pPr>
      <w:pBdr/>
      <w:spacing w:after="100" w:afterAutospacing="1" w:before="100" w:beforeAutospacing="1"/>
      <w:ind/>
    </w:pPr>
  </w:style>
  <w:style w:type="paragraph" w:styleId="1115" w:customStyle="1">
    <w:name w:val="xl27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6" w:customStyle="1">
    <w:name w:val="xl277"/>
    <w:basedOn w:val="103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17" w:customStyle="1">
    <w:name w:val="xl278"/>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8" w:customStyle="1">
    <w:name w:val="xl279"/>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9" w:customStyle="1">
    <w:name w:val="xl280"/>
    <w:basedOn w:val="103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20" w:customStyle="1">
    <w:name w:val="xl281"/>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21" w:customStyle="1">
    <w:name w:val="xl282"/>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2" w:customStyle="1">
    <w:name w:val="xl283"/>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3" w:customStyle="1">
    <w:name w:val="xl284"/>
    <w:basedOn w:val="1037"/>
    <w:pPr>
      <w:pBdr>
        <w:left w:val="single" w:color="000000" w:sz="4" w:space="0"/>
        <w:bottom w:val="single" w:color="000000" w:sz="4" w:space="0"/>
        <w:right w:val="single" w:color="000000" w:sz="4" w:space="0"/>
      </w:pBdr>
      <w:spacing w:after="100" w:afterAutospacing="1" w:before="100" w:beforeAutospacing="1"/>
      <w:ind/>
    </w:pPr>
  </w:style>
  <w:style w:type="paragraph" w:styleId="1124" w:customStyle="1">
    <w:name w:val="xl285"/>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25" w:customStyle="1">
    <w:name w:val="xl286"/>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6" w:customStyle="1">
    <w:name w:val="xl287"/>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27" w:customStyle="1">
    <w:name w:val="xl288"/>
    <w:basedOn w:val="1037"/>
    <w:pPr>
      <w:pBdr>
        <w:top w:val="single" w:color="000000" w:sz="4" w:space="0"/>
        <w:left w:val="single" w:color="000000" w:sz="4" w:space="0"/>
        <w:right w:val="single" w:color="000000" w:sz="4" w:space="0"/>
      </w:pBdr>
      <w:spacing w:after="100" w:afterAutospacing="1" w:before="100" w:beforeAutospacing="1"/>
      <w:ind/>
    </w:pPr>
  </w:style>
  <w:style w:type="paragraph" w:styleId="1128" w:customStyle="1">
    <w:name w:val="xl289"/>
    <w:basedOn w:val="1037"/>
    <w:pPr>
      <w:pBdr>
        <w:left w:val="single" w:color="000000" w:sz="4" w:space="0"/>
        <w:right w:val="single" w:color="000000" w:sz="4" w:space="0"/>
      </w:pBdr>
      <w:spacing w:after="100" w:afterAutospacing="1" w:before="100" w:beforeAutospacing="1"/>
      <w:ind/>
    </w:pPr>
    <w:rPr>
      <w:b/>
      <w:bCs/>
    </w:rPr>
  </w:style>
  <w:style w:type="paragraph" w:styleId="1129" w:customStyle="1">
    <w:name w:val="xl290"/>
    <w:basedOn w:val="103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30" w:customStyle="1">
    <w:name w:val="xl291"/>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31" w:customStyle="1">
    <w:name w:val="xl292"/>
    <w:basedOn w:val="1037"/>
    <w:pPr>
      <w:pBdr>
        <w:top w:val="single" w:color="000000" w:sz="4" w:space="0"/>
        <w:left w:val="single" w:color="000000" w:sz="4" w:space="0"/>
        <w:right w:val="single" w:color="000000" w:sz="4" w:space="0"/>
      </w:pBdr>
      <w:spacing w:after="100" w:afterAutospacing="1" w:before="100" w:beforeAutospacing="1"/>
      <w:ind/>
    </w:pPr>
  </w:style>
  <w:style w:type="paragraph" w:styleId="1132" w:customStyle="1">
    <w:name w:val="xl293"/>
    <w:basedOn w:val="1037"/>
    <w:pPr>
      <w:pBdr>
        <w:left w:val="single" w:color="000000" w:sz="4" w:space="0"/>
        <w:bottom w:val="single" w:color="000000" w:sz="4" w:space="0"/>
        <w:right w:val="single" w:color="000000" w:sz="4" w:space="0"/>
      </w:pBdr>
      <w:spacing w:after="100" w:afterAutospacing="1" w:before="100" w:beforeAutospacing="1"/>
      <w:ind/>
    </w:pPr>
  </w:style>
  <w:style w:type="paragraph" w:styleId="1133" w:customStyle="1">
    <w:name w:val="xl294"/>
    <w:basedOn w:val="103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34">
    <w:name w:val="Title"/>
    <w:basedOn w:val="1037"/>
    <w:link w:val="1135"/>
    <w:qFormat/>
    <w:pPr>
      <w:pBdr/>
      <w:spacing/>
      <w:ind/>
      <w:jc w:val="center"/>
    </w:pPr>
    <w:rPr>
      <w:b/>
      <w:bCs/>
      <w:sz w:val="32"/>
      <w:szCs w:val="26"/>
    </w:rPr>
  </w:style>
  <w:style w:type="character" w:styleId="1135" w:customStyle="1">
    <w:name w:val="Title Char"/>
    <w:basedOn w:val="1042"/>
    <w:link w:val="1134"/>
    <w:pPr>
      <w:pBdr/>
      <w:spacing/>
      <w:ind/>
    </w:pPr>
    <w:rPr>
      <w:rFonts w:ascii="Times New Roman" w:hAnsi="Times New Roman" w:eastAsia="Times New Roman" w:cs="Times New Roman"/>
      <w:b/>
      <w:bCs/>
      <w:sz w:val="32"/>
      <w:szCs w:val="26"/>
    </w:rPr>
  </w:style>
  <w:style w:type="character" w:styleId="1136" w:customStyle="1">
    <w:name w:val="Unresolved Mention1"/>
    <w:basedOn w:val="1042"/>
    <w:uiPriority w:val="99"/>
    <w:semiHidden/>
    <w:unhideWhenUsed/>
    <w:pPr>
      <w:pBdr/>
      <w:spacing/>
      <w:ind/>
    </w:pPr>
    <w:rPr>
      <w:color w:val="605e5c"/>
      <w:shd w:val="clear" w:color="auto" w:fill="e1dfdd"/>
    </w:rPr>
  </w:style>
  <w:style w:type="character" w:styleId="1137" w:customStyle="1">
    <w:name w:val="Body text (3)_"/>
    <w:link w:val="1138"/>
    <w:pPr>
      <w:pBdr/>
      <w:spacing/>
      <w:ind/>
    </w:pPr>
    <w:rPr>
      <w:rFonts w:ascii="Times New Roman" w:hAnsi="Times New Roman" w:cs="Times New Roman"/>
      <w:i/>
      <w:iCs/>
      <w:spacing w:val="4"/>
      <w:shd w:val="clear" w:color="auto" w:fill="ffffff"/>
    </w:rPr>
  </w:style>
  <w:style w:type="paragraph" w:styleId="1138" w:customStyle="1">
    <w:name w:val="Body text (3)1"/>
    <w:basedOn w:val="1037"/>
    <w:link w:val="113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39" w:customStyle="1">
    <w:name w:val="t-j"/>
    <w:basedOn w:val="1037"/>
    <w:pPr>
      <w:pBdr/>
      <w:spacing w:after="100" w:afterAutospacing="1" w:before="100" w:beforeAutospacing="1"/>
      <w:ind/>
    </w:pPr>
  </w:style>
  <w:style w:type="character" w:styleId="1140" w:customStyle="1">
    <w:name w:val="Unresolved Mention2"/>
    <w:basedOn w:val="1042"/>
    <w:uiPriority w:val="99"/>
    <w:semiHidden/>
    <w:unhideWhenUsed/>
    <w:pPr>
      <w:pBdr/>
      <w:spacing/>
      <w:ind/>
    </w:pPr>
    <w:rPr>
      <w:color w:val="605e5c"/>
      <w:shd w:val="clear" w:color="auto" w:fill="e1dfdd"/>
    </w:rPr>
  </w:style>
  <w:style w:type="character" w:styleId="1141">
    <w:name w:val="FollowedHyperlink"/>
    <w:basedOn w:val="1042"/>
    <w:uiPriority w:val="99"/>
    <w:semiHidden/>
    <w:unhideWhenUsed/>
    <w:pPr>
      <w:pBdr/>
      <w:spacing/>
      <w:ind/>
    </w:pPr>
    <w:rPr>
      <w:color w:val="800080" w:themeColor="followedHyperlink"/>
      <w:u w:val="single"/>
    </w:rPr>
  </w:style>
  <w:style w:type="character" w:styleId="1142" w:customStyle="1">
    <w:name w:val="text"/>
    <w:basedOn w:val="1042"/>
    <w:pPr>
      <w:pBdr/>
      <w:spacing/>
      <w:ind/>
    </w:pPr>
  </w:style>
  <w:style w:type="character" w:styleId="1143" w:customStyle="1">
    <w:name w:val="card-send-time__sendtime"/>
    <w:basedOn w:val="1042"/>
    <w:pPr>
      <w:pBdr/>
      <w:spacing/>
      <w:ind/>
    </w:pPr>
  </w:style>
  <w:style w:type="character" w:styleId="1144" w:customStyle="1">
    <w:name w:val="Đề cập Chưa giải quyết1"/>
    <w:basedOn w:val="1042"/>
    <w:uiPriority w:val="99"/>
    <w:semiHidden/>
    <w:unhideWhenUsed/>
    <w:pPr>
      <w:pBdr/>
      <w:spacing/>
      <w:ind/>
    </w:pPr>
    <w:rPr>
      <w:color w:val="605e5c"/>
      <w:shd w:val="clear" w:color="auto" w:fill="e1dfdd"/>
    </w:rPr>
  </w:style>
  <w:style w:type="paragraph" w:styleId="1145" w:customStyle="1">
    <w:name w:val="nqtitle"/>
    <w:basedOn w:val="1037"/>
    <w:pPr>
      <w:pBdr/>
      <w:spacing w:after="100" w:afterAutospacing="1" w:before="100" w:beforeAutospacing="1"/>
      <w:ind/>
    </w:pPr>
    <w:rPr>
      <w:lang w:val="vi-VN" w:eastAsia="vi-VN"/>
    </w:rPr>
  </w:style>
  <w:style w:type="character" w:styleId="1146" w:customStyle="1">
    <w:name w:val="List Paragraph Char"/>
    <w:link w:val="1059"/>
    <w:uiPriority w:val="34"/>
    <w:qFormat/>
    <w:pPr>
      <w:pBdr/>
      <w:spacing/>
      <w:ind/>
    </w:pPr>
    <w:rPr>
      <w:rFonts w:ascii="Times New Roman" w:hAnsi="Times New Roman" w:eastAsia="Times New Roman" w:cs="Times New Roman"/>
      <w:sz w:val="24"/>
      <w:szCs w:val="24"/>
    </w:rPr>
  </w:style>
  <w:style w:type="character" w:styleId="1147" w:customStyle="1">
    <w:name w:val="Đề cập Chưa giải quyết2"/>
    <w:basedOn w:val="1042"/>
    <w:uiPriority w:val="99"/>
    <w:semiHidden/>
    <w:unhideWhenUsed/>
    <w:pPr>
      <w:pBdr/>
      <w:spacing/>
      <w:ind/>
    </w:pPr>
    <w:rPr>
      <w:color w:val="605e5c"/>
      <w:shd w:val="clear" w:color="auto" w:fill="e1dfdd"/>
    </w:rPr>
  </w:style>
  <w:style w:type="character" w:styleId="1148" w:customStyle="1">
    <w:name w:val="Unresolved Mention3"/>
    <w:basedOn w:val="1042"/>
    <w:uiPriority w:val="99"/>
    <w:semiHidden/>
    <w:unhideWhenUsed/>
    <w:pPr>
      <w:pBdr/>
      <w:spacing/>
      <w:ind/>
    </w:pPr>
    <w:rPr>
      <w:color w:val="605e5c"/>
      <w:shd w:val="clear" w:color="auto" w:fill="e1dfdd"/>
    </w:rPr>
  </w:style>
  <w:style w:type="character" w:styleId="1149" w:customStyle="1">
    <w:name w:val="copy"/>
    <w:basedOn w:val="1042"/>
    <w:pPr>
      <w:pBdr/>
      <w:spacing/>
      <w:ind/>
    </w:pPr>
  </w:style>
  <w:style w:type="paragraph" w:styleId="1150" w:customStyle="1">
    <w:name w:val="align-justify"/>
    <w:basedOn w:val="1037"/>
    <w:pPr>
      <w:pBdr/>
      <w:spacing w:after="100" w:afterAutospacing="1" w:before="100" w:beforeAutospacing="1"/>
      <w:ind/>
    </w:pPr>
  </w:style>
  <w:style w:type="character" w:styleId="1151" w:customStyle="1">
    <w:name w:val="btn"/>
    <w:basedOn w:val="1042"/>
    <w:pPr>
      <w:pBdr/>
      <w:spacing/>
      <w:ind/>
    </w:pPr>
  </w:style>
  <w:style w:type="character" w:styleId="1152" w:customStyle="1">
    <w:name w:val="hide_mobile"/>
    <w:basedOn w:val="1042"/>
    <w:pPr>
      <w:pBdr/>
      <w:spacing/>
      <w:ind/>
    </w:pPr>
  </w:style>
  <w:style w:type="character" w:styleId="1153">
    <w:name w:val="Emphasis"/>
    <w:basedOn w:val="1042"/>
    <w:uiPriority w:val="20"/>
    <w:qFormat/>
    <w:pPr>
      <w:pBdr/>
      <w:spacing/>
      <w:ind/>
    </w:pPr>
    <w:rPr>
      <w:i/>
      <w:iCs/>
    </w:rPr>
  </w:style>
  <w:style w:type="character" w:styleId="1154" w:customStyle="1">
    <w:name w:val="t1"/>
    <w:basedOn w:val="1042"/>
    <w:pPr>
      <w:pBdr/>
      <w:spacing/>
      <w:ind/>
    </w:pPr>
  </w:style>
  <w:style w:type="character" w:styleId="1155" w:customStyle="1">
    <w:name w:val="Unresolved Mention4"/>
    <w:basedOn w:val="1042"/>
    <w:uiPriority w:val="99"/>
    <w:semiHidden/>
    <w:unhideWhenUsed/>
    <w:pPr>
      <w:pBdr/>
      <w:spacing/>
      <w:ind/>
    </w:pPr>
    <w:rPr>
      <w:color w:val="605e5c"/>
      <w:shd w:val="clear" w:color="auto" w:fill="e1dfdd"/>
    </w:rPr>
  </w:style>
  <w:style w:type="character" w:styleId="1156">
    <w:name w:val="Unresolved Mention"/>
    <w:basedOn w:val="104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comments" Target="comments.xml" /><Relationship Id="rId39" Type="http://schemas.microsoft.com/office/2011/relationships/commentsExtended" Target="commentsExtended.xml" /><Relationship Id="rId40" Type="http://schemas.microsoft.com/office/2018/08/relationships/commentsExtensible" Target="commentsExtensible.xml" /><Relationship Id="rId41" Type="http://schemas.microsoft.com/office/2016/09/relationships/commentsIds" Target="commentsIds.xml" /><Relationship Id="rId42" Type="http://schemas.microsoft.com/office/2011/relationships/people" Target="people.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519</cp:revision>
  <dcterms:created xsi:type="dcterms:W3CDTF">2025-09-15T02:01:00Z</dcterms:created>
  <dcterms:modified xsi:type="dcterms:W3CDTF">2026-04-21T01:59:03Z</dcterms:modified>
</cp:coreProperties>
</file>