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sz w:val="28"/>
          <w:lang w:val="vi-VN"/>
        </w:rPr>
      </w:pPr>
      <w:r>
        <w:rPr>
          <w:b/>
          <w:sz w:val="28"/>
          <w:lang w:val="vi-VN"/>
        </w:rPr>
        <w:t xml:space="preserve">O</w:t>
      </w:r>
      <w:r>
        <w:rPr>
          <w:b/>
          <w:sz w:val="28"/>
          <w:lang w:val="vi-VN"/>
        </w:rPr>
        <w:t xml:space="preserve">k</w:t>
      </w:r>
      <w:r>
        <w:rPr>
          <w:b/>
          <w:sz w:val="28"/>
          <w:lang w:val="vi-VN"/>
        </w:rPr>
      </w:r>
      <w:r>
        <w:rPr>
          <w:b/>
          <w:sz w:val="28"/>
          <w:lang w:val="vi-VN"/>
        </w:rPr>
      </w:r>
      <w:r>
        <w:rPr>
          <w:b/>
          <w:sz w:val="28"/>
          <w:lang w:val="vi-VN"/>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2953112"/>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2953111"/>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275/2026/0509/VFI-CT.01ĐN.A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Ông Hồ Đắc Hồng</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color w:val="000000"/>
                              </w:rPr>
                              <w:t xml:space="preserve">Giá trị quyền sử dụng đất tại Thửa đất số: 375, tờ bản đồ số: 119, </w:t>
                            </w:r>
                            <w:r>
                              <w:rPr>
                                <w:color w:val="000000"/>
                              </w:rPr>
                              <w:t xml:space="preserve">địa chỉ: K91/H43/10 Cù Chính Lan, phường Thanh Khê, TP Đà Nẵng theo Giấy chứng nhận quyền sử dụng đất số: AE 219160, số vào sổ cấp GCN: H 06592 do UBND quận Thanh Khê, thành phố Đà Nẵng cấp ngày 25/7/2006. Chủ tài sản là Ông Hồ Đắc Hồng và Bà Trần Thị Nga.</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4/2026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232.53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275/2026/0509/VFI-CT.01ĐN.A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Ông Hồ Đắc Hồng</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color w:val="000000"/>
                        </w:rPr>
                        <w:t xml:space="preserve">Giá trị quyền sử dụng đất tại Thửa đất số: 375, tờ bản đồ số: 119, </w:t>
                      </w:r>
                      <w:r>
                        <w:rPr>
                          <w:color w:val="000000"/>
                        </w:rPr>
                        <w:t xml:space="preserve">địa chỉ: K91/H43/10 Cù Chính Lan, phường Thanh Khê, TP Đà Nẵng theo Giấy chứng nhận quyền sử dụng đất số: AE 219160, số vào sổ cấp GCN: H 06592 do UBND quận Thanh Khê, thành phố Đà Nẵng cấp ngày 25/7/2006. Chủ tài sản là Ông Hồ Đắc Hồng và Bà Trần Thị Nga.</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4/2026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 thư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 cáo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4-21</w:t>
            </w:r>
            <w:r>
              <w:rPr>
                <w:b/>
                <w:lang w:val="vi-VN"/>
              </w:rPr>
            </w:r>
            <w:r>
              <w:rPr>
                <w:b/>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 phụ lục chi tiết kèm theo</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pPr>
              <w:pStyle w:val="1027"/>
              <w:pBdr/>
              <w:tabs>
                <w:tab w:val="left" w:leader="none" w:pos="993"/>
              </w:tabs>
              <w:spacing w:after="120" w:before="120" w:line="288" w:lineRule="auto"/>
              <w:ind w:left="0"/>
              <w:jc w:val="both"/>
              <w:rPr>
                <w:bCs/>
                <w:lang w:val="pt-BR"/>
              </w:rPr>
            </w:pPr>
            <w:r>
              <w:rPr>
                <w:bCs/>
                <w:lang w:val="pt-BR"/>
              </w:rPr>
              <w:t xml:space="preserve">Phụ lục 1: Thông tin hiện trạng + Hồ sơ pháp lý</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22-23</w:t>
            </w:r>
            <w:r>
              <w:rPr>
                <w:b/>
                <w:bCs/>
              </w:rPr>
            </w:r>
            <w:r>
              <w:rPr>
                <w:b/>
                <w:bCs/>
              </w:rPr>
            </w:r>
          </w:p>
        </w:tc>
      </w:tr>
      <w:tr>
        <w:trPr/>
        <w:tc>
          <w:tcPr>
            <w:tcBorders/>
            <w:tcMar>
              <w:left w:w="108" w:type="dxa"/>
              <w:right w:w="108" w:type="dxa"/>
            </w:tcMar>
            <w:tcW w:w="7280" w:type="dxa"/>
            <w:vAlign w:val="center"/>
            <w:textDirection w:val="lrTb"/>
            <w:noWrap w:val="false"/>
          </w:tcPr>
          <w:p>
            <w:pPr>
              <w:pStyle w:val="1027"/>
              <w:pBdr/>
              <w:tabs>
                <w:tab w:val="left" w:leader="none" w:pos="993"/>
              </w:tabs>
              <w:spacing w:after="120" w:before="120" w:line="288" w:lineRule="auto"/>
              <w:ind w:left="0"/>
              <w:jc w:val="both"/>
              <w:rPr>
                <w:bCs/>
                <w:lang w:val="pt-BR"/>
              </w:rPr>
            </w:pPr>
            <w:r>
              <w:rPr>
                <w:bCs/>
                <w:lang w:val="pt-BR"/>
              </w:rPr>
              <w:t xml:space="preserve">Phụ lục 2: Thông tin thu thập thị trường + BBKS</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24-29</w:t>
            </w:r>
            <w:r>
              <w:rPr>
                <w:b/>
                <w:bCs/>
              </w:rPr>
            </w:r>
            <w:r>
              <w:rPr>
                <w:b/>
                <w:bCs/>
              </w:rPr>
            </w:r>
          </w:p>
        </w:tc>
      </w:tr>
    </w:tbl>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10233" w:type="dxa"/>
        <w:tblBorders/>
        <w:tblLayout w:type="fixed"/>
        <w:tblLook w:val="04A0" w:firstRow="1" w:lastRow="0" w:firstColumn="1" w:lastColumn="0" w:noHBand="0" w:noVBand="1"/>
      </w:tblPr>
      <w:tblGrid>
        <w:gridCol w:w="29"/>
        <w:gridCol w:w="3402"/>
        <w:gridCol w:w="6803"/>
      </w:tblGrid>
      <w:tr>
        <w:trPr>
          <w:trHeight w:val="1152"/>
        </w:trPr>
        <w:tc>
          <w:tcPr>
            <w:gridSpan w:val="2"/>
            <w:tcBorders/>
            <w:tcW w:w="3430"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tcBorders/>
            <w:tcW w:w="6803"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5" w:tooltip="mailto:ilotus.contact@gmail.com" w:history="1">
              <w:r>
                <w:rPr>
                  <w:rStyle w:val="1017"/>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Before w:val="1"/>
          <w:trHeight w:val="482"/>
        </w:trPr>
        <w:tc>
          <w:tcPr>
            <w:shd w:val="clear" w:color="auto" w:fill="auto"/>
            <w:tcBorders/>
            <w:tcMar>
              <w:left w:w="108" w:type="dxa"/>
              <w:top w:w="0" w:type="dxa"/>
              <w:right w:w="108" w:type="dxa"/>
              <w:bottom w:w="0" w:type="dxa"/>
            </w:tcMar>
            <w:tcW w:w="3402" w:type="dxa"/>
            <w:textDirection w:val="lrTb"/>
            <w:noWrap w:val="false"/>
          </w:tcPr>
          <w:p>
            <w:pPr>
              <w:pStyle w:val="1026"/>
              <w:pBdr/>
              <w:spacing w:after="60"/>
              <w:ind/>
              <w:rPr>
                <w:color w:val="000000" w:themeColor="text1"/>
                <w:sz w:val="24"/>
                <w:szCs w:val="24"/>
              </w:rPr>
            </w:pPr>
            <w:r>
              <w:rPr>
                <w:rStyle w:val="1025"/>
                <w:rFonts w:ascii="Times New Roman" w:hAnsi="Times New Roman"/>
                <w:color w:val="000000" w:themeColor="text1"/>
                <w:lang w:val="pt-BR"/>
              </w:rPr>
              <w:t xml:space="preserve">Số: </w:t>
            </w:r>
            <w:r>
              <w:rPr>
                <w:rStyle w:val="1025"/>
                <w:rFonts w:ascii="Times New Roman" w:hAnsi="Times New Roman"/>
                <w:color w:val="000000" w:themeColor="text1"/>
                <w:lang w:val="pt-BR"/>
              </w:rPr>
              <w:t xml:space="preserve">275/2026/0509/VFI-CT.01ĐN.A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6803" w:type="dxa"/>
            <w:textDirection w:val="lrTb"/>
            <w:noWrap w:val="false"/>
          </w:tcPr>
          <w:p>
            <w:pPr>
              <w:pStyle w:val="1026"/>
              <w:pBdr/>
              <w:spacing w:after="60"/>
              <w:ind w:right="-56"/>
              <w:jc w:val="right"/>
              <w:rPr>
                <w:color w:val="000000" w:themeColor="text1"/>
                <w:sz w:val="24"/>
                <w:szCs w:val="24"/>
                <w:lang w:val="vi-VN"/>
              </w:rPr>
            </w:pPr>
            <w:r>
              <w:rPr>
                <w:rStyle w:val="1025"/>
                <w:rFonts w:ascii="Times New Roman" w:hAnsi="Times New Roman"/>
                <w:i/>
                <w:color w:val="auto"/>
              </w:rPr>
              <w:t xml:space="preserve">TP. Hà Nội</w:t>
            </w:r>
            <w:r>
              <w:rPr>
                <w:rStyle w:val="1025"/>
                <w:rFonts w:ascii="Times New Roman" w:hAnsi="Times New Roman"/>
                <w:i/>
                <w:color w:val="auto"/>
                <w:lang w:val="vi-VN"/>
              </w:rPr>
              <w:t xml:space="preserve">, </w:t>
            </w:r>
            <w:r>
              <w:rPr>
                <w:rStyle w:val="1025"/>
                <w:rFonts w:ascii="Times New Roman" w:hAnsi="Times New Roman"/>
                <w:i/>
                <w:color w:val="000000" w:themeColor="text1"/>
                <w:lang w:val="vi-VN"/>
              </w:rPr>
              <w:t xml:space="preserve">ngày 01 tháng 4 năm 2026</w:t>
            </w:r>
            <w:r>
              <w:rPr>
                <w:color w:val="000000" w:themeColor="text1"/>
                <w:sz w:val="24"/>
                <w:szCs w:val="24"/>
                <w:lang w:val="vi-VN"/>
              </w:rPr>
            </w:r>
            <w:r>
              <w:rPr>
                <w:color w:val="000000" w:themeColor="text1"/>
                <w:sz w:val="24"/>
                <w:szCs w:val="24"/>
                <w:lang w:val="vi-VN"/>
              </w:rPr>
            </w:r>
          </w:p>
        </w:tc>
      </w:tr>
    </w:tbl>
    <w:p>
      <w:pPr>
        <w:pStyle w:val="1026"/>
        <w:pBdr/>
        <w:spacing w:after="120" w:before="200" w:line="288" w:lineRule="auto"/>
        <w:ind/>
        <w:jc w:val="center"/>
        <w:rPr>
          <w:rStyle w:val="1025"/>
          <w:rFonts w:ascii="Times New Roman" w:hAnsi="Times New Roman"/>
          <w:b/>
          <w:bCs/>
          <w:color w:val="auto"/>
          <w:sz w:val="30"/>
          <w:szCs w:val="30"/>
          <w:lang w:val="vi-VN"/>
        </w:rPr>
      </w:pPr>
      <w:r>
        <w:rPr>
          <w:rStyle w:val="1025"/>
          <w:rFonts w:ascii="Times New Roman" w:hAnsi="Times New Roman"/>
          <w:b/>
          <w:bCs/>
          <w:color w:val="auto"/>
          <w:sz w:val="30"/>
          <w:szCs w:val="30"/>
          <w:lang w:val="vi-VN"/>
        </w:rPr>
        <w:t xml:space="preserve">CHỨNG THƯ THẨM ĐỊNH GIÁ</w:t>
      </w:r>
      <w:r>
        <w:rPr>
          <w:rStyle w:val="1025"/>
          <w:rFonts w:ascii="Times New Roman" w:hAnsi="Times New Roman"/>
          <w:b/>
          <w:bCs/>
          <w:color w:val="auto"/>
          <w:sz w:val="30"/>
          <w:szCs w:val="30"/>
          <w:lang w:val="vi-VN"/>
        </w:rPr>
      </w:r>
      <w:r>
        <w:rPr>
          <w:rStyle w:val="1025"/>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 gửi</w:t>
      </w:r>
      <w:r>
        <w:rPr>
          <w:b/>
          <w:lang w:val="pt-BR"/>
        </w:rPr>
        <w:t xml:space="preserve">:</w:t>
      </w:r>
      <w:r>
        <w:rPr>
          <w:b/>
          <w:lang w:val="pt-BR"/>
        </w:rPr>
        <w:t xml:space="preserve"> </w:t>
      </w:r>
      <w:r>
        <w:rPr>
          <w:rFonts w:ascii="Times New Roman Bold" w:hAnsi="Times New Roman Bold"/>
          <w:b/>
          <w:color w:val="000000" w:themeColor="text1"/>
          <w:lang w:val="pt-BR"/>
        </w:rPr>
        <w:t xml:space="preserve">Ông Hồ Đắc Hồng</w:t>
      </w:r>
      <w:r>
        <w:rPr>
          <w:rFonts w:ascii="Times New Roman Bold" w:hAnsi="Times New Roman Bold"/>
          <w:b/>
          <w:lang w:val="pt-BR"/>
        </w:rPr>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dịch 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275/2026/0509/VFI-HĐTĐ.01ĐN.A</w:t>
      </w:r>
      <w:r>
        <w:rPr>
          <w:spacing w:val="-4"/>
          <w:lang w:val="vi-VN"/>
        </w:rPr>
        <w:t xml:space="preserve"> ký ngày 0</w:t>
      </w:r>
      <w:r>
        <w:rPr>
          <w:color w:val="000000" w:themeColor="text1"/>
          <w:spacing w:val="-4"/>
        </w:rPr>
        <w:t xml:space="preserve">1 tháng 4 năm 2026</w:t>
      </w:r>
      <w:r>
        <w:rPr>
          <w:spacing w:val="-4"/>
          <w:lang w:val="vi-VN"/>
        </w:rPr>
        <w:t xml:space="preserve"> </w:t>
      </w:r>
      <w:r>
        <w:rPr>
          <w:spacing w:val="-4"/>
          <w:lang w:val="vi-VN"/>
        </w:rPr>
        <w:t xml:space="preserve">giữa </w:t>
      </w:r>
      <w:r>
        <w:rPr>
          <w:color w:val="000000" w:themeColor="text1"/>
          <w:spacing w:val="-4"/>
        </w:rPr>
        <w:t xml:space="preserve">Ông Hồ Đắc Hồng</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pPr>
        <w:pBdr/>
        <w:spacing w:after="120" w:before="120" w:line="288" w:lineRule="auto"/>
        <w:ind w:firstLine="432"/>
        <w:jc w:val="both"/>
        <w:rPr>
          <w:spacing w:val="-2"/>
        </w:rPr>
      </w:pPr>
      <w:r>
        <w:rPr>
          <w:spacing w:val="-2"/>
          <w:lang w:val="pt-BR"/>
        </w:rPr>
        <w:t xml:space="preserve">Căn cứ Báo cáo thẩm định giá số</w:t>
      </w:r>
      <w:r>
        <w:rPr>
          <w:spacing w:val="-2"/>
          <w:lang w:val="vi-VN"/>
        </w:rPr>
        <w:t xml:space="preserve"> </w:t>
      </w:r>
      <w:r>
        <w:rPr>
          <w:color w:val="000000" w:themeColor="text1"/>
          <w:spacing w:val="-2"/>
          <w:lang w:val="pt-BR"/>
        </w:rPr>
        <w:t xml:space="preserve">275/2026/0509/VFI-BC.01ĐN.A</w:t>
      </w:r>
      <w:r>
        <w:rPr>
          <w:spacing w:val="-2"/>
          <w:lang w:val="pt-BR"/>
        </w:rPr>
        <w:t xml:space="preserve"> </w:t>
      </w:r>
      <w:r>
        <w:rPr>
          <w:spacing w:val="-2"/>
          <w:lang w:val="pt-BR"/>
        </w:rPr>
        <w:t xml:space="preserve">ngày</w:t>
      </w:r>
      <w:r>
        <w:rPr>
          <w:spacing w:val="-2"/>
          <w:lang w:val="vi-VN"/>
        </w:rPr>
        <w:t xml:space="preserve"> 0</w:t>
      </w:r>
      <w:r>
        <w:rPr>
          <w:color w:val="000000" w:themeColor="text1"/>
          <w:spacing w:val="-2"/>
        </w:rPr>
        <w:t xml:space="preserve">1 tháng 4 năm 2026</w:t>
      </w:r>
      <w:r>
        <w:rPr>
          <w:spacing w:val="-2"/>
          <w:lang w:val="vi-VN"/>
        </w:rPr>
        <w:t xml:space="preserve"> </w:t>
      </w:r>
      <w:r>
        <w:rPr>
          <w:spacing w:val="-2"/>
          <w:lang w:val="pt-BR"/>
        </w:rPr>
        <w:t xml:space="preserve">của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 cấp Chứng thư thẩm định giá tài sản với nội dung sau:</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ind/>
              <w:rPr/>
            </w:pPr>
            <w:r>
              <w:rPr>
                <w:b/>
                <w:bCs/>
              </w:rPr>
              <w:t xml:space="preserve">Ông Hồ Đắc Hồng</w:t>
            </w: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MST/CMTND/CCCD:</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049071014166</w:t>
            </w:r>
            <w:r>
              <w:rPr>
                <w:color w:val="ff0000"/>
                <w:lang w:val="pt-BR"/>
              </w:rPr>
            </w:r>
            <w:r>
              <w:rPr>
                <w:color w:val="ff0000"/>
                <w:lang w:val="pt-BR"/>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Năm sinh:</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1971</w:t>
            </w:r>
            <w:r>
              <w:rPr>
                <w:color w:val="ff0000"/>
                <w:lang w:val="pt-BR"/>
              </w:rPr>
            </w:r>
            <w:r>
              <w:rPr>
                <w:color w:val="ff0000"/>
                <w:lang w:val="pt-BR"/>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Địa chỉ</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r>
            <w:r>
              <w:rPr>
                <w:rFonts w:ascii="Times New Roman" w:hAnsi="Times New Roman" w:eastAsia="Times New Roman" w:cs="Times New Roman"/>
                <w:color w:val="000000"/>
                <w:sz w:val="24"/>
              </w:rPr>
              <w:t xml:space="preserve">Phường Thanh Khê, TP Đà Nẵng.</w:t>
            </w:r>
            <w:r>
              <w:rPr>
                <w:color w:val="ff0000"/>
                <w:lang w:val="pt-BR"/>
              </w:rPr>
            </w:r>
            <w:r>
              <w:rPr>
                <w:color w:val="ff0000"/>
                <w:lang w:val="pt-BR"/>
              </w:rPr>
            </w:r>
          </w:p>
        </w:tc>
      </w:tr>
    </w:tbl>
    <w:p>
      <w:pPr>
        <w:pBdr/>
        <w:spacing w:after="120" w:before="120" w:line="276" w:lineRule="auto"/>
        <w:ind/>
        <w:jc w:val="both"/>
        <w:rPr>
          <w:b/>
          <w:bCs/>
        </w:rPr>
      </w:pPr>
      <w:r>
        <w:rPr>
          <w:b/>
          <w:bCs/>
        </w:rPr>
        <w:t xml:space="preserve">2. </w:t>
      </w:r>
      <w:r>
        <w:rPr>
          <w:b/>
          <w:bCs/>
        </w:rPr>
        <w:t xml:space="preserve">Thông tin về doanh nghiệp thẩm định giá:</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pPr>
              <w:pBdr/>
              <w:spacing w:after="40" w:before="40" w:line="276" w:lineRule="auto"/>
              <w:ind/>
              <w:rPr>
                <w:bCs/>
              </w:rPr>
            </w:pPr>
            <w:r>
              <w:t xml:space="preserve">Mã số thuế</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GCN</w:t>
            </w:r>
            <w:r>
              <w:t xml:space="preserve"> đủ điều kiện hành 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Thông 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jc w:val="both"/>
              <w:rPr>
                <w:bCs/>
              </w:rPr>
            </w:pPr>
            <w:r>
              <w:rPr>
                <w:color w:val="292a2e"/>
              </w:rPr>
              <w:t xml:space="preserve">Số 1294/TB-BTC ngày 25/12/2025</w:t>
            </w:r>
            <w:r>
              <w:rPr>
                <w:rFonts w:ascii="Segoe UI" w:hAnsi="Segoe UI" w:cs="Segoe UI"/>
                <w:color w:val="292a2e"/>
                <w:sz w:val="21"/>
                <w:szCs w:val="21"/>
              </w:rPr>
              <w:t xml:space="preserve"> </w:t>
            </w:r>
            <w:r>
              <w:rPr>
                <w:bCs/>
              </w:rPr>
              <w:t xml:space="preserve">về việc doanh nghiệp đủ điều kiện kinh doanh Dịch vụ thẩm định giá.</w:t>
            </w:r>
            <w:r>
              <w:rPr>
                <w:bCs/>
              </w:rPr>
            </w:r>
            <w:r>
              <w:rPr>
                <w:bCs/>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GĐ</w:t>
            </w:r>
            <w:r>
              <w:rPr>
                <w:b/>
                <w:bCs/>
                <w:lang w:val="vi-VN"/>
              </w:rPr>
            </w:r>
            <w:r>
              <w:rPr>
                <w:b/>
                <w:bCs/>
                <w:lang w:val="vi-VN"/>
              </w:rPr>
            </w:r>
          </w:p>
        </w:tc>
      </w:tr>
    </w:tbl>
    <w:p>
      <w:pPr>
        <w:pBdr/>
        <w:spacing w:after="120" w:before="120" w:line="312" w:lineRule="auto"/>
        <w:ind/>
        <w:jc w:val="both"/>
        <w:rPr>
          <w:b/>
          <w:bCs/>
        </w:rPr>
      </w:pPr>
      <w:r>
        <w:rPr>
          <w:b/>
          <w:bCs/>
        </w:rPr>
        <w:t xml:space="preserve">3</w:t>
      </w:r>
      <w:r>
        <w:rPr>
          <w:b/>
          <w:bCs/>
          <w:lang w:val="vi-VN"/>
        </w:rPr>
        <w:t xml:space="preserve">. </w:t>
      </w:r>
      <w:r>
        <w:rPr>
          <w:b/>
          <w:bCs/>
        </w:rPr>
        <w:t xml:space="preserve">Tài sản thẩm định</w:t>
      </w:r>
      <w:r>
        <w:rPr>
          <w:b/>
          <w:bCs/>
          <w:lang w:val="vi-VN"/>
        </w:rPr>
        <w:t xml:space="preserve">:</w:t>
      </w:r>
      <w:r>
        <w:rPr>
          <w:color w:val="000000" w:themeColor="text1"/>
        </w:rPr>
        <w:t xml:space="preserve"> </w:t>
      </w:r>
      <w:r>
        <w:rPr>
          <w:color w:val="000000" w:themeColor="text1"/>
        </w:rPr>
        <w:t xml:space="preserve">Giá trị quyền sử dụng đất tại Thửa đất số: 375, tờ bản đồ số: 119, </w:t>
      </w:r>
      <w:r>
        <w:rPr>
          <w:color w:val="000000" w:themeColor="text1"/>
        </w:rPr>
        <w:t xml:space="preserve">địa chỉ: K91/H43/10 Cù Chính Lan, phường Thanh Khê, TP Đà Nẵng theo Giấy chứng nhận quyền sử dụng đất số: AE 219160, số vào sổ cấp GCN: H 06592 do UBND quận Thanh Khê, thành phố Đà Nẵng cấp ngày 25/7/2006. Chủ tài sản là Ông Hồ Đắc Hồng và Bà Trần Thị Nga.</w:t>
      </w:r>
      <w:r>
        <w:rPr>
          <w:b/>
          <w:bCs/>
        </w:rPr>
      </w:r>
      <w:r>
        <w:rPr>
          <w:b/>
          <w:bCs/>
        </w:rPr>
      </w:r>
    </w:p>
    <w:p>
      <w:pPr>
        <w:pBdr/>
        <w:spacing w:after="120" w:before="120" w:line="348" w:lineRule="auto"/>
        <w:ind/>
        <w:jc w:val="both"/>
        <w:rPr>
          <w:b/>
          <w:bCs/>
        </w:rPr>
      </w:pPr>
      <w:r>
        <w:rPr>
          <w:b/>
          <w:bCs/>
          <w:lang w:val="nl-NL"/>
        </w:rPr>
        <w:t xml:space="preserve">4</w:t>
      </w:r>
      <w:r>
        <w:rPr>
          <w:b/>
          <w:bCs/>
          <w:lang w:val="nl-NL"/>
        </w:rPr>
        <w:t xml:space="preserve">. Thời điểm thẩm định giá:</w:t>
      </w:r>
      <w:r>
        <w:rPr>
          <w:bCs/>
          <w:color w:val="000000" w:themeColor="text1"/>
          <w:lang w:val="nl-NL"/>
        </w:rPr>
        <w:t xml:space="preserve"> </w:t>
      </w:r>
      <w:r>
        <w:rPr>
          <w:bCs/>
          <w:color w:val="000000" w:themeColor="text1"/>
          <w:lang w:val="nl-NL"/>
        </w:rPr>
        <w:t xml:space="preserve">Tháng 4/2026</w:t>
      </w:r>
      <w:r>
        <w:rPr>
          <w:bCs/>
          <w:lang w:val="nl-NL"/>
        </w:rPr>
        <w:t xml:space="preserve">.</w:t>
      </w:r>
      <w:r>
        <w:rPr>
          <w:b/>
          <w:bCs/>
        </w:rPr>
      </w:r>
      <w:r>
        <w:rPr>
          <w:b/>
          <w:bCs/>
        </w:rPr>
      </w:r>
    </w:p>
    <w:p>
      <w:pPr>
        <w:pBdr/>
        <w:tabs>
          <w:tab w:val="left" w:leader="none" w:pos="851"/>
        </w:tabs>
        <w:spacing w:after="120" w:before="120" w:line="348"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pPr>
        <w:pBdr/>
        <w:tabs>
          <w:tab w:val="left" w:leader="none" w:pos="851"/>
        </w:tabs>
        <w:spacing w:after="120" w:before="120" w:line="348" w:lineRule="auto"/>
        <w:ind/>
        <w:jc w:val="both"/>
        <w:rPr>
          <w:b/>
          <w:lang w:val="vi-VN"/>
        </w:rPr>
      </w:pPr>
      <w:r>
        <w:rPr>
          <w:b/>
        </w:rPr>
        <w:t xml:space="preserve">6</w:t>
      </w:r>
      <w:r>
        <w:rPr>
          <w:b/>
          <w:lang w:val="pt-BR"/>
        </w:rPr>
        <w:t xml:space="preserve">. </w:t>
      </w:r>
      <w:r>
        <w:rPr>
          <w:b/>
          <w:lang w:val="pt-BR"/>
        </w:rPr>
        <w:t xml:space="preserve">Cơ sở giá trị của tài sản thẩm định giá</w:t>
      </w:r>
      <w:r>
        <w:rPr>
          <w:b/>
          <w:lang w:val="pt-BR"/>
        </w:rPr>
        <w:t xml:space="preserve">:</w:t>
      </w:r>
      <w:r>
        <w:rPr>
          <w:b/>
          <w:lang w:val="vi-VN"/>
        </w:rPr>
      </w:r>
      <w:r>
        <w:rPr>
          <w:b/>
          <w:lang w:val="vi-VN"/>
        </w:rPr>
      </w:r>
    </w:p>
    <w:p>
      <w:pPr>
        <w:pBdr/>
        <w:tabs>
          <w:tab w:val="left" w:leader="none" w:pos="5202"/>
        </w:tabs>
        <w:spacing w:after="120" w:before="120" w:line="348" w:lineRule="auto"/>
        <w:ind w:firstLine="432"/>
        <w:jc w:val="both"/>
        <w:rPr>
          <w:lang w:val="pt-BR"/>
        </w:rPr>
      </w:pPr>
      <w:r>
        <w:rPr>
          <w:bCs/>
          <w:i/>
          <w:lang w:val="pt-BR"/>
        </w:rPr>
        <w:t xml:space="preserve">Chi tiết như Báo cáo kèm theo</w:t>
      </w:r>
      <w:r>
        <w:rPr>
          <w:bCs/>
          <w:i/>
          <w:lang w:val="pt-BR"/>
        </w:rPr>
        <w:t xml:space="preserve"> </w:t>
      </w:r>
      <w:r>
        <w:rPr>
          <w:lang w:val="pt-BR"/>
        </w:rPr>
      </w:r>
      <w:r>
        <w:rPr>
          <w:lang w:val="pt-BR"/>
        </w:rPr>
      </w:r>
    </w:p>
    <w:p>
      <w:pPr>
        <w:pBdr/>
        <w:tabs>
          <w:tab w:val="left" w:leader="none" w:pos="2430"/>
          <w:tab w:val="left" w:leader="none" w:pos="5130"/>
        </w:tabs>
        <w:spacing w:after="120" w:before="120" w:line="348" w:lineRule="auto"/>
        <w:ind/>
        <w:jc w:val="both"/>
        <w:rPr>
          <w:b/>
          <w:bCs/>
          <w:lang w:val="pt-BR"/>
        </w:rPr>
      </w:pPr>
      <w:r>
        <w:rPr>
          <w:b/>
          <w:bCs/>
        </w:rPr>
        <w:t xml:space="preserve">7</w:t>
      </w:r>
      <w:r>
        <w:rPr>
          <w:b/>
          <w:bCs/>
          <w:lang w:val="pt-BR"/>
        </w:rPr>
        <w:t xml:space="preserve">. </w:t>
      </w:r>
      <w:r>
        <w:rPr>
          <w:b/>
          <w:bCs/>
          <w:lang w:val="pt-BR"/>
        </w:rPr>
        <w:t xml:space="preserve">Giả thiết và giả thiết đặc biệt</w:t>
      </w:r>
      <w:r>
        <w:rPr>
          <w:b/>
          <w:bCs/>
          <w:lang w:val="pt-BR"/>
        </w:rPr>
        <w:t xml:space="preserve">:</w:t>
      </w:r>
      <w:r>
        <w:rPr>
          <w:b/>
          <w:bCs/>
          <w:lang w:val="pt-BR"/>
        </w:rPr>
      </w:r>
      <w:r>
        <w:rPr>
          <w:b/>
          <w:bCs/>
          <w:lang w:val="pt-BR"/>
        </w:rPr>
      </w:r>
    </w:p>
    <w:p>
      <w:pPr>
        <w:pBdr/>
        <w:tabs>
          <w:tab w:val="left" w:leader="none" w:pos="5202"/>
        </w:tabs>
        <w:spacing w:after="120" w:before="120" w:line="348"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48" w:lineRule="auto"/>
        <w:ind/>
        <w:jc w:val="both"/>
        <w:rPr>
          <w:b/>
          <w:bCs/>
          <w:lang w:val="pt-BR"/>
        </w:rPr>
      </w:pPr>
      <w:r>
        <w:rPr>
          <w:b/>
        </w:rPr>
        <w:t xml:space="preserve">8</w:t>
      </w:r>
      <w:r>
        <w:rPr>
          <w:b/>
          <w:lang w:val="pt-BR"/>
        </w:rPr>
        <w:t xml:space="preserve">. </w:t>
      </w:r>
      <w:r>
        <w:rPr>
          <w:b/>
          <w:lang w:val="pt-BR"/>
        </w:rPr>
        <w:t xml:space="preserve">Cách tiếp cận và phương pháp thẩm định giá</w:t>
      </w:r>
      <w:r>
        <w:rPr>
          <w:b/>
          <w:bCs/>
          <w:lang w:val="pt-BR"/>
        </w:rPr>
        <w:t xml:space="preserve">:</w:t>
      </w:r>
      <w:r>
        <w:rPr>
          <w:b/>
          <w:bCs/>
          <w:lang w:val="pt-BR"/>
        </w:rPr>
      </w:r>
      <w:r>
        <w:rPr>
          <w:b/>
          <w:bCs/>
          <w:lang w:val="pt-BR"/>
        </w:rPr>
      </w:r>
    </w:p>
    <w:p>
      <w:pPr>
        <w:pBdr/>
        <w:tabs>
          <w:tab w:val="left" w:leader="none" w:pos="5202"/>
        </w:tabs>
        <w:spacing w:after="120" w:before="120" w:line="348"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48" w:lineRule="auto"/>
        <w:ind/>
        <w:jc w:val="both"/>
        <w:rPr>
          <w:b/>
          <w:bCs/>
          <w:lang w:val="pt-BR"/>
        </w:rPr>
      </w:pPr>
      <w:r>
        <w:rPr>
          <w:b/>
          <w:lang w:val="pt-BR"/>
        </w:rPr>
        <w:t xml:space="preserve">9</w:t>
      </w:r>
      <w:r>
        <w:rPr>
          <w:b/>
          <w:lang w:val="pt-BR"/>
        </w:rPr>
        <w:t xml:space="preserve">. </w:t>
      </w:r>
      <w:r>
        <w:rPr>
          <w:b/>
        </w:rPr>
        <w:t xml:space="preserve">Giá trị tài sản thẩm định giá</w:t>
      </w:r>
      <w:r>
        <w:rPr>
          <w:b/>
          <w:bCs/>
          <w:lang w:val="pt-BR"/>
        </w:rPr>
        <w:t xml:space="preserve">:</w:t>
      </w:r>
      <w:bookmarkEnd w:id="0"/>
      <w:r/>
      <w:bookmarkEnd w:id="1"/>
      <w:r/>
      <w:bookmarkEnd w:id="2"/>
      <w:r>
        <w:rPr>
          <w:b/>
          <w:bCs/>
          <w:lang w:val="pt-BR"/>
        </w:rPr>
      </w:r>
      <w:r>
        <w:rPr>
          <w:b/>
          <w:bCs/>
          <w:lang w:val="pt-BR"/>
        </w:rPr>
      </w:r>
    </w:p>
    <w:p>
      <w:pPr>
        <w:pBdr/>
        <w:spacing w:after="120" w:before="120" w:line="348"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 trị </w:t>
      </w:r>
      <w:r>
        <w:rPr>
          <w:lang w:val="de-DE"/>
        </w:rPr>
        <w:t xml:space="preserve">tài sản chưa bao gồm các loại thuế, phí và lệ phí liên quan đến việc chuyển nhượng tài sản của </w:t>
      </w:r>
      <w:r>
        <w:rPr>
          <w:lang w:val="vi-VN"/>
        </w:rPr>
        <w:t xml:space="preserve">Quý</w:t>
      </w:r>
      <w:r>
        <w:rPr>
          <w:lang w:val="vi-VN"/>
        </w:rPr>
        <w:t xml:space="preserve"> khách hàng tại thời điểm </w:t>
      </w:r>
      <w:r>
        <w:rPr>
          <w:bCs/>
          <w:color w:val="000000" w:themeColor="text1"/>
          <w:lang w:val="nl-NL"/>
        </w:rPr>
        <w:t xml:space="preserve">Tháng 4/2026</w:t>
      </w:r>
      <w:r>
        <w:rPr>
          <w:lang w:val="vi-VN"/>
        </w:rPr>
        <w:t xml:space="preserve"> ước tính</w:t>
      </w:r>
      <w:r>
        <w:t xml:space="preserve"> </w:t>
      </w:r>
      <w:r>
        <w:rPr>
          <w:lang w:val="vi-VN"/>
        </w:rPr>
        <w:t xml:space="preserve">như sau:</w:t>
      </w:r>
      <w:r/>
    </w:p>
    <w:tbl>
      <w:tblPr>
        <w:tblW w:w="4854"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75"/>
        <w:gridCol w:w="2025"/>
        <w:gridCol w:w="1802"/>
        <w:gridCol w:w="2581"/>
        <w:gridCol w:w="2164"/>
      </w:tblGrid>
      <w:tr>
        <w:trPr>
          <w:trHeight w:val="20"/>
        </w:trPr>
        <w:tc>
          <w:tcPr>
            <w:shd w:val="clear" w:color="000000" w:fill="ffffff"/>
            <w:tcBorders/>
            <w:tcW w:w="675" w:type="dxa"/>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2025" w:type="dxa"/>
            <w:vAlign w:val="center"/>
            <w:textDirection w:val="lrTb"/>
            <w:noWrap w:val="false"/>
          </w:tcPr>
          <w:p>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1802" w:type="dxa"/>
            <w:vAlign w:val="center"/>
            <w:textDirection w:val="lrTb"/>
            <w:noWrap w:val="false"/>
          </w:tcPr>
          <w:p>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2581" w:type="dxa"/>
            <w:vAlign w:val="center"/>
            <w:textDirection w:val="lrTb"/>
            <w:noWrap w:val="false"/>
          </w:tcPr>
          <w:p>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2164" w:type="dxa"/>
            <w:vAlign w:val="center"/>
            <w:textDirection w:val="lrTb"/>
            <w:noWrap w:val="false"/>
          </w:tcPr>
          <w:p>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675" w:type="dxa"/>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6408" w:type="dxa"/>
            <w:vAlign w:val="center"/>
            <w:textDirection w:val="lrTb"/>
            <w:noWrap w:val="false"/>
          </w:tcPr>
          <w:p>
            <w:pPr>
              <w:pBdr/>
              <w:spacing w:after="40" w:before="40" w:line="348" w:lineRule="auto"/>
              <w:ind/>
              <w:jc w:val="both"/>
              <w:rPr>
                <w:b/>
                <w:bCs/>
              </w:rPr>
            </w:pPr>
            <w:r>
              <w:rPr>
                <w:b/>
                <w:bCs/>
                <w:color w:val="000000"/>
              </w:rPr>
              <w:t xml:space="preserve">Giá trị quyền sử dụng đất tại Thửa đất số: 375, tờ bản đồ số: 119, </w:t>
            </w:r>
            <w:r>
              <w:rPr>
                <w:b/>
                <w:bCs/>
                <w:color w:val="000000"/>
              </w:rPr>
              <w:t xml:space="preserve">địa chỉ: K91/H43/10 Cù Chính Lan, phường Thanh Khê, TP Đà Nẵng theo Giấy chứng nhận quyền sử dụng đất số: AE 219160, số vào sổ cấp GCN: H 06592 do UBND quận Thanh Khê, thành phố Đà Nẵng cấp ngày 25/7/2006. Chủ tài sản là Ông Hồ Đắc Hồng và Bà Trần Thị Nga.</w:t>
            </w:r>
            <w:r>
              <w:rPr>
                <w:b/>
                <w:bCs/>
              </w:rPr>
            </w:r>
            <w:r>
              <w:rPr>
                <w:b/>
                <w:bCs/>
              </w:rPr>
            </w:r>
          </w:p>
        </w:tc>
        <w:tc>
          <w:tcPr>
            <w:shd w:val="clear" w:color="000000" w:fill="ffffff"/>
            <w:tcBorders/>
            <w:tcW w:w="2164" w:type="dxa"/>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675" w:type="dxa"/>
            <w:vAlign w:val="center"/>
            <w:textDirection w:val="lrTb"/>
            <w:noWrap w:val="false"/>
          </w:tcPr>
          <w:p>
            <w:pPr>
              <w:pBdr/>
              <w:spacing w:after="40" w:before="40" w:line="288" w:lineRule="auto"/>
              <w:ind/>
              <w:jc w:val="center"/>
              <w:rPr>
                <w:b w:val="0"/>
                <w:bCs w:val="0"/>
              </w:rPr>
            </w:pPr>
            <w:r>
              <w:rPr>
                <w:b w:val="0"/>
                <w:bCs w:val="0"/>
              </w:rPr>
              <w:t xml:space="preserve">-</w:t>
            </w:r>
            <w:r>
              <w:rPr>
                <w:b w:val="0"/>
                <w:bCs w:val="0"/>
              </w:rPr>
            </w:r>
            <w:r>
              <w:rPr>
                <w:b w:val="0"/>
                <w:bCs w:val="0"/>
              </w:rPr>
            </w:r>
          </w:p>
        </w:tc>
        <w:tc>
          <w:tcPr>
            <w:shd w:val="clear" w:color="000000" w:fill="ffffff"/>
            <w:tcBorders/>
            <w:tcW w:w="2025" w:type="dxa"/>
            <w:vAlign w:val="center"/>
            <w:textDirection w:val="lrTb"/>
            <w:noWrap w:val="false"/>
          </w:tcPr>
          <w:p>
            <w:pPr>
              <w:pBdr/>
              <w:spacing w:after="40" w:before="40" w:line="288" w:lineRule="auto"/>
              <w:ind/>
              <w:rPr>
                <w:b w:val="0"/>
                <w:bCs w:val="0"/>
              </w:rPr>
            </w:pPr>
            <w:r>
              <w:rPr>
                <w:b w:val="0"/>
                <w:bCs w:val="0"/>
              </w:rPr>
              <w:t xml:space="preserve">Đất ở tại đô thị</w:t>
            </w:r>
            <w:r>
              <w:rPr>
                <w:b w:val="0"/>
                <w:bCs w:val="0"/>
              </w:rPr>
            </w:r>
            <w:r>
              <w:rPr>
                <w:b w:val="0"/>
                <w:bCs w:val="0"/>
              </w:rPr>
            </w:r>
          </w:p>
        </w:tc>
        <w:tc>
          <w:tcPr>
            <w:tcBorders/>
            <w:tcW w:w="1802" w:type="dxa"/>
            <w:vAlign w:val="center"/>
            <w:textDirection w:val="lrTb"/>
            <w:noWrap/>
          </w:tcPr>
          <w:p>
            <w:pPr>
              <w:pBdr/>
              <w:spacing w:after="40" w:before="40" w:line="288" w:lineRule="auto"/>
              <w:ind/>
              <w:jc w:val="center"/>
              <w:rPr>
                <w:color w:val="000000"/>
              </w:rPr>
            </w:pPr>
            <w:r>
              <w:rPr>
                <w:color w:val="000000" w:themeColor="text1"/>
              </w:rPr>
              <w:t xml:space="preserve">45,7</w:t>
            </w:r>
            <w:r>
              <w:rPr>
                <w:color w:val="000000"/>
              </w:rPr>
            </w:r>
            <w:r>
              <w:rPr>
                <w:color w:val="000000"/>
              </w:rPr>
            </w:r>
          </w:p>
        </w:tc>
        <w:tc>
          <w:tcPr>
            <w:shd w:val="clear" w:color="000000" w:fill="ffffff"/>
            <w:tcBorders/>
            <w:tcW w:w="2581" w:type="dxa"/>
            <w:vAlign w:val="center"/>
            <w:textDirection w:val="lrTb"/>
            <w:noWrap w:val="false"/>
          </w:tcPr>
          <w:p>
            <w:pPr>
              <w:pBdr/>
              <w:spacing w:after="40" w:before="40" w:line="288" w:lineRule="auto"/>
              <w:ind/>
              <w:jc w:val="center"/>
              <w:rPr/>
            </w:pPr>
            <w:r>
              <w:rPr>
                <w:color w:val="000000" w:themeColor="text1"/>
              </w:rPr>
              <w:t xml:space="preserve">30.000.000</w:t>
            </w:r>
            <w:r/>
          </w:p>
        </w:tc>
        <w:tc>
          <w:tcPr>
            <w:shd w:val="clear" w:color="000000" w:fill="ffffff"/>
            <w:tcBorders/>
            <w:tcW w:w="2164" w:type="dxa"/>
            <w:vAlign w:val="center"/>
            <w:textDirection w:val="lrTb"/>
            <w:noWrap w:val="false"/>
          </w:tcPr>
          <w:p>
            <w:pPr>
              <w:pBdr/>
              <w:spacing w:after="40" w:before="40" w:line="288" w:lineRule="auto"/>
              <w:ind/>
              <w:jc w:val="center"/>
              <w:rPr/>
            </w:pPr>
            <w:r>
              <w:rPr>
                <w:color w:val="000000" w:themeColor="text1"/>
              </w:rPr>
              <w:t xml:space="preserve">1.371.000.000</w:t>
            </w:r>
            <w:r/>
          </w:p>
        </w:tc>
      </w:tr>
      <w:tr>
        <w:trPr>
          <w:trHeight w:val="20"/>
        </w:trPr>
        <w:tc>
          <w:tcPr>
            <w:gridSpan w:val="4"/>
            <w:tcBorders/>
            <w:tcW w:w="7083" w:type="dxa"/>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2164" w:type="dxa"/>
            <w:vAlign w:val="center"/>
            <w:textDirection w:val="lrTb"/>
            <w:noWrap/>
          </w:tcPr>
          <w:p>
            <w:pPr>
              <w:pBdr/>
              <w:spacing w:after="40" w:before="40" w:line="288" w:lineRule="auto"/>
              <w:ind/>
              <w:jc w:val="center"/>
              <w:rPr>
                <w:b/>
                <w:bCs/>
                <w:color w:val="000000"/>
              </w:rPr>
            </w:pPr>
            <w:r>
              <w:rPr>
                <w:b/>
                <w:bCs/>
              </w:rPr>
              <w:t xml:space="preserve">1.371.000.000</w:t>
            </w:r>
            <w:r>
              <w:rPr>
                <w:b/>
                <w:bCs/>
                <w:color w:val="000000"/>
              </w:rPr>
            </w:r>
            <w:r>
              <w:rPr>
                <w:b/>
                <w:bCs/>
                <w:color w:val="000000"/>
              </w:rPr>
            </w:r>
          </w:p>
        </w:tc>
      </w:tr>
      <w:tr>
        <w:trPr>
          <w:trHeight w:val="20"/>
        </w:trPr>
        <w:tc>
          <w:tcPr>
            <w:gridSpan w:val="4"/>
            <w:tcBorders/>
            <w:tcW w:w="7083" w:type="dxa"/>
            <w:vAlign w:val="center"/>
            <w:textDirection w:val="lrTb"/>
            <w:noWrap/>
          </w:tcPr>
          <w:p>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2164" w:type="dxa"/>
            <w:vAlign w:val="center"/>
            <w:textDirection w:val="lrTb"/>
            <w:noWrap/>
          </w:tcPr>
          <w:p>
            <w:pPr>
              <w:pBdr/>
              <w:spacing w:after="40" w:before="40" w:line="288" w:lineRule="auto"/>
              <w:ind/>
              <w:jc w:val="center"/>
              <w:rPr>
                <w:b/>
                <w:bCs/>
                <w:color w:val="000000"/>
              </w:rPr>
            </w:pPr>
            <w:r>
              <w:rPr>
                <w:b/>
                <w:bCs/>
                <w:color w:val="000000"/>
              </w:rPr>
              <w:t xml:space="preserve">1.371.000.000</w:t>
            </w:r>
            <w:r>
              <w:rPr>
                <w:b/>
                <w:bCs/>
                <w:color w:val="000000"/>
              </w:rPr>
            </w:r>
            <w:r>
              <w:rPr>
                <w:b/>
                <w:bCs/>
                <w:color w:val="000000"/>
              </w:rPr>
            </w:r>
          </w:p>
        </w:tc>
      </w:tr>
      <w:tr>
        <w:trPr>
          <w:trHeight w:val="20"/>
        </w:trPr>
        <w:tc>
          <w:tcPr>
            <w:gridSpan w:val="5"/>
            <w:tcBorders/>
            <w:tcW w:w="9247" w:type="dxa"/>
            <w:vAlign w:val="center"/>
            <w:textDirection w:val="lrTb"/>
            <w:noWrap w:val="false"/>
          </w:tcPr>
          <w:p>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Một tỷ, ba trăm bảy mươi mốt triệu đồng</w:t>
            </w:r>
            <w:r>
              <w:rPr>
                <w:b/>
                <w:bCs/>
                <w:i/>
                <w:iCs/>
                <w:color w:val="000000"/>
              </w:rPr>
              <w:t xml:space="preserve">./.)</w:t>
            </w:r>
            <w:r>
              <w:rPr>
                <w:b/>
                <w:bCs/>
                <w:i/>
                <w:iCs/>
                <w:color w:val="000000"/>
              </w:rPr>
            </w:r>
            <w:r>
              <w:rPr>
                <w:b/>
                <w:bCs/>
                <w:i/>
                <w:iCs/>
                <w:color w:val="000000"/>
              </w:rPr>
            </w:r>
          </w:p>
        </w:tc>
      </w:tr>
    </w:tbl>
    <w:p>
      <w:pPr>
        <w:pBdr/>
        <w:spacing w:after="120" w:before="120" w:line="264" w:lineRule="auto"/>
        <w:ind/>
        <w:jc w:val="both"/>
        <w:rPr>
          <w:b/>
          <w:bCs/>
        </w:rPr>
      </w:pPr>
      <w:r>
        <w:rPr>
          <w:b/>
          <w:bCs/>
          <w:lang w:val="vi-VN"/>
        </w:rPr>
        <w:t xml:space="preserve">10. Thời hạn hiệu lực của kết quả thẩm định giá:</w:t>
      </w:r>
      <w:r>
        <w:rPr>
          <w:b/>
          <w:bCs/>
        </w:rPr>
      </w:r>
      <w:r>
        <w:rPr>
          <w:b/>
          <w:bCs/>
        </w:rPr>
      </w:r>
    </w:p>
    <w:p>
      <w:pPr>
        <w:pBdr/>
        <w:spacing w:after="120" w:before="120" w:line="264" w:lineRule="auto"/>
        <w:ind w:firstLine="360"/>
        <w:jc w:val="both"/>
        <w:rPr>
          <w:lang w:val="pt-BR"/>
        </w:rPr>
      </w:pPr>
      <w:r>
        <w:rPr>
          <w:lang w:val="pt-BR"/>
        </w:rPr>
        <w:t xml:space="preserve">- Tối đa 06 (sáu) tháng tính từ ngày ký đối với tài sản là Bất động sản.</w:t>
      </w:r>
      <w:r>
        <w:rPr>
          <w:lang w:val="pt-BR"/>
        </w:rPr>
      </w:r>
      <w:r>
        <w:rPr>
          <w:lang w:val="pt-BR"/>
        </w:rPr>
      </w:r>
    </w:p>
    <w:p>
      <w:pPr>
        <w:pBdr/>
        <w:spacing w:after="120" w:before="120" w:line="264" w:lineRule="auto"/>
        <w:ind/>
        <w:rPr/>
      </w:pPr>
      <w:r>
        <w:rPr>
          <w:b/>
          <w:bCs/>
          <w:lang w:val="vi-VN"/>
        </w:rPr>
        <w:t xml:space="preserve">11. Những điều khoản loại trừ và hạn chế của kết quả thẩm định giá:</w:t>
      </w:r>
      <w:r/>
    </w:p>
    <w:p>
      <w:pPr>
        <w:pBdr/>
        <w:spacing w:after="120" w:before="120" w:line="264" w:lineRule="auto"/>
        <w:ind w:firstLine="360"/>
        <w:rPr>
          <w:lang w:val="pt-BR"/>
        </w:rPr>
      </w:pPr>
      <w:r>
        <w:rPr>
          <w:lang w:val="pt-BR"/>
        </w:rPr>
        <w:t xml:space="preserve">- </w:t>
      </w:r>
      <w:r>
        <w:rPr>
          <w:lang w:val="pt-BR"/>
        </w:rPr>
        <w:t xml:space="preserve">Chi tiết như Báo cáo kèm theo.</w:t>
      </w:r>
      <w:r>
        <w:rPr>
          <w:rFonts w:eastAsia="Calibri"/>
          <w:b/>
          <w:spacing w:val="-4"/>
          <w:lang w:val="pt-BR"/>
        </w:rPr>
        <w:br w:type="page" w:clear="all"/>
      </w: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Lê Thị Thịnh</w:t>
            </w:r>
            <w:r>
              <w:rPr>
                <w:rFonts w:eastAsia="Calibri"/>
                <w:b/>
                <w:bCs/>
                <w:lang w:val="vi-VN"/>
              </w:rPr>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VIII13.990</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w:t>
            </w:r>
            <w:r>
              <w:rPr>
                <w:rFonts w:eastAsia="Calibri"/>
                <w:lang w:val="pt-BR"/>
              </w:rPr>
              <w:t xml:space="preserve"> XII17.1825</w:t>
            </w:r>
            <w:r>
              <w:rPr>
                <w:rFonts w:eastAsia="Calibri"/>
                <w:b/>
                <w:lang w:val="pt-BR"/>
              </w:rPr>
            </w:r>
            <w:r>
              <w:rPr>
                <w:rFonts w:eastAsia="Calibri"/>
                <w:b/>
                <w:lang w:val="pt-BR"/>
              </w:rPr>
            </w:r>
          </w:p>
        </w:tc>
      </w:tr>
    </w:tbl>
    <w:p>
      <w:pPr>
        <w:pBdr/>
        <w:spacing w:after="200" w:line="276" w:lineRule="auto"/>
        <w:ind/>
        <w:rPr/>
      </w:pPr>
      <w:r>
        <w:br w:type="page" w:clear="all"/>
      </w:r>
      <w:r/>
    </w:p>
    <w:tbl>
      <w:tblPr>
        <w:tblInd w:w="-284" w:type="dxa"/>
        <w:tblW w:w="10092" w:type="dxa"/>
        <w:tblBorders/>
        <w:tblLayout w:type="fixed"/>
        <w:tblLook w:val="04A0" w:firstRow="1" w:lastRow="0" w:firstColumn="1" w:lastColumn="0" w:noHBand="0" w:noVBand="1"/>
      </w:tblPr>
      <w:tblGrid>
        <w:gridCol w:w="29"/>
        <w:gridCol w:w="3481"/>
        <w:gridCol w:w="6520"/>
        <w:gridCol w:w="62"/>
      </w:tblGrid>
      <w:tr>
        <w:trPr>
          <w:gridAfter w:val="1"/>
          <w:trHeight w:val="1843"/>
        </w:trPr>
        <w:tc>
          <w:tcPr>
            <w:gridSpan w:val="2"/>
            <w:tcBorders/>
            <w:tcW w:w="3510"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tcBorders/>
            <w:tcW w:w="6520"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6" w:tooltip="mailto:ilotus.contact@gmail.com" w:history="1">
              <w:r>
                <w:rPr>
                  <w:rStyle w:val="1017"/>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Before w:val="1"/>
          <w:trHeight w:val="84"/>
        </w:trPr>
        <w:tc>
          <w:tcPr>
            <w:shd w:val="clear" w:color="auto" w:fill="auto"/>
            <w:tcBorders/>
            <w:tcMar>
              <w:left w:w="108" w:type="dxa"/>
              <w:top w:w="0" w:type="dxa"/>
              <w:right w:w="108" w:type="dxa"/>
              <w:bottom w:w="0" w:type="dxa"/>
            </w:tcMar>
            <w:tcW w:w="3481" w:type="dxa"/>
            <w:textDirection w:val="lrTb"/>
            <w:noWrap w:val="false"/>
          </w:tcPr>
          <w:p>
            <w:pPr>
              <w:pStyle w:val="1026"/>
              <w:pBdr/>
              <w:spacing w:after="60"/>
              <w:ind/>
              <w:rPr>
                <w:color w:val="000000" w:themeColor="text1"/>
                <w:sz w:val="24"/>
                <w:szCs w:val="24"/>
              </w:rPr>
            </w:pPr>
            <w:r>
              <w:rPr>
                <w:rStyle w:val="1025"/>
                <w:rFonts w:ascii="Times New Roman" w:hAnsi="Times New Roman"/>
                <w:color w:val="000000" w:themeColor="text1"/>
                <w:lang w:val="pt-BR"/>
              </w:rPr>
              <w:t xml:space="preserve">Số: </w:t>
            </w:r>
            <w:r>
              <w:rPr>
                <w:rStyle w:val="1025"/>
                <w:rFonts w:ascii="Times New Roman" w:hAnsi="Times New Roman"/>
                <w:color w:val="000000" w:themeColor="text1"/>
                <w:lang w:val="pt-BR"/>
              </w:rPr>
              <w:t xml:space="preserve">275/2026/0509/VFI-BC.01ĐN.A</w:t>
            </w:r>
            <w:r>
              <w:rPr>
                <w:color w:val="000000" w:themeColor="text1"/>
                <w:sz w:val="24"/>
                <w:szCs w:val="24"/>
              </w:rPr>
            </w:r>
            <w:r>
              <w:rPr>
                <w:color w:val="000000" w:themeColor="text1"/>
                <w:sz w:val="24"/>
                <w:szCs w:val="24"/>
              </w:rPr>
            </w:r>
          </w:p>
        </w:tc>
        <w:tc>
          <w:tcPr>
            <w:gridSpan w:val="2"/>
            <w:shd w:val="clear" w:color="auto" w:fill="auto"/>
            <w:tcBorders/>
            <w:tcMar>
              <w:left w:w="108" w:type="dxa"/>
              <w:top w:w="0" w:type="dxa"/>
              <w:right w:w="108" w:type="dxa"/>
              <w:bottom w:w="0" w:type="dxa"/>
            </w:tcMar>
            <w:tcW w:w="6582" w:type="dxa"/>
            <w:textDirection w:val="lrTb"/>
            <w:noWrap w:val="false"/>
          </w:tcPr>
          <w:p>
            <w:pPr>
              <w:pStyle w:val="1026"/>
              <w:pBdr/>
              <w:spacing w:after="60"/>
              <w:ind w:right="-56"/>
              <w:jc w:val="right"/>
              <w:rPr>
                <w:color w:val="000000" w:themeColor="text1"/>
                <w:sz w:val="24"/>
                <w:szCs w:val="24"/>
                <w:lang w:val="vi-VN"/>
              </w:rPr>
            </w:pPr>
            <w:r>
              <w:rPr>
                <w:rStyle w:val="1025"/>
                <w:rFonts w:ascii="Times New Roman" w:hAnsi="Times New Roman"/>
                <w:i/>
                <w:color w:val="auto"/>
              </w:rPr>
              <w:t xml:space="preserve">TP. Hà Nội</w:t>
            </w:r>
            <w:r>
              <w:rPr>
                <w:rStyle w:val="1025"/>
                <w:rFonts w:ascii="Times New Roman" w:hAnsi="Times New Roman"/>
                <w:i/>
                <w:color w:val="auto"/>
                <w:lang w:val="vi-VN"/>
              </w:rPr>
              <w:t xml:space="preserve">, </w:t>
            </w:r>
            <w:r>
              <w:rPr>
                <w:rStyle w:val="1025"/>
                <w:rFonts w:ascii="Times New Roman" w:hAnsi="Times New Roman"/>
                <w:i/>
                <w:color w:val="000000" w:themeColor="text1"/>
                <w:lang w:val="vi-VN"/>
              </w:rPr>
              <w:t xml:space="preserve">ngày 01 tháng 4 năm 2026</w:t>
            </w:r>
            <w:r>
              <w:rPr>
                <w:color w:val="000000" w:themeColor="text1"/>
                <w:sz w:val="24"/>
                <w:szCs w:val="24"/>
                <w:lang w:val="vi-VN"/>
              </w:rPr>
            </w:r>
            <w:r>
              <w:rPr>
                <w:color w:val="000000" w:themeColor="text1"/>
                <w:sz w:val="24"/>
                <w:szCs w:val="24"/>
                <w:lang w:val="vi-VN"/>
              </w:rPr>
            </w:r>
          </w:p>
        </w:tc>
      </w:tr>
    </w:tbl>
    <w:p>
      <w:pPr>
        <w:pStyle w:val="1026"/>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pPr>
        <w:pStyle w:val="1006"/>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(Kèm t</w:t>
      </w:r>
      <w:r>
        <w:rPr>
          <w:b w:val="0"/>
          <w:i/>
          <w:spacing w:val="-6"/>
          <w:sz w:val="24"/>
          <w:szCs w:val="24"/>
          <w:lang w:val="pt-BR"/>
        </w:rPr>
        <w:t xml:space="preserve">heo Chứng thư thẩm định giá số:</w:t>
      </w:r>
      <w:r>
        <w:rPr>
          <w:b w:val="0"/>
          <w:i/>
          <w:spacing w:val="-6"/>
          <w:sz w:val="24"/>
          <w:szCs w:val="24"/>
          <w:lang w:val="pt-BR"/>
        </w:rPr>
        <w:t xml:space="preserve"> </w:t>
      </w:r>
      <w:r>
        <w:rPr>
          <w:b w:val="0"/>
          <w:i/>
          <w:color w:val="000000" w:themeColor="text1"/>
          <w:spacing w:val="-6"/>
          <w:sz w:val="24"/>
          <w:szCs w:val="24"/>
          <w:lang w:val="pt-BR"/>
        </w:rPr>
        <w:t xml:space="preserve">275/2026/0509/VFI-CT.01ĐN.A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01 tháng 4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06"/>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 số thuế</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đủ điều kiện hành 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GĐ</w:t>
            </w:r>
            <w:r>
              <w:rPr>
                <w:b/>
                <w:bCs/>
                <w:lang w:val="vi-VN"/>
              </w:rPr>
            </w:r>
            <w:r>
              <w:rPr>
                <w:b/>
                <w:bCs/>
                <w:lang w:val="vi-VN"/>
              </w:rPr>
            </w:r>
          </w:p>
        </w:tc>
      </w:tr>
    </w:tbl>
    <w:p>
      <w:pPr>
        <w:pStyle w:val="1027"/>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Thông tin cơ bản về cuộc thẩm định giá:</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Tên khách hàng</w:t>
            </w:r>
            <w:r>
              <w:rPr>
                <w:bCs/>
                <w:lang w:val="pt-BR"/>
              </w:rPr>
            </w:r>
            <w:r>
              <w:rPr>
                <w:bCs/>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ind/>
              <w:rPr/>
            </w:pPr>
            <w:r>
              <w:rPr>
                <w:b/>
                <w:bCs/>
              </w:rPr>
              <w:t xml:space="preserve">Ông Hồ Đắc Hồng</w:t>
            </w: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MST/CMTND/CCCD:</w:t>
            </w:r>
            <w:r>
              <w:rPr>
                <w:bCs/>
                <w:lang w:val="pt-BR"/>
              </w:rPr>
            </w:r>
            <w:r>
              <w:rPr>
                <w:bCs/>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rPr>
                <w:b/>
                <w:bCs/>
              </w:rPr>
            </w:pPr>
            <w:r>
              <w:rPr>
                <w:color w:val="000000" w:themeColor="text1"/>
                <w:lang w:val="vi-VN"/>
              </w:rPr>
              <w:t xml:space="preserve">049071014166</w:t>
            </w:r>
            <w:r>
              <w:rPr>
                <w:b/>
                <w:bCs/>
              </w:rPr>
            </w:r>
            <w:r>
              <w:rPr>
                <w:b/>
                <w:bCs/>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Năm sinh:</w:t>
            </w:r>
            <w:r>
              <w:rPr>
                <w:bCs/>
                <w:lang w:val="pt-BR"/>
              </w:rPr>
            </w:r>
            <w:r>
              <w:rPr>
                <w:bCs/>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rPr>
                <w:b/>
                <w:bCs/>
              </w:rPr>
            </w:pPr>
            <w:r>
              <w:rPr>
                <w:color w:val="000000" w:themeColor="text1"/>
                <w:lang w:val="vi-VN"/>
              </w:rPr>
              <w:t xml:space="preserve">1971</w:t>
            </w:r>
            <w:r>
              <w:rPr>
                <w:b/>
                <w:bCs/>
              </w:rPr>
            </w:r>
            <w:r>
              <w:rPr>
                <w:b/>
                <w:bCs/>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Địa chỉ</w:t>
            </w:r>
            <w:r>
              <w:rPr>
                <w:bCs/>
                <w:lang w:val="pt-BR"/>
              </w:rPr>
            </w:r>
            <w:r>
              <w:rPr>
                <w:bCs/>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rPr>
                <w:b/>
                <w:bCs/>
              </w:rPr>
            </w:pPr>
            <w:r>
              <w:rPr>
                <w:color w:val="000000" w:themeColor="text1"/>
                <w:lang w:val="vi-VN"/>
              </w:rPr>
            </w:r>
            <w:r>
              <w:rPr>
                <w:rFonts w:ascii="Times New Roman" w:hAnsi="Times New Roman" w:eastAsia="Times New Roman" w:cs="Times New Roman"/>
                <w:color w:val="000000"/>
                <w:sz w:val="24"/>
              </w:rPr>
              <w:t xml:space="preserve">Phường Thanh Khê, TP Đà Nẵng.</w:t>
            </w:r>
            <w:r>
              <w:rPr>
                <w:b/>
                <w:bCs/>
              </w:rPr>
            </w:r>
            <w:r>
              <w:rPr>
                <w:b/>
                <w:bCs/>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 sản thẩm định giá</w:t>
            </w:r>
            <w:r>
              <w:rPr>
                <w:bCs/>
                <w:lang w:val="pt-BR"/>
              </w:rPr>
            </w:r>
            <w:r>
              <w:rPr>
                <w:bCs/>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
                <w:bCs/>
                <w:spacing w:val="2"/>
                <w:lang w:val="vi-VN"/>
              </w:rPr>
            </w:pPr>
            <w:r>
              <w:rPr>
                <w:bCs/>
                <w:color w:val="000000" w:themeColor="text1"/>
                <w:lang w:val="pt-BR"/>
              </w:rPr>
              <w:t xml:space="preserve">Giá trị quyền sử dụng đất tại Thửa đất số: 375, tờ bản đồ số: 119, </w:t>
            </w:r>
            <w:r>
              <w:rPr>
                <w:bCs/>
                <w:color w:val="000000" w:themeColor="text1"/>
                <w:lang w:val="pt-BR"/>
              </w:rPr>
              <w:t xml:space="preserve">địa chỉ: K91/H43/10 Cù Chính Lan, phường Thanh Khê, TP Đà Nẵng theo Giấy chứng nhận quyền sử dụng đất số: AE 219160, số vào sổ cấp GCN: H 06592 do UBND quận Thanh Khê, thành phố Đà Nẵng cấp ngày 25/7/2006. Chủ tài sản là Ông Hồ Đắc Hồng và Bà Trần Thị Nga.</w:t>
            </w:r>
            <w:r>
              <w:rPr>
                <w:b/>
                <w:bCs/>
                <w:spacing w:val="2"/>
                <w:lang w:val="vi-VN"/>
              </w:rPr>
            </w:r>
            <w:r>
              <w:rPr>
                <w:b/>
                <w:bCs/>
                <w:spacing w:val="2"/>
                <w:lang w:val="vi-VN"/>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 đích thẩm định giá</w:t>
            </w:r>
            <w:r>
              <w:rPr>
                <w:bCs/>
                <w:lang w:val="pt-BR"/>
              </w:rPr>
            </w:r>
            <w:r>
              <w:rPr>
                <w:bCs/>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 sở giá trị thẩm định giá</w:t>
            </w:r>
            <w:r>
              <w:rPr>
                <w:bCs/>
                <w:spacing w:val="-12"/>
                <w:lang w:val="pt-BR"/>
              </w:rPr>
            </w:r>
            <w:r>
              <w:rPr>
                <w:bCs/>
                <w:spacing w:val="-12"/>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thẩm định giá</w:t>
            </w:r>
            <w:r>
              <w:rPr>
                <w:bCs/>
                <w:spacing w:val="-6"/>
                <w:lang w:val="pt-BR"/>
              </w:rPr>
            </w:r>
            <w:r>
              <w:rPr>
                <w:bCs/>
                <w:spacing w:val="-6"/>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4/2026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 điểm thẩm định giá</w:t>
            </w:r>
            <w:r>
              <w:rPr>
                <w:bCs/>
                <w:spacing w:val="-6"/>
                <w:lang w:val="pt-BR"/>
              </w:rPr>
            </w:r>
            <w:r>
              <w:rPr>
                <w:bCs/>
                <w:spacing w:val="-6"/>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color w:val="ee0000"/>
                <w:lang w:val="pt-BR"/>
              </w:rPr>
            </w:pPr>
            <w:r>
              <w:rPr>
                <w:color w:val="000000" w:themeColor="text1"/>
                <w:lang w:val="pt-BR"/>
              </w:rPr>
              <w:t xml:space="preserve">K91/H43/10 Cù Chính Lan, phường Thanh Khê, TP Đà Nẵng</w:t>
            </w:r>
            <w:r>
              <w:rPr>
                <w:color w:val="ee0000"/>
                <w:lang w:val="pt-BR"/>
              </w:rPr>
            </w:r>
            <w:r>
              <w:rPr>
                <w:color w:val="ee0000"/>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 trí tài sản thẩm định </w:t>
            </w:r>
            <w:r>
              <w:rPr>
                <w:bCs/>
                <w:spacing w:val="-6"/>
                <w:lang w:val="pt-BR"/>
              </w:rPr>
            </w:r>
            <w:r>
              <w:rPr>
                <w:bCs/>
                <w:spacing w:val="-6"/>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Style w:val="1007"/>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16.064416666667, 108.18716666667</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khảo sát</w:t>
            </w:r>
            <w:r>
              <w:rPr>
                <w:bCs/>
                <w:spacing w:val="-6"/>
                <w:lang w:val="pt-BR"/>
              </w:rPr>
            </w:r>
            <w:r>
              <w:rPr>
                <w:bCs/>
                <w:spacing w:val="-6"/>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Tháng 4/2026</w:t>
            </w:r>
            <w:r>
              <w:rPr>
                <w:lang w:val="pt-BR"/>
              </w:rPr>
              <w:t xml:space="preserve">.</w:t>
            </w:r>
            <w:r>
              <w:rPr>
                <w:lang w:val="pt-BR"/>
              </w:rPr>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 nguồn thông tin được sử dụng trong quá trình thẩm định giá</w:t>
      </w:r>
      <w:r>
        <w:rPr>
          <w:b/>
          <w:bCs/>
          <w:spacing w:val="-6"/>
          <w:lang w:val="pt-BR"/>
        </w:rPr>
        <w:t xml:space="preserve"> và xem xét đánh giá</w:t>
      </w:r>
      <w:r>
        <w:rPr>
          <w:b/>
          <w:bCs/>
          <w:spacing w:val="-6"/>
          <w:lang w:val="pt-BR"/>
        </w:rPr>
        <w:t xml:space="preserve"> các thông tin thu thập</w:t>
      </w:r>
      <w:r>
        <w:rPr>
          <w:b/>
          <w:bCs/>
          <w:spacing w:val="-6"/>
          <w:lang w:val="pt-BR"/>
        </w:rPr>
      </w:r>
      <w:r>
        <w:rPr>
          <w:b/>
          <w:bCs/>
          <w:spacing w:val="-6"/>
          <w:lang w:val="pt-BR"/>
        </w:rPr>
      </w:r>
    </w:p>
    <w:p>
      <w:pPr>
        <w:pStyle w:val="1027"/>
        <w:numPr>
          <w:ilvl w:val="0"/>
          <w:numId w:val="1"/>
        </w:numPr>
        <w:pBdr/>
        <w:tabs>
          <w:tab w:val="left" w:leader="none" w:pos="993"/>
        </w:tabs>
        <w:spacing w:after="120" w:before="120" w:line="276" w:lineRule="auto"/>
        <w:ind/>
        <w:jc w:val="both"/>
        <w:rPr>
          <w:lang w:val="pt-BR"/>
        </w:rPr>
      </w:pPr>
      <w:r>
        <w:rPr>
          <w:spacing w:val="-6"/>
          <w:lang w:val="pt-BR"/>
        </w:rPr>
        <w:t xml:space="preserve">Tham khảo nguồn thông tin từ các trang giao bán bất động sản qua mạng Internet</w:t>
      </w:r>
      <w:r>
        <w:rPr>
          <w:spacing w:val="-6"/>
          <w:lang w:val="pt-BR"/>
        </w:rPr>
        <w:t xml:space="preserve">, gọi điện trực tiếp</w:t>
      </w:r>
      <w:r>
        <w:rPr>
          <w:lang w:val="pt-BR"/>
        </w:rPr>
        <w:t xml:space="preserve">.</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Tham khảo nguồn thông tin trực tiếp từ </w:t>
      </w:r>
      <w:r>
        <w:rPr>
          <w:lang w:val="pt-BR"/>
        </w:rPr>
        <w:t xml:space="preserve">những</w:t>
      </w:r>
      <w:r>
        <w:rPr>
          <w:lang w:val="vi-VN"/>
        </w:rPr>
        <w:t xml:space="preserve"> người </w:t>
      </w:r>
      <w:r>
        <w:rPr>
          <w:lang w:val="pt-BR"/>
        </w:rPr>
        <w:t xml:space="preserve">dân </w:t>
      </w:r>
      <w:r>
        <w:rPr>
          <w:lang w:val="pt-BR"/>
        </w:rPr>
        <w:t xml:space="preserve">sinh</w:t>
      </w:r>
      <w:r>
        <w:rPr>
          <w:lang w:val="vi-VN"/>
        </w:rPr>
        <w:t xml:space="preserve"> s</w:t>
      </w:r>
      <w:r>
        <w:rPr>
          <w:lang w:val="pt-BR"/>
        </w:rPr>
        <w:t xml:space="preserve">ống </w:t>
      </w:r>
      <w:r>
        <w:rPr>
          <w:lang w:val="pt-BR"/>
        </w:rPr>
        <w:t xml:space="preserve">xung quanh </w:t>
      </w:r>
      <w:r>
        <w:rPr>
          <w:lang w:val="pt-BR"/>
        </w:rPr>
        <w:t xml:space="preserve">trên địa bàn.</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Đánh giá nguồn thông tin thu thập: Nguồn thông tin thu thập khách quan</w:t>
      </w:r>
      <w:r>
        <w:rPr>
          <w:lang w:val="pt-BR"/>
        </w:rPr>
        <w:t xml:space="preserve"> và phổ biến trên thị trường.</w:t>
      </w:r>
      <w:r>
        <w:rPr>
          <w:lang w:val="pt-BR"/>
        </w:rPr>
      </w:r>
      <w:r>
        <w:rPr>
          <w:lang w:val="pt-BR"/>
        </w:rPr>
      </w:r>
    </w:p>
    <w:p>
      <w:pPr>
        <w:pStyle w:val="1027"/>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 cứ pháp lý</w:t>
      </w:r>
      <w:r>
        <w:rPr>
          <w:b/>
          <w:bCs/>
          <w:lang w:val="vi-VN"/>
        </w:rPr>
      </w:r>
      <w:r>
        <w:rPr>
          <w:b/>
          <w:bCs/>
          <w:lang w:val="vi-VN"/>
        </w:rPr>
      </w:r>
    </w:p>
    <w:p>
      <w:pPr>
        <w:pStyle w:val="1027"/>
        <w:pBdr/>
        <w:tabs>
          <w:tab w:val="left" w:leader="none" w:pos="993"/>
        </w:tabs>
        <w:spacing w:after="120" w:before="120" w:line="276" w:lineRule="auto"/>
        <w:ind w:left="0"/>
        <w:jc w:val="both"/>
        <w:rPr>
          <w:b/>
          <w:lang w:val="pt-BR"/>
        </w:rPr>
      </w:pPr>
      <w:r>
        <w:rPr>
          <w:b/>
          <w:lang w:val="pt-BR"/>
        </w:rPr>
        <w:t xml:space="preserve">3.1</w:t>
      </w:r>
      <w:r>
        <w:rPr>
          <w:b/>
          <w:lang w:val="pt-BR"/>
        </w:rPr>
        <w:t xml:space="preserve">. Văn bản </w:t>
      </w:r>
      <w:r>
        <w:rPr>
          <w:b/>
          <w:lang w:val="pt-BR"/>
        </w:rPr>
        <w:t xml:space="preserve">quy phạm pháp luật</w:t>
      </w:r>
      <w:r>
        <w:rPr>
          <w:b/>
          <w:lang w:val="pt-BR"/>
        </w:rPr>
        <w:t xml:space="preserve">:</w:t>
      </w:r>
      <w:r>
        <w:rPr>
          <w:b/>
          <w:lang w:val="pt-BR"/>
        </w:rPr>
      </w:r>
      <w:r>
        <w:rPr>
          <w:b/>
          <w:lang w:val="pt-BR"/>
        </w:rPr>
      </w:r>
    </w:p>
    <w:p>
      <w:pPr>
        <w:pStyle w:val="1027"/>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 Giá số 16/2023/QH15 ngày 19/6/2023;</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Luật Đất đai số 31/2024/QH15 đã được Quốc hội nước Cộng hòa xã hội chủ nghĩa Việt Nam khóa XV, kỳ họp bất thường lần thứ 5 thông qua ngày 18 tháng 01 năm 2024;</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Luật Xây dựng số 50/2014/QH13 đã được Quốc hội nước Cộng hòa xã hội chủ nghĩa Việt Nam khóa XIII, kỳ họp thứ 7 thông qua ngày 18 tháng 6 năm 2014;</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lang w:val="pt-BR"/>
        </w:rPr>
        <w:t xml:space="preserve">d</w:t>
      </w:r>
      <w:r>
        <w:rPr>
          <w:lang w:val="pt-BR"/>
        </w:rPr>
        <w:t xml:space="preserve">ựng;</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Luật Nhà ở số 27/2023/QH15 đã được Quốc hội nước Cộng hòa xã hội chủ nghĩa Việt Nam khóa XV, kỳ họp thứ 6 thông qua ngày 27 tháng 11 năm 2023;</w:t>
      </w:r>
      <w:r>
        <w:rPr>
          <w:lang w:val="pt-BR"/>
        </w:rPr>
      </w:r>
      <w:r>
        <w:rPr>
          <w:lang w:val="pt-BR"/>
        </w:rPr>
      </w:r>
    </w:p>
    <w:p>
      <w:pPr>
        <w:pStyle w:val="1027"/>
        <w:numPr>
          <w:ilvl w:val="0"/>
          <w:numId w:val="1"/>
        </w:numPr>
        <w:pBdr/>
        <w:spacing w:after="120" w:before="120" w:line="276" w:lineRule="auto"/>
        <w:ind/>
        <w:rPr>
          <w:lang w:val="pt-BR"/>
        </w:rPr>
      </w:pPr>
      <w:r>
        <w:rPr>
          <w:lang w:val="pt-BR"/>
        </w:rPr>
        <w:t xml:space="preserve">Nghị định số 71/2024/NĐ-CP ngày 27/6/2024 của Chính phủ Quy định về giá đất;</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Nghị định số 103/2024/NĐ-CP ngày 30/7/2024 của Chính phủ quy định về thu tiền sử dụng đất, tiền thuê đất;</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 tư số 28/2024/TT-BTC ngày 16/5/2024 của Bộ Tài </w:t>
      </w:r>
      <w:r>
        <w:rPr>
          <w:lang w:val="pt-BR"/>
        </w:rPr>
        <w:t xml:space="preserve">c</w:t>
      </w:r>
      <w:r>
        <w:rPr>
          <w:lang w:val="pt-BR"/>
        </w:rPr>
        <w:t xml:space="preserve">hính Quy định về trình tự, thủ tục kiểm tra việc chấp hành pháp luật về giá, thẩm định giá do Bộ trưởng Bộ Tài chính ban hành;</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 tư số 30/2024/TT-BTC ngày 16/5/2024 </w:t>
      </w:r>
      <w:r>
        <w:rPr>
          <w:lang w:val="pt-BR"/>
        </w:rPr>
        <w:t xml:space="preserve">của Bộ Tài chính </w:t>
      </w:r>
      <w:r>
        <w:rPr>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 tư số 31/2024/TT-BTC ngày 16/5/2024 </w:t>
      </w:r>
      <w:r>
        <w:rPr>
          <w:lang w:val="pt-BR"/>
        </w:rPr>
        <w:t xml:space="preserve">của Bộ Tài chính </w:t>
      </w:r>
      <w:r>
        <w:rPr>
          <w:lang w:val="pt-BR"/>
        </w:rPr>
        <w:t xml:space="preserve">ban hành chuẩn mực thẩm định giá Việt Nam về thu thập và phân tích thông tin về tài sản thẩm định giá;</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 tư số 32/2024/TT-BTC ngày 16/5/2024 </w:t>
      </w:r>
      <w:r>
        <w:rPr>
          <w:lang w:val="pt-BR"/>
        </w:rPr>
        <w:t xml:space="preserve">của Bộ Tài chính </w:t>
      </w:r>
      <w:r>
        <w:rPr>
          <w:lang w:val="pt-BR"/>
        </w:rPr>
        <w:t xml:space="preserve">ban hành</w:t>
      </w:r>
      <w:r>
        <w:t xml:space="preserve"> </w:t>
      </w:r>
      <w:r>
        <w:rPr>
          <w:lang w:val="pt-BR"/>
        </w:rPr>
        <w:t xml:space="preserve">các chuẩn mực thẩm định giá Việt Nam về cách tiếp cận từ thị trường, cách tiếp cận từ chi phí, cách tiếp cận từ thu nhập;</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 tư số 36/2024/TT-BTC ngày 16/5/2024</w:t>
      </w:r>
      <w:r>
        <w:rPr>
          <w:lang w:val="pt-BR"/>
        </w:rPr>
        <w:t xml:space="preserve"> của Bộ Tài chính</w:t>
      </w:r>
      <w:r>
        <w:rPr>
          <w:lang w:val="pt-BR"/>
        </w:rPr>
        <w:t xml:space="preserve"> ban hành chuẩn mực thẩm định giá Việt Nam về thẩm định giá doanh nghiệp;</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 tư số 37/2024/TT-BTC ngày 16/5/2024 </w:t>
      </w:r>
      <w:r>
        <w:rPr>
          <w:lang w:val="pt-BR"/>
        </w:rPr>
        <w:t xml:space="preserve">của Bộ Tài chính </w:t>
      </w:r>
      <w:r>
        <w:rPr>
          <w:lang w:val="pt-BR"/>
        </w:rPr>
        <w:t xml:space="preserve">ban hành chuẩn mực thẩm định giá Việt Nam về thẩm định giá tài sản vô hình;</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 tư số 42/2024/TT-BTC ngày 20/6/2024 </w:t>
      </w:r>
      <w:r>
        <w:rPr>
          <w:lang w:val="pt-BR"/>
        </w:rPr>
        <w:t xml:space="preserve">của Bộ Tài chính </w:t>
      </w:r>
      <w:r>
        <w:rPr>
          <w:lang w:val="pt-BR"/>
        </w:rPr>
        <w:t xml:space="preserve">ban hành chuẩn mực thẩm định giá Việt Nam về thẩm định giá bất động sản</w:t>
      </w:r>
      <w:r>
        <w:rPr>
          <w:lang w:val="pt-BR"/>
        </w:rPr>
        <w:t xml:space="preserve">;</w:t>
      </w:r>
      <w:r>
        <w:rPr>
          <w:lang w:val="pt-BR"/>
        </w:rPr>
      </w:r>
      <w:r>
        <w:rPr>
          <w:lang w:val="pt-BR"/>
        </w:rPr>
      </w:r>
    </w:p>
    <w:p>
      <w:pPr>
        <w:pStyle w:val="1027"/>
        <w:numPr>
          <w:ilvl w:val="0"/>
          <w:numId w:val="1"/>
        </w:numPr>
        <w:pBdr/>
        <w:tabs>
          <w:tab w:val="left" w:leader="none" w:pos="993"/>
        </w:tabs>
        <w:spacing w:after="120" w:before="120" w:line="276" w:lineRule="auto"/>
        <w:ind/>
        <w:jc w:val="both"/>
        <w:rPr>
          <w:b/>
          <w:lang w:val="pt-BR"/>
        </w:rPr>
      </w:pPr>
      <w:r>
        <w:rPr>
          <w:lang w:val="pt-BR"/>
        </w:rPr>
        <w:t xml:space="preserve">Thông tư số 45/2013/TT-BTC ngày 24/5/2013 của Bộ Tài chính về việc hướng dẫn chế độ quản lý, sử dụng và trích khấu hao tài sản cố định;</w:t>
      </w:r>
      <w:r>
        <w:rPr>
          <w:b/>
          <w:lang w:val="pt-BR"/>
        </w:rPr>
      </w:r>
      <w:r>
        <w:rPr>
          <w:b/>
          <w:lang w:val="pt-BR"/>
        </w:rPr>
      </w:r>
    </w:p>
    <w:p>
      <w:pPr>
        <w:pStyle w:val="1027"/>
        <w:numPr>
          <w:ilvl w:val="0"/>
          <w:numId w:val="1"/>
        </w:numPr>
        <w:pBdr/>
        <w:tabs>
          <w:tab w:val="left" w:leader="none" w:pos="993"/>
        </w:tabs>
        <w:spacing w:after="120" w:before="120" w:line="276" w:lineRule="auto"/>
        <w:ind/>
        <w:jc w:val="both"/>
        <w:rPr>
          <w:b/>
          <w:lang w:val="pt-BR"/>
        </w:rPr>
      </w:pPr>
      <w:r>
        <w:rPr>
          <w:lang w:val="pt-BR"/>
        </w:rPr>
        <w:t xml:space="preserve">Thông tư 147/2016/TT-BTC ngày 13 tháng 10 năm 2016 sửa đổi bổ sung một số điều của Thông tư số 45/2013/TT-BTC ngày 25/4/2013 của Bộ Tài chính hướng dẫn chế độ quản lý, sử dụng và trích khấu hao tài sản cố định;</w:t>
      </w:r>
      <w:r>
        <w:rPr>
          <w:b/>
          <w:lang w:val="pt-BR"/>
        </w:rPr>
      </w:r>
      <w:r>
        <w:rPr>
          <w:b/>
          <w:lang w:val="pt-BR"/>
        </w:rPr>
      </w:r>
    </w:p>
    <w:p>
      <w:pPr>
        <w:pStyle w:val="1027"/>
        <w:numPr>
          <w:ilvl w:val="0"/>
          <w:numId w:val="1"/>
        </w:numPr>
        <w:pBdr/>
        <w:tabs>
          <w:tab w:val="left" w:leader="none" w:pos="993"/>
        </w:tabs>
        <w:spacing w:after="120" w:before="120" w:line="276" w:lineRule="auto"/>
        <w:ind/>
        <w:jc w:val="both"/>
        <w:rPr>
          <w:spacing w:val="-4"/>
          <w:lang w:val="pt-BR"/>
        </w:rPr>
      </w:pPr>
      <w:r>
        <w:rPr>
          <w:spacing w:val="-4"/>
          <w:lang w:val="pt-BR"/>
        </w:rPr>
        <w:t xml:space="preserve">Thông tư số 28/</w:t>
      </w:r>
      <w:r>
        <w:rPr>
          <w:spacing w:val="-4"/>
          <w:lang w:val="pt-BR"/>
        </w:rPr>
        <w:t xml:space="preserve">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r>
        <w:rPr>
          <w:spacing w:val="-4"/>
          <w:lang w:val="pt-BR"/>
        </w:rPr>
      </w:r>
      <w:r>
        <w:rPr>
          <w:spacing w:val="-4"/>
          <w:lang w:val="pt-BR"/>
        </w:rPr>
      </w:r>
    </w:p>
    <w:p>
      <w:pPr>
        <w:pStyle w:val="1027"/>
        <w:numPr>
          <w:ilvl w:val="0"/>
          <w:numId w:val="1"/>
        </w:numPr>
        <w:pBdr/>
        <w:spacing w:after="120" w:before="120" w:line="276" w:lineRule="auto"/>
        <w:ind/>
        <w:jc w:val="both"/>
        <w:rPr>
          <w:bCs/>
          <w:spacing w:val="-4"/>
          <w:lang w:val="pt-BR"/>
        </w:rPr>
      </w:pPr>
      <w:r>
        <w:rPr>
          <w:bCs/>
          <w:spacing w:val="-4"/>
          <w:lang w:val="pt-BR"/>
        </w:rPr>
        <w:t xml:space="preserve">Quyết định số 409/QĐ-BXD ngày 11/4/2025 của Bộ Xây dựng về việc Công bố suất vốn đầu tư xây dựng công trình và giá xây dựng tổng hợp bộ phận kết cấu công trình năm 2024;</w:t>
      </w:r>
      <w:r>
        <w:rPr>
          <w:bCs/>
          <w:spacing w:val="-4"/>
          <w:lang w:val="pt-BR"/>
        </w:rPr>
      </w:r>
      <w:r>
        <w:rPr>
          <w:bCs/>
          <w:spacing w:val="-4"/>
          <w:lang w:val="pt-BR"/>
        </w:rPr>
      </w:r>
    </w:p>
    <w:p>
      <w:pPr>
        <w:pStyle w:val="1027"/>
        <w:numPr>
          <w:ilvl w:val="0"/>
          <w:numId w:val="1"/>
        </w:numPr>
        <w:pBdr/>
        <w:tabs>
          <w:tab w:val="left" w:leader="none" w:pos="993"/>
        </w:tabs>
        <w:spacing w:after="120" w:before="120" w:line="276" w:lineRule="auto"/>
        <w:ind/>
        <w:jc w:val="both"/>
        <w:rPr>
          <w:b/>
          <w:lang w:val="pt-BR"/>
        </w:rPr>
      </w:pPr>
      <w:r>
        <w:rPr>
          <w:lang w:val="pt-BR"/>
        </w:rPr>
        <w:t xml:space="preserve">Công văn số 1326/BXD-QLN của Bộ Xây dựng ban hành ngày 08/8/2011 về việc hướng dẫn kiểm kê, đánh giá lại giá trị tài sản cố định là nhà, vật kiến trúc;</w:t>
      </w:r>
      <w:r>
        <w:rPr>
          <w:b/>
          <w:lang w:val="pt-BR"/>
        </w:rPr>
      </w:r>
      <w:r>
        <w:rPr>
          <w:b/>
          <w:lang w:val="pt-BR"/>
        </w:rPr>
      </w:r>
    </w:p>
    <w:p>
      <w:pPr>
        <w:pStyle w:val="1027"/>
        <w:numPr>
          <w:ilvl w:val="0"/>
          <w:numId w:val="9"/>
        </w:numPr>
        <w:pBdr/>
        <w:tabs>
          <w:tab w:val="left" w:leader="none" w:pos="993"/>
        </w:tabs>
        <w:spacing w:after="120" w:before="120" w:line="276" w:lineRule="auto"/>
        <w:ind/>
        <w:jc w:val="both"/>
        <w:rPr>
          <w:b/>
          <w:lang w:val="pt-BR"/>
        </w:rPr>
      </w:pPr>
      <w:r>
        <w:rPr>
          <w:lang w:val="pt-BR"/>
        </w:rPr>
        <w:t xml:space="preserve">Và các văn bản pháp luật có liên quan khác.</w:t>
      </w:r>
      <w:r>
        <w:rPr>
          <w:b/>
          <w:lang w:val="pt-BR"/>
        </w:rPr>
      </w:r>
      <w:r>
        <w:rPr>
          <w:b/>
          <w:lang w:val="pt-BR"/>
        </w:rPr>
      </w:r>
    </w:p>
    <w:p>
      <w:pPr>
        <w:pStyle w:val="1027"/>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Các văn bản liên quan khác:</w:t>
      </w:r>
      <w:r>
        <w:rPr>
          <w:b/>
          <w:lang w:val="pt-BR"/>
        </w:rPr>
      </w:r>
      <w:r>
        <w:rPr>
          <w:b/>
          <w:lang w:val="pt-BR"/>
        </w:rPr>
      </w:r>
    </w:p>
    <w:p>
      <w:pPr>
        <w:pStyle w:val="1027"/>
        <w:pBdr/>
        <w:tabs>
          <w:tab w:val="left" w:leader="none" w:pos="993"/>
        </w:tabs>
        <w:spacing w:after="120" w:before="120" w:line="276" w:lineRule="auto"/>
        <w:ind w:left="0"/>
        <w:jc w:val="both"/>
        <w:rPr>
          <w:b/>
          <w:lang w:val="pt-BR"/>
        </w:rPr>
      </w:pPr>
      <w:r>
        <w:rPr>
          <w:b/>
          <w:lang w:val="pt-BR"/>
        </w:rPr>
        <w:t xml:space="preserve">a. </w:t>
      </w:r>
      <w:r>
        <w:rPr>
          <w:b/>
          <w:lang w:val="pt-BR"/>
        </w:rPr>
        <w:t xml:space="preserve">Hồ sơ pháp lý của tài sản</w:t>
      </w:r>
      <w:r>
        <w:rPr>
          <w:b/>
          <w:lang w:val="pt-BR"/>
        </w:rPr>
        <w:t xml:space="preserve">: </w:t>
      </w:r>
      <w:r>
        <w:rPr>
          <w:b/>
          <w:lang w:val="pt-BR"/>
        </w:rPr>
      </w:r>
      <w:r>
        <w:rPr>
          <w:b/>
          <w:lang w:val="pt-BR"/>
        </w:rPr>
      </w:r>
    </w:p>
    <w:p>
      <w:pPr>
        <w:pStyle w:val="1027"/>
        <w:numPr>
          <w:ilvl w:val="0"/>
          <w:numId w:val="2"/>
        </w:numPr>
        <w:pBdr/>
        <w:tabs>
          <w:tab w:val="left" w:leader="none" w:pos="993"/>
        </w:tabs>
        <w:spacing w:after="120" w:before="120" w:line="276" w:lineRule="auto"/>
        <w:ind/>
        <w:jc w:val="both"/>
        <w:rPr>
          <w:i/>
          <w:iCs/>
          <w:lang w:val="pt-BR"/>
        </w:rPr>
      </w:pPr>
      <w:r>
        <w:rPr>
          <w:bCs/>
          <w:color w:val="000000" w:themeColor="text1"/>
          <w:lang w:val="pt-BR"/>
        </w:rPr>
        <w:t xml:space="preserve">Giấy chứng nhận quyền sử dụng đất số: AE 219160, số vào sổ cấp GCN: H 06592 do UBND quận Thanh Khê, thành phố Đà Nẵng cấp ngày 25/7/2006. Chủ tài sản là Ông Hồ Đắc Hồng và Bà Trần Thị Nga.</w:t>
      </w:r>
      <w:r>
        <w:rPr>
          <w:i/>
          <w:iCs/>
          <w:lang w:val="pt-BR"/>
        </w:rPr>
      </w:r>
      <w:r>
        <w:rPr>
          <w:i/>
          <w:iCs/>
          <w:lang w:val="pt-BR"/>
        </w:rPr>
      </w:r>
    </w:p>
    <w:p>
      <w:pPr>
        <w:pBdr/>
        <w:spacing w:after="120" w:before="120" w:line="276" w:lineRule="auto"/>
        <w:ind/>
        <w:jc w:val="both"/>
        <w:rPr>
          <w:b/>
        </w:rPr>
      </w:pPr>
      <w:r>
        <w:rPr>
          <w:b/>
          <w:lang w:val="pt-BR"/>
        </w:rPr>
        <w:t xml:space="preserve">b. Hồ sơ khác</w:t>
      </w:r>
      <w:r>
        <w:rPr>
          <w:b/>
          <w:lang w:val="vi-VN"/>
        </w:rPr>
        <w:t xml:space="preserve">:</w:t>
      </w:r>
      <w:r>
        <w:rPr>
          <w:b/>
        </w:rPr>
      </w:r>
      <w:r>
        <w:rPr>
          <w:b/>
        </w:rPr>
      </w:r>
    </w:p>
    <w:p>
      <w:pPr>
        <w:pStyle w:val="1027"/>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dịch vụ thẩm định giá số: 275/2026/0509/VFI-HĐTĐ.01ĐN.A ký ngày 01/4/2026 giữa Ông Hồ Đắc Hồng với Công ty Cổ phần Thẩm định và Đầu tư Tài chính Hoa Sen;</w:t>
      </w:r>
      <w:r>
        <w:rPr>
          <w:b/>
          <w:lang w:val="pt-BR"/>
        </w:rPr>
      </w:r>
      <w:r>
        <w:rPr>
          <w:b/>
          <w:lang w:val="pt-BR"/>
        </w:rPr>
      </w:r>
    </w:p>
    <w:p>
      <w:pPr>
        <w:pStyle w:val="1027"/>
        <w:numPr>
          <w:ilvl w:val="0"/>
          <w:numId w:val="2"/>
        </w:numPr>
        <w:pBdr/>
        <w:tabs>
          <w:tab w:val="left" w:leader="none" w:pos="993"/>
        </w:tabs>
        <w:spacing w:after="120" w:before="120" w:line="276" w:lineRule="auto"/>
        <w:ind/>
        <w:jc w:val="both"/>
        <w:rPr>
          <w:b/>
          <w:lang w:val="pt-BR"/>
        </w:rPr>
      </w:pPr>
      <w:r>
        <w:rPr>
          <w:lang w:val="pt-BR"/>
        </w:rPr>
        <w:t xml:space="preserve">Hồ sơ, tài liệu, chứng từ liên quan đến tài sản thẩm định giá.</w:t>
      </w:r>
      <w:r>
        <w:rPr>
          <w:b/>
          <w:lang w:val="pt-BR"/>
        </w:rPr>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pPr>
        <w:pBdr>
          <w:top w:val="none" w:color="000000" w:sz="4" w:space="0"/>
          <w:left w:val="none" w:color="000000" w:sz="4" w:space="0"/>
          <w:bottom w:val="none" w:color="000000" w:sz="4" w:space="0"/>
          <w:right w:val="none" w:color="000000" w:sz="4" w:space="0"/>
        </w:pBdr>
        <w:shd w:val="clear" w:color="ffffff" w:fill="ffffff"/>
        <w:spacing w:after="60" w:before="60" w:line="264" w:lineRule="auto"/>
        <w:ind w:right="0" w:firstLine="284" w:left="0"/>
        <w:jc w:val="both"/>
        <w:rPr/>
      </w:pPr>
      <w:r>
        <w:rPr>
          <w:i/>
          <w:iCs/>
          <w:lang w:val="pt-BR"/>
        </w:rPr>
      </w:r>
      <w:r>
        <w:rPr>
          <w:rFonts w:ascii="Times New Roman" w:hAnsi="Times New Roman" w:eastAsia="Times New Roman" w:cs="Times New Roman"/>
          <w:b/>
          <w:color w:val="000000"/>
          <w:sz w:val="24"/>
          <w:highlight w:val="white"/>
        </w:rPr>
        <w:t xml:space="preserve">Thị trường bất động sản Đà Nẵng đang bước vào giai đoạn phục hồi rõ nét, không còn mang tính dò đáy hay cục bộ mà dần hình thành một mặt bằng phát triển mới.</w:t>
      </w:r>
      <w:r/>
    </w:p>
    <w:p>
      <w:pPr>
        <w:pBdr>
          <w:top w:val="none" w:color="000000" w:sz="4" w:space="0"/>
          <w:left w:val="none" w:color="000000" w:sz="4" w:space="0"/>
          <w:bottom w:val="none" w:color="000000" w:sz="4" w:space="0"/>
          <w:right w:val="none" w:color="000000" w:sz="4" w:space="0"/>
        </w:pBdr>
        <w:shd w:val="clear" w:color="ffffff" w:fill="ffffff"/>
        <w:spacing w:after="60" w:before="60" w:line="264" w:lineRule="auto"/>
        <w:ind w:right="0" w:firstLine="284" w:left="0"/>
        <w:jc w:val="both"/>
        <w:rPr/>
      </w:pPr>
      <w:r>
        <w:rPr>
          <w:rFonts w:ascii="Times New Roman" w:hAnsi="Times New Roman" w:eastAsia="Times New Roman" w:cs="Times New Roman"/>
          <w:color w:val="000000"/>
          <w:sz w:val="24"/>
          <w:highlight w:val="white"/>
        </w:rPr>
        <w:t xml:space="preserve">Những chuyển động về giá, dòng vốn và cấu trúc phân khúc cho thấy thị trường năm 2026 không phải là một “cơn sốt” ngắn hạn, mà là quá trình tái định vị vai trò, động lực và không gian phát triển của thành phố biển trong bối cảnh mới.</w:t>
      </w:r>
      <w:r/>
    </w:p>
    <w:p>
      <w:pPr>
        <w:pBdr>
          <w:top w:val="none" w:color="000000" w:sz="4" w:space="0"/>
          <w:left w:val="none" w:color="000000" w:sz="4" w:space="0"/>
          <w:bottom w:val="none" w:color="000000" w:sz="4" w:space="0"/>
          <w:right w:val="none" w:color="000000" w:sz="4" w:space="0"/>
        </w:pBdr>
        <w:shd w:val="clear" w:color="ffffff" w:fill="ffffff"/>
        <w:spacing w:after="60" w:before="60" w:line="264" w:lineRule="auto"/>
        <w:ind w:right="0" w:firstLine="284" w:left="0"/>
        <w:jc w:val="both"/>
        <w:rPr/>
      </w:pPr>
      <w:r>
        <w:rPr>
          <w:rFonts w:ascii="Times New Roman" w:hAnsi="Times New Roman" w:eastAsia="Times New Roman" w:cs="Times New Roman"/>
          <w:b/>
          <w:color w:val="000000"/>
          <w:sz w:val="24"/>
          <w:highlight w:val="white"/>
        </w:rPr>
        <w:t xml:space="preserve">Tín hiệu của niềm tin trở lại</w:t>
      </w:r>
      <w:r/>
    </w:p>
    <w:p>
      <w:pPr>
        <w:pBdr>
          <w:top w:val="none" w:color="000000" w:sz="4" w:space="0"/>
          <w:left w:val="none" w:color="000000" w:sz="4" w:space="0"/>
          <w:bottom w:val="none" w:color="000000" w:sz="4" w:space="0"/>
          <w:right w:val="none" w:color="000000" w:sz="4" w:space="0"/>
        </w:pBdr>
        <w:shd w:val="clear" w:color="ffffff" w:fill="ffffff"/>
        <w:spacing w:after="60" w:before="60" w:line="264" w:lineRule="auto"/>
        <w:ind w:right="0" w:firstLine="284" w:left="0"/>
        <w:jc w:val="both"/>
        <w:rPr/>
      </w:pPr>
      <w:r>
        <w:rPr>
          <w:rFonts w:ascii="Times New Roman" w:hAnsi="Times New Roman" w:eastAsia="Times New Roman" w:cs="Times New Roman"/>
          <w:color w:val="000000"/>
          <w:sz w:val="24"/>
          <w:highlight w:val="white"/>
        </w:rPr>
        <w:t xml:space="preserve">Khảo sát của VnBusiness cho thấy, trong hơn một năm qua, giá đất tại nhiều trục đường lớn ở Đà Nẵng đã bắt đầu tăng trở lại. Đất mặt tiền khu lõi trung tâm được chào bán ở mức 66–70 triệu đồng/m</w:t>
      </w:r>
      <w:r>
        <w:rPr>
          <w:rFonts w:ascii="Times New Roman" w:hAnsi="Times New Roman" w:eastAsia="Times New Roman" w:cs="Times New Roman"/>
          <w:color w:val="000000"/>
          <w:sz w:val="20"/>
          <w:highlight w:val="white"/>
          <w:vertAlign w:val="superscript"/>
        </w:rPr>
        <w:t xml:space="preserve">2</w:t>
      </w:r>
      <w:r>
        <w:rPr>
          <w:rFonts w:ascii="Times New Roman" w:hAnsi="Times New Roman" w:eastAsia="Times New Roman" w:cs="Times New Roman"/>
          <w:color w:val="000000"/>
          <w:sz w:val="24"/>
          <w:highlight w:val="white"/>
        </w:rPr>
        <w:t xml:space="preserve">, đất trong hẻm phổ biến 25–50 triệu đồng/m</w:t>
      </w:r>
      <w:r>
        <w:rPr>
          <w:rFonts w:ascii="Times New Roman" w:hAnsi="Times New Roman" w:eastAsia="Times New Roman" w:cs="Times New Roman"/>
          <w:color w:val="000000"/>
          <w:sz w:val="20"/>
          <w:highlight w:val="white"/>
          <w:vertAlign w:val="superscript"/>
        </w:rPr>
        <w:t xml:space="preserve">2</w:t>
      </w:r>
      <w:r>
        <w:rPr>
          <w:rFonts w:ascii="Times New Roman" w:hAnsi="Times New Roman" w:eastAsia="Times New Roman" w:cs="Times New Roman"/>
          <w:color w:val="000000"/>
          <w:sz w:val="24"/>
          <w:highlight w:val="white"/>
        </w:rPr>
        <w:t xml:space="preserve">, trong khi các khu tái định cư dưới chân Bà Nà ghi nhận mức tăng 10–20% chỉ trong 01 năm qua.</w:t>
      </w:r>
      <w:r/>
    </w:p>
    <w:p>
      <w:pPr>
        <w:pBdr>
          <w:top w:val="none" w:color="000000" w:sz="4" w:space="0"/>
          <w:left w:val="none" w:color="000000" w:sz="4" w:space="0"/>
          <w:bottom w:val="none" w:color="000000" w:sz="4" w:space="0"/>
          <w:right w:val="none" w:color="000000" w:sz="4" w:space="0"/>
        </w:pBdr>
        <w:shd w:val="clear" w:color="ffffff" w:fill="ffffff"/>
        <w:spacing w:after="60" w:before="60" w:line="264" w:lineRule="auto"/>
        <w:ind w:right="0" w:firstLine="284" w:left="0"/>
        <w:jc w:val="both"/>
        <w:rPr/>
      </w:pPr>
      <w:r>
        <w:rPr>
          <w:rFonts w:ascii="Times New Roman" w:hAnsi="Times New Roman" w:eastAsia="Times New Roman" w:cs="Times New Roman"/>
          <w:color w:val="000000"/>
          <w:sz w:val="24"/>
          <w:highlight w:val="white"/>
        </w:rPr>
        <w:t xml:space="preserve">Những con số tăng trưởng tích cực về giá phản ánh sự hồi phục về niềm tin của thị trường, đặc biệt khi mặt bằng giá nhà đất tại Đà Nẵng hiện nay vẫn thấp hơn khoảng 15–20% so với đỉnh cũ.</w:t>
      </w:r>
      <w:r/>
    </w:p>
    <w:p>
      <w:pPr>
        <w:pBdr>
          <w:top w:val="none" w:color="000000" w:sz="4" w:space="0"/>
          <w:left w:val="none" w:color="000000" w:sz="4" w:space="0"/>
          <w:bottom w:val="none" w:color="000000" w:sz="4" w:space="0"/>
          <w:right w:val="none" w:color="000000" w:sz="4" w:space="0"/>
        </w:pBdr>
        <w:shd w:val="clear" w:color="ffffff" w:fill="ffffff"/>
        <w:spacing w:after="60" w:before="60" w:line="264" w:lineRule="auto"/>
        <w:ind w:right="0" w:firstLine="284" w:left="0"/>
        <w:jc w:val="both"/>
        <w:rPr/>
      </w:pPr>
      <w:r>
        <w:rPr>
          <w:rFonts w:ascii="Times New Roman" w:hAnsi="Times New Roman" w:eastAsia="Times New Roman" w:cs="Times New Roman"/>
          <w:color w:val="000000"/>
          <w:sz w:val="24"/>
          <w:highlight w:val="white"/>
        </w:rPr>
        <w:t xml:space="preserve">Đáng chú ý, xu hướng tăng trên thị trường nhà đất tại Đà Nẵng không chỉ xuất hiện ở các vị trí “nóng” truyền thống mà lan tỏa sang nhiều khu vực vùng ven, cho thấy thị trường đang mở rộng biên độ phát triển.</w:t>
      </w:r>
      <w:r/>
    </w:p>
    <w:p>
      <w:pPr>
        <w:pBdr>
          <w:top w:val="none" w:color="000000" w:sz="4" w:space="0"/>
          <w:left w:val="none" w:color="000000" w:sz="4" w:space="0"/>
          <w:bottom w:val="none" w:color="000000" w:sz="4" w:space="0"/>
          <w:right w:val="none" w:color="000000" w:sz="4" w:space="0"/>
        </w:pBdr>
        <w:shd w:val="clear" w:color="ffffff" w:fill="ffffff"/>
        <w:spacing w:after="60" w:before="60" w:line="264" w:lineRule="auto"/>
        <w:ind w:right="0" w:firstLine="284" w:left="0"/>
        <w:jc w:val="both"/>
        <w:rPr/>
      </w:pPr>
      <w:r>
        <w:rPr>
          <w:rFonts w:ascii="Times New Roman" w:hAnsi="Times New Roman" w:eastAsia="Times New Roman" w:cs="Times New Roman"/>
          <w:color w:val="000000"/>
          <w:sz w:val="24"/>
          <w:highlight w:val="white"/>
        </w:rPr>
        <w:t xml:space="preserve">Các giao dịch của nhóm nhà đầu tư lâu năm, vốn được xem là “nhiệt kế” của thị trường, cho thấy tâm lý “bắt đáy” đang dần chiếm ưu thế, thay cho trạng thái phòng thủ kéo dài trong giai đoạn trước.</w:t>
      </w:r>
      <w:r/>
    </w:p>
    <w:p>
      <w:pPr>
        <w:pBdr>
          <w:top w:val="none" w:color="000000" w:sz="4" w:space="0"/>
          <w:left w:val="none" w:color="000000" w:sz="4" w:space="0"/>
          <w:bottom w:val="none" w:color="000000" w:sz="4" w:space="0"/>
          <w:right w:val="none" w:color="000000" w:sz="4" w:space="0"/>
        </w:pBdr>
        <w:shd w:val="clear" w:color="ffffff" w:fill="ffffff"/>
        <w:spacing w:after="60" w:before="60" w:line="264" w:lineRule="auto"/>
        <w:ind w:right="0" w:firstLine="284" w:left="0"/>
        <w:jc w:val="both"/>
        <w:rPr/>
      </w:pPr>
      <w:r>
        <w:rPr>
          <w:rFonts w:ascii="Times New Roman" w:hAnsi="Times New Roman" w:eastAsia="Times New Roman" w:cs="Times New Roman"/>
          <w:color w:val="000000"/>
          <w:sz w:val="24"/>
          <w:highlight w:val="white"/>
        </w:rPr>
        <w:t xml:space="preserve">Đặc biệt, sự trở lại của dòng vốn từ Hà Nội, TP.HCM và các tỉnh phía Bắc là một chỉ báo quan trọng. Thay vì tập trung vào khu lõi đã tăng mạnh trong quá khứ, nhà đầu tư ngoại tỉnh đang hướng đến những khu vực còn dư địa phát triển như Cẩm Lệ, Liên Chiểu ha</w:t>
      </w:r>
      <w:r>
        <w:rPr>
          <w:rFonts w:ascii="Times New Roman" w:hAnsi="Times New Roman" w:eastAsia="Times New Roman" w:cs="Times New Roman"/>
          <w:color w:val="000000"/>
          <w:sz w:val="24"/>
          <w:highlight w:val="white"/>
        </w:rPr>
        <w:t xml:space="preserve">y vùng giáp ranh Bắc Quảng Nam (cũ). Điều này phản ánh một tư duy đầu tư không chờ đợi sự bùng nổ rõ ràng, mà tìm kiếm lợi thế ở giai đoạn đầu của chu kỳ tăng trưởng.</w:t>
      </w:r>
      <w:r/>
    </w:p>
    <w:p>
      <w:pPr>
        <w:pBdr>
          <w:top w:val="none" w:color="000000" w:sz="4" w:space="0"/>
          <w:left w:val="none" w:color="000000" w:sz="4" w:space="0"/>
          <w:bottom w:val="none" w:color="000000" w:sz="4" w:space="0"/>
          <w:right w:val="none" w:color="000000" w:sz="4" w:space="0"/>
        </w:pBdr>
        <w:shd w:val="clear" w:color="ffffff" w:fill="ffffff"/>
        <w:spacing w:after="60" w:before="60" w:line="264" w:lineRule="auto"/>
        <w:ind w:right="0" w:firstLine="284" w:left="0"/>
        <w:jc w:val="both"/>
        <w:rPr/>
      </w:pPr>
      <w:r>
        <w:rPr>
          <w:rFonts w:ascii="Times New Roman" w:hAnsi="Times New Roman" w:eastAsia="Times New Roman" w:cs="Times New Roman"/>
          <w:color w:val="000000"/>
          <w:sz w:val="24"/>
          <w:highlight w:val="white"/>
        </w:rPr>
        <w:t xml:space="preserve">Trường hợp nhà đầu tư Trần Xuân Lâm (quận Hải Châu) là ví dụ điển hình. Với nhận định giá hiện tại vẫn thấp hơn đáng kể so với giai đoạn cao điểm, anh Lâm và nhóm của mình coi đây là vùng giá hợp lý để quay lại thị trường, đón đầu những chuyển động lớn đan</w:t>
      </w:r>
      <w:r>
        <w:rPr>
          <w:rFonts w:ascii="Times New Roman" w:hAnsi="Times New Roman" w:eastAsia="Times New Roman" w:cs="Times New Roman"/>
          <w:color w:val="000000"/>
          <w:sz w:val="24"/>
          <w:highlight w:val="white"/>
        </w:rPr>
        <w:t xml:space="preserve">g hình thành, thay vì chạy theo làn sóng khi mọi thứ đã quá rõ ràng.</w:t>
      </w:r>
      <w:r/>
    </w:p>
    <w:p>
      <w:pPr>
        <w:pBdr>
          <w:top w:val="none" w:color="000000" w:sz="4" w:space="0"/>
          <w:left w:val="none" w:color="000000" w:sz="4" w:space="0"/>
          <w:bottom w:val="none" w:color="000000" w:sz="4" w:space="0"/>
          <w:right w:val="none" w:color="000000" w:sz="4" w:space="0"/>
        </w:pBdr>
        <w:shd w:val="clear" w:color="ffffff" w:fill="ffffff"/>
        <w:spacing w:after="60" w:before="60" w:line="264" w:lineRule="auto"/>
        <w:ind w:right="0" w:firstLine="284" w:left="0"/>
        <w:jc w:val="both"/>
        <w:rPr/>
      </w:pPr>
      <w:r>
        <w:rPr>
          <w:rFonts w:ascii="Times New Roman" w:hAnsi="Times New Roman" w:eastAsia="Times New Roman" w:cs="Times New Roman"/>
          <w:color w:val="000000"/>
          <w:sz w:val="24"/>
          <w:highlight w:val="white"/>
        </w:rPr>
        <w:t xml:space="preserve">Cũng cần phải nói thêm, một trong những yếu tố tạo lực đẩy mạnh mẽ nhất cho thị trường bất động sản Đà Nẵng giai đoạn này chính là việc sáp nhập hành chính giữa Đà Nẵng và Quảng Nam. Sự kiện này không chỉ mang ý nghĩa địa giới, mà quan trọng hơn là mở ra k</w:t>
      </w:r>
      <w:r>
        <w:rPr>
          <w:rFonts w:ascii="Times New Roman" w:hAnsi="Times New Roman" w:eastAsia="Times New Roman" w:cs="Times New Roman"/>
          <w:color w:val="000000"/>
          <w:sz w:val="24"/>
          <w:highlight w:val="white"/>
        </w:rPr>
        <w:t xml:space="preserve">hông gian phát triển đô thị chưa từng có.</w:t>
      </w:r>
      <w:r/>
    </w:p>
    <w:p>
      <w:pPr>
        <w:pBdr>
          <w:top w:val="none" w:color="000000" w:sz="4" w:space="0"/>
          <w:left w:val="none" w:color="000000" w:sz="4" w:space="0"/>
          <w:bottom w:val="none" w:color="000000" w:sz="4" w:space="0"/>
          <w:right w:val="none" w:color="000000" w:sz="4" w:space="0"/>
        </w:pBdr>
        <w:shd w:val="clear" w:color="ffffff" w:fill="ffffff"/>
        <w:spacing w:after="60" w:before="60" w:line="264" w:lineRule="auto"/>
        <w:ind w:right="0" w:firstLine="284" w:left="0"/>
        <w:jc w:val="both"/>
        <w:rPr/>
      </w:pPr>
      <w:r>
        <w:rPr>
          <w:rFonts w:ascii="Times New Roman" w:hAnsi="Times New Roman" w:eastAsia="Times New Roman" w:cs="Times New Roman"/>
          <w:color w:val="000000"/>
          <w:sz w:val="24"/>
          <w:highlight w:val="white"/>
        </w:rPr>
        <w:t xml:space="preserve">Khi “trung tâm” mới được tái định hình, dòng vốn, hạ tầng, dân cư và nhu cầu an cư có xu hướng hội tụ về Đà Nẵng. Khu đô thị Điện Nam – Điện Ngọc nhanh chóng trở thành điểm nóng, với giá nhiều khu tăng mạnh chỉ trong thời gian ngắn sau khi thông tin sáp nh</w:t>
      </w:r>
      <w:r>
        <w:rPr>
          <w:rFonts w:ascii="Times New Roman" w:hAnsi="Times New Roman" w:eastAsia="Times New Roman" w:cs="Times New Roman"/>
          <w:color w:val="000000"/>
          <w:sz w:val="24"/>
          <w:highlight w:val="white"/>
        </w:rPr>
        <w:t xml:space="preserve">ập được xác nhận.</w:t>
      </w:r>
      <w:r/>
    </w:p>
    <w:p>
      <w:pPr>
        <w:pBdr>
          <w:top w:val="none" w:color="000000" w:sz="4" w:space="0"/>
          <w:left w:val="none" w:color="000000" w:sz="4" w:space="0"/>
          <w:bottom w:val="none" w:color="000000" w:sz="4" w:space="0"/>
          <w:right w:val="none" w:color="000000" w:sz="4" w:space="0"/>
        </w:pBdr>
        <w:shd w:val="clear" w:color="ffffff" w:fill="ffffff"/>
        <w:spacing w:after="60" w:before="60" w:line="264" w:lineRule="auto"/>
        <w:ind w:right="0" w:firstLine="284" w:left="0"/>
        <w:jc w:val="both"/>
        <w:rPr/>
      </w:pPr>
      <w:r>
        <w:rPr>
          <w:rFonts w:ascii="Times New Roman" w:hAnsi="Times New Roman" w:eastAsia="Times New Roman" w:cs="Times New Roman"/>
          <w:color w:val="000000"/>
          <w:sz w:val="24"/>
          <w:highlight w:val="white"/>
        </w:rPr>
        <w:t xml:space="preserve">Ở phía Tây Bắc, các dự án như Golden Hills hay Bàu Tràm Lakeside cũng ghi nhận mức tăng 10–15% trong vòng nửa năm, phản ánh kỳ vọng rõ rệt vào trục phát triển mới của thành phố.</w:t>
      </w:r>
      <w:r/>
    </w:p>
    <w:p>
      <w:pPr>
        <w:pBdr>
          <w:top w:val="none" w:color="000000" w:sz="4" w:space="0"/>
          <w:left w:val="none" w:color="000000" w:sz="4" w:space="0"/>
          <w:bottom w:val="none" w:color="000000" w:sz="4" w:space="0"/>
          <w:right w:val="none" w:color="000000" w:sz="4" w:space="0"/>
        </w:pBdr>
        <w:shd w:val="clear" w:color="ffffff" w:fill="ffffff"/>
        <w:spacing w:after="60" w:before="60" w:line="264" w:lineRule="auto"/>
        <w:ind w:right="0" w:firstLine="284" w:left="0"/>
        <w:jc w:val="both"/>
        <w:rPr/>
      </w:pPr>
      <w:r>
        <w:rPr>
          <w:rFonts w:ascii="Times New Roman" w:hAnsi="Times New Roman" w:eastAsia="Times New Roman" w:cs="Times New Roman"/>
          <w:b/>
          <w:color w:val="000000"/>
          <w:sz w:val="24"/>
          <w:highlight w:val="white"/>
        </w:rPr>
        <w:t xml:space="preserve">Tăng trưởng trong chọn lọc</w:t>
      </w:r>
      <w:r/>
    </w:p>
    <w:p>
      <w:pPr>
        <w:pBdr>
          <w:top w:val="none" w:color="000000" w:sz="4" w:space="0"/>
          <w:left w:val="none" w:color="000000" w:sz="4" w:space="0"/>
          <w:bottom w:val="none" w:color="000000" w:sz="4" w:space="0"/>
          <w:right w:val="none" w:color="000000" w:sz="4" w:space="0"/>
        </w:pBdr>
        <w:shd w:val="clear" w:color="ffffff" w:fill="ffffff"/>
        <w:spacing w:after="60" w:before="60" w:line="264" w:lineRule="auto"/>
        <w:ind w:right="0" w:firstLine="284" w:left="0"/>
        <w:jc w:val="both"/>
        <w:rPr/>
      </w:pPr>
      <w:r>
        <w:rPr>
          <w:rFonts w:ascii="Times New Roman" w:hAnsi="Times New Roman" w:eastAsia="Times New Roman" w:cs="Times New Roman"/>
          <w:color w:val="000000"/>
          <w:sz w:val="24"/>
          <w:highlight w:val="white"/>
        </w:rPr>
        <w:t xml:space="preserve">Bước sang năm 2026, thị trường bất động sản Đà Nẵng được dự báo tiếp tục duy trì xu hướng tăng trưởng tích cực, song khó xảy ra kịch bản bùng nổ đồng loạt.</w:t>
      </w:r>
      <w:r/>
    </w:p>
    <w:p>
      <w:pPr>
        <w:pBdr>
          <w:top w:val="none" w:color="000000" w:sz="4" w:space="0"/>
          <w:left w:val="none" w:color="000000" w:sz="4" w:space="0"/>
          <w:bottom w:val="none" w:color="000000" w:sz="4" w:space="0"/>
          <w:right w:val="none" w:color="000000" w:sz="4" w:space="0"/>
        </w:pBdr>
        <w:shd w:val="clear" w:color="ffffff" w:fill="ffffff"/>
        <w:spacing w:after="60" w:before="60" w:line="264" w:lineRule="auto"/>
        <w:ind w:right="0" w:firstLine="284" w:left="0"/>
        <w:jc w:val="both"/>
        <w:rPr/>
      </w:pPr>
      <w:r>
        <w:rPr>
          <w:rFonts w:ascii="Times New Roman" w:hAnsi="Times New Roman" w:eastAsia="Times New Roman" w:cs="Times New Roman"/>
          <w:color w:val="000000"/>
          <w:sz w:val="24"/>
          <w:highlight w:val="white"/>
        </w:rPr>
        <w:t xml:space="preserve">Theo ông Đoàn Thanh Phong, Tổng Giám đốc Công ty CP Đầu tư Bất động sản Dana, động lực của giai đoạn tới đến từ những yếu tố mang tính nền tảng, như Đà Nẵng trong tiến trình trở thành Trung tâm tài chính quốc tế, các khu thương mại tự do bắt đầu được triển</w:t>
      </w:r>
      <w:r>
        <w:rPr>
          <w:rFonts w:ascii="Times New Roman" w:hAnsi="Times New Roman" w:eastAsia="Times New Roman" w:cs="Times New Roman"/>
          <w:color w:val="000000"/>
          <w:sz w:val="24"/>
          <w:highlight w:val="white"/>
        </w:rPr>
        <w:t xml:space="preserve"> khai, cùng với đà phục hồi bền vững của ngành du lịch.</w:t>
      </w:r>
      <w:r/>
    </w:p>
    <w:p>
      <w:pPr>
        <w:pBdr>
          <w:top w:val="none" w:color="000000" w:sz="4" w:space="0"/>
          <w:left w:val="none" w:color="000000" w:sz="4" w:space="0"/>
          <w:bottom w:val="none" w:color="000000" w:sz="4" w:space="0"/>
          <w:right w:val="none" w:color="000000" w:sz="4" w:space="0"/>
        </w:pBdr>
        <w:shd w:val="clear" w:color="ffffff" w:fill="ffffff"/>
        <w:spacing w:after="60" w:before="60" w:line="264" w:lineRule="auto"/>
        <w:ind w:right="0" w:firstLine="284" w:left="0"/>
        <w:jc w:val="both"/>
        <w:rPr/>
      </w:pPr>
      <w:r>
        <w:rPr>
          <w:rFonts w:ascii="Times New Roman" w:hAnsi="Times New Roman" w:eastAsia="Times New Roman" w:cs="Times New Roman"/>
          <w:color w:val="000000"/>
          <w:sz w:val="24"/>
          <w:highlight w:val="white"/>
        </w:rPr>
        <w:t xml:space="preserve">Những yếu tố trên kéo theo nguồn nhân lực chất lượng cao, đội ngũ chuyên gia, kỹ sư và lao động có thu nhập tốt đến sinh sống và làm việc, qua đó thúc đẩy nhu cầu nhà ở.</w:t>
      </w:r>
      <w:r/>
    </w:p>
    <w:p>
      <w:pPr>
        <w:pBdr>
          <w:top w:val="none" w:color="000000" w:sz="4" w:space="0"/>
          <w:left w:val="none" w:color="000000" w:sz="4" w:space="0"/>
          <w:bottom w:val="none" w:color="000000" w:sz="4" w:space="0"/>
          <w:right w:val="none" w:color="000000" w:sz="4" w:space="0"/>
        </w:pBdr>
        <w:shd w:val="clear" w:color="ffffff" w:fill="ffffff"/>
        <w:spacing w:after="60" w:before="60" w:line="264" w:lineRule="auto"/>
        <w:ind w:right="0" w:firstLine="284" w:left="0"/>
        <w:jc w:val="both"/>
        <w:rPr/>
      </w:pPr>
      <w:r>
        <w:rPr>
          <w:rFonts w:ascii="Times New Roman" w:hAnsi="Times New Roman" w:eastAsia="Times New Roman" w:cs="Times New Roman"/>
          <w:color w:val="000000"/>
          <w:sz w:val="24"/>
          <w:highlight w:val="white"/>
        </w:rPr>
        <w:t xml:space="preserve">Ở phân khúc đất nền, quỹ đất trung tâm ngày càng hạn chế, trong khi các quy định mới không còn cho phép phân lô bán nền tràn lan. Thị trường hiện gần như không còn nguồn cung sơ cấp, giao dịch chủ yếu diễn ra trên thị trường thứ cấp, tại các dự án đã có sổ</w:t>
      </w:r>
      <w:r>
        <w:rPr>
          <w:rFonts w:ascii="Times New Roman" w:hAnsi="Times New Roman" w:eastAsia="Times New Roman" w:cs="Times New Roman"/>
          <w:color w:val="000000"/>
          <w:sz w:val="24"/>
          <w:highlight w:val="white"/>
        </w:rPr>
        <w:t xml:space="preserve"> hoặc từng “đóng băng” trước đây.</w:t>
      </w:r>
      <w:r/>
    </w:p>
    <w:p>
      <w:pPr>
        <w:pBdr>
          <w:top w:val="none" w:color="000000" w:sz="4" w:space="0"/>
          <w:left w:val="none" w:color="000000" w:sz="4" w:space="0"/>
          <w:bottom w:val="none" w:color="000000" w:sz="4" w:space="0"/>
          <w:right w:val="none" w:color="000000" w:sz="4" w:space="0"/>
        </w:pBdr>
        <w:shd w:val="clear" w:color="ffffff" w:fill="ffffff"/>
        <w:spacing w:after="60" w:before="60" w:line="264" w:lineRule="auto"/>
        <w:ind w:right="0" w:firstLine="284" w:left="0"/>
        <w:jc w:val="both"/>
        <w:rPr/>
      </w:pPr>
      <w:r>
        <w:rPr>
          <w:rFonts w:ascii="Times New Roman" w:hAnsi="Times New Roman" w:eastAsia="Times New Roman" w:cs="Times New Roman"/>
          <w:color w:val="000000"/>
          <w:sz w:val="24"/>
          <w:highlight w:val="white"/>
        </w:rPr>
        <w:t xml:space="preserve">Hai khu vực được đánh giá có dư địa tăng trưởng tốt là Tây Bắc Đà Nẵng và Đông Nam – giáp Bắc Quảng Nam (cũ). Tại Tây Bắc, các dự án Bàu Tràm Lakeside, Golden Hills City, hay sắp tới là Dragon City-Park hưởng lợi trực tiếp từ hệ sinh thái hạ tầng. Mặt bằng</w:t>
      </w:r>
      <w:r>
        <w:rPr>
          <w:rFonts w:ascii="Times New Roman" w:hAnsi="Times New Roman" w:eastAsia="Times New Roman" w:cs="Times New Roman"/>
          <w:color w:val="000000"/>
          <w:sz w:val="24"/>
          <w:highlight w:val="white"/>
        </w:rPr>
        <w:t xml:space="preserve"> giá 35–40 triệu đồng/m</w:t>
      </w:r>
      <w:r>
        <w:rPr>
          <w:rFonts w:ascii="Times New Roman" w:hAnsi="Times New Roman" w:eastAsia="Times New Roman" w:cs="Times New Roman"/>
          <w:color w:val="000000"/>
          <w:sz w:val="20"/>
          <w:highlight w:val="white"/>
          <w:vertAlign w:val="superscript"/>
        </w:rPr>
        <w:t xml:space="preserve">2 </w:t>
      </w:r>
      <w:r>
        <w:rPr>
          <w:rFonts w:ascii="Times New Roman" w:hAnsi="Times New Roman" w:eastAsia="Times New Roman" w:cs="Times New Roman"/>
          <w:color w:val="000000"/>
          <w:sz w:val="24"/>
          <w:highlight w:val="white"/>
        </w:rPr>
        <w:t xml:space="preserve">hiện vẫn “mềm” so với khu lõi, tạo dư địa tăng trưởng trong 2–3 năm tới.</w:t>
      </w:r>
      <w:r/>
    </w:p>
    <w:p>
      <w:pPr>
        <w:pBdr>
          <w:top w:val="none" w:color="000000" w:sz="4" w:space="0"/>
          <w:left w:val="none" w:color="000000" w:sz="4" w:space="0"/>
          <w:bottom w:val="none" w:color="000000" w:sz="4" w:space="0"/>
          <w:right w:val="none" w:color="000000" w:sz="4" w:space="0"/>
        </w:pBdr>
        <w:shd w:val="clear" w:color="ffffff" w:fill="ffffff"/>
        <w:spacing w:after="60" w:before="60" w:line="264" w:lineRule="auto"/>
        <w:ind w:right="0" w:firstLine="284" w:left="0"/>
        <w:jc w:val="both"/>
        <w:rPr/>
      </w:pPr>
      <w:r>
        <w:rPr>
          <w:rFonts w:ascii="Times New Roman" w:hAnsi="Times New Roman" w:eastAsia="Times New Roman" w:cs="Times New Roman"/>
          <w:color w:val="000000"/>
          <w:sz w:val="24"/>
          <w:highlight w:val="white"/>
        </w:rPr>
        <w:t xml:space="preserve">Ngược lại, các khu vực lõi như Hòa Xuân chủ yếu phục vụ nhu cầu ở thực, dư địa tăng giá không còn lớn và biến động giá chủ yếu đi theo lạm phát hoặc lãi suất.</w:t>
      </w:r>
      <w:r/>
    </w:p>
    <w:p>
      <w:pPr>
        <w:pBdr>
          <w:top w:val="none" w:color="000000" w:sz="4" w:space="0"/>
          <w:left w:val="none" w:color="000000" w:sz="4" w:space="0"/>
          <w:bottom w:val="none" w:color="000000" w:sz="4" w:space="0"/>
          <w:right w:val="none" w:color="000000" w:sz="4" w:space="0"/>
        </w:pBdr>
        <w:shd w:val="clear" w:color="ffffff" w:fill="ffffff"/>
        <w:spacing w:after="60" w:before="60" w:line="264" w:lineRule="auto"/>
        <w:ind w:right="0" w:firstLine="284" w:left="0"/>
        <w:jc w:val="both"/>
        <w:rPr/>
      </w:pPr>
      <w:r>
        <w:rPr>
          <w:rFonts w:ascii="Times New Roman" w:hAnsi="Times New Roman" w:eastAsia="Times New Roman" w:cs="Times New Roman"/>
          <w:color w:val="000000"/>
          <w:sz w:val="24"/>
          <w:highlight w:val="white"/>
        </w:rPr>
        <w:t xml:space="preserve">Giới chuyên gia nhìn nhận vấn đề của thị trường hiện nay không còn là “có nên đầu tư hay không”, mà là “đầu tư vào đâu và như thế nào”. Cơ hội vẫn hiện hữu, nhưng chỉ dành cho các sản phẩm có pháp lý rõ ràng, vị trí gắn với hạ tầng và khả năng vận hành thự</w:t>
      </w:r>
      <w:r>
        <w:rPr>
          <w:rFonts w:ascii="Times New Roman" w:hAnsi="Times New Roman" w:eastAsia="Times New Roman" w:cs="Times New Roman"/>
          <w:color w:val="000000"/>
          <w:sz w:val="24"/>
          <w:highlight w:val="white"/>
        </w:rPr>
        <w:t xml:space="preserve">c tế.</w:t>
      </w:r>
      <w:r/>
    </w:p>
    <w:p>
      <w:pPr>
        <w:pBdr>
          <w:top w:val="none" w:color="000000" w:sz="4" w:space="0"/>
          <w:left w:val="none" w:color="000000" w:sz="4" w:space="0"/>
          <w:bottom w:val="none" w:color="000000" w:sz="4" w:space="0"/>
          <w:right w:val="none" w:color="000000" w:sz="4" w:space="0"/>
        </w:pBdr>
        <w:shd w:val="clear" w:color="ffffff" w:fill="ffffff"/>
        <w:tabs>
          <w:tab w:val="left" w:leader="none" w:pos="426"/>
        </w:tabs>
        <w:spacing w:after="120" w:before="120" w:line="276" w:lineRule="auto"/>
        <w:ind w:right="0" w:firstLine="0" w:left="0"/>
        <w:jc w:val="center"/>
        <w:rPr/>
      </w:pPr>
      <w:r>
        <w:rPr>
          <w:rFonts w:ascii="Times New Roman" w:hAnsi="Times New Roman" w:eastAsia="Times New Roman" w:cs="Times New Roman"/>
          <w:i/>
          <w:color w:val="000000"/>
          <w:sz w:val="24"/>
          <w:highlight w:val="white"/>
        </w:rPr>
        <w:t xml:space="preserve">(Nguồn tham khảo: </w:t>
      </w:r>
      <w:r>
        <w:rPr>
          <w:rFonts w:ascii="Times New Roman" w:hAnsi="Times New Roman" w:eastAsia="Times New Roman" w:cs="Times New Roman"/>
          <w:i/>
          <w:color w:val="000000"/>
          <w:sz w:val="24"/>
        </w:rPr>
        <w:t xml:space="preserve">https://web.stockbiz.vn/News/2026/1/19/1854355/noi-soi-thi-truong-bat-dong-san-da-nang-2026.aspx</w:t>
      </w:r>
      <w:r>
        <w:rPr>
          <w:rFonts w:ascii="Times New Roman" w:hAnsi="Times New Roman" w:eastAsia="Times New Roman" w:cs="Times New Roman"/>
          <w:i/>
          <w:color w:val="000000"/>
          <w:sz w:val="24"/>
          <w:highlight w:val="white"/>
        </w:rPr>
        <w:t xml:space="preserve">)</w:t>
      </w:r>
      <w:r>
        <w:rPr>
          <w:rFonts w:ascii="Times New Roman" w:hAnsi="Times New Roman" w:eastAsia="Times New Roman" w:cs="Times New Roman"/>
          <w:sz w:val="24"/>
        </w:rPr>
      </w:r>
      <w:r/>
    </w:p>
    <w:p>
      <w:pPr>
        <w:pStyle w:val="1027"/>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Tên tài sản</w:t>
            </w:r>
            <w:r>
              <w:rPr>
                <w:b/>
                <w:bCs/>
                <w:color w:val="000000"/>
              </w:rPr>
            </w:r>
            <w:r>
              <w:rPr>
                <w:b/>
                <w:bCs/>
                <w:color w:val="000000"/>
              </w:rPr>
            </w:r>
          </w:p>
        </w:tc>
        <w:tc>
          <w:tcPr>
            <w:gridSpan w:val="4"/>
            <w:tcBorders/>
            <w:tcW w:w="8781" w:type="dxa"/>
            <w:vAlign w:val="center"/>
            <w:textDirection w:val="lrTb"/>
            <w:noWrap w:val="false"/>
          </w:tcPr>
          <w:p>
            <w:pPr>
              <w:pBdr/>
              <w:spacing/>
              <w:ind/>
              <w:jc w:val="both"/>
              <w:rPr>
                <w:b/>
                <w:bCs/>
                <w:color w:val="000000"/>
              </w:rPr>
            </w:pPr>
            <w:r>
              <w:rPr>
                <w:b/>
                <w:bCs/>
                <w:color w:val="000000"/>
              </w:rPr>
              <w:t xml:space="preserve">Quyền sử dụng đất tại Thửa đất số: 375, tờ bản đồ số: 119, </w:t>
            </w:r>
            <w:r>
              <w:rPr>
                <w:b/>
                <w:bCs/>
                <w:color w:val="000000"/>
              </w:rPr>
              <w:t xml:space="preserve">địa chỉ: K91/H43/10 Cù Chính Lan, phường Thanh Khê, TP Đà Nẵng theo Giấy chứng nhận quyền sử dụng đất số: AE 219160, số vào sổ cấp GCN: H 06592 do UBND quận Thanh Khê, thành phố Đà Nẵng cấp ngày 25/7/2006. Chủ tài sản là Ông Hồ Đắc Hồng và Bà Trần Thị Nga.</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Nội dung Thửa đất theo Hồ sơ pháp lý</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Thửa đất số:</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375</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Tờ bản đồ số:</w:t>
            </w:r>
            <w:r>
              <w:rPr>
                <w:color w:val="000000"/>
              </w:rPr>
            </w:r>
            <w:r>
              <w:rPr>
                <w:color w:val="000000"/>
              </w:rPr>
            </w:r>
          </w:p>
        </w:tc>
        <w:tc>
          <w:tcPr>
            <w:tcBorders/>
            <w:tcW w:w="2007" w:type="dxa"/>
            <w:vAlign w:val="center"/>
            <w:textDirection w:val="lrTb"/>
            <w:noWrap w:val="false"/>
          </w:tcPr>
          <w:p>
            <w:pPr>
              <w:pBdr/>
              <w:spacing/>
              <w:ind/>
              <w:jc w:val="center"/>
              <w:rPr>
                <w:color w:val="ee0000"/>
              </w:rPr>
            </w:pPr>
            <w:r>
              <w:rPr>
                <w:color w:val="000000" w:themeColor="text1"/>
              </w:rPr>
              <w:t xml:space="preserve">119</w:t>
            </w:r>
            <w:r>
              <w:rPr>
                <w:color w:val="ee0000"/>
              </w:rPr>
            </w:r>
            <w:r>
              <w:rPr>
                <w:color w:val="ee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Địa chỉ:</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t xml:space="preserve">K91/H43/10 Cù Chính Lan, phường Thanh Khê, TP Đà Nẵng</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 tích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45,7</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Hình thức sử dụng: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Sử dụng riêng</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Mục đích sử dụng:</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Đất ở tại đô thị</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Thời hạn sử dụng: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Lâu dài</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Nguồn gốc sử dụng đất:</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t xml:space="preserve">Nhận quyền sử dụng đất do chuyển nhượng quyền sử dụng đất</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Thông tin quy hoạch:</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r>
            <w:r>
              <w:rPr>
                <w:rFonts w:ascii="Times New Roman" w:hAnsi="Times New Roman" w:eastAsia="Times New Roman" w:cs="Times New Roman"/>
                <w:color w:val="000000"/>
                <w:sz w:val="24"/>
              </w:rPr>
              <w:t xml:space="preserve">Tại thời điểm thẩm định giá, Tổ thẩm định thu thập chưa thu thập được thông tin quy hoạch của thửa đất.</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Về đất:</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Vị trí; Giao thông: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Đường tiếp giáp chính:</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Đường bê tông rộng 2m</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Số mặt tiền:</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Tiếp giáp 01 mặt tiền</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jc w:val="both"/>
              <w:rPr>
                <w:color w:val="000000"/>
              </w:rPr>
            </w:pPr>
            <w:r>
              <w:rPr>
                <w:color w:val="000000"/>
              </w:rPr>
              <w:t xml:space="preserve">Mặt cắt đường/ngõ nhỏ nhất từ đường chính dẫn đến tài sản thẩm định giá</w:t>
            </w:r>
            <w:r>
              <w:rPr>
                <w:color w:val="000000"/>
              </w:rPr>
              <w:t xml:space="preserve"> (m)</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2,0</w:t>
            </w:r>
            <w:r>
              <w:rPr>
                <w:color w:val="000000"/>
              </w:rPr>
            </w:r>
            <w:r>
              <w:rPr>
                <w:color w:val="000000"/>
              </w:rPr>
            </w:r>
          </w:p>
        </w:tc>
        <w:tc>
          <w:tcPr>
            <w:tcBorders/>
            <w:tcW w:w="2126" w:type="dxa"/>
            <w:vAlign w:val="center"/>
            <w:textDirection w:val="lrTb"/>
            <w:noWrap w:val="false"/>
          </w:tcPr>
          <w:p>
            <w:pPr>
              <w:pBdr/>
              <w:spacing/>
              <w:ind/>
              <w:jc w:val="both"/>
              <w:rPr>
                <w:color w:val="000000"/>
              </w:rPr>
            </w:pPr>
            <w:r>
              <w:rPr>
                <w:color w:val="000000"/>
              </w:rPr>
              <w:t xml:space="preserve">Mặt cắt đường/ngõ trước mặt tài sản thẩm định giá</w:t>
            </w:r>
            <w:r>
              <w:rPr>
                <w:color w:val="000000"/>
              </w:rPr>
              <w:t xml:space="preserve"> (m)</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2,0</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Khoảng cách đến trục đường chính</w:t>
            </w:r>
            <w:r>
              <w:rPr>
                <w:color w:val="000000"/>
              </w:rPr>
              <w:t xml:space="preserve"> (m)</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themeColor="text1"/>
              </w:rPr>
              <w:t xml:space="preserve">Cách mặt tiền đường Cù Chính Lan khoảng khoảng 80m. Cách đường Điện Biên Phủ 216m. Cách UBND phường Thanh Khê khoảng 1,2km.</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Các hướng tiếp giáp:</w:t>
            </w:r>
            <w:r>
              <w:rPr>
                <w:color w:val="000000"/>
              </w:rPr>
            </w:r>
            <w:r>
              <w:rPr>
                <w:color w:val="000000"/>
              </w:rPr>
            </w:r>
          </w:p>
        </w:tc>
        <w:tc>
          <w:tcPr>
            <w:gridSpan w:val="3"/>
            <w:tcBorders/>
            <w:tcW w:w="6259" w:type="dxa"/>
            <w:vAlign w:val="center"/>
            <w:textDirection w:val="lrTb"/>
            <w:noWrap w:val="false"/>
          </w:tcPr>
          <w:p>
            <w:pPr>
              <w:pBdr/>
              <w:spacing/>
              <w:ind/>
              <w:rPr>
                <w:color w:val="000000" w:themeColor="text1"/>
              </w:rPr>
            </w:pPr>
            <w:r/>
            <w:bookmarkStart w:id="3" w:name="OLE_LINK1"/>
            <w:r>
              <w:rPr>
                <w:color w:val="000000" w:themeColor="text1"/>
              </w:rPr>
              <w:t xml:space="preserve">+ Hướng Tây Nam: Tiếp giáp đường bê tôgn rộng 2m;</w:t>
            </w:r>
            <w:r>
              <w:rPr>
                <w:color w:val="000000" w:themeColor="text1"/>
              </w:rPr>
            </w:r>
            <w:r>
              <w:rPr>
                <w:color w:val="000000" w:themeColor="text1"/>
              </w:rPr>
            </w:r>
          </w:p>
          <w:p>
            <w:pPr>
              <w:pBdr/>
              <w:spacing/>
              <w:ind/>
              <w:rPr>
                <w:color w:val="000000" w:themeColor="text1"/>
              </w:rPr>
            </w:pPr>
            <w:r>
              <w:rPr>
                <w:color w:val="000000" w:themeColor="text1"/>
              </w:rPr>
              <w:t xml:space="preserve">+ Các hướng khác: Tiếp giáp thửa đất khác.</w:t>
            </w:r>
            <w:bookmarkEnd w:id="3"/>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w:t xml:space="preserve">Vị trí trên bản đồ vệ tinh: </w:t>
            </w:r>
            <w:r>
              <w:rPr>
                <w:color w:val="000000"/>
              </w:rPr>
              <w:t xml:space="preserve">(</w:t>
            </w:r>
            <w:r>
              <w:rPr>
                <w:color w:val="000000"/>
              </w:rPr>
              <w:t xml:space="preserve">16.064416666667</w:t>
            </w:r>
            <w:r>
              <w:rPr>
                <w:color w:val="000000"/>
              </w:rPr>
              <w:t xml:space="preserve">, </w:t>
            </w:r>
            <w:r>
              <w:rPr>
                <w:color w:val="000000"/>
              </w:rPr>
              <w:t xml:space="preserve">108.18716666667</w:t>
            </w:r>
            <w:r>
              <w:rPr>
                <w:color w:val="000000"/>
              </w:rPr>
              <w:t xml:space="preserve">)</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jc w:val="center"/>
              <w:rPr>
                <w:color w:val="000000"/>
              </w:rPr>
            </w:pPr>
            <w:r>
              <w:rPr>
                <w:color w:val="000000"/>
              </w:rPr>
              <mc:AlternateContent>
                <mc:Choice Requires="wpg">
                  <w:drawing>
                    <wp:inline xmlns:wp="http://schemas.openxmlformats.org/drawingml/2006/wordprocessingDrawing" distT="0" distB="0" distL="0" distR="0">
                      <wp:extent cx="5327428" cy="2540000"/>
                      <wp:effectExtent l="0" t="0" r="0" b="0"/>
                      <wp:docPr id="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7"/>
                              <a:stretch/>
                            </pic:blipFill>
                            <pic:spPr bwMode="auto">
                              <a:xfrm>
                                <a:off x="0" y="0"/>
                                <a:ext cx="5327428" cy="2540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419.48pt;height:200.00pt;mso-wrap-distance-left:0.00pt;mso-wrap-distance-top:0.00pt;mso-wrap-distance-right:0.00pt;mso-wrap-distance-bottom:0.00pt;z-index:1;" stroked="false">
                      <v:imagedata r:id="rId17"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Diện tích; Kích thước; Hình dáng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 tích sử dụng riêng thực tế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45,7</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Diện tích sử dụng chung thực tế (m²):</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Mặt tiền (m):</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3,21</w:t>
            </w:r>
            <w:r>
              <w:rPr>
                <w:color w:val="000000"/>
              </w:rPr>
            </w:r>
            <w:r>
              <w:rPr>
                <w:color w:val="000000"/>
              </w:rPr>
            </w:r>
          </w:p>
        </w:tc>
        <w:tc>
          <w:tcPr>
            <w:tcBorders/>
            <w:tcW w:w="2126" w:type="dxa"/>
            <w:vAlign w:val="center"/>
            <w:textDirection w:val="lrTb"/>
            <w:noWrap w:val="false"/>
          </w:tcPr>
          <w:p>
            <w:pPr>
              <w:pBdr/>
              <w:spacing/>
              <w:ind/>
              <w:rPr/>
            </w:pPr>
            <w:r>
              <w:t xml:space="preserve">Chiều sâu (m): </w:t>
            </w: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14,66</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Hình dáng:</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Tóp hậu</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Hướng: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Tây Nam</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Điều kiện kinh doanh; Hạ tầng nội bộ; Hạ tầng xung quanh</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 tầng nội bộ:</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t xml:space="preserve">Hạ tầng cấp nước: Nước máy, Hạ tầng thoát nước: Rãnh xây, Hạ tầng cấp điện: Điện lưới, Hạ tầng thông tin liên lạc: Điện thoại, Mạng internet, Truyền hình cáp</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 tầng xung quanh:</w:t>
            </w:r>
            <w:r>
              <w:rPr>
                <w:color w:val="000000"/>
              </w:rPr>
            </w:r>
            <w:r>
              <w:rPr>
                <w:color w:val="000000"/>
              </w:rPr>
            </w:r>
          </w:p>
        </w:tc>
        <w:tc>
          <w:tcPr>
            <w:gridSpan w:val="3"/>
            <w:tcBorders/>
            <w:tcW w:w="6259" w:type="dxa"/>
            <w:vAlign w:val="center"/>
            <w:textDirection w:val="lrTb"/>
            <w:noWrap w:val="false"/>
          </w:tcPr>
          <w:p>
            <w:pPr>
              <w:pBdr/>
              <w:spacing/>
              <w:ind/>
              <w:rPr>
                <w:color w:val="000000"/>
              </w:rPr>
            </w:pPr>
            <w:r>
              <w:rPr>
                <w:color w:val="000000"/>
              </w:rPr>
              <w:t xml:space="preserve">Môi trường trong lành, an ninh đảm bảo, dân trí tốt.</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Mật độ dân cư:</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Đông đúc</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Đời sống dân cư:</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Khá</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Lợi thế kinh doanh:</w:t>
            </w:r>
            <w:r>
              <w:rPr>
                <w:color w:val="000000"/>
              </w:rPr>
            </w:r>
            <w:r>
              <w:rPr>
                <w:color w:val="000000"/>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Trung bình</w:t>
            </w:r>
            <w:r>
              <w:rPr>
                <w:color w:val="000000" w:themeColor="text1"/>
              </w:rPr>
            </w:r>
            <w:r>
              <w:rPr>
                <w:color w:val="000000" w:themeColor="text1"/>
              </w:rPr>
            </w:r>
          </w:p>
        </w:tc>
        <w:tc>
          <w:tcPr>
            <w:tcBorders/>
            <w:tcW w:w="2126" w:type="dxa"/>
            <w:vAlign w:val="center"/>
            <w:textDirection w:val="lrTb"/>
            <w:noWrap w:val="false"/>
          </w:tcPr>
          <w:p>
            <w:pPr>
              <w:pBdr/>
              <w:spacing/>
              <w:ind/>
              <w:rPr>
                <w:color w:val="000000"/>
              </w:rPr>
            </w:pPr>
            <w:r>
              <w:rPr>
                <w:color w:val="000000"/>
              </w:rPr>
              <w:t xml:space="preserve">Khả năng chuyển nhượng: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Tài sản gắn liền với đất: Nhà cấp 4 + gác lửng.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 </w:t>
            </w:r>
            <w:r>
              <w:rPr>
                <w:color w:val="000000"/>
              </w:rPr>
            </w:r>
            <w:r>
              <w:rPr>
                <w:color w:val="000000"/>
              </w:rPr>
            </w:r>
          </w:p>
        </w:tc>
        <w:tc>
          <w:tcPr>
            <w:gridSpan w:val="4"/>
            <w:tcBorders/>
            <w:tcW w:w="8781" w:type="dxa"/>
            <w:textDirection w:val="lrTb"/>
            <w:noWrap w:val="false"/>
          </w:tcPr>
          <w:p>
            <w:pPr>
              <w:pBdr/>
              <w:spacing/>
              <w:ind/>
              <w:jc w:val="both"/>
              <w:rPr>
                <w:color w:val="000000"/>
              </w:rPr>
            </w:pPr>
            <w:r>
              <w:rPr>
                <w:color w:val="000000"/>
              </w:rPr>
              <w:t xml:space="preserve">Theo khảo sát hiện trạng và GCN, trên bất động sản là ngôi nhà cấp 4 + gác lửng (</w:t>
            </w:r>
            <w:r>
              <w:rPr>
                <w:i/>
                <w:iCs/>
                <w:color w:val="000000"/>
              </w:rPr>
              <w:t xml:space="preserve">DTXD = 45,1m</w:t>
            </w:r>
            <w:r>
              <w:rPr>
                <w:i/>
                <w:iCs/>
                <w:color w:val="000000"/>
                <w:vertAlign w:val="superscript"/>
              </w:rPr>
              <w:t xml:space="preserve">2</w:t>
            </w:r>
            <w:r>
              <w:rPr>
                <w:i/>
                <w:iCs/>
                <w:color w:val="000000"/>
              </w:rPr>
              <w:t xml:space="preserve">; DTSD = 70,9m</w:t>
            </w:r>
            <w:r>
              <w:rPr>
                <w:i/>
                <w:iCs/>
                <w:color w:val="000000"/>
                <w:vertAlign w:val="superscript"/>
              </w:rPr>
              <w:t xml:space="preserve">2</w:t>
            </w:r>
            <w:r>
              <w:rPr>
                <w:color w:val="000000"/>
              </w:rPr>
              <w:t xml:space="preserve">). Kết cấu: Mái tôn, sàn đúc, tường xây, nền gạch hoa. Hiện trạng, ngôi nhà đã xuống cấp, chủ tài sản chuẩn bị tháo dỡ và xây mới lại ngôi nhà.</w:t>
            </w:r>
            <w:r>
              <w:rPr>
                <w:color w:val="000000"/>
              </w:rPr>
            </w:r>
            <w:r>
              <w:rPr>
                <w:color w:val="000000"/>
              </w:rPr>
            </w:r>
          </w:p>
        </w:tc>
      </w:tr>
    </w:tbl>
    <w:p>
      <w:pPr>
        <w:pBdr/>
        <w:spacing w:line="235" w:lineRule="auto"/>
        <w:ind w:left="646"/>
        <w:jc w:val="both"/>
        <w:rPr>
          <w:u w:val="single"/>
        </w:rPr>
      </w:pPr>
      <w:r>
        <w:rPr>
          <w:u w:val="single"/>
        </w:rPr>
      </w:r>
      <w:r>
        <w:rPr>
          <w:u w:val="single"/>
        </w:rPr>
      </w:r>
      <w:r>
        <w:rPr>
          <w:u w:val="single"/>
        </w:rPr>
      </w:r>
    </w:p>
    <w:p>
      <w:pPr>
        <w:pBdr/>
        <w:spacing/>
        <w:ind/>
        <w:rPr>
          <w:b/>
          <w:bCs/>
          <w:shd w:val="clear" w:color="auto" w:fill="ffffff"/>
        </w:rPr>
      </w:pPr>
      <w:r>
        <w:rPr>
          <w:b/>
          <w:bCs/>
          <w:shd w:val="clear" w:color="auto" w:fill="ffffff"/>
        </w:rPr>
        <w:t xml:space="preserve">Bảng ghi chú thay đổi giữa khảo sát thực trạng và pháp lý tài sản</w:t>
      </w:r>
      <w:r>
        <w:rPr>
          <w:b/>
          <w:bCs/>
          <w:shd w:val="clear" w:color="auto" w:fill="ffffff"/>
        </w:rPr>
        <w:t xml:space="preserve">:</w:t>
      </w:r>
      <w:r>
        <w:rPr>
          <w:b/>
          <w:bCs/>
          <w:shd w:val="clear" w:color="auto" w:fill="ffffff"/>
        </w:rPr>
      </w:r>
      <w:r>
        <w:rPr>
          <w:b/>
          <w:bCs/>
          <w:shd w:val="clear" w:color="auto" w:fill="ffffff"/>
        </w:rPr>
      </w:r>
    </w:p>
    <w:p>
      <w:pPr>
        <w:pBdr/>
        <w:spacing/>
        <w:ind/>
        <w:rPr>
          <w:b/>
          <w:bCs/>
          <w:shd w:val="clear" w:color="auto" w:fill="ffffff"/>
        </w:rPr>
      </w:pPr>
      <w:r>
        <w:rPr>
          <w:b/>
          <w:bCs/>
          <w:shd w:val="clear" w:color="auto" w:fill="ffffff"/>
        </w:rPr>
      </w:r>
      <w:r>
        <w:rPr>
          <w:b/>
          <w:bCs/>
          <w:shd w:val="clear" w:color="auto" w:fill="ffffff"/>
        </w:rPr>
      </w:r>
      <w:r>
        <w:rPr>
          <w:b/>
          <w:bCs/>
          <w:shd w:val="clear" w:color="auto" w:fill="ffffff"/>
        </w:rPr>
      </w:r>
    </w:p>
    <w:tbl>
      <w:tblPr>
        <w:tblStyle w:val="1031"/>
        <w:jc w:val="center"/>
        <w:tblW w:w="0" w:type="auto"/>
        <w:tblBorders/>
        <w:tblLook w:val="04A0" w:firstRow="1" w:lastRow="0" w:firstColumn="1" w:lastColumn="0" w:noHBand="0" w:noVBand="1"/>
      </w:tblPr>
      <w:tblGrid>
        <w:gridCol w:w="1167"/>
        <w:gridCol w:w="1662"/>
        <w:gridCol w:w="1443"/>
        <w:gridCol w:w="1484"/>
        <w:gridCol w:w="1660"/>
        <w:gridCol w:w="2099"/>
      </w:tblGrid>
      <w:tr>
        <w:trPr>
          <w:jc w:val="center"/>
        </w:trPr>
        <w:tc>
          <w:tcPr>
            <w:tcBorders/>
            <w:tcW w:w="1167" w:type="dxa"/>
            <w:vAlign w:val="center"/>
            <w:textDirection w:val="lrTb"/>
            <w:noWrap w:val="false"/>
          </w:tcPr>
          <w:p>
            <w:pPr>
              <w:pBdr/>
              <w:spacing/>
              <w:ind/>
              <w:jc w:val="center"/>
              <w:rPr>
                <w:b/>
                <w:bCs/>
              </w:rPr>
            </w:pPr>
            <w:r>
              <w:rPr>
                <w:b/>
                <w:bCs/>
              </w:rPr>
              <w:t xml:space="preserve">STT</w:t>
            </w:r>
            <w:r>
              <w:rPr>
                <w:b/>
                <w:bCs/>
              </w:rPr>
            </w:r>
            <w:r>
              <w:rPr>
                <w:b/>
                <w:bCs/>
              </w:rPr>
            </w:r>
          </w:p>
        </w:tc>
        <w:tc>
          <w:tcPr>
            <w:tcBorders/>
            <w:tcW w:w="1663" w:type="dxa"/>
            <w:vAlign w:val="center"/>
            <w:textDirection w:val="lrTb"/>
            <w:noWrap w:val="false"/>
          </w:tcPr>
          <w:p>
            <w:pPr>
              <w:pBdr/>
              <w:spacing/>
              <w:ind/>
              <w:jc w:val="center"/>
              <w:rPr>
                <w:b/>
                <w:bCs/>
              </w:rPr>
            </w:pPr>
            <w:r>
              <w:rPr>
                <w:b/>
                <w:bCs/>
              </w:rPr>
              <w:t xml:space="preserve">Các yếu tố</w:t>
            </w:r>
            <w:r>
              <w:rPr>
                <w:b/>
                <w:bCs/>
              </w:rPr>
            </w:r>
            <w:r>
              <w:rPr>
                <w:b/>
                <w:bCs/>
              </w:rPr>
            </w:r>
          </w:p>
        </w:tc>
        <w:tc>
          <w:tcPr>
            <w:tcBorders/>
            <w:tcW w:w="1560" w:type="dxa"/>
            <w:vAlign w:val="center"/>
            <w:textDirection w:val="lrTb"/>
            <w:noWrap w:val="false"/>
          </w:tcPr>
          <w:p>
            <w:pPr>
              <w:pBdr/>
              <w:spacing/>
              <w:ind/>
              <w:jc w:val="center"/>
              <w:rPr>
                <w:b/>
                <w:bCs/>
              </w:rPr>
            </w:pPr>
            <w:r>
              <w:rPr>
                <w:b/>
                <w:bCs/>
              </w:rPr>
              <w:t xml:space="preserve">Thông tin TSTĐ</w:t>
            </w:r>
            <w:r>
              <w:rPr>
                <w:b/>
                <w:bCs/>
              </w:rPr>
            </w:r>
            <w:r>
              <w:rPr>
                <w:b/>
                <w:bCs/>
              </w:rPr>
            </w:r>
          </w:p>
        </w:tc>
        <w:tc>
          <w:tcPr>
            <w:tcBorders/>
            <w:tcW w:w="1605" w:type="dxa"/>
            <w:vAlign w:val="center"/>
            <w:textDirection w:val="lrTb"/>
            <w:noWrap w:val="false"/>
          </w:tcPr>
          <w:p>
            <w:pPr>
              <w:pBdr/>
              <w:spacing/>
              <w:ind/>
              <w:jc w:val="center"/>
              <w:rPr>
                <w:b/>
                <w:bCs/>
              </w:rPr>
            </w:pPr>
            <w:r>
              <w:rPr>
                <w:b/>
                <w:bCs/>
              </w:rPr>
              <w:t xml:space="preserve">Thông tin khảo sát</w:t>
            </w:r>
            <w:r>
              <w:rPr>
                <w:b/>
                <w:bCs/>
              </w:rPr>
            </w:r>
            <w:r>
              <w:rPr>
                <w:b/>
                <w:bCs/>
              </w:rPr>
            </w:r>
          </w:p>
        </w:tc>
        <w:tc>
          <w:tcPr>
            <w:tcBorders/>
            <w:tcW w:w="1371" w:type="dxa"/>
            <w:vAlign w:val="center"/>
            <w:textDirection w:val="lrTb"/>
            <w:noWrap w:val="false"/>
          </w:tcPr>
          <w:p>
            <w:pPr>
              <w:pBdr/>
              <w:spacing/>
              <w:ind/>
              <w:jc w:val="center"/>
              <w:rPr>
                <w:b/>
                <w:bCs/>
              </w:rPr>
            </w:pPr>
            <w:r>
              <w:rPr>
                <w:b/>
                <w:bCs/>
              </w:rPr>
              <w:t xml:space="preserve">Chênh lệch</w:t>
            </w:r>
            <w:r>
              <w:rPr>
                <w:b/>
                <w:bCs/>
              </w:rPr>
            </w:r>
            <w:r>
              <w:rPr>
                <w:b/>
                <w:bCs/>
              </w:rPr>
            </w:r>
          </w:p>
        </w:tc>
        <w:tc>
          <w:tcPr>
            <w:tcBorders/>
            <w:tcW w:w="2149" w:type="dxa"/>
            <w:vAlign w:val="center"/>
            <w:textDirection w:val="lrTb"/>
            <w:noWrap w:val="false"/>
          </w:tcPr>
          <w:p>
            <w:pPr>
              <w:pBdr/>
              <w:spacing/>
              <w:ind/>
              <w:jc w:val="center"/>
              <w:rPr>
                <w:b/>
                <w:bCs/>
              </w:rPr>
            </w:pPr>
            <w:r>
              <w:rPr>
                <w:b/>
                <w:bCs/>
              </w:rPr>
              <w:t xml:space="preserve">Nguyên nhân</w:t>
            </w:r>
            <w:r>
              <w:rPr>
                <w:b/>
                <w:bCs/>
              </w:rPr>
            </w:r>
            <w:r>
              <w:rPr>
                <w:b/>
                <w:bCs/>
              </w:rPr>
            </w:r>
          </w:p>
        </w:tc>
      </w:tr>
      <w:tr>
        <w:trPr>
          <w:jc w:val="center"/>
        </w:trPr>
        <w:tc>
          <w:tcPr>
            <w:tcBorders/>
            <w:tcW w:w="1167" w:type="dxa"/>
            <w:vAlign w:val="center"/>
            <w:textDirection w:val="lrTb"/>
            <w:noWrap w:val="false"/>
          </w:tcPr>
          <w:p>
            <w:pPr>
              <w:pBdr/>
              <w:spacing/>
              <w:ind/>
              <w:jc w:val="center"/>
              <w:rPr/>
            </w:pPr>
            <w:r>
              <w:t xml:space="preserve">1</w:t>
            </w:r>
            <w:r/>
          </w:p>
        </w:tc>
        <w:tc>
          <w:tcPr>
            <w:tcBorders/>
            <w:tcW w:w="1663" w:type="dxa"/>
            <w:vAlign w:val="center"/>
            <w:textDirection w:val="lrTb"/>
            <w:noWrap w:val="false"/>
          </w:tcPr>
          <w:p>
            <w:pPr>
              <w:pBdr/>
              <w:spacing/>
              <w:ind/>
              <w:jc w:val="center"/>
              <w:rPr/>
            </w:pPr>
            <w:r>
              <w:t xml:space="preserve">Địa chỉ trên sổ</w:t>
            </w:r>
            <w:r/>
          </w:p>
        </w:tc>
        <w:tc>
          <w:tcPr>
            <w:tcBorders/>
            <w:tcW w:w="1560" w:type="dxa"/>
            <w:vAlign w:val="center"/>
            <w:textDirection w:val="lrTb"/>
            <w:noWrap w:val="false"/>
          </w:tcPr>
          <w:p>
            <w:pPr>
              <w:pBdr/>
              <w:spacing/>
              <w:ind/>
              <w:jc w:val="center"/>
              <w:rPr/>
            </w:pPr>
            <w:r>
              <w:t xml:space="preserve">K91/H43/10 Cù Chính Lan, phường Thanh Khê, TP Đà Nẵng</w:t>
            </w:r>
            <w:r/>
          </w:p>
        </w:tc>
        <w:tc>
          <w:tcPr>
            <w:tcBorders/>
            <w:tcW w:w="1605" w:type="dxa"/>
            <w:vAlign w:val="center"/>
            <w:textDirection w:val="lrTb"/>
            <w:noWrap w:val="false"/>
          </w:tcPr>
          <w:p>
            <w:pPr>
              <w:pBdr/>
              <w:spacing/>
              <w:ind/>
              <w:jc w:val="center"/>
              <w:rPr/>
            </w:pPr>
            <w:r>
              <w:t xml:space="preserve">K91/H43/10 Cù Chính Lan, phường Thanh Khê, TP Đà Nẵng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2</w:t>
            </w:r>
            <w:r/>
          </w:p>
        </w:tc>
        <w:tc>
          <w:tcPr>
            <w:tcBorders/>
            <w:tcW w:w="1663" w:type="dxa"/>
            <w:vAlign w:val="center"/>
            <w:textDirection w:val="lrTb"/>
            <w:noWrap w:val="false"/>
          </w:tcPr>
          <w:p>
            <w:pPr>
              <w:pBdr/>
              <w:spacing/>
              <w:ind/>
              <w:jc w:val="center"/>
              <w:rPr/>
            </w:pPr>
            <w:r>
              <w:t xml:space="preserve">Địa chỉ thực tế</w:t>
            </w:r>
            <w:r/>
          </w:p>
        </w:tc>
        <w:tc>
          <w:tcPr>
            <w:tcBorders/>
            <w:tcW w:w="1560" w:type="dxa"/>
            <w:vAlign w:val="center"/>
            <w:textDirection w:val="lrTb"/>
            <w:noWrap w:val="false"/>
          </w:tcPr>
          <w:p>
            <w:pPr>
              <w:pBdr/>
              <w:spacing/>
              <w:ind/>
              <w:jc w:val="center"/>
              <w:rPr/>
            </w:pPr>
            <w:r>
              <w:t xml:space="preserve">K91/H43/10 Cù Chính Lan, phường Thanh Khê, TP Đà Nẵng</w:t>
            </w:r>
            <w:r/>
          </w:p>
        </w:tc>
        <w:tc>
          <w:tcPr>
            <w:tcBorders/>
            <w:tcW w:w="1605" w:type="dxa"/>
            <w:vAlign w:val="center"/>
            <w:textDirection w:val="lrTb"/>
            <w:noWrap w:val="false"/>
          </w:tcPr>
          <w:p>
            <w:pPr>
              <w:pBdr/>
              <w:spacing/>
              <w:ind/>
              <w:jc w:val="center"/>
              <w:rPr/>
            </w:pPr>
            <w:r>
              <w:t xml:space="preserve">K91/H43/10 Cù Chính Lan, phường Thanh Khê, TP Đà Nẵng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3</w:t>
            </w:r>
            <w:r/>
          </w:p>
        </w:tc>
        <w:tc>
          <w:tcPr>
            <w:tcBorders/>
            <w:tcW w:w="1663" w:type="dxa"/>
            <w:vAlign w:val="center"/>
            <w:textDirection w:val="lrTb"/>
            <w:noWrap w:val="false"/>
          </w:tcPr>
          <w:p>
            <w:pPr>
              <w:pBdr/>
              <w:spacing/>
              <w:ind/>
              <w:jc w:val="center"/>
              <w:rPr/>
            </w:pPr>
            <w:r>
              <w:t xml:space="preserve">Pháp lý</w:t>
            </w:r>
            <w:r/>
          </w:p>
        </w:tc>
        <w:tc>
          <w:tcPr>
            <w:tcBorders/>
            <w:tcW w:w="1560" w:type="dxa"/>
            <w:vAlign w:val="center"/>
            <w:textDirection w:val="lrTb"/>
            <w:noWrap w:val="false"/>
          </w:tcPr>
          <w:p>
            <w:pPr>
              <w:pBdr/>
              <w:spacing/>
              <w:ind/>
              <w:jc w:val="center"/>
              <w:rPr/>
            </w:pPr>
            <w:r>
              <w:t xml:space="preserve">Giấy chứng nhận quyền sử dụng đất</w:t>
            </w:r>
            <w:r/>
          </w:p>
        </w:tc>
        <w:tc>
          <w:tcPr>
            <w:tcBorders/>
            <w:tcW w:w="1605" w:type="dxa"/>
            <w:vAlign w:val="center"/>
            <w:textDirection w:val="lrTb"/>
            <w:noWrap w:val="false"/>
          </w:tcPr>
          <w:p>
            <w:pPr>
              <w:pBdr/>
              <w:spacing/>
              <w:ind/>
              <w:jc w:val="center"/>
              <w:rPr/>
            </w:pPr>
            <w:r>
              <w:t xml:space="preserve">Giấy chứng nhận quyền sử dụng đất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4</w:t>
            </w:r>
            <w:r/>
          </w:p>
        </w:tc>
        <w:tc>
          <w:tcPr>
            <w:tcBorders/>
            <w:tcW w:w="1663" w:type="dxa"/>
            <w:vAlign w:val="center"/>
            <w:textDirection w:val="lrTb"/>
            <w:noWrap w:val="false"/>
          </w:tcPr>
          <w:p>
            <w:pPr>
              <w:pBdr/>
              <w:spacing/>
              <w:ind/>
              <w:jc w:val="center"/>
              <w:rPr/>
            </w:pPr>
            <w:r>
              <w:t xml:space="preserve">Loại đất</w:t>
            </w:r>
            <w:r/>
          </w:p>
        </w:tc>
        <w:tc>
          <w:tcPr>
            <w:tcBorders/>
            <w:tcW w:w="1560" w:type="dxa"/>
            <w:vAlign w:val="center"/>
            <w:textDirection w:val="lrTb"/>
            <w:noWrap w:val="false"/>
          </w:tcPr>
          <w:p>
            <w:pPr>
              <w:pBdr/>
              <w:spacing/>
              <w:ind/>
              <w:jc w:val="center"/>
              <w:rPr/>
            </w:pPr>
            <w:r>
              <w:t xml:space="preserve">Đất ở tại đô thị</w:t>
            </w:r>
            <w:r/>
          </w:p>
        </w:tc>
        <w:tc>
          <w:tcPr>
            <w:tcBorders/>
            <w:tcW w:w="1605" w:type="dxa"/>
            <w:vAlign w:val="center"/>
            <w:textDirection w:val="lrTb"/>
            <w:noWrap w:val="false"/>
          </w:tcPr>
          <w:p>
            <w:pPr>
              <w:pBdr/>
              <w:spacing/>
              <w:ind/>
              <w:jc w:val="center"/>
              <w:rPr/>
            </w:pPr>
            <w:r>
              <w:t xml:space="preserve">Đất ở tại đô thị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5</w:t>
            </w:r>
            <w:r/>
          </w:p>
        </w:tc>
        <w:tc>
          <w:tcPr>
            <w:tcBorders/>
            <w:tcW w:w="1663" w:type="dxa"/>
            <w:vAlign w:val="center"/>
            <w:textDirection w:val="lrTb"/>
            <w:noWrap w:val="false"/>
          </w:tcPr>
          <w:p>
            <w:pPr>
              <w:pBdr/>
              <w:spacing/>
              <w:ind/>
              <w:jc w:val="center"/>
              <w:rPr/>
            </w:pPr>
            <w:r>
              <w:t xml:space="preserve">Thời hạn sử dụng</w:t>
            </w:r>
            <w:r/>
          </w:p>
        </w:tc>
        <w:tc>
          <w:tcPr>
            <w:tcBorders/>
            <w:tcW w:w="1560" w:type="dxa"/>
            <w:vAlign w:val="center"/>
            <w:textDirection w:val="lrTb"/>
            <w:noWrap w:val="false"/>
          </w:tcPr>
          <w:p>
            <w:pPr>
              <w:pBdr/>
              <w:spacing/>
              <w:ind/>
              <w:jc w:val="center"/>
              <w:rPr/>
            </w:pPr>
            <w:r>
              <w:t xml:space="preserve">Lâu dài</w:t>
            </w:r>
            <w:r/>
          </w:p>
        </w:tc>
        <w:tc>
          <w:tcPr>
            <w:tcBorders/>
            <w:tcW w:w="1605" w:type="dxa"/>
            <w:vAlign w:val="center"/>
            <w:textDirection w:val="lrTb"/>
            <w:noWrap w:val="false"/>
          </w:tcPr>
          <w:p>
            <w:pPr>
              <w:pBdr/>
              <w:spacing/>
              <w:ind/>
              <w:jc w:val="center"/>
              <w:rPr/>
            </w:pPr>
            <w:r>
              <w:t xml:space="preserve">Lâu dài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6</w:t>
            </w:r>
            <w:r/>
          </w:p>
        </w:tc>
        <w:tc>
          <w:tcPr>
            <w:tcBorders/>
            <w:tcW w:w="1663" w:type="dxa"/>
            <w:vAlign w:val="center"/>
            <w:textDirection w:val="lrTb"/>
            <w:noWrap w:val="false"/>
          </w:tcPr>
          <w:p>
            <w:pPr>
              <w:pBdr/>
              <w:spacing/>
              <w:ind/>
              <w:jc w:val="center"/>
              <w:rPr/>
            </w:pPr>
            <w:r>
              <w:t xml:space="preserve">Vị trí</w:t>
            </w:r>
            <w:r/>
          </w:p>
        </w:tc>
        <w:tc>
          <w:tcPr>
            <w:tcBorders/>
            <w:tcW w:w="1560" w:type="dxa"/>
            <w:vAlign w:val="center"/>
            <w:textDirection w:val="lrTb"/>
            <w:noWrap w:val="false"/>
          </w:tcPr>
          <w:p>
            <w:pPr>
              <w:pBdr/>
              <w:spacing/>
              <w:ind/>
              <w:jc w:val="center"/>
              <w:rPr/>
            </w:pPr>
            <w:r>
              <w:t xml:space="preserve">VT4</w:t>
            </w:r>
            <w:r/>
          </w:p>
        </w:tc>
        <w:tc>
          <w:tcPr>
            <w:tcBorders/>
            <w:tcW w:w="1605" w:type="dxa"/>
            <w:vAlign w:val="center"/>
            <w:textDirection w:val="lrTb"/>
            <w:noWrap w:val="false"/>
          </w:tcPr>
          <w:p>
            <w:pPr>
              <w:pBdr/>
              <w:spacing/>
              <w:ind/>
              <w:jc w:val="center"/>
              <w:rPr/>
            </w:pPr>
            <w:r>
              <w:t xml:space="preserve">VT4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7</w:t>
            </w:r>
            <w:r/>
          </w:p>
        </w:tc>
        <w:tc>
          <w:tcPr>
            <w:tcBorders/>
            <w:tcW w:w="1663" w:type="dxa"/>
            <w:vAlign w:val="center"/>
            <w:textDirection w:val="lrTb"/>
            <w:noWrap w:val="false"/>
          </w:tcPr>
          <w:p>
            <w:pPr>
              <w:pBdr/>
              <w:spacing/>
              <w:ind/>
              <w:jc w:val="center"/>
              <w:rPr/>
            </w:pPr>
            <w:r>
              <w:t xml:space="preserve">Kết cấu mặt đường</w:t>
            </w:r>
            <w:r/>
          </w:p>
        </w:tc>
        <w:tc>
          <w:tcPr>
            <w:tcBorders/>
            <w:tcW w:w="1560" w:type="dxa"/>
            <w:vAlign w:val="center"/>
            <w:textDirection w:val="lrTb"/>
            <w:noWrap w:val="false"/>
          </w:tcPr>
          <w:p>
            <w:pPr>
              <w:pBdr/>
              <w:spacing/>
              <w:ind/>
              <w:jc w:val="center"/>
              <w:rPr/>
            </w:pPr>
            <w:r>
              <w:t xml:space="preserve">Đường bê tông</w:t>
            </w:r>
            <w:r/>
          </w:p>
        </w:tc>
        <w:tc>
          <w:tcPr>
            <w:tcBorders/>
            <w:tcW w:w="1605" w:type="dxa"/>
            <w:vAlign w:val="center"/>
            <w:textDirection w:val="lrTb"/>
            <w:noWrap w:val="false"/>
          </w:tcPr>
          <w:p>
            <w:pPr>
              <w:pBdr/>
              <w:spacing/>
              <w:ind/>
              <w:jc w:val="center"/>
              <w:rPr/>
            </w:pPr>
            <w:r>
              <w:t xml:space="preserve">Đường bê tông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8</w:t>
            </w:r>
            <w:r/>
          </w:p>
        </w:tc>
        <w:tc>
          <w:tcPr>
            <w:tcBorders/>
            <w:tcW w:w="1663" w:type="dxa"/>
            <w:vAlign w:val="center"/>
            <w:textDirection w:val="lrTb"/>
            <w:noWrap w:val="false"/>
          </w:tcPr>
          <w:p>
            <w:pPr>
              <w:pBdr/>
              <w:spacing/>
              <w:ind/>
              <w:jc w:val="center"/>
              <w:rPr/>
            </w:pPr>
            <w:r>
              <w:t xml:space="preserve">Mặt cắt đường trước nhà</w:t>
            </w:r>
            <w:r/>
          </w:p>
        </w:tc>
        <w:tc>
          <w:tcPr>
            <w:tcBorders/>
            <w:tcW w:w="1560" w:type="dxa"/>
            <w:vAlign w:val="center"/>
            <w:textDirection w:val="lrTb"/>
            <w:noWrap w:val="false"/>
          </w:tcPr>
          <w:p>
            <w:pPr>
              <w:pBdr/>
              <w:spacing/>
              <w:ind/>
              <w:jc w:val="center"/>
              <w:rPr/>
            </w:pPr>
            <w:r>
              <w:t xml:space="preserve">2,0</w:t>
            </w:r>
            <w:r/>
          </w:p>
        </w:tc>
        <w:tc>
          <w:tcPr>
            <w:tcBorders/>
            <w:tcW w:w="1605" w:type="dxa"/>
            <w:vAlign w:val="center"/>
            <w:textDirection w:val="lrTb"/>
            <w:noWrap w:val="false"/>
          </w:tcPr>
          <w:p>
            <w:pPr>
              <w:pBdr/>
              <w:spacing/>
              <w:ind/>
              <w:jc w:val="center"/>
              <w:rPr/>
            </w:pPr>
            <w:r>
              <w:t xml:space="preserve">2,0 ✔</w:t>
            </w:r>
            <w:r/>
          </w:p>
        </w:tc>
        <w:tc>
          <w:tcPr>
            <w:tcBorders/>
            <w:tcW w:w="1371" w:type="dxa"/>
            <w:vAlign w:val="center"/>
            <w:textDirection w:val="lrTb"/>
            <w:noWrap w:val="false"/>
          </w:tcPr>
          <w:p>
            <w:pPr>
              <w:pBdr/>
              <w:spacing/>
              <w:ind/>
              <w:jc w:val="center"/>
              <w:rPr/>
            </w:pPr>
            <w:r>
              <w:t xml:space="preserve">0</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9</w:t>
            </w:r>
            <w:r/>
          </w:p>
        </w:tc>
        <w:tc>
          <w:tcPr>
            <w:tcBorders/>
            <w:tcW w:w="1663" w:type="dxa"/>
            <w:vAlign w:val="center"/>
            <w:textDirection w:val="lrTb"/>
            <w:noWrap w:val="false"/>
          </w:tcPr>
          <w:p>
            <w:pPr>
              <w:pBdr/>
              <w:spacing/>
              <w:ind/>
              <w:jc w:val="center"/>
              <w:rPr/>
            </w:pPr>
            <w:r>
              <w:t xml:space="preserve">Cơ sở hạ tầng kỹ thuật</w:t>
            </w:r>
            <w:r/>
          </w:p>
        </w:tc>
        <w:tc>
          <w:tcPr>
            <w:tcBorders/>
            <w:tcW w:w="1560" w:type="dxa"/>
            <w:vAlign w:val="center"/>
            <w:textDirection w:val="lrTb"/>
            <w:noWrap w:val="false"/>
          </w:tcPr>
          <w:p>
            <w:pPr>
              <w:pBdr/>
              <w:spacing/>
              <w:ind/>
              <w:jc w:val="center"/>
              <w:rPr/>
            </w:pPr>
            <w:r>
              <w:t xml:space="preserve">Hạ tầng khu dân cư thông thường</w:t>
            </w:r>
            <w:r/>
          </w:p>
        </w:tc>
        <w:tc>
          <w:tcPr>
            <w:tcBorders/>
            <w:tcW w:w="1605" w:type="dxa"/>
            <w:vAlign w:val="center"/>
            <w:textDirection w:val="lrTb"/>
            <w:noWrap w:val="false"/>
          </w:tcPr>
          <w:p>
            <w:pPr>
              <w:pBdr/>
              <w:spacing/>
              <w:ind/>
              <w:jc w:val="center"/>
              <w:rPr/>
            </w:pPr>
            <w:r>
              <w:t xml:space="preserve">Hạ tầng khu dân cư thông thường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10</w:t>
            </w:r>
            <w:r/>
          </w:p>
        </w:tc>
        <w:tc>
          <w:tcPr>
            <w:tcBorders/>
            <w:tcW w:w="1663" w:type="dxa"/>
            <w:vAlign w:val="center"/>
            <w:textDirection w:val="lrTb"/>
            <w:noWrap w:val="false"/>
          </w:tcPr>
          <w:p>
            <w:pPr>
              <w:pBdr/>
              <w:spacing/>
              <w:ind/>
              <w:jc w:val="center"/>
              <w:rPr/>
            </w:pPr>
            <w:r>
              <w:t xml:space="preserve">Môi trường, an ninh</w:t>
            </w:r>
            <w:r/>
          </w:p>
        </w:tc>
        <w:tc>
          <w:tcPr>
            <w:tcBorders/>
            <w:tcW w:w="1560" w:type="dxa"/>
            <w:vAlign w:val="center"/>
            <w:textDirection w:val="lrTb"/>
            <w:noWrap w:val="false"/>
          </w:tcPr>
          <w:p>
            <w:pPr>
              <w:pBdr/>
              <w:spacing/>
              <w:ind/>
              <w:jc w:val="center"/>
              <w:rPr/>
            </w:pPr>
            <w:r>
              <w:t xml:space="preserve">Tốt</w:t>
            </w:r>
            <w:r/>
          </w:p>
        </w:tc>
        <w:tc>
          <w:tcPr>
            <w:tcBorders/>
            <w:tcW w:w="1605" w:type="dxa"/>
            <w:vAlign w:val="center"/>
            <w:textDirection w:val="lrTb"/>
            <w:noWrap w:val="false"/>
          </w:tcPr>
          <w:p>
            <w:pPr>
              <w:pBdr/>
              <w:spacing/>
              <w:ind/>
              <w:jc w:val="center"/>
              <w:rPr/>
            </w:pPr>
            <w:r>
              <w:t xml:space="preserve">Tốt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11</w:t>
            </w:r>
            <w:r/>
          </w:p>
        </w:tc>
        <w:tc>
          <w:tcPr>
            <w:tcBorders/>
            <w:tcW w:w="1663" w:type="dxa"/>
            <w:vAlign w:val="center"/>
            <w:textDirection w:val="lrTb"/>
            <w:noWrap w:val="false"/>
          </w:tcPr>
          <w:p>
            <w:pPr>
              <w:pBdr/>
              <w:spacing/>
              <w:ind/>
              <w:jc w:val="center"/>
              <w:rPr/>
            </w:pPr>
            <w:r>
              <w:t xml:space="preserve">Diện tích</w:t>
            </w:r>
            <w:r/>
          </w:p>
        </w:tc>
        <w:tc>
          <w:tcPr>
            <w:tcBorders/>
            <w:tcW w:w="1560" w:type="dxa"/>
            <w:vAlign w:val="center"/>
            <w:textDirection w:val="lrTb"/>
            <w:noWrap w:val="false"/>
          </w:tcPr>
          <w:p>
            <w:pPr>
              <w:pBdr/>
              <w:spacing/>
              <w:ind/>
              <w:jc w:val="center"/>
              <w:rPr/>
            </w:pPr>
            <w:r>
              <w:t xml:space="preserve">45,7</w:t>
            </w:r>
            <w:r/>
          </w:p>
        </w:tc>
        <w:tc>
          <w:tcPr>
            <w:tcBorders/>
            <w:tcW w:w="1605" w:type="dxa"/>
            <w:vAlign w:val="center"/>
            <w:textDirection w:val="lrTb"/>
            <w:noWrap w:val="false"/>
          </w:tcPr>
          <w:p>
            <w:pPr>
              <w:pBdr/>
              <w:spacing/>
              <w:ind/>
              <w:jc w:val="center"/>
              <w:rPr/>
            </w:pPr>
            <w:r>
              <w:t xml:space="preserve">45,7 ✔</w:t>
            </w:r>
            <w:r/>
          </w:p>
        </w:tc>
        <w:tc>
          <w:tcPr>
            <w:tcBorders/>
            <w:tcW w:w="1371" w:type="dxa"/>
            <w:vAlign w:val="center"/>
            <w:textDirection w:val="lrTb"/>
            <w:noWrap w:val="false"/>
          </w:tcPr>
          <w:p>
            <w:pPr>
              <w:pBdr/>
              <w:spacing/>
              <w:ind/>
              <w:jc w:val="center"/>
              <w:rPr/>
            </w:pPr>
            <w:r>
              <w:t xml:space="preserve">0</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12</w:t>
            </w:r>
            <w:r/>
          </w:p>
        </w:tc>
        <w:tc>
          <w:tcPr>
            <w:tcBorders/>
            <w:tcW w:w="1663" w:type="dxa"/>
            <w:vAlign w:val="center"/>
            <w:textDirection w:val="lrTb"/>
            <w:noWrap w:val="false"/>
          </w:tcPr>
          <w:p>
            <w:pPr>
              <w:pBdr/>
              <w:spacing/>
              <w:ind/>
              <w:jc w:val="center"/>
              <w:rPr/>
            </w:pPr>
            <w:r>
              <w:t xml:space="preserve">Mặt tiền</w:t>
            </w:r>
            <w:r/>
          </w:p>
        </w:tc>
        <w:tc>
          <w:tcPr>
            <w:tcBorders/>
            <w:tcW w:w="1560" w:type="dxa"/>
            <w:vAlign w:val="center"/>
            <w:textDirection w:val="lrTb"/>
            <w:noWrap w:val="false"/>
          </w:tcPr>
          <w:p>
            <w:pPr>
              <w:pBdr/>
              <w:spacing/>
              <w:ind/>
              <w:jc w:val="center"/>
              <w:rPr/>
            </w:pPr>
            <w:r>
              <w:t xml:space="preserve">3,21</w:t>
            </w:r>
            <w:r/>
          </w:p>
        </w:tc>
        <w:tc>
          <w:tcPr>
            <w:tcBorders/>
            <w:tcW w:w="1605" w:type="dxa"/>
            <w:vAlign w:val="center"/>
            <w:textDirection w:val="lrTb"/>
            <w:noWrap w:val="false"/>
          </w:tcPr>
          <w:p>
            <w:pPr>
              <w:pBdr/>
              <w:spacing/>
              <w:ind/>
              <w:jc w:val="center"/>
              <w:rPr/>
            </w:pPr>
            <w:r>
              <w:t xml:space="preserve">3,21 ✔</w:t>
            </w:r>
            <w:r/>
          </w:p>
        </w:tc>
        <w:tc>
          <w:tcPr>
            <w:tcBorders/>
            <w:tcW w:w="1371" w:type="dxa"/>
            <w:vAlign w:val="center"/>
            <w:textDirection w:val="lrTb"/>
            <w:noWrap w:val="false"/>
          </w:tcPr>
          <w:p>
            <w:pPr>
              <w:pBdr/>
              <w:spacing/>
              <w:ind/>
              <w:jc w:val="center"/>
              <w:rPr/>
            </w:pPr>
            <w:r>
              <w:t xml:space="preserve">0</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13</w:t>
            </w:r>
            <w:r/>
          </w:p>
        </w:tc>
        <w:tc>
          <w:tcPr>
            <w:tcBorders/>
            <w:tcW w:w="1663" w:type="dxa"/>
            <w:vAlign w:val="center"/>
            <w:textDirection w:val="lrTb"/>
            <w:noWrap w:val="false"/>
          </w:tcPr>
          <w:p>
            <w:pPr>
              <w:pBdr/>
              <w:spacing/>
              <w:ind/>
              <w:jc w:val="center"/>
              <w:rPr/>
            </w:pPr>
            <w:r>
              <w:t xml:space="preserve">Chiều sâu</w:t>
            </w:r>
            <w:r/>
          </w:p>
        </w:tc>
        <w:tc>
          <w:tcPr>
            <w:tcBorders/>
            <w:tcW w:w="1560" w:type="dxa"/>
            <w:vAlign w:val="center"/>
            <w:textDirection w:val="lrTb"/>
            <w:noWrap w:val="false"/>
          </w:tcPr>
          <w:p>
            <w:pPr>
              <w:pBdr/>
              <w:spacing/>
              <w:ind/>
              <w:jc w:val="center"/>
              <w:rPr/>
            </w:pPr>
            <w:r>
              <w:t xml:space="preserve">14,66 ✔</w:t>
            </w:r>
            <w:r/>
          </w:p>
        </w:tc>
        <w:tc>
          <w:tcPr>
            <w:tcBorders/>
            <w:tcW w:w="1605" w:type="dxa"/>
            <w:vAlign w:val="center"/>
            <w:textDirection w:val="lrTb"/>
            <w:noWrap w:val="false"/>
          </w:tcPr>
          <w:p>
            <w:pPr>
              <w:pBdr/>
              <w:spacing/>
              <w:ind/>
              <w:jc w:val="center"/>
              <w:rPr/>
            </w:pPr>
            <w:r>
              <w:t xml:space="preserve">14,66</w:t>
            </w:r>
            <w:r/>
          </w:p>
        </w:tc>
        <w:tc>
          <w:tcPr>
            <w:tcBorders/>
            <w:tcW w:w="1371" w:type="dxa"/>
            <w:vAlign w:val="center"/>
            <w:textDirection w:val="lrTb"/>
            <w:noWrap w:val="false"/>
          </w:tcPr>
          <w:p>
            <w:pPr>
              <w:pBdr/>
              <w:spacing/>
              <w:ind/>
              <w:jc w:val="center"/>
              <w:rPr/>
            </w:pPr>
            <w:r>
              <w:t xml:space="preserve">0</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14</w:t>
            </w:r>
            <w:r/>
          </w:p>
        </w:tc>
        <w:tc>
          <w:tcPr>
            <w:tcBorders/>
            <w:tcW w:w="1663" w:type="dxa"/>
            <w:vAlign w:val="center"/>
            <w:textDirection w:val="lrTb"/>
            <w:noWrap w:val="false"/>
          </w:tcPr>
          <w:p>
            <w:pPr>
              <w:pBdr/>
              <w:spacing/>
              <w:ind/>
              <w:jc w:val="center"/>
              <w:rPr/>
            </w:pPr>
            <w:r>
              <w:t xml:space="preserve">Mặt tiếp giáp</w:t>
            </w:r>
            <w:r/>
          </w:p>
        </w:tc>
        <w:tc>
          <w:tcPr>
            <w:tcBorders/>
            <w:tcW w:w="1560" w:type="dxa"/>
            <w:vAlign w:val="center"/>
            <w:textDirection w:val="lrTb"/>
            <w:noWrap w:val="false"/>
          </w:tcPr>
          <w:p>
            <w:pPr>
              <w:pBdr/>
              <w:spacing/>
              <w:ind/>
              <w:jc w:val="center"/>
              <w:rPr/>
            </w:pPr>
            <w:r>
              <w:t xml:space="preserve">Tiếp giáp 1 mặt tiền</w:t>
            </w:r>
            <w:r/>
          </w:p>
        </w:tc>
        <w:tc>
          <w:tcPr>
            <w:tcBorders/>
            <w:tcW w:w="1605" w:type="dxa"/>
            <w:vAlign w:val="center"/>
            <w:textDirection w:val="lrTb"/>
            <w:noWrap w:val="false"/>
          </w:tcPr>
          <w:p>
            <w:pPr>
              <w:pBdr/>
              <w:spacing/>
              <w:ind/>
              <w:jc w:val="center"/>
              <w:rPr/>
            </w:pPr>
            <w:r>
              <w:t xml:space="preserve">Tiếp giáp 1 mặt tiền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15</w:t>
            </w:r>
            <w:r/>
          </w:p>
        </w:tc>
        <w:tc>
          <w:tcPr>
            <w:tcBorders/>
            <w:tcW w:w="1663" w:type="dxa"/>
            <w:vAlign w:val="center"/>
            <w:textDirection w:val="lrTb"/>
            <w:noWrap w:val="false"/>
          </w:tcPr>
          <w:p>
            <w:pPr>
              <w:pBdr/>
              <w:spacing/>
              <w:ind/>
              <w:jc w:val="center"/>
              <w:rPr/>
            </w:pPr>
            <w:r>
              <w:t xml:space="preserve">Hình dạng thửa đất</w:t>
            </w:r>
            <w:r/>
          </w:p>
        </w:tc>
        <w:tc>
          <w:tcPr>
            <w:tcBorders/>
            <w:tcW w:w="1560" w:type="dxa"/>
            <w:vAlign w:val="center"/>
            <w:textDirection w:val="lrTb"/>
            <w:noWrap w:val="false"/>
          </w:tcPr>
          <w:p>
            <w:pPr>
              <w:pBdr/>
              <w:spacing/>
              <w:ind/>
              <w:jc w:val="center"/>
              <w:rPr/>
            </w:pPr>
            <w:r>
              <w:t xml:space="preserve">Tóp hậu</w:t>
            </w:r>
            <w:r/>
          </w:p>
        </w:tc>
        <w:tc>
          <w:tcPr>
            <w:tcBorders/>
            <w:tcW w:w="1605" w:type="dxa"/>
            <w:vAlign w:val="center"/>
            <w:textDirection w:val="lrTb"/>
            <w:noWrap w:val="false"/>
          </w:tcPr>
          <w:p>
            <w:pPr>
              <w:pBdr/>
              <w:spacing/>
              <w:ind/>
              <w:jc w:val="center"/>
              <w:rPr/>
            </w:pPr>
            <w:r>
              <w:t xml:space="preserve">Thóp hậu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16</w:t>
            </w:r>
            <w:r/>
          </w:p>
        </w:tc>
        <w:tc>
          <w:tcPr>
            <w:tcBorders/>
            <w:tcW w:w="1663" w:type="dxa"/>
            <w:vAlign w:val="center"/>
            <w:textDirection w:val="lrTb"/>
            <w:noWrap w:val="false"/>
          </w:tcPr>
          <w:p>
            <w:pPr>
              <w:pBdr/>
              <w:spacing/>
              <w:ind/>
              <w:jc w:val="center"/>
              <w:rPr/>
            </w:pPr>
            <w:r>
              <w:t xml:space="preserve">Hướng</w:t>
            </w:r>
            <w:r/>
          </w:p>
        </w:tc>
        <w:tc>
          <w:tcPr>
            <w:tcBorders/>
            <w:tcW w:w="1560" w:type="dxa"/>
            <w:vAlign w:val="center"/>
            <w:textDirection w:val="lrTb"/>
            <w:noWrap w:val="false"/>
          </w:tcPr>
          <w:p>
            <w:pPr>
              <w:pBdr/>
              <w:spacing/>
              <w:ind/>
              <w:jc w:val="center"/>
              <w:rPr/>
            </w:pPr>
            <w:r>
              <w:t xml:space="preserve">Tây Nam</w:t>
            </w:r>
            <w:r/>
          </w:p>
        </w:tc>
        <w:tc>
          <w:tcPr>
            <w:tcBorders/>
            <w:tcW w:w="1605" w:type="dxa"/>
            <w:vAlign w:val="center"/>
            <w:textDirection w:val="lrTb"/>
            <w:noWrap w:val="false"/>
          </w:tcPr>
          <w:p>
            <w:pPr>
              <w:pBdr/>
              <w:spacing/>
              <w:ind/>
              <w:jc w:val="center"/>
              <w:rPr/>
            </w:pPr>
            <w:r>
              <w:t xml:space="preserve">Tây Nam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17</w:t>
            </w:r>
            <w:r/>
          </w:p>
        </w:tc>
        <w:tc>
          <w:tcPr>
            <w:tcBorders/>
            <w:tcW w:w="1663" w:type="dxa"/>
            <w:vAlign w:val="center"/>
            <w:textDirection w:val="lrTb"/>
            <w:noWrap w:val="false"/>
          </w:tcPr>
          <w:p>
            <w:pPr>
              <w:pBdr/>
              <w:spacing/>
              <w:ind/>
              <w:jc w:val="center"/>
              <w:rPr/>
            </w:pPr>
            <w:r>
              <w:t xml:space="preserve">Cảnh quan</w:t>
            </w:r>
            <w:r/>
          </w:p>
        </w:tc>
        <w:tc>
          <w:tcPr>
            <w:tcBorders/>
            <w:tcW w:w="1560" w:type="dxa"/>
            <w:vAlign w:val="center"/>
            <w:textDirection w:val="lrTb"/>
            <w:noWrap w:val="false"/>
          </w:tcPr>
          <w:p>
            <w:pPr>
              <w:pBdr/>
              <w:spacing/>
              <w:ind/>
              <w:jc w:val="center"/>
              <w:rPr/>
            </w:pPr>
            <w:r>
              <w:t xml:space="preserve">View khu dân cư ✔</w:t>
            </w:r>
            <w:r/>
          </w:p>
        </w:tc>
        <w:tc>
          <w:tcPr>
            <w:tcBorders/>
            <w:tcW w:w="1605" w:type="dxa"/>
            <w:vAlign w:val="center"/>
            <w:textDirection w:val="lrTb"/>
            <w:noWrap w:val="false"/>
          </w:tcPr>
          <w:p>
            <w:pPr>
              <w:pBdr/>
              <w:spacing/>
              <w:ind/>
              <w:jc w:val="center"/>
              <w:rPr/>
            </w:pPr>
            <w:r>
              <w:t xml:space="preserve">View khu dân cư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18</w:t>
            </w:r>
            <w:r/>
          </w:p>
        </w:tc>
        <w:tc>
          <w:tcPr>
            <w:tcBorders/>
            <w:tcW w:w="1663" w:type="dxa"/>
            <w:vAlign w:val="center"/>
            <w:textDirection w:val="lrTb"/>
            <w:noWrap w:val="false"/>
          </w:tcPr>
          <w:p>
            <w:pPr>
              <w:pBdr/>
              <w:spacing/>
              <w:ind/>
              <w:jc w:val="center"/>
              <w:rPr/>
            </w:pPr>
            <w:r>
              <w:t xml:space="preserve">Lợi thế kinh doanh</w:t>
            </w:r>
            <w:r/>
          </w:p>
        </w:tc>
        <w:tc>
          <w:tcPr>
            <w:tcBorders/>
            <w:tcW w:w="1560" w:type="dxa"/>
            <w:vAlign w:val="center"/>
            <w:textDirection w:val="lrTb"/>
            <w:noWrap w:val="false"/>
          </w:tcPr>
          <w:p>
            <w:pPr>
              <w:pBdr/>
              <w:spacing/>
              <w:ind/>
              <w:jc w:val="center"/>
              <w:rPr/>
            </w:pPr>
            <w:r>
              <w:t xml:space="preserve">Trung bình ✔</w:t>
            </w:r>
            <w:r/>
          </w:p>
        </w:tc>
        <w:tc>
          <w:tcPr>
            <w:tcBorders/>
            <w:tcW w:w="1605" w:type="dxa"/>
            <w:vAlign w:val="center"/>
            <w:textDirection w:val="lrTb"/>
            <w:noWrap w:val="false"/>
          </w:tcPr>
          <w:p>
            <w:pPr>
              <w:pBdr/>
              <w:spacing/>
              <w:ind/>
              <w:jc w:val="center"/>
              <w:rPr/>
            </w:pPr>
            <w:r>
              <w:t xml:space="preserve">Trung bình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19</w:t>
            </w:r>
            <w:r/>
          </w:p>
        </w:tc>
        <w:tc>
          <w:tcPr>
            <w:tcBorders/>
            <w:tcW w:w="1663" w:type="dxa"/>
            <w:vAlign w:val="center"/>
            <w:textDirection w:val="lrTb"/>
            <w:noWrap w:val="false"/>
          </w:tcPr>
          <w:p>
            <w:pPr>
              <w:pBdr/>
              <w:spacing/>
              <w:ind/>
              <w:jc w:val="center"/>
              <w:rPr/>
            </w:pPr>
            <w:r>
              <w:t xml:space="preserve">Lợi thế thương mại</w:t>
            </w:r>
            <w:r/>
          </w:p>
        </w:tc>
        <w:tc>
          <w:tcPr>
            <w:tcBorders/>
            <w:tcW w:w="1560" w:type="dxa"/>
            <w:vAlign w:val="center"/>
            <w:textDirection w:val="lrTb"/>
            <w:noWrap w:val="false"/>
          </w:tcPr>
          <w:p>
            <w:pPr>
              <w:pBdr/>
              <w:spacing/>
              <w:ind/>
              <w:jc w:val="center"/>
              <w:rPr/>
            </w:pPr>
            <w:r>
              <w:t xml:space="preserve">Không có lợi thế thương mại ✔</w:t>
            </w:r>
            <w:r/>
          </w:p>
        </w:tc>
        <w:tc>
          <w:tcPr>
            <w:tcBorders/>
            <w:tcW w:w="1605" w:type="dxa"/>
            <w:vAlign w:val="center"/>
            <w:textDirection w:val="lrTb"/>
            <w:noWrap w:val="false"/>
          </w:tcPr>
          <w:p>
            <w:pPr>
              <w:pBdr/>
              <w:spacing/>
              <w:ind/>
              <w:jc w:val="center"/>
              <w:rPr/>
            </w:pPr>
            <w:r>
              <w:t xml:space="preserve">Không có lợi thế thương mại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20</w:t>
            </w:r>
            <w:r/>
          </w:p>
        </w:tc>
        <w:tc>
          <w:tcPr>
            <w:tcBorders/>
            <w:tcW w:w="1663" w:type="dxa"/>
            <w:vAlign w:val="center"/>
            <w:textDirection w:val="lrTb"/>
            <w:noWrap w:val="false"/>
          </w:tcPr>
          <w:p>
            <w:pPr>
              <w:pBdr/>
              <w:spacing/>
              <w:ind/>
              <w:jc w:val="center"/>
              <w:rPr/>
            </w:pPr>
            <w:r>
              <w:t xml:space="preserve">Bất lợi thương mại</w:t>
            </w:r>
            <w:r/>
          </w:p>
        </w:tc>
        <w:tc>
          <w:tcPr>
            <w:tcBorders/>
            <w:tcW w:w="1560" w:type="dxa"/>
            <w:vAlign w:val="center"/>
            <w:textDirection w:val="lrTb"/>
            <w:noWrap w:val="false"/>
          </w:tcPr>
          <w:p>
            <w:pPr>
              <w:pBdr/>
              <w:spacing/>
              <w:ind/>
              <w:jc w:val="center"/>
              <w:rPr/>
            </w:pPr>
            <w:r>
              <w:t xml:space="preserve">Ngõ cụt</w:t>
            </w:r>
            <w:r/>
          </w:p>
        </w:tc>
        <w:tc>
          <w:tcPr>
            <w:tcBorders/>
            <w:tcW w:w="1605" w:type="dxa"/>
            <w:vAlign w:val="center"/>
            <w:textDirection w:val="lrTb"/>
            <w:noWrap w:val="false"/>
          </w:tcPr>
          <w:p>
            <w:pPr>
              <w:pBdr/>
              <w:spacing/>
              <w:ind/>
              <w:jc w:val="center"/>
              <w:rPr/>
            </w:pPr>
            <w:r>
              <w:t xml:space="preserve">Ngõ cụt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lợi thế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737"/>
        <w:gridCol w:w="6094"/>
        <w:gridCol w:w="1276"/>
        <w:gridCol w:w="1417"/>
      </w:tblGrid>
      <w:tr>
        <w:trPr>
          <w:cantSplit/>
          <w:tblCellSpacing w:w="0" w:type="dxa"/>
          <w:trHeight w:val="300"/>
          <w:tblHeader/>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6094" w:type="dxa"/>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1276" w:type="dxa"/>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417" w:type="dxa"/>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6094" w:type="dxa"/>
            <w:vAlign w:val="center"/>
            <w:textDirection w:val="lrTb"/>
            <w:noWrap w:val="false"/>
          </w:tcPr>
          <w:p>
            <w:pPr>
              <w:widowControl w:val="false"/>
              <w:pBdr/>
              <w:spacing w:line="235" w:lineRule="auto"/>
              <w:ind/>
              <w:jc w:val="both"/>
              <w:rPr>
                <w:lang w:eastAsia="ko-KR"/>
              </w:rPr>
            </w:pPr>
            <w:r>
              <w:rPr>
                <w:lang w:eastAsia="ko-KR"/>
              </w:rPr>
              <w:t xml:space="preserve">Đất/Tài sản bám biển</w:t>
            </w:r>
            <w:r>
              <w:rPr>
                <w:lang w:eastAsia="ko-KR"/>
              </w:rPr>
            </w:r>
            <w:r>
              <w:rPr>
                <w:lang w:eastAsia="ko-KR"/>
              </w:rPr>
            </w:r>
          </w:p>
        </w:tc>
        <w:tc>
          <w:tcPr>
            <w:tcBorders/>
            <w:tcW w:w="1276"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417" w:type="dxa"/>
            <w:vAlign w:val="center"/>
            <w:textDirection w:val="lrTb"/>
            <w:noWrap w:val="false"/>
          </w:tcPr>
          <w:p>
            <w:pPr>
              <w:widowControl w:val="false"/>
              <w:pBdr/>
              <w:spacing w:line="235" w:lineRule="auto"/>
              <w:ind w:left="144"/>
              <w:jc w:val="both"/>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6094" w:type="dxa"/>
            <w:vAlign w:val="center"/>
            <w:textDirection w:val="lrTb"/>
            <w:noWrap w:val="false"/>
          </w:tcPr>
          <w:p>
            <w:pPr>
              <w:widowControl w:val="false"/>
              <w:pBdr/>
              <w:spacing w:line="235" w:lineRule="auto"/>
              <w:ind/>
              <w:jc w:val="both"/>
              <w:rPr>
                <w:lang w:eastAsia="ko-KR"/>
              </w:rPr>
            </w:pPr>
            <w:r>
              <w:rPr>
                <w:lang w:eastAsia="ko-KR"/>
              </w:rPr>
              <w:t xml:space="preserve">Đất bám hồ (Diện tích &gt;=5ha thì được coi là hồ)</w:t>
            </w:r>
            <w:r>
              <w:rPr>
                <w:lang w:eastAsia="ko-KR"/>
              </w:rPr>
            </w:r>
            <w:r>
              <w:rPr>
                <w:lang w:eastAsia="ko-KR"/>
              </w:rPr>
            </w:r>
          </w:p>
        </w:tc>
        <w:tc>
          <w:tcPr>
            <w:tcBorders/>
            <w:tcW w:w="1276"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417" w:type="dxa"/>
            <w:vAlign w:val="center"/>
            <w:textDirection w:val="lrTb"/>
            <w:noWrap w:val="false"/>
          </w:tcPr>
          <w:p>
            <w:pPr>
              <w:widowControl w:val="false"/>
              <w:pBdr/>
              <w:spacing w:line="235" w:lineRule="auto"/>
              <w:ind w:left="144"/>
              <w:jc w:val="both"/>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6094" w:type="dxa"/>
            <w:vAlign w:val="center"/>
            <w:textDirection w:val="lrTb"/>
            <w:noWrap w:val="false"/>
          </w:tcPr>
          <w:p>
            <w:pPr>
              <w:widowControl w:val="false"/>
              <w:pBdr/>
              <w:spacing w:line="235" w:lineRule="auto"/>
              <w:ind/>
              <w:jc w:val="both"/>
              <w:rPr>
                <w:lang w:eastAsia="ko-KR"/>
              </w:rPr>
            </w:pPr>
            <w:r>
              <w:rPr>
                <w:lang w:eastAsia="ko-KR"/>
              </w:rPr>
              <w:t xml:space="preserve">Bám đầm, ao lớn thuộc sở hữu nhà nước (ao lớn - S=0.5</w:t>
            </w:r>
            <w:r>
              <w:rPr>
                <w:lang w:eastAsia="ko-KR"/>
              </w:rPr>
              <w:t xml:space="preserve">ha)&lt;</w:t>
            </w:r>
            <w:r>
              <w:rPr>
                <w:lang w:eastAsia="ko-KR"/>
              </w:rPr>
              <w:t xml:space="preserve">5ha</w:t>
            </w:r>
            <w:r>
              <w:rPr>
                <w:lang w:eastAsia="ko-KR"/>
              </w:rPr>
            </w:r>
            <w:r>
              <w:rPr>
                <w:lang w:eastAsia="ko-KR"/>
              </w:rPr>
            </w:r>
          </w:p>
        </w:tc>
        <w:tc>
          <w:tcPr>
            <w:tcBorders/>
            <w:tcW w:w="1276"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417" w:type="dxa"/>
            <w:vAlign w:val="center"/>
            <w:textDirection w:val="lrTb"/>
            <w:noWrap w:val="false"/>
          </w:tcPr>
          <w:p>
            <w:pPr>
              <w:widowControl w:val="false"/>
              <w:pBdr/>
              <w:spacing w:line="235" w:lineRule="auto"/>
              <w:ind w:left="144"/>
              <w:jc w:val="both"/>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6094" w:type="dxa"/>
            <w:vAlign w:val="center"/>
            <w:textDirection w:val="lrTb"/>
            <w:noWrap w:val="false"/>
          </w:tcPr>
          <w:p>
            <w:pPr>
              <w:widowControl w:val="false"/>
              <w:pBdr/>
              <w:spacing w:line="235" w:lineRule="auto"/>
              <w:ind/>
              <w:jc w:val="both"/>
              <w:rPr>
                <w:lang w:eastAsia="ko-KR"/>
              </w:rPr>
            </w:pPr>
            <w:r>
              <w:rPr>
                <w:lang w:eastAsia="ko-KR"/>
              </w:rPr>
              <w:t xml:space="preserve">Thế đất tọa sơn hướng thủy 'hậu tựa núi, trước view sông, hồ, đầm', view thoáng, không bị che khuất, loại đất rất được ưa chuộng nghỉ dưỡng, nhà nghỉ cao cấp</w:t>
            </w:r>
            <w:r>
              <w:rPr>
                <w:lang w:eastAsia="ko-KR"/>
              </w:rPr>
            </w:r>
            <w:r>
              <w:rPr>
                <w:lang w:eastAsia="ko-KR"/>
              </w:rPr>
            </w:r>
          </w:p>
        </w:tc>
        <w:tc>
          <w:tcPr>
            <w:tcBorders/>
            <w:tcW w:w="1276"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417" w:type="dxa"/>
            <w:vAlign w:val="center"/>
            <w:textDirection w:val="lrTb"/>
            <w:noWrap w:val="false"/>
          </w:tcPr>
          <w:p>
            <w:pPr>
              <w:widowControl w:val="false"/>
              <w:pBdr/>
              <w:spacing w:line="235" w:lineRule="auto"/>
              <w:ind w:left="144"/>
              <w:jc w:val="both"/>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6094" w:type="dxa"/>
            <w:vAlign w:val="center"/>
            <w:textDirection w:val="lrTb"/>
            <w:noWrap w:val="false"/>
          </w:tcPr>
          <w:p>
            <w:pPr>
              <w:widowControl w:val="false"/>
              <w:pBdr/>
              <w:spacing w:line="235" w:lineRule="auto"/>
              <w:ind/>
              <w:jc w:val="both"/>
              <w:rPr>
                <w:lang w:eastAsia="ko-KR"/>
              </w:rPr>
            </w:pPr>
            <w:r>
              <w:rPr>
                <w:lang w:eastAsia="ko-KR"/>
              </w:rPr>
              <w:t xml:space="preserve">View hồ sông, sông, suối, đầm, ao lớn (S=0.5ha), ruộng lúa, đồi núi xa, ngắm hoàng hôn, bình minh xa soi mặt nước, thơ mộng</w:t>
            </w:r>
            <w:r>
              <w:rPr>
                <w:lang w:eastAsia="ko-KR"/>
              </w:rPr>
            </w:r>
            <w:r>
              <w:rPr>
                <w:lang w:eastAsia="ko-KR"/>
              </w:rPr>
            </w:r>
          </w:p>
        </w:tc>
        <w:tc>
          <w:tcPr>
            <w:tcBorders/>
            <w:tcW w:w="1276"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417" w:type="dxa"/>
            <w:vAlign w:val="center"/>
            <w:textDirection w:val="lrTb"/>
            <w:noWrap w:val="false"/>
          </w:tcPr>
          <w:p>
            <w:pPr>
              <w:widowControl w:val="false"/>
              <w:pBdr/>
              <w:spacing w:line="235" w:lineRule="auto"/>
              <w:ind w:left="144"/>
              <w:jc w:val="both"/>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6094" w:type="dxa"/>
            <w:vAlign w:val="center"/>
            <w:textDirection w:val="lrTb"/>
            <w:noWrap w:val="false"/>
          </w:tcPr>
          <w:p>
            <w:pPr>
              <w:widowControl w:val="false"/>
              <w:pBdr/>
              <w:spacing w:line="235" w:lineRule="auto"/>
              <w:ind/>
              <w:jc w:val="both"/>
              <w:rPr>
                <w:lang w:eastAsia="ko-KR"/>
              </w:rPr>
            </w:pPr>
            <w:r>
              <w:rPr>
                <w:lang w:eastAsia="ko-KR"/>
              </w:rPr>
              <w:t xml:space="preserve">Đường vào thoáng không đâm thẳng cửa chính 'Thế tránh tiễn khí'</w:t>
            </w:r>
            <w:r>
              <w:rPr>
                <w:lang w:eastAsia="ko-KR"/>
              </w:rPr>
            </w:r>
            <w:r>
              <w:rPr>
                <w:lang w:eastAsia="ko-KR"/>
              </w:rPr>
            </w:r>
          </w:p>
        </w:tc>
        <w:tc>
          <w:tcPr>
            <w:tcBorders/>
            <w:tcW w:w="1276"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417" w:type="dxa"/>
            <w:vAlign w:val="center"/>
            <w:textDirection w:val="lrTb"/>
            <w:noWrap w:val="false"/>
          </w:tcPr>
          <w:p>
            <w:pPr>
              <w:widowControl w:val="false"/>
              <w:pBdr/>
              <w:spacing w:line="235" w:lineRule="auto"/>
              <w:ind w:left="144"/>
              <w:jc w:val="both"/>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6094" w:type="dxa"/>
            <w:vAlign w:val="center"/>
            <w:textDirection w:val="lrTb"/>
            <w:noWrap w:val="false"/>
          </w:tcPr>
          <w:p>
            <w:pPr>
              <w:widowControl w:val="false"/>
              <w:pBdr/>
              <w:spacing w:line="235" w:lineRule="auto"/>
              <w:ind/>
              <w:jc w:val="both"/>
              <w:rPr>
                <w:lang w:eastAsia="ko-KR"/>
              </w:rPr>
            </w:pPr>
            <w:r>
              <w:rPr>
                <w:lang w:eastAsia="ko-KR"/>
              </w:rPr>
              <w:t xml:space="preserve">Có yếu tố 'Linh' gắn với tiếng lành, tài lộc, đại danh, văn hóa, truyền thuyết được xem là khu địa linh nhân kiệt</w:t>
            </w:r>
            <w:r>
              <w:rPr>
                <w:lang w:eastAsia="ko-KR"/>
              </w:rPr>
            </w:r>
            <w:r>
              <w:rPr>
                <w:lang w:eastAsia="ko-KR"/>
              </w:rPr>
            </w:r>
          </w:p>
        </w:tc>
        <w:tc>
          <w:tcPr>
            <w:tcBorders/>
            <w:tcW w:w="1276"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417" w:type="dxa"/>
            <w:vAlign w:val="center"/>
            <w:textDirection w:val="lrTb"/>
            <w:noWrap w:val="false"/>
          </w:tcPr>
          <w:p>
            <w:pPr>
              <w:widowControl w:val="false"/>
              <w:pBdr/>
              <w:spacing w:line="235" w:lineRule="auto"/>
              <w:ind w:left="144"/>
              <w:jc w:val="both"/>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6094" w:type="dxa"/>
            <w:vAlign w:val="center"/>
            <w:textDirection w:val="lrTb"/>
            <w:noWrap w:val="false"/>
          </w:tcPr>
          <w:p>
            <w:pPr>
              <w:widowControl w:val="false"/>
              <w:pBdr/>
              <w:spacing w:line="235" w:lineRule="auto"/>
              <w:ind/>
              <w:jc w:val="both"/>
              <w:rPr>
                <w:lang w:eastAsia="ko-KR"/>
              </w:rPr>
            </w:pPr>
            <w:r>
              <w:rPr>
                <w:lang w:eastAsia="ko-KR"/>
              </w:rPr>
              <w:t xml:space="preserve">Đất/tài sản liền kề, đối diện vườn hoa, khu thể thao, bể bơi (không đối diện nhà ở) để được xe hơi</w:t>
            </w:r>
            <w:r>
              <w:rPr>
                <w:lang w:eastAsia="ko-KR"/>
              </w:rPr>
            </w:r>
            <w:r>
              <w:rPr>
                <w:lang w:eastAsia="ko-KR"/>
              </w:rPr>
            </w:r>
          </w:p>
        </w:tc>
        <w:tc>
          <w:tcPr>
            <w:tcBorders/>
            <w:tcW w:w="1276"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417" w:type="dxa"/>
            <w:vAlign w:val="center"/>
            <w:textDirection w:val="lrTb"/>
            <w:noWrap w:val="false"/>
          </w:tcPr>
          <w:p>
            <w:pPr>
              <w:widowControl w:val="false"/>
              <w:pBdr/>
              <w:spacing w:line="235" w:lineRule="auto"/>
              <w:ind w:left="144"/>
              <w:jc w:val="both"/>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6094" w:type="dxa"/>
            <w:vAlign w:val="center"/>
            <w:textDirection w:val="lrTb"/>
            <w:noWrap w:val="false"/>
          </w:tcPr>
          <w:p>
            <w:pPr>
              <w:widowControl w:val="false"/>
              <w:pBdr/>
              <w:spacing w:line="235" w:lineRule="auto"/>
              <w:ind/>
              <w:jc w:val="both"/>
              <w:rPr>
                <w:lang w:eastAsia="ko-KR"/>
              </w:rPr>
            </w:pPr>
            <w:r>
              <w:rPr>
                <w:lang w:eastAsia="ko-KR"/>
              </w:rPr>
              <w:t xml:space="preserve">Đất view công viên, vườn hoa, khu thể thao, bể bơi</w:t>
            </w:r>
            <w:r>
              <w:rPr>
                <w:lang w:eastAsia="ko-KR"/>
              </w:rPr>
            </w:r>
            <w:r>
              <w:rPr>
                <w:lang w:eastAsia="ko-KR"/>
              </w:rPr>
            </w:r>
          </w:p>
        </w:tc>
        <w:tc>
          <w:tcPr>
            <w:tcBorders/>
            <w:tcW w:w="1276"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417" w:type="dxa"/>
            <w:vAlign w:val="center"/>
            <w:textDirection w:val="lrTb"/>
            <w:noWrap w:val="false"/>
          </w:tcPr>
          <w:p>
            <w:pPr>
              <w:widowControl w:val="false"/>
              <w:pBdr/>
              <w:spacing w:line="235" w:lineRule="auto"/>
              <w:ind w:left="144"/>
              <w:jc w:val="both"/>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 </w:t>
      </w:r>
      <w:r>
        <w:rPr>
          <w:b/>
          <w:bCs/>
          <w:u w:val="single"/>
        </w:rPr>
        <w:t xml:space="preserve">bất lợi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98"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754"/>
        <w:gridCol w:w="6078"/>
        <w:gridCol w:w="1276"/>
        <w:gridCol w:w="1606"/>
      </w:tblGrid>
      <w:tr>
        <w:trPr>
          <w:cantSplit/>
          <w:tblCellSpacing w:w="0" w:type="dxa"/>
          <w:trHeight w:val="300"/>
          <w:tblHeader/>
        </w:trPr>
        <w:tc>
          <w:tcPr>
            <w:tcBorders/>
            <w:tcMar>
              <w:left w:w="45" w:type="dxa"/>
              <w:top w:w="0" w:type="dxa"/>
              <w:right w:w="45" w:type="dxa"/>
              <w:bottom w:w="0" w:type="dxa"/>
            </w:tcMar>
            <w:tcW w:w="754" w:type="dxa"/>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6078" w:type="dxa"/>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1276" w:type="dxa"/>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606" w:type="dxa"/>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6078" w:type="dxa"/>
            <w:vAlign w:val="center"/>
            <w:textDirection w:val="lrTb"/>
            <w:noWrap w:val="false"/>
          </w:tcPr>
          <w:p>
            <w:pPr>
              <w:widowControl w:val="false"/>
              <w:pBdr/>
              <w:spacing w:line="235" w:lineRule="auto"/>
              <w:ind/>
              <w:jc w:val="both"/>
              <w:rPr>
                <w:lang w:eastAsia="ko-KR"/>
              </w:rPr>
            </w:pPr>
            <w:r>
              <w:rPr>
                <w:lang w:eastAsia="ko-KR"/>
              </w:rPr>
              <w:t xml:space="preserve">Đất gần khu vực tâm linh, có âm, sát khí (Nhà tang lễ, nghĩa trang, nhà xác…)</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1276"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606"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6078" w:type="dxa"/>
            <w:vAlign w:val="center"/>
            <w:textDirection w:val="lrTb"/>
            <w:noWrap w:val="false"/>
          </w:tcPr>
          <w:p>
            <w:pPr>
              <w:widowControl w:val="false"/>
              <w:pBdr/>
              <w:spacing w:line="235" w:lineRule="auto"/>
              <w:ind/>
              <w:jc w:val="both"/>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1276"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606"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6078" w:type="dxa"/>
            <w:vAlign w:val="center"/>
            <w:textDirection w:val="lrTb"/>
            <w:noWrap w:val="false"/>
          </w:tcPr>
          <w:p>
            <w:pPr>
              <w:widowControl w:val="false"/>
              <w:pBdr/>
              <w:spacing w:line="235" w:lineRule="auto"/>
              <w:ind/>
              <w:jc w:val="both"/>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1276"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606"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6078" w:type="dxa"/>
            <w:vAlign w:val="center"/>
            <w:textDirection w:val="lrTb"/>
            <w:noWrap w:val="false"/>
          </w:tcPr>
          <w:p>
            <w:pPr>
              <w:widowControl w:val="false"/>
              <w:pBdr/>
              <w:spacing w:line="235" w:lineRule="auto"/>
              <w:ind/>
              <w:jc w:val="both"/>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1276"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606"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6078" w:type="dxa"/>
            <w:vAlign w:val="center"/>
            <w:textDirection w:val="lrTb"/>
            <w:noWrap w:val="false"/>
          </w:tcPr>
          <w:p>
            <w:pPr>
              <w:widowControl w:val="false"/>
              <w:pBdr/>
              <w:spacing w:line="235" w:lineRule="auto"/>
              <w:ind/>
              <w:jc w:val="both"/>
              <w:rPr>
                <w:lang w:eastAsia="ko-KR"/>
              </w:rPr>
            </w:pPr>
            <w:r>
              <w:rPr>
                <w:lang w:eastAsia="ko-KR"/>
              </w:rPr>
              <w:t xml:space="preserve">Đất gần khu vực tâm linh (Miếu thờ cúng tâm linh, đình, đền, chùa…)</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1276"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606"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6078" w:type="dxa"/>
            <w:vAlign w:val="center"/>
            <w:textDirection w:val="lrTb"/>
            <w:noWrap w:val="false"/>
          </w:tcPr>
          <w:p>
            <w:pPr>
              <w:widowControl w:val="false"/>
              <w:pBdr/>
              <w:spacing w:line="235" w:lineRule="auto"/>
              <w:ind/>
              <w:jc w:val="both"/>
              <w:rPr>
                <w:lang w:eastAsia="ko-KR"/>
              </w:rPr>
            </w:pPr>
            <w:r>
              <w:rPr>
                <w:lang w:eastAsia="ko-KR"/>
              </w:rPr>
              <w:t xml:space="preserve">Đất gần khu vực tâm linh (Miếu thờ cúng tâm linh, đình, đền, chùa…)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1276"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606"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6078" w:type="dxa"/>
            <w:vAlign w:val="center"/>
            <w:textDirection w:val="lrTb"/>
            <w:noWrap w:val="false"/>
          </w:tcPr>
          <w:p>
            <w:pPr>
              <w:widowControl w:val="false"/>
              <w:pBdr/>
              <w:spacing w:line="235" w:lineRule="auto"/>
              <w:ind/>
              <w:jc w:val="both"/>
              <w:rPr>
                <w:lang w:eastAsia="ko-KR"/>
              </w:rPr>
            </w:pPr>
            <w:r>
              <w:rPr>
                <w:lang w:eastAsia="ko-KR"/>
              </w:rPr>
              <w:t xml:space="preserve">Đất </w:t>
            </w:r>
            <w:r>
              <w:rPr>
                <w:lang w:eastAsia="ko-KR"/>
              </w:rPr>
              <w:t xml:space="preserve">từng</w:t>
            </w:r>
            <w:r>
              <w:rPr>
                <w:lang w:eastAsia="ko-KR"/>
              </w:rPr>
              <w:t xml:space="preserve"> là nghĩa trang, khu tâm linh cũ (đền, đình, chùa, miếu mạo…) đã được san lấp làm khu dân cư</w:t>
            </w:r>
            <w:r>
              <w:rPr>
                <w:lang w:eastAsia="ko-KR"/>
              </w:rPr>
            </w:r>
            <w:r>
              <w:rPr>
                <w:lang w:eastAsia="ko-KR"/>
              </w:rPr>
            </w:r>
          </w:p>
        </w:tc>
        <w:tc>
          <w:tcPr>
            <w:tcBorders/>
            <w:tcW w:w="1276"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606"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6078" w:type="dxa"/>
            <w:vAlign w:val="center"/>
            <w:textDirection w:val="lrTb"/>
            <w:noWrap w:val="false"/>
          </w:tcPr>
          <w:p>
            <w:pPr>
              <w:widowControl w:val="false"/>
              <w:pBdr/>
              <w:spacing w:line="235" w:lineRule="auto"/>
              <w:ind/>
              <w:jc w:val="both"/>
              <w:rPr>
                <w:lang w:eastAsia="ko-KR"/>
              </w:rPr>
            </w:pPr>
            <w:r>
              <w:rPr>
                <w:lang w:eastAsia="ko-KR"/>
              </w:rPr>
              <w:t xml:space="preserve">Trên đất/Công trình có mộ không thể hoặc rất khó có khả năng di chuyển (Mộ tổ chi, tộc, mộ cổ, mộ tâm linh gắn với miếu mạo được nhân dân thờ cúng</w:t>
            </w:r>
            <w:r>
              <w:rPr>
                <w:lang w:eastAsia="ko-KR"/>
              </w:rPr>
              <w:t xml:space="preserve">)</w:t>
            </w:r>
            <w:r>
              <w:rPr>
                <w:lang w:eastAsia="ko-KR"/>
              </w:rPr>
            </w:r>
            <w:r>
              <w:rPr>
                <w:lang w:eastAsia="ko-KR"/>
              </w:rPr>
            </w:r>
          </w:p>
        </w:tc>
        <w:tc>
          <w:tcPr>
            <w:tcBorders/>
            <w:tcW w:w="1276"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606"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6078" w:type="dxa"/>
            <w:vAlign w:val="center"/>
            <w:textDirection w:val="lrTb"/>
            <w:noWrap w:val="false"/>
          </w:tcPr>
          <w:p>
            <w:pPr>
              <w:widowControl w:val="false"/>
              <w:pBdr/>
              <w:spacing w:line="235" w:lineRule="auto"/>
              <w:ind/>
              <w:jc w:val="both"/>
              <w:rPr>
                <w:lang w:eastAsia="ko-KR"/>
              </w:rPr>
            </w:pPr>
            <w:r>
              <w:rPr>
                <w:lang w:eastAsia="ko-KR"/>
              </w:rPr>
              <w:t xml:space="preserve">Trên đất/ Công trình có mộ gia đình hoặc vô chủ có thể di chuyển</w:t>
            </w:r>
            <w:r>
              <w:rPr>
                <w:lang w:eastAsia="ko-KR"/>
              </w:rPr>
            </w:r>
            <w:r>
              <w:rPr>
                <w:lang w:eastAsia="ko-KR"/>
              </w:rPr>
            </w:r>
          </w:p>
        </w:tc>
        <w:tc>
          <w:tcPr>
            <w:tcBorders/>
            <w:tcW w:w="1276"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606"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6078" w:type="dxa"/>
            <w:vAlign w:val="center"/>
            <w:textDirection w:val="lrTb"/>
            <w:noWrap w:val="false"/>
          </w:tcPr>
          <w:p>
            <w:pPr>
              <w:widowControl w:val="false"/>
              <w:pBdr/>
              <w:spacing w:line="235" w:lineRule="auto"/>
              <w:ind/>
              <w:jc w:val="both"/>
              <w:rPr>
                <w:lang w:eastAsia="ko-KR"/>
              </w:rPr>
            </w:pPr>
            <w:r>
              <w:rPr>
                <w:lang w:eastAsia="ko-KR"/>
              </w:rPr>
              <w:t xml:space="preserve">Đất sát khu mộ phần hoặc liền kề mộ phần</w:t>
            </w:r>
            <w:r>
              <w:rPr>
                <w:lang w:eastAsia="ko-KR"/>
              </w:rPr>
            </w:r>
            <w:r>
              <w:rPr>
                <w:lang w:eastAsia="ko-KR"/>
              </w:rPr>
            </w:r>
          </w:p>
        </w:tc>
        <w:tc>
          <w:tcPr>
            <w:tcBorders/>
            <w:tcW w:w="1276"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606"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6078" w:type="dxa"/>
            <w:vAlign w:val="center"/>
            <w:textDirection w:val="lrTb"/>
            <w:noWrap w:val="false"/>
          </w:tcPr>
          <w:p>
            <w:pPr>
              <w:widowControl w:val="false"/>
              <w:pBdr/>
              <w:spacing w:line="235" w:lineRule="auto"/>
              <w:ind/>
              <w:jc w:val="both"/>
              <w:rPr>
                <w:lang w:eastAsia="ko-KR"/>
              </w:rPr>
            </w:pPr>
            <w:r>
              <w:rPr>
                <w:lang w:eastAsia="ko-KR"/>
              </w:rPr>
              <w:t xml:space="preserve">Trên đất/ Công trình có điện thờ, nhà thợ họ dòng tộc</w:t>
            </w:r>
            <w:r>
              <w:rPr>
                <w:lang w:eastAsia="ko-KR"/>
              </w:rPr>
            </w:r>
            <w:r>
              <w:rPr>
                <w:lang w:eastAsia="ko-KR"/>
              </w:rPr>
            </w:r>
          </w:p>
        </w:tc>
        <w:tc>
          <w:tcPr>
            <w:tcBorders/>
            <w:tcW w:w="1276"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606"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6078" w:type="dxa"/>
            <w:vAlign w:val="center"/>
            <w:textDirection w:val="lrTb"/>
            <w:noWrap w:val="false"/>
          </w:tcPr>
          <w:p>
            <w:pPr>
              <w:widowControl w:val="false"/>
              <w:pBdr/>
              <w:spacing w:line="235" w:lineRule="auto"/>
              <w:ind/>
              <w:jc w:val="both"/>
              <w:rPr>
                <w:lang w:eastAsia="ko-KR"/>
              </w:rPr>
            </w:pPr>
            <w:r>
              <w:rPr>
                <w:lang w:eastAsia="ko-KR"/>
              </w:rPr>
              <w:t xml:space="preserve">Đất sát hoặc liền kề nhà thờ họ</w:t>
            </w:r>
            <w:r>
              <w:rPr>
                <w:lang w:eastAsia="ko-KR"/>
              </w:rPr>
            </w:r>
            <w:r>
              <w:rPr>
                <w:lang w:eastAsia="ko-KR"/>
              </w:rPr>
            </w:r>
          </w:p>
        </w:tc>
        <w:tc>
          <w:tcPr>
            <w:tcBorders/>
            <w:tcW w:w="1276"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606"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6078" w:type="dxa"/>
            <w:vAlign w:val="center"/>
            <w:textDirection w:val="lrTb"/>
            <w:noWrap w:val="false"/>
          </w:tcPr>
          <w:p>
            <w:pPr>
              <w:widowControl w:val="false"/>
              <w:pBdr/>
              <w:spacing w:line="235" w:lineRule="auto"/>
              <w:ind/>
              <w:jc w:val="both"/>
              <w:rPr>
                <w:lang w:eastAsia="ko-KR"/>
              </w:rPr>
            </w:pPr>
            <w:r>
              <w:rPr>
                <w:lang w:eastAsia="ko-KR"/>
              </w:rPr>
              <w:t xml:space="preserve">Đất gia tộc anh em, họ hàng sống xung quanh chung ngõ đi</w:t>
            </w:r>
            <w:r>
              <w:rPr>
                <w:lang w:eastAsia="ko-KR"/>
              </w:rPr>
            </w:r>
            <w:r>
              <w:rPr>
                <w:lang w:eastAsia="ko-KR"/>
              </w:rPr>
            </w:r>
          </w:p>
        </w:tc>
        <w:tc>
          <w:tcPr>
            <w:tcBorders/>
            <w:tcW w:w="1276" w:type="dxa"/>
            <w:vAlign w:val="center"/>
            <w:textDirection w:val="lrTb"/>
            <w:noWrap w:val="false"/>
          </w:tcPr>
          <w:p>
            <w:pPr>
              <w:widowControl w:val="false"/>
              <w:pBdr/>
              <w:spacing w:line="235" w:lineRule="auto"/>
              <w:ind w:left="144"/>
              <w:jc w:val="center"/>
              <w:rPr/>
            </w:pPr>
            <w:r>
              <w:t xml:space="preserve">Không</w:t>
            </w:r>
            <w:r/>
          </w:p>
        </w:tc>
        <w:tc>
          <w:tcPr>
            <w:tcBorders/>
            <w:tcW w:w="1606"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6078" w:type="dxa"/>
            <w:vAlign w:val="center"/>
            <w:textDirection w:val="lrTb"/>
            <w:noWrap w:val="false"/>
          </w:tcPr>
          <w:p>
            <w:pPr>
              <w:widowControl w:val="false"/>
              <w:pBdr/>
              <w:spacing w:line="235" w:lineRule="auto"/>
              <w:ind/>
              <w:jc w:val="both"/>
              <w:rPr>
                <w:lang w:eastAsia="ko-KR"/>
              </w:rPr>
            </w:pPr>
            <w:r>
              <w:rPr>
                <w:lang w:eastAsia="ko-KR"/>
              </w:rPr>
              <w:t xml:space="preserve">Đất/ Công trình có người tự sát/ án mạng/ tại nạn... bị ảnh hưởng truyền thông Nhẹ </w:t>
            </w:r>
            <w:r>
              <w:rPr>
                <w:lang w:eastAsia="ko-KR"/>
              </w:rPr>
              <w:t xml:space="preserve">“</w:t>
            </w:r>
            <w:r>
              <w:rPr>
                <w:lang w:eastAsia="ko-KR"/>
              </w:rPr>
              <w:t xml:space="preserve">Một vụ tự sát cá biệt không ồn ào, không truyền thông, trong nhà riêng, người Mua/Bán đông ít quan tâm: thị trường ít phản ứng, nếu có phản ứng chỉ là tâm lý tạm thời.</w:t>
            </w:r>
            <w:r>
              <w:rPr>
                <w:lang w:eastAsia="ko-KR"/>
              </w:rPr>
              <w:t xml:space="preserve">”</w:t>
            </w:r>
            <w:r>
              <w:rPr>
                <w:lang w:eastAsia="ko-KR"/>
              </w:rPr>
            </w:r>
            <w:r>
              <w:rPr>
                <w:lang w:eastAsia="ko-KR"/>
              </w:rPr>
            </w:r>
          </w:p>
        </w:tc>
        <w:tc>
          <w:tcPr>
            <w:tcBorders/>
            <w:tcW w:w="1276" w:type="dxa"/>
            <w:vAlign w:val="center"/>
            <w:textDirection w:val="lrTb"/>
            <w:noWrap w:val="false"/>
          </w:tcPr>
          <w:p>
            <w:pPr>
              <w:widowControl w:val="false"/>
              <w:pBdr/>
              <w:spacing w:line="235" w:lineRule="auto"/>
              <w:ind w:left="144"/>
              <w:jc w:val="center"/>
              <w:rPr/>
            </w:pPr>
            <w:r>
              <w:t xml:space="preserve">Không</w:t>
            </w:r>
            <w:r/>
          </w:p>
        </w:tc>
        <w:tc>
          <w:tcPr>
            <w:tcBorders/>
            <w:tcW w:w="1606"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6078" w:type="dxa"/>
            <w:vAlign w:val="center"/>
            <w:textDirection w:val="lrTb"/>
            <w:noWrap w:val="false"/>
          </w:tcPr>
          <w:p>
            <w:pPr>
              <w:widowControl w:val="false"/>
              <w:pBdr/>
              <w:spacing w:line="235" w:lineRule="auto"/>
              <w:ind/>
              <w:jc w:val="both"/>
              <w:rPr>
                <w:lang w:eastAsia="ko-KR"/>
              </w:rPr>
            </w:pPr>
            <w:r>
              <w:rPr>
                <w:lang w:eastAsia="ko-KR"/>
              </w:rPr>
              <w:t xml:space="preserve">Đất/ Công trình có người tự sát/án mạng/ tai nạn... bị ảnh hưởng truyền thông Trung bình </w:t>
            </w:r>
            <w:r>
              <w:rPr>
                <w:lang w:eastAsia="ko-KR"/>
              </w:rPr>
              <w:t xml:space="preserve">“</w:t>
            </w:r>
            <w:r>
              <w:rPr>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 xml:space="preserve">”</w:t>
            </w:r>
            <w:r>
              <w:rPr>
                <w:lang w:eastAsia="ko-KR"/>
              </w:rPr>
              <w:t xml:space="preserve">.</w:t>
            </w:r>
            <w:r>
              <w:rPr>
                <w:lang w:eastAsia="ko-KR"/>
              </w:rPr>
            </w:r>
            <w:r>
              <w:rPr>
                <w:lang w:eastAsia="ko-KR"/>
              </w:rPr>
            </w:r>
          </w:p>
        </w:tc>
        <w:tc>
          <w:tcPr>
            <w:tcBorders/>
            <w:tcW w:w="1276"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606"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6078" w:type="dxa"/>
            <w:vAlign w:val="center"/>
            <w:textDirection w:val="lrTb"/>
            <w:noWrap w:val="false"/>
          </w:tcPr>
          <w:p>
            <w:pPr>
              <w:widowControl w:val="false"/>
              <w:pBdr/>
              <w:spacing w:line="235" w:lineRule="auto"/>
              <w:ind/>
              <w:jc w:val="both"/>
              <w:rPr>
                <w:lang w:eastAsia="ko-KR"/>
              </w:rPr>
            </w:pPr>
            <w:r>
              <w:rPr>
                <w:lang w:eastAsia="ko-KR"/>
              </w:rPr>
              <w:t xml:space="preserve">Đất/ Công trình có người tự sát/án mạng/ tai nạn... bị ảnh hưởng truyền thông Mạnh </w:t>
            </w:r>
            <w:r>
              <w:rPr>
                <w:lang w:eastAsia="ko-KR"/>
              </w:rPr>
              <w:t xml:space="preserve">“</w:t>
            </w:r>
            <w:r>
              <w:rPr>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 xml:space="preserve">”</w:t>
            </w:r>
            <w:r>
              <w:rPr>
                <w:lang w:eastAsia="ko-KR"/>
              </w:rPr>
              <w:t xml:space="preserve">.</w:t>
            </w:r>
            <w:r>
              <w:rPr>
                <w:lang w:eastAsia="ko-KR"/>
              </w:rPr>
            </w:r>
            <w:r>
              <w:rPr>
                <w:lang w:eastAsia="ko-KR"/>
              </w:rPr>
            </w:r>
          </w:p>
        </w:tc>
        <w:tc>
          <w:tcPr>
            <w:tcBorders/>
            <w:tcW w:w="1276" w:type="dxa"/>
            <w:vAlign w:val="center"/>
            <w:textDirection w:val="lrTb"/>
            <w:noWrap w:val="false"/>
          </w:tcPr>
          <w:p>
            <w:pPr>
              <w:widowControl w:val="false"/>
              <w:pBdr/>
              <w:spacing w:line="235" w:lineRule="auto"/>
              <w:ind w:left="144"/>
              <w:jc w:val="center"/>
              <w:rPr/>
            </w:pPr>
            <w:r>
              <w:t xml:space="preserve">Không</w:t>
            </w:r>
            <w:r/>
          </w:p>
        </w:tc>
        <w:tc>
          <w:tcPr>
            <w:tcBorders/>
            <w:tcW w:w="1606"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6078" w:type="dxa"/>
            <w:vAlign w:val="center"/>
            <w:textDirection w:val="lrTb"/>
            <w:noWrap w:val="false"/>
          </w:tcPr>
          <w:p>
            <w:pPr>
              <w:widowControl w:val="false"/>
              <w:pBdr/>
              <w:spacing w:line="235" w:lineRule="auto"/>
              <w:ind/>
              <w:jc w:val="both"/>
              <w:rPr>
                <w:lang w:eastAsia="ko-KR"/>
              </w:rPr>
            </w:pPr>
            <w:r>
              <w:rPr>
                <w:lang w:eastAsia="ko-KR"/>
              </w:rPr>
              <w:t xml:space="preserve">Đất/ Công trình có người tự sát/án mạng/ tai nạn... bị ảnh hưởng truyền thông Rất Mạnh </w:t>
            </w:r>
            <w:r>
              <w:rPr>
                <w:lang w:eastAsia="ko-KR"/>
              </w:rPr>
              <w:t xml:space="preserve">“</w:t>
            </w:r>
            <w:r>
              <w:rPr>
                <w:lang w:eastAsia="ko-KR"/>
              </w:rPr>
              <w:t xml:space="preserve">Vụ nổi tiếng, nhiều truyề</w:t>
            </w:r>
            <w:r>
              <w:rPr>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 xml:space="preserve">”</w:t>
            </w:r>
            <w:r>
              <w:rPr>
                <w:lang w:eastAsia="ko-KR"/>
              </w:rPr>
              <w:t xml:space="preserve">.</w:t>
            </w:r>
            <w:r>
              <w:rPr>
                <w:lang w:eastAsia="ko-KR"/>
              </w:rPr>
            </w:r>
            <w:r>
              <w:rPr>
                <w:lang w:eastAsia="ko-KR"/>
              </w:rPr>
            </w:r>
          </w:p>
        </w:tc>
        <w:tc>
          <w:tcPr>
            <w:tcBorders/>
            <w:tcW w:w="1276" w:type="dxa"/>
            <w:vAlign w:val="center"/>
            <w:textDirection w:val="lrTb"/>
            <w:noWrap w:val="false"/>
          </w:tcPr>
          <w:p>
            <w:pPr>
              <w:widowControl w:val="false"/>
              <w:pBdr/>
              <w:spacing w:line="235" w:lineRule="auto"/>
              <w:ind w:left="144"/>
              <w:jc w:val="center"/>
              <w:rPr/>
            </w:pPr>
            <w:r>
              <w:t xml:space="preserve">Không</w:t>
            </w:r>
            <w:r/>
          </w:p>
        </w:tc>
        <w:tc>
          <w:tcPr>
            <w:tcBorders/>
            <w:tcW w:w="1606"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6078" w:type="dxa"/>
            <w:vAlign w:val="center"/>
            <w:textDirection w:val="lrTb"/>
            <w:noWrap w:val="false"/>
          </w:tcPr>
          <w:p>
            <w:pPr>
              <w:widowControl w:val="false"/>
              <w:pBdr/>
              <w:spacing w:line="235" w:lineRule="auto"/>
              <w:ind/>
              <w:jc w:val="both"/>
              <w:rPr>
                <w:lang w:eastAsia="ko-KR"/>
              </w:rPr>
            </w:pPr>
            <w:r>
              <w:rPr>
                <w:lang w:eastAsia="ko-KR"/>
              </w:rPr>
              <w:t xml:space="preserve">Đất gần hoặc liên kế cây 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1276" w:type="dxa"/>
            <w:vAlign w:val="center"/>
            <w:textDirection w:val="lrTb"/>
            <w:noWrap w:val="false"/>
          </w:tcPr>
          <w:p>
            <w:pPr>
              <w:widowControl w:val="false"/>
              <w:pBdr/>
              <w:spacing w:line="235" w:lineRule="auto"/>
              <w:ind w:left="144"/>
              <w:jc w:val="center"/>
              <w:rPr/>
            </w:pPr>
            <w:r>
              <w:t xml:space="preserve">Không</w:t>
            </w:r>
            <w:r/>
          </w:p>
        </w:tc>
        <w:tc>
          <w:tcPr>
            <w:tcBorders/>
            <w:tcW w:w="1606"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6078" w:type="dxa"/>
            <w:vAlign w:val="center"/>
            <w:textDirection w:val="lrTb"/>
            <w:noWrap w:val="false"/>
          </w:tcPr>
          <w:p>
            <w:pPr>
              <w:widowControl w:val="false"/>
              <w:pBdr/>
              <w:spacing w:line="235" w:lineRule="auto"/>
              <w:ind/>
              <w:jc w:val="both"/>
              <w:rPr>
                <w:lang w:eastAsia="ko-KR"/>
              </w:rPr>
            </w:pPr>
            <w:r>
              <w:rPr>
                <w:lang w:eastAsia="ko-KR"/>
              </w:rPr>
              <w:t xml:space="preserve">Đất gần hoặc liên kế trạm thu phát </w:t>
            </w:r>
            <w:r>
              <w:rPr>
                <w:lang w:eastAsia="ko-KR"/>
              </w:rPr>
              <w:t xml:space="preserve">sóng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1276" w:type="dxa"/>
            <w:vAlign w:val="center"/>
            <w:textDirection w:val="lrTb"/>
            <w:noWrap w:val="false"/>
          </w:tcPr>
          <w:p>
            <w:pPr>
              <w:widowControl w:val="false"/>
              <w:pBdr/>
              <w:spacing w:line="235" w:lineRule="auto"/>
              <w:ind w:left="144"/>
              <w:jc w:val="center"/>
              <w:rPr/>
            </w:pPr>
            <w:r>
              <w:t xml:space="preserve">Không</w:t>
            </w:r>
            <w:r/>
          </w:p>
        </w:tc>
        <w:tc>
          <w:tcPr>
            <w:tcBorders/>
            <w:tcW w:w="1606"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6078" w:type="dxa"/>
            <w:vAlign w:val="center"/>
            <w:textDirection w:val="lrTb"/>
            <w:noWrap w:val="false"/>
          </w:tcPr>
          <w:p>
            <w:pPr>
              <w:widowControl w:val="false"/>
              <w:pBdr/>
              <w:spacing w:line="235" w:lineRule="auto"/>
              <w:ind/>
              <w:jc w:val="both"/>
              <w:rPr>
                <w:lang w:eastAsia="ko-KR"/>
              </w:rPr>
            </w:pPr>
            <w:r>
              <w:rPr>
                <w:lang w:eastAsia="ko-KR"/>
              </w:rPr>
              <w:t xml:space="preserve">Đất gần hoặc liên kế đường dây truyền tải điện cao thế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1276" w:type="dxa"/>
            <w:vAlign w:val="center"/>
            <w:textDirection w:val="lrTb"/>
            <w:noWrap w:val="false"/>
          </w:tcPr>
          <w:p>
            <w:pPr>
              <w:widowControl w:val="false"/>
              <w:pBdr/>
              <w:spacing w:line="235" w:lineRule="auto"/>
              <w:ind w:left="144"/>
              <w:jc w:val="center"/>
              <w:rPr/>
            </w:pPr>
            <w:r>
              <w:t xml:space="preserve">Không</w:t>
            </w:r>
            <w:r/>
          </w:p>
        </w:tc>
        <w:tc>
          <w:tcPr>
            <w:tcBorders/>
            <w:tcW w:w="1606"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6078" w:type="dxa"/>
            <w:vAlign w:val="center"/>
            <w:textDirection w:val="lrTb"/>
            <w:noWrap w:val="false"/>
          </w:tcPr>
          <w:p>
            <w:pPr>
              <w:widowControl w:val="false"/>
              <w:pBdr/>
              <w:spacing w:line="235" w:lineRule="auto"/>
              <w:ind/>
              <w:jc w:val="both"/>
              <w:rPr>
                <w:lang w:eastAsia="ko-KR"/>
              </w:rPr>
            </w:pPr>
            <w:r>
              <w:rPr>
                <w:lang w:eastAsia="ko-KR"/>
              </w:rPr>
              <w:t xml:space="preserve">Đất gần hoặc liên kế đường dây truyền tải điện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1276" w:type="dxa"/>
            <w:vAlign w:val="center"/>
            <w:textDirection w:val="lrTb"/>
            <w:noWrap w:val="false"/>
          </w:tcPr>
          <w:p>
            <w:pPr>
              <w:widowControl w:val="false"/>
              <w:pBdr/>
              <w:spacing w:line="235" w:lineRule="auto"/>
              <w:ind w:left="144"/>
              <w:jc w:val="center"/>
              <w:rPr/>
            </w:pPr>
            <w:r>
              <w:t xml:space="preserve">Không</w:t>
            </w:r>
            <w:r/>
          </w:p>
        </w:tc>
        <w:tc>
          <w:tcPr>
            <w:tcBorders/>
            <w:tcW w:w="1606"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6078" w:type="dxa"/>
            <w:vAlign w:val="center"/>
            <w:textDirection w:val="lrTb"/>
            <w:noWrap w:val="false"/>
          </w:tcPr>
          <w:p>
            <w:pPr>
              <w:widowControl w:val="false"/>
              <w:pBdr/>
              <w:spacing w:line="235" w:lineRule="auto"/>
              <w:ind/>
              <w:jc w:val="both"/>
              <w:rPr>
                <w:lang w:eastAsia="ko-KR"/>
              </w:rPr>
            </w:pPr>
            <w:r>
              <w:rPr>
                <w:lang w:eastAsia="ko-KR"/>
              </w:rPr>
              <w:t xml:space="preserve">Mặt tiền bị che chắn (có cột điện, trạm biến áp…)</w:t>
            </w:r>
            <w:r>
              <w:rPr>
                <w:lang w:eastAsia="ko-KR"/>
              </w:rPr>
            </w:r>
            <w:r>
              <w:rPr>
                <w:lang w:eastAsia="ko-KR"/>
              </w:rPr>
            </w:r>
          </w:p>
        </w:tc>
        <w:tc>
          <w:tcPr>
            <w:tcBorders/>
            <w:tcW w:w="1276" w:type="dxa"/>
            <w:vAlign w:val="center"/>
            <w:textDirection w:val="lrTb"/>
            <w:noWrap w:val="false"/>
          </w:tcPr>
          <w:p>
            <w:pPr>
              <w:widowControl w:val="false"/>
              <w:pBdr/>
              <w:spacing w:line="235" w:lineRule="auto"/>
              <w:ind w:left="144"/>
              <w:jc w:val="center"/>
              <w:rPr/>
            </w:pPr>
            <w:r>
              <w:t xml:space="preserve">Không</w:t>
            </w:r>
            <w:r/>
          </w:p>
        </w:tc>
        <w:tc>
          <w:tcPr>
            <w:tcBorders/>
            <w:tcW w:w="1606"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6078" w:type="dxa"/>
            <w:vAlign w:val="center"/>
            <w:textDirection w:val="lrTb"/>
            <w:noWrap w:val="false"/>
          </w:tcPr>
          <w:p>
            <w:pPr>
              <w:widowControl w:val="false"/>
              <w:pBdr/>
              <w:spacing w:line="235" w:lineRule="auto"/>
              <w:ind/>
              <w:jc w:val="both"/>
              <w:rPr>
                <w:lang w:eastAsia="ko-KR"/>
              </w:rPr>
            </w:pPr>
            <w:r>
              <w:rPr>
                <w:lang w:eastAsia="ko-KR"/>
              </w:rPr>
              <w:t xml:space="preserve">Đất gần đường sắt&lt;=50m</w:t>
            </w:r>
            <w:r>
              <w:rPr>
                <w:lang w:eastAsia="ko-KR"/>
              </w:rPr>
            </w:r>
            <w:r>
              <w:rPr>
                <w:lang w:eastAsia="ko-KR"/>
              </w:rPr>
            </w:r>
          </w:p>
        </w:tc>
        <w:tc>
          <w:tcPr>
            <w:tcBorders/>
            <w:tcW w:w="1276" w:type="dxa"/>
            <w:vAlign w:val="center"/>
            <w:textDirection w:val="lrTb"/>
            <w:noWrap w:val="false"/>
          </w:tcPr>
          <w:p>
            <w:pPr>
              <w:widowControl w:val="false"/>
              <w:pBdr/>
              <w:spacing w:line="235" w:lineRule="auto"/>
              <w:ind w:left="144"/>
              <w:jc w:val="center"/>
              <w:rPr/>
            </w:pPr>
            <w:r>
              <w:t xml:space="preserve">Không</w:t>
            </w:r>
            <w:r/>
          </w:p>
        </w:tc>
        <w:tc>
          <w:tcPr>
            <w:tcBorders/>
            <w:tcW w:w="1606"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6078" w:type="dxa"/>
            <w:vAlign w:val="center"/>
            <w:textDirection w:val="lrTb"/>
            <w:noWrap w:val="false"/>
          </w:tcPr>
          <w:p>
            <w:pPr>
              <w:widowControl w:val="false"/>
              <w:pBdr/>
              <w:spacing w:line="235" w:lineRule="auto"/>
              <w:ind/>
              <w:jc w:val="both"/>
              <w:rPr>
                <w:lang w:eastAsia="ko-KR"/>
              </w:rPr>
            </w:pPr>
            <w:r>
              <w:rPr>
                <w:lang w:eastAsia="ko-KR"/>
              </w:rPr>
              <w:t xml:space="preserve">Đường vào thẳng tắp như mũi tên đâm thẳng cửa chính </w:t>
            </w:r>
            <w:r>
              <w:rPr>
                <w:lang w:eastAsia="ko-KR"/>
              </w:rPr>
              <w:t xml:space="preserve">“</w:t>
            </w:r>
            <w:r>
              <w:rPr>
                <w:lang w:eastAsia="ko-KR"/>
              </w:rPr>
              <w:t xml:space="preserve">Thế tiễn khí</w:t>
            </w:r>
            <w:r>
              <w:rPr>
                <w:lang w:eastAsia="ko-KR"/>
              </w:rPr>
              <w:t xml:space="preserve">”.</w:t>
            </w:r>
            <w:r>
              <w:rPr>
                <w:lang w:eastAsia="ko-KR"/>
              </w:rPr>
            </w:r>
            <w:r>
              <w:rPr>
                <w:lang w:eastAsia="ko-KR"/>
              </w:rPr>
            </w:r>
          </w:p>
        </w:tc>
        <w:tc>
          <w:tcPr>
            <w:tcBorders/>
            <w:tcW w:w="1276" w:type="dxa"/>
            <w:vAlign w:val="center"/>
            <w:textDirection w:val="lrTb"/>
            <w:noWrap w:val="false"/>
          </w:tcPr>
          <w:p>
            <w:pPr>
              <w:widowControl w:val="false"/>
              <w:pBdr/>
              <w:spacing w:line="235" w:lineRule="auto"/>
              <w:ind w:left="144"/>
              <w:jc w:val="center"/>
              <w:rPr/>
            </w:pPr>
            <w:r>
              <w:t xml:space="preserve">Không</w:t>
            </w:r>
            <w:r/>
          </w:p>
        </w:tc>
        <w:tc>
          <w:tcPr>
            <w:tcBorders/>
            <w:tcW w:w="1606"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6078" w:type="dxa"/>
            <w:vAlign w:val="center"/>
            <w:textDirection w:val="lrTb"/>
            <w:noWrap w:val="false"/>
          </w:tcPr>
          <w:p>
            <w:pPr>
              <w:widowControl w:val="false"/>
              <w:pBdr/>
              <w:spacing w:line="235" w:lineRule="auto"/>
              <w:ind/>
              <w:jc w:val="both"/>
              <w:rPr>
                <w:lang w:eastAsia="ko-KR"/>
              </w:rPr>
            </w:pPr>
            <w:r>
              <w:rPr>
                <w:lang w:eastAsia="ko-KR"/>
              </w:rPr>
              <w:t xml:space="preserve">Đất nằm dưới chân cầu, đường dốc cao (Thế bị </w:t>
            </w:r>
            <w:r>
              <w:rPr>
                <w:lang w:eastAsia="ko-KR"/>
              </w:rPr>
              <w:t xml:space="preserve">xung</w:t>
            </w:r>
            <w:r>
              <w:rPr>
                <w:lang w:eastAsia="ko-KR"/>
              </w:rPr>
              <w:t xml:space="preserve"> :</w:t>
            </w:r>
            <w:r>
              <w:rPr>
                <w:lang w:eastAsia="ko-KR"/>
              </w:rPr>
              <w:t xml:space="preserve"> </w:t>
            </w:r>
            <w:r>
              <w:rPr>
                <w:lang w:eastAsia="ko-KR"/>
              </w:rPr>
              <w:t xml:space="preserve">Hổ phục, Long phục) xe lao xuống, gió tạt thẳng sát khí, không tụ</w:t>
            </w:r>
            <w:r>
              <w:rPr>
                <w:lang w:eastAsia="ko-KR"/>
              </w:rPr>
              <w:t xml:space="preserve">.</w:t>
            </w:r>
            <w:r>
              <w:rPr>
                <w:lang w:eastAsia="ko-KR"/>
              </w:rPr>
            </w:r>
            <w:r>
              <w:rPr>
                <w:lang w:eastAsia="ko-KR"/>
              </w:rPr>
            </w:r>
          </w:p>
        </w:tc>
        <w:tc>
          <w:tcPr>
            <w:tcBorders/>
            <w:tcW w:w="1276" w:type="dxa"/>
            <w:vAlign w:val="center"/>
            <w:textDirection w:val="lrTb"/>
            <w:noWrap w:val="false"/>
          </w:tcPr>
          <w:p>
            <w:pPr>
              <w:widowControl w:val="false"/>
              <w:pBdr/>
              <w:spacing w:line="235" w:lineRule="auto"/>
              <w:ind w:left="144"/>
              <w:jc w:val="center"/>
              <w:rPr/>
            </w:pPr>
            <w:r>
              <w:t xml:space="preserve">Không</w:t>
            </w:r>
            <w:r/>
          </w:p>
        </w:tc>
        <w:tc>
          <w:tcPr>
            <w:tcBorders/>
            <w:tcW w:w="1606"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6078" w:type="dxa"/>
            <w:vAlign w:val="center"/>
            <w:textDirection w:val="lrTb"/>
            <w:noWrap w:val="false"/>
          </w:tcPr>
          <w:p>
            <w:pPr>
              <w:widowControl w:val="false"/>
              <w:pBdr/>
              <w:spacing w:line="235" w:lineRule="auto"/>
              <w:ind/>
              <w:jc w:val="both"/>
              <w:rPr>
                <w:lang w:eastAsia="ko-KR"/>
              </w:rPr>
            </w:pPr>
            <w:r>
              <w:rPr>
                <w:lang w:eastAsia="ko-KR"/>
              </w:rPr>
              <w:t xml:space="preserve">Giao lộ Chữ </w:t>
            </w:r>
            <w:r>
              <w:rPr>
                <w:lang w:eastAsia="ko-KR"/>
              </w:rPr>
              <w:t xml:space="preserve">“</w:t>
            </w:r>
            <w:r>
              <w:rPr>
                <w:lang w:eastAsia="ko-KR"/>
              </w:rPr>
              <w:t xml:space="preserve">T</w:t>
            </w:r>
            <w:r>
              <w:rPr>
                <w:lang w:eastAsia="ko-KR"/>
              </w:rPr>
              <w:t xml:space="preserve">”</w:t>
            </w:r>
            <w:r>
              <w:rPr>
                <w:lang w:eastAsia="ko-KR"/>
              </w:rPr>
              <w:t xml:space="preserve">, bị đường đâm thẳng vào </w:t>
            </w:r>
            <w:r>
              <w:rPr>
                <w:lang w:eastAsia="ko-KR"/>
              </w:rPr>
              <w:t xml:space="preserve">“</w:t>
            </w:r>
            <w:r>
              <w:rPr>
                <w:lang w:eastAsia="ko-KR"/>
              </w:rPr>
              <w:t xml:space="preserve">Thế tiền đao sát</w:t>
            </w:r>
            <w:r>
              <w:rPr>
                <w:lang w:eastAsia="ko-KR"/>
              </w:rPr>
              <w:t xml:space="preserve">”.</w:t>
            </w:r>
            <w:r>
              <w:rPr>
                <w:lang w:eastAsia="ko-KR"/>
              </w:rPr>
            </w:r>
            <w:r>
              <w:rPr>
                <w:lang w:eastAsia="ko-KR"/>
              </w:rPr>
            </w:r>
          </w:p>
        </w:tc>
        <w:tc>
          <w:tcPr>
            <w:tcBorders/>
            <w:tcW w:w="1276" w:type="dxa"/>
            <w:vAlign w:val="center"/>
            <w:textDirection w:val="lrTb"/>
            <w:noWrap w:val="false"/>
          </w:tcPr>
          <w:p>
            <w:pPr>
              <w:widowControl w:val="false"/>
              <w:pBdr/>
              <w:spacing w:line="235" w:lineRule="auto"/>
              <w:ind w:left="144"/>
              <w:jc w:val="center"/>
              <w:rPr/>
            </w:pPr>
            <w:r>
              <w:t xml:space="preserve">Không</w:t>
            </w:r>
            <w:r/>
          </w:p>
        </w:tc>
        <w:tc>
          <w:tcPr>
            <w:tcBorders/>
            <w:tcW w:w="1606"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Style w:val="1027"/>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27"/>
        <w:numPr>
          <w:ilvl w:val="0"/>
          <w:numId w:val="3"/>
        </w:numPr>
        <w:pBdr/>
        <w:tabs>
          <w:tab w:val="left" w:leader="none" w:pos="993"/>
        </w:tabs>
        <w:spacing w:after="120" w:before="120" w:line="264" w:lineRule="auto"/>
        <w:ind/>
        <w:jc w:val="both"/>
        <w:rPr>
          <w:spacing w:val="-2"/>
          <w:lang w:val="pt-BR"/>
        </w:rPr>
      </w:pPr>
      <w:r>
        <w:rPr>
          <w:spacing w:val="-2"/>
          <w:lang w:val="pt-BR"/>
        </w:rPr>
        <w:t xml:space="preserve">Chúng tôi giả định rằng tài sản thẩm </w:t>
      </w:r>
      <w:r>
        <w:rPr>
          <w:spacing w:val="-2"/>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spacing w:val="-2"/>
          <w:lang w:val="pt-BR"/>
        </w:rPr>
        <w:t xml:space="preserve">đới (nếu có) trong trường hợp này.</w:t>
      </w:r>
      <w:r>
        <w:rPr>
          <w:spacing w:val="-2"/>
          <w:lang w:val="pt-BR"/>
        </w:rPr>
      </w:r>
      <w:r>
        <w:rPr>
          <w:spacing w:val="-2"/>
          <w:lang w:val="pt-BR"/>
        </w:rPr>
      </w:r>
    </w:p>
    <w:p>
      <w:pPr>
        <w:pStyle w:val="1027"/>
        <w:numPr>
          <w:ilvl w:val="0"/>
          <w:numId w:val="3"/>
        </w:numPr>
        <w:pBdr/>
        <w:tabs>
          <w:tab w:val="left" w:leader="none" w:pos="993"/>
        </w:tabs>
        <w:spacing w:after="120" w:before="120" w:line="264" w:lineRule="auto"/>
        <w:ind/>
        <w:jc w:val="both"/>
        <w:rPr>
          <w:spacing w:val="-2"/>
          <w:lang w:val="pt-BR"/>
        </w:rPr>
      </w:pPr>
      <w:r>
        <w:rPr>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spacing w:val="-2"/>
          <w:lang w:val="pt-BR"/>
        </w:rPr>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27"/>
        <w:numPr>
          <w:ilvl w:val="0"/>
          <w:numId w:val="3"/>
        </w:numPr>
        <w:pBdr/>
        <w:tabs>
          <w:tab w:val="left" w:leader="none" w:pos="993"/>
        </w:tabs>
        <w:spacing w:after="120" w:before="120" w:line="264" w:lineRule="auto"/>
        <w:ind/>
        <w:jc w:val="both"/>
        <w:rPr>
          <w:lang w:val="pt-BR"/>
        </w:rPr>
      </w:pPr>
      <w:r>
        <w:rPr>
          <w:b/>
          <w:bCs/>
          <w:lang w:val="pt-BR"/>
        </w:rPr>
        <w:t xml:space="preserve">Giá trị thị trường</w:t>
      </w:r>
      <w:r>
        <w:rPr>
          <w:b/>
          <w:bCs/>
          <w:lang w:val="pt-BR"/>
        </w:rPr>
        <w:t xml:space="preserve">:</w:t>
      </w:r>
      <w:r>
        <w:rPr>
          <w:lang w:val="pt-BR"/>
        </w:rPr>
        <w:t xml:space="preserve"> Kết quả thẩm định giá trị tài sản được xác định dựa trên cơ sở giá trị thị trường tại thời điểm thẩm định theo </w:t>
      </w:r>
      <w:r>
        <w:rPr>
          <w:lang w:val="pt-BR"/>
        </w:rPr>
        <w:t xml:space="preserve">Chuẩn mực thẩm định giá Việt Nam về Cơ sở giá trị thẩm định giá</w:t>
      </w:r>
      <w:r>
        <w:rPr>
          <w:lang w:val="pt-BR"/>
        </w:rPr>
        <w:t xml:space="preserve">: </w:t>
      </w:r>
      <w:r>
        <w:rPr>
          <w:i/>
          <w:iCs/>
          <w:lang w:val="pt-BR"/>
        </w:rPr>
        <w:t xml:space="preserve">“</w:t>
      </w:r>
      <w:r>
        <w:rPr>
          <w:i/>
          <w:iCs/>
          <w:lang w:val="pt-BR"/>
        </w:rPr>
        <w:t xml:space="preserve">Giá trị thị trường là khoản tiền ước </w:t>
      </w:r>
      <w:r>
        <w:rPr>
          <w:i/>
          <w:iCs/>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27"/>
        <w:numPr>
          <w:ilvl w:val="0"/>
          <w:numId w:val="24"/>
        </w:numPr>
        <w:pBdr/>
        <w:spacing w:after="120" w:before="120" w:line="276" w:lineRule="auto"/>
        <w:ind w:hanging="357" w:left="357"/>
        <w:jc w:val="both"/>
        <w:rPr>
          <w:b/>
          <w:lang w:val="pt-BR"/>
        </w:rPr>
      </w:pPr>
      <w:r>
        <w:rPr>
          <w:b/>
          <w:lang w:val="pt-BR"/>
        </w:rPr>
        <w:t xml:space="preserve">Cách tiếp cận và phương pháp thẩm định:</w:t>
      </w:r>
      <w:r>
        <w:rPr>
          <w:b/>
          <w:lang w:val="pt-BR"/>
        </w:rPr>
      </w:r>
      <w:r>
        <w:rPr>
          <w:b/>
          <w:lang w:val="pt-BR"/>
        </w:rPr>
      </w:r>
    </w:p>
    <w:p>
      <w:pPr>
        <w:pStyle w:val="1027"/>
        <w:numPr>
          <w:ilvl w:val="0"/>
          <w:numId w:val="3"/>
        </w:numPr>
        <w:pBdr/>
        <w:tabs>
          <w:tab w:val="left" w:leader="none" w:pos="993"/>
        </w:tabs>
        <w:spacing w:after="120" w:before="120" w:line="276" w:lineRule="auto"/>
        <w:ind w:left="357"/>
        <w:jc w:val="both"/>
        <w:rPr>
          <w:bCs/>
          <w:lang w:val="pt-BR"/>
        </w:rPr>
      </w:pPr>
      <w:r>
        <w:rPr>
          <w:bCs/>
          <w:i/>
          <w:iCs/>
          <w:lang w:val="pt-BR"/>
        </w:rPr>
        <w:t xml:space="preserve">Cách t</w:t>
      </w:r>
      <w:r>
        <w:rPr>
          <w:bCs/>
          <w:i/>
          <w:iCs/>
          <w:lang w:val="pt-BR"/>
        </w:rPr>
        <w:t xml:space="preserve">iếp cận từ thị trường:</w:t>
      </w:r>
      <w:r>
        <w:rPr>
          <w:bCs/>
          <w:i/>
          <w:iCs/>
          <w:lang w:val="pt-BR"/>
        </w:rPr>
        <w:t xml:space="preserve"> </w:t>
      </w:r>
      <w:r>
        <w:rPr>
          <w:bCs/>
          <w:lang w:val="pt-BR"/>
        </w:rPr>
        <w:t xml:space="preserve">X</w:t>
      </w:r>
      <w:r>
        <w:rPr>
          <w:bCs/>
          <w:lang w:val="pt-BR"/>
        </w:rPr>
        <w:t xml:space="preserve">ác định giá trị của tài sản thẩm định giá thông qua việc so sánh tài sản thẩm định giá với các tài sản so sánh đã có các thông tin về giá trên thị trường</w:t>
      </w:r>
      <w:r>
        <w:rPr>
          <w:bCs/>
          <w:lang w:val="pt-BR"/>
        </w:rPr>
        <w:t xml:space="preserve">.</w:t>
      </w:r>
      <w:r>
        <w:rPr>
          <w:bCs/>
          <w:lang w:val="pt-BR"/>
        </w:rPr>
      </w:r>
      <w:r>
        <w:rPr>
          <w:bCs/>
          <w:lang w:val="pt-BR"/>
        </w:rPr>
      </w:r>
    </w:p>
    <w:p>
      <w:pPr>
        <w:pStyle w:val="1027"/>
        <w:numPr>
          <w:ilvl w:val="0"/>
          <w:numId w:val="3"/>
        </w:numPr>
        <w:pBdr/>
        <w:tabs>
          <w:tab w:val="left" w:leader="none" w:pos="993"/>
        </w:tabs>
        <w:spacing w:after="120" w:before="120" w:line="276" w:lineRule="auto"/>
        <w:ind w:left="357"/>
        <w:jc w:val="both"/>
        <w:rPr>
          <w:bCs/>
          <w:lang w:val="pt-BR"/>
        </w:rPr>
      </w:pPr>
      <w:r>
        <w:rPr>
          <w:bCs/>
          <w:i/>
          <w:iCs/>
          <w:lang w:val="pt-BR"/>
        </w:rPr>
        <w:t xml:space="preserve">Phương pháp so sánh:</w:t>
      </w:r>
      <w:r>
        <w:rPr>
          <w:bCs/>
          <w:lang w:val="pt-BR"/>
        </w:rPr>
        <w:t xml:space="preserve"> </w:t>
      </w:r>
      <w:r>
        <w:rPr>
          <w:bCs/>
          <w:lang w:val="pt-BR"/>
        </w:rPr>
        <w:t xml:space="preserve">X</w:t>
      </w:r>
      <w:r>
        <w:rPr>
          <w:bCs/>
          <w:lang w:val="pt-BR"/>
        </w:rPr>
        <w:t xml:space="preserve">ác đ</w:t>
      </w:r>
      <w:r>
        <w:rPr>
          <w:bCs/>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lang w:val="pt-BR"/>
        </w:rPr>
        <w:t xml:space="preserve">.</w:t>
      </w:r>
      <w:r>
        <w:rPr>
          <w:bCs/>
          <w:lang w:val="pt-BR"/>
        </w:rPr>
      </w:r>
      <w:r>
        <w:rPr>
          <w:bCs/>
          <w:lang w:val="pt-BR"/>
        </w:rPr>
      </w:r>
    </w:p>
    <w:p>
      <w:pPr>
        <w:pStyle w:val="1027"/>
        <w:numPr>
          <w:ilvl w:val="0"/>
          <w:numId w:val="3"/>
        </w:numPr>
        <w:pBdr/>
        <w:spacing w:after="60" w:before="60" w:line="276" w:lineRule="auto"/>
        <w:ind/>
        <w:jc w:val="both"/>
        <w:rPr>
          <w:lang w:val="pt-BR"/>
        </w:rPr>
      </w:pPr>
      <w:r>
        <w:rPr>
          <w:i/>
          <w:iCs/>
          <w:lang w:val="vi-VN"/>
        </w:rPr>
        <w:t xml:space="preserve">Cách tiếp cận từ chi phí</w:t>
      </w:r>
      <w:r>
        <w:rPr>
          <w:i/>
          <w:iCs/>
        </w:rPr>
        <w:t xml:space="preserve">:</w:t>
      </w:r>
      <w:r>
        <w:rPr>
          <w:i/>
          <w:iCs/>
          <w:lang w:val="vi-VN"/>
        </w:rPr>
        <w:t xml:space="preserve"> </w:t>
      </w:r>
      <w:r>
        <w:t xml:space="preserve">L</w:t>
      </w:r>
      <w:r>
        <w:rPr>
          <w:lang w:val="vi-VN"/>
        </w:rPr>
        <w:t xml:space="preserve">à cách thức xác định giá trị của tài sản thẩm định giá thông qua chi phí tạo ra một tài sản có chức năng, công dụng giống hệt hoặc tương tự với tài sản thẩm định giá và hao mòn của tài sản thẩm định giá</w:t>
      </w:r>
      <w:r>
        <w:rPr>
          <w:lang w:val="pt-BR"/>
        </w:rPr>
        <w:t xml:space="preserve">.</w:t>
      </w:r>
      <w:r>
        <w:rPr>
          <w:lang w:val="pt-BR"/>
        </w:rPr>
      </w:r>
      <w:r>
        <w:rPr>
          <w:lang w:val="pt-BR"/>
        </w:rPr>
      </w:r>
    </w:p>
    <w:p>
      <w:pPr>
        <w:pStyle w:val="1027"/>
        <w:numPr>
          <w:ilvl w:val="0"/>
          <w:numId w:val="3"/>
        </w:numPr>
        <w:pBdr/>
        <w:tabs>
          <w:tab w:val="left" w:leader="none" w:pos="993"/>
        </w:tabs>
        <w:spacing w:after="120" w:before="120" w:line="264" w:lineRule="auto"/>
        <w:ind/>
        <w:jc w:val="both"/>
        <w:rPr>
          <w:spacing w:val="-2"/>
          <w:lang w:val="pt-BR"/>
        </w:rPr>
      </w:pPr>
      <w:r>
        <w:rPr>
          <w:i/>
          <w:iCs/>
          <w:lang w:val="vi-VN"/>
        </w:rPr>
        <w:t xml:space="preserve">Phương pháp chi phí thay thế</w:t>
      </w:r>
      <w:r>
        <w:rPr>
          <w:i/>
          <w:iCs/>
        </w:rPr>
        <w:t xml:space="preserve">:</w:t>
      </w:r>
      <w:r>
        <w:rPr>
          <w:lang w:val="vi-VN"/>
        </w:rPr>
        <w:t xml:space="preserve"> </w:t>
      </w:r>
      <w:r>
        <w:t xml:space="preserve">L</w:t>
      </w:r>
      <w:r>
        <w:rPr>
          <w:lang w:val="vi-VN"/>
        </w:rPr>
        <w:t xml:space="preserve">à phương pháp thẩm </w:t>
      </w:r>
      <w:r>
        <w:rPr>
          <w:lang w:val="vi-VN"/>
        </w:rPr>
        <w:t xml:space="preserve">định giá xác định giá trị của tài sản thẩm định giá dựa trên cơ sở chênh lệch giữa chi phí thay thế để tạo ra một tài sản tương tự tài sản thẩm định giá có cùng chức năng, công dụng theo giá thị trường hiện hành và giá trị hao mòn của tài sản thẩm định giá</w:t>
      </w:r>
      <w:r>
        <w:rPr>
          <w:spacing w:val="-2"/>
          <w:lang w:val="pt-BR"/>
        </w:rPr>
        <w:t xml:space="preserve">.</w:t>
      </w:r>
      <w:r>
        <w:rPr>
          <w:spacing w:val="-2"/>
          <w:lang w:val="pt-BR"/>
        </w:rPr>
      </w:r>
      <w:r>
        <w:rPr>
          <w:spacing w:val="-2"/>
          <w:lang w:val="pt-BR"/>
        </w:rPr>
      </w:r>
    </w:p>
    <w:p>
      <w:pPr>
        <w:pStyle w:val="1027"/>
        <w:numPr>
          <w:ilvl w:val="0"/>
          <w:numId w:val="24"/>
        </w:numPr>
        <w:pBdr/>
        <w:spacing w:after="120" w:before="120" w:line="276" w:lineRule="auto"/>
        <w:ind w:hanging="357" w:left="357"/>
        <w:jc w:val="both"/>
        <w:rPr>
          <w:b/>
          <w:lang w:val="pt-BR"/>
        </w:rPr>
      </w:pPr>
      <w:r>
        <w:rPr>
          <w:b/>
          <w:lang w:val="pt-BR"/>
        </w:rPr>
        <w:t xml:space="preserve">Xác định cách tiếp cận và phương pháp đối với tài sản thẩm định giá</w:t>
      </w:r>
      <w:r>
        <w:rPr>
          <w:b/>
          <w:lang w:val="pt-BR"/>
        </w:rPr>
        <w:t xml:space="preserve">:</w:t>
      </w:r>
      <w:r>
        <w:rPr>
          <w:b/>
          <w:lang w:val="pt-BR"/>
        </w:rPr>
      </w:r>
      <w:r>
        <w:rPr>
          <w:b/>
          <w:lang w:val="pt-BR"/>
        </w:rPr>
      </w:r>
    </w:p>
    <w:p>
      <w:pPr>
        <w:pStyle w:val="1027"/>
        <w:numPr>
          <w:ilvl w:val="0"/>
          <w:numId w:val="3"/>
        </w:numPr>
        <w:pBdr/>
        <w:spacing w:after="120" w:before="120" w:line="276" w:lineRule="auto"/>
        <w:ind w:left="357"/>
        <w:jc w:val="both"/>
        <w:rPr>
          <w:spacing w:val="-4"/>
          <w:lang w:val="pt-BR"/>
        </w:rPr>
      </w:pPr>
      <w:r>
        <w:rPr>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spacing w:val="-4"/>
          <w:lang w:val="pt-BR"/>
        </w:rPr>
        <w:t xml:space="preserve"> giá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sử dụn</w:t>
      </w:r>
      <w:r>
        <w:rPr>
          <w:spacing w:val="-4"/>
          <w:lang w:val="pt-BR"/>
        </w:rPr>
        <w:t xml:space="preserve">g đất của</w:t>
      </w:r>
      <w:r>
        <w:rPr>
          <w:spacing w:val="-4"/>
          <w:lang w:val="pt-BR"/>
        </w:rPr>
        <w:t xml:space="preserve"> tài sản thẩm định giá</w:t>
      </w:r>
      <w:r>
        <w:rPr>
          <w:spacing w:val="-4"/>
          <w:lang w:val="pt-BR"/>
        </w:rPr>
        <w:t xml:space="preserve">.</w:t>
      </w:r>
      <w:r>
        <w:rPr>
          <w:spacing w:val="-4"/>
          <w:lang w:val="pt-BR"/>
        </w:rPr>
      </w:r>
      <w:r>
        <w:rPr>
          <w:spacing w:val="-4"/>
          <w:lang w:val="pt-BR"/>
        </w:rPr>
      </w:r>
    </w:p>
    <w:p>
      <w:pPr>
        <w:pStyle w:val="1027"/>
        <w:numPr>
          <w:ilvl w:val="0"/>
          <w:numId w:val="3"/>
        </w:numPr>
        <w:pBdr/>
        <w:spacing w:after="120" w:before="120" w:line="276" w:lineRule="auto"/>
        <w:ind/>
        <w:jc w:val="both"/>
        <w:rPr>
          <w:lang w:val="de-DE"/>
        </w:rPr>
      </w:pPr>
      <w:r>
        <w:rPr>
          <w:spacing w:val="-4"/>
          <w:lang w:val="pt-BR"/>
        </w:rPr>
        <w:t xml:space="preserve">Đối với công trình xây dựng gắn liền trên đất, tại thời điểm thẩm định giá, qua thu thập thông tin từ thị trường, Tổ thẩm định nh</w:t>
      </w:r>
      <w:r>
        <w:rPr>
          <w:spacing w:val="-4"/>
          <w:lang w:val="pt-BR"/>
        </w:rPr>
        <w:t xml:space="preserve">ận</w:t>
      </w:r>
      <w:r>
        <w:rPr>
          <w:spacing w:val="-4"/>
          <w:lang w:val="pt-BR"/>
        </w:rPr>
        <w:t xml:space="preserve"> thấy thị trường hầu như không phát sinh các giao dịch các công trình xây dựng tương tự các tài sản so sánh. Vì vậy, do hạn chế về mặt thu thập thông tin, Tổ thẩm định chưa có cơ sở tính toán giá trị các công trình xây dựng dựa trên phương pháp so sánh. Ng</w:t>
      </w:r>
      <w:r>
        <w:rPr>
          <w:spacing w:val="-4"/>
          <w:lang w:val="pt-BR"/>
        </w:rPr>
        <w:t xml:space="preserve">oài ra, Tổ thẩm định cũng không được cung cấp thông tin hay có đủ dữ liệu để đánh giá theo cách tiếp cận từ thu nhập. Do vậy, Tổ thẩm định sử dụng cách tiếp cận từ chi phí (phương pháp chi phí thay thế) để xác định giá trị công trình gắn liền trên đất của </w:t>
      </w:r>
      <w:r>
        <w:rPr>
          <w:spacing w:val="-4"/>
          <w:lang w:val="pt-BR"/>
        </w:rPr>
        <w:t xml:space="preserve">tài sản so sánh</w:t>
      </w:r>
      <w:r>
        <w:rPr>
          <w:spacing w:val="-2"/>
          <w:lang w:val="pt-BR"/>
        </w:rPr>
        <w:t xml:space="preserve">.</w:t>
      </w:r>
      <w:r>
        <w:rPr>
          <w:lang w:val="de-DE"/>
        </w:rPr>
      </w:r>
      <w:r>
        <w:rPr>
          <w:lang w:val="de-DE"/>
        </w:rPr>
      </w:r>
    </w:p>
    <w:p>
      <w:pPr>
        <w:pStyle w:val="1027"/>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pPr>
        <w:pStyle w:val="1027"/>
        <w:numPr>
          <w:ilvl w:val="0"/>
          <w:numId w:val="26"/>
        </w:numPr>
        <w:pBdr/>
        <w:spacing w:after="120" w:before="120" w:line="276" w:lineRule="auto"/>
        <w:ind w:hanging="357" w:left="357"/>
        <w:jc w:val="both"/>
        <w:rPr>
          <w:b/>
          <w:lang w:val="pt-BR"/>
        </w:rPr>
      </w:pPr>
      <w:r>
        <w:rPr>
          <w:b/>
          <w:lang w:val="pt-BR"/>
        </w:rPr>
        <w:t xml:space="preserve">Xác định </w:t>
      </w:r>
      <w:r>
        <w:rPr>
          <w:b/>
          <w:lang w:val="pt-BR"/>
        </w:rPr>
        <w:t xml:space="preserve">đơn giá</w:t>
      </w:r>
      <w:r>
        <w:rPr>
          <w:b/>
          <w:lang w:val="pt-BR"/>
        </w:rPr>
        <w:t xml:space="preserve"> quyền sử dụng đấ</w:t>
      </w:r>
      <w:r>
        <w:rPr>
          <w:b/>
          <w:lang w:val="pt-BR"/>
        </w:rPr>
        <w:t xml:space="preserve">t</w:t>
      </w:r>
      <w:r>
        <w:rPr>
          <w:b/>
          <w:lang w:val="pt-BR"/>
        </w:rPr>
        <w:t xml:space="preserve">:</w:t>
      </w:r>
      <w:r>
        <w:rPr>
          <w:b/>
          <w:lang w:val="pt-BR"/>
        </w:rPr>
      </w:r>
      <w:r>
        <w:rPr>
          <w:b/>
          <w:lang w:val="pt-BR"/>
        </w:rPr>
      </w:r>
    </w:p>
    <w:p>
      <w:pPr>
        <w:pStyle w:val="1027"/>
        <w:pBdr/>
        <w:spacing w:after="120" w:before="120" w:line="276" w:lineRule="auto"/>
        <w:ind w:firstLine="357" w:left="0"/>
        <w:jc w:val="both"/>
        <w:rPr>
          <w:bCs/>
          <w:lang w:val="pt-BR"/>
        </w:rPr>
      </w:pPr>
      <w:r>
        <w:rPr>
          <w:lang w:val="nl-NL"/>
        </w:rPr>
        <w:t xml:space="preserve">Qua khảo sát thị trường, </w:t>
      </w:r>
      <w:r>
        <w:rPr>
          <w:lang w:val="nl-NL"/>
        </w:rPr>
        <w:t xml:space="preserve">T</w:t>
      </w:r>
      <w:r>
        <w:rPr>
          <w:lang w:val="nl-NL"/>
        </w:rPr>
        <w:t xml:space="preserve">ổ thẩm định thu thập được 03 giao dịch được cho là tương đồng về đặc điểm vị trí, giao thông, kích thước, mặt tiền, điều kiện hạ tầng và điều kiện xã </w:t>
      </w:r>
      <w:r>
        <w:rPr>
          <w:lang w:val="nl-NL"/>
        </w:rPr>
        <w:t xml:space="preserve">hội,…</w:t>
      </w:r>
      <w:r>
        <w:rPr>
          <w:lang w:val="nl-NL"/>
        </w:rPr>
        <w:t xml:space="preserve"> với tài sản thẩm định giá, cụ thể như sau:</w:t>
      </w:r>
      <w:r>
        <w:rPr>
          <w:bCs/>
          <w:lang w:val="pt-BR"/>
        </w:rPr>
      </w:r>
      <w:r>
        <w:rPr>
          <w:bCs/>
          <w:lang w:val="pt-BR"/>
        </w:rPr>
      </w:r>
    </w:p>
    <w:p>
      <w:pPr>
        <w:pStyle w:val="1027"/>
        <w:numPr>
          <w:ilvl w:val="0"/>
          <w:numId w:val="6"/>
        </w:numPr>
        <w:pBdr/>
        <w:tabs>
          <w:tab w:val="left" w:leader="none" w:pos="720"/>
        </w:tabs>
        <w:spacing w:after="120" w:before="120" w:line="276" w:lineRule="auto"/>
        <w:ind w:left="360"/>
        <w:jc w:val="both"/>
        <w:rPr>
          <w:b/>
          <w:lang w:val="nl-NL"/>
        </w:rPr>
      </w:pPr>
      <w:r>
        <w:rPr>
          <w:b/>
          <w:lang w:val="nl-NL"/>
        </w:rPr>
        <w:t xml:space="preserve">Thông tin tài sản so sánh:</w:t>
      </w:r>
      <w:r>
        <w:rPr>
          <w:b/>
          <w:lang w:val="nl-NL"/>
        </w:rPr>
      </w:r>
      <w:r>
        <w:rPr>
          <w:b/>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pPr>
              <w:pBdr/>
              <w:spacing/>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165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Địa chỉ</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K91/H43/10 Cù Chính Lan, phường Thanh Khê, TP Đà Nẵng</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Kiệt 151 đường Cù Chính Lan, phường Thanh Khê, thành phố Đà Nẵng</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Kiệt 123 đường Cù Chính Lan, phường Thanh Khê, thành phố Đà Nẵng</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Kiệt 123 đường Cù Chính Lan, phường Thanh Khê, thành phố Đà Nẵng</w:t>
            </w:r>
            <w:r>
              <w:rPr>
                <w:sz w:val="22"/>
                <w:szCs w:val="22"/>
              </w:rPr>
            </w:r>
            <w:r>
              <w:rPr>
                <w:sz w:val="22"/>
                <w:szCs w:val="22"/>
              </w:rPr>
            </w:r>
          </w:p>
        </w:tc>
      </w:tr>
      <w:tr>
        <w:trPr>
          <w:trHeight w:val="276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https://www.facebook.com/share/p/1DdRnocvrJ/</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https://batdongsan.com.vn/ban-dat-duong-cu-chinh-lan-phuong-thanh-khe-dong/ban-nhanh-lo-118m2-da-nang-gan-ben-truong-le-quang-sung-pr44297129</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Phỏng vấn qua Zalo</w:t>
            </w:r>
            <w:r>
              <w:rPr>
                <w:sz w:val="22"/>
                <w:szCs w:val="22"/>
              </w:rPr>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Thông tin liên lạc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0966.301064</w:t>
            </w:r>
            <w:r>
              <w:rPr>
                <w:sz w:val="22"/>
                <w:szCs w:val="22"/>
              </w:rPr>
              <w:t xml:space="preserve"> </w:t>
            </w:r>
            <w:r>
              <w:rPr>
                <w:sz w:val="22"/>
                <w:szCs w:val="22"/>
              </w:rPr>
              <w:br/>
              <w:t xml:space="preserve">(</w:t>
            </w:r>
            <w:r>
              <w:rPr>
                <w:sz w:val="22"/>
                <w:szCs w:val="22"/>
              </w:rPr>
              <w:t xml:space="preserve">Đình Thắng</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0948.678444</w:t>
            </w:r>
            <w:r>
              <w:rPr>
                <w:sz w:val="22"/>
                <w:szCs w:val="22"/>
              </w:rPr>
              <w:br/>
            </w:r>
            <w:r>
              <w:rPr>
                <w:sz w:val="22"/>
                <w:szCs w:val="22"/>
              </w:rPr>
              <w:t xml:space="preserve">(</w:t>
            </w:r>
            <w:r>
              <w:rPr>
                <w:sz w:val="22"/>
                <w:szCs w:val="22"/>
              </w:rPr>
              <w:t xml:space="preserve">Nguyễn Hoàng</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0799.130919</w:t>
            </w:r>
            <w:r>
              <w:rPr>
                <w:sz w:val="22"/>
                <w:szCs w:val="22"/>
              </w:rPr>
              <w:br/>
            </w:r>
            <w:r>
              <w:rPr>
                <w:sz w:val="22"/>
                <w:szCs w:val="22"/>
              </w:rPr>
              <w:t xml:space="preserve">(</w:t>
            </w:r>
            <w:r>
              <w:rPr>
                <w:sz w:val="22"/>
                <w:szCs w:val="22"/>
              </w:rPr>
              <w:t xml:space="preserve">Thuỳ Dung</w:t>
            </w:r>
            <w:r>
              <w:rPr>
                <w:sz w:val="22"/>
                <w:szCs w:val="22"/>
              </w:rPr>
              <w:t xml:space="preserve">)</w:t>
            </w:r>
            <w:r>
              <w:rPr>
                <w:sz w:val="22"/>
                <w:szCs w:val="22"/>
              </w:rPr>
            </w:r>
            <w:r>
              <w:rPr>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4/2026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4/2026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4/2026</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K91/H43/10 Cù Chính Lan, phường Thanh Khê, TP Đà Nẵng. Cách mặt tiền đường Cù Chính Lan 80m, cách đường Điện Biên Phủ 216m. Cách UBND phường Thanh Khê khoảng 1,3km.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Kiệt 151 đường Cù Chính Lan, phường Thanh Khê, thành phố Đà Nẵng. Cách mặt tiền đường Cù Chính Lan khoảng khoảng 89m. Cách UBND phường Thanh Khê khoảng 1,5km.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Kiệt 123 đường Cù Chính Lan, phường Thanh Khê, thành phố Đà Nẵng. Cách mặt tiền đường Cù Chính Lan khoảng khoảng 213m. Cách UBND phường Thanh Khê khoảng 1,6km.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Kiệt 123 đường Cù Chính Lan, phường Thanh Khê,</w:t>
            </w:r>
            <w:r>
              <w:rPr>
                <w:color w:val="000000" w:themeColor="text1"/>
                <w:sz w:val="22"/>
                <w:szCs w:val="22"/>
              </w:rPr>
              <w:t xml:space="preserve"> thành phố Đà Nẵng. Cách mặt tiền đường Cù Chính Lan khoảng khoảng 525m. Cách mặt tiền đường Hà Huy Tập khoảng 227m. Cách UBND phường Thanh Khê khoảng 1,4km.</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3,5</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Cơ sở hạ tầng kỹ thuật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Điều kiện môi trường an ninh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45,7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95,0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118,2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84,2</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3,21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7,03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4,95</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Chiều sâu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14,66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13,51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20,38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17,15</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01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01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02 mặt ngõ</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01 mặt tiền</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Tóp hậu</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Tóp hậu</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Đa giác khác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đối vuông vức</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Bất lợi thương mại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Ngõ cụt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Ngõ cụt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Ngõ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Ngõ cụt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Giá rao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3.700.000.000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4.850.000.000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4.400.000.000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Giá thương lượng/bán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3.330.000.000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4.365.000.000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3.960.000.000</w:t>
            </w:r>
            <w:r>
              <w:rPr>
                <w:color w:val="000000"/>
                <w:sz w:val="22"/>
                <w:szCs w:val="22"/>
              </w:rPr>
            </w:r>
            <w:r>
              <w:rPr>
                <w:color w:val="000000"/>
                <w:sz w:val="22"/>
                <w:szCs w:val="22"/>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Chi tiết tính toán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1</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 trị tài sản trên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2</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 trị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3.330.000.000</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4.365.000.000</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3.960.000.000</w:t>
            </w:r>
            <w:r>
              <w:rPr>
                <w:b/>
                <w:bCs/>
                <w:color w:val="000000"/>
                <w:sz w:val="22"/>
                <w:szCs w:val="22"/>
              </w:rPr>
            </w:r>
            <w:r>
              <w:rPr>
                <w:b/>
                <w:bCs/>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3</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Đơn giá QSDĐ (đồng/m²)</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b/>
                <w:bCs/>
                <w:color w:val="000000"/>
                <w:sz w:val="22"/>
                <w:szCs w:val="22"/>
              </w:rPr>
            </w:pPr>
            <w:r>
              <w:rPr>
                <w:b/>
                <w:bCs/>
                <w:color w:val="000000" w:themeColor="text1"/>
                <w:sz w:val="22"/>
                <w:szCs w:val="22"/>
              </w:rPr>
              <w:t xml:space="preserve">35.052.632</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b/>
                <w:bCs/>
                <w:color w:val="000000"/>
                <w:sz w:val="22"/>
                <w:szCs w:val="22"/>
              </w:rPr>
            </w:pPr>
            <w:r>
              <w:rPr>
                <w:b/>
                <w:bCs/>
                <w:color w:val="000000" w:themeColor="text1"/>
                <w:sz w:val="22"/>
                <w:szCs w:val="22"/>
              </w:rPr>
              <w:t xml:space="preserve">33.641.624</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b/>
                <w:bCs/>
                <w:color w:val="000000"/>
                <w:sz w:val="22"/>
                <w:szCs w:val="22"/>
              </w:rPr>
            </w:pPr>
            <w:r>
              <w:rPr>
                <w:b/>
                <w:bCs/>
                <w:color w:val="000000" w:themeColor="text1"/>
                <w:sz w:val="22"/>
                <w:szCs w:val="22"/>
              </w:rPr>
              <w:t xml:space="preserve">43.213.361</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Bất lợi khác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bl>
    <w:p>
      <w:pPr>
        <w:pBdr/>
        <w:tabs>
          <w:tab w:val="left" w:leader="none" w:pos="90"/>
          <w:tab w:val="left" w:leader="none" w:pos="180"/>
        </w:tabs>
        <w:spacing w:after="120" w:before="120" w:line="264" w:lineRule="auto"/>
        <w:ind/>
        <w:jc w:val="both"/>
        <w:rPr>
          <w:b/>
          <w:lang w:val="de-DE"/>
        </w:rPr>
      </w:pPr>
      <w:r>
        <w:rPr>
          <w:lang w:val="it-IT"/>
        </w:rPr>
        <w:t xml:space="preserve">Các yếu tố như</w:t>
      </w:r>
      <w:r>
        <w:rPr>
          <w:lang w:val="vi-VN"/>
        </w:rPr>
        <w:t xml:space="preserve"> vị trí, giao thông, diện tích, </w:t>
      </w:r>
      <w:r>
        <w:t xml:space="preserve">hình dáng, </w:t>
      </w:r>
      <w:r>
        <w:rPr>
          <w:lang w:val="vi-VN"/>
        </w:rPr>
        <w:t xml:space="preserve">hạ tầng kỹ thuật và hạ tầng xã hội</w:t>
      </w:r>
      <w:r>
        <w:rPr>
          <w:lang w:val="it-IT"/>
        </w:rPr>
        <w:t xml:space="preserve">… làm ảnh hưởng đến giá trị của </w:t>
      </w:r>
      <w:r>
        <w:t xml:space="preserve">thửa</w:t>
      </w:r>
      <w:r>
        <w:rPr>
          <w:lang w:val="vi-VN"/>
        </w:rPr>
        <w:t xml:space="preserve"> đất</w:t>
      </w:r>
      <w:r>
        <w:rPr>
          <w:lang w:val="it-IT"/>
        </w:rPr>
        <w:t xml:space="preserve">. Mỗi yếu tố đóng góp một tỷ lệ nhất định vào giá trị của </w:t>
      </w:r>
      <w:r>
        <w:rPr>
          <w:lang w:val="vi-VN"/>
        </w:rPr>
        <w:t xml:space="preserve">thửa đất</w:t>
      </w:r>
      <w:r>
        <w:rPr>
          <w:lang w:val="it-IT"/>
        </w:rPr>
        <w:t xml:space="preserve">. Vì vậy, </w:t>
      </w:r>
      <w:r>
        <w:rPr>
          <w:lang w:val="it-IT"/>
        </w:rPr>
        <w:t xml:space="preserve">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Pr>
          <w:b/>
          <w:lang w:val="de-DE"/>
        </w:rPr>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lang w:val="vi-VN"/>
        </w:rPr>
        <w:t xml:space="preserve">thẩm </w:t>
      </w:r>
      <w:r>
        <w:rPr>
          <w:lang w:val="it-IT"/>
        </w:rPr>
        <w:t xml:space="preserve">định giá thì giữ nguyên mức giá của tài sản so sánh (không điều chỉnh).</w:t>
      </w:r>
      <w:r>
        <w:rPr>
          <w:lang w:val="it-IT"/>
        </w:rPr>
      </w:r>
      <w:r>
        <w:rPr>
          <w:lang w:val="it-IT"/>
        </w:rPr>
      </w:r>
    </w:p>
    <w:p>
      <w:pPr>
        <w:pStyle w:val="1027"/>
        <w:numPr>
          <w:ilvl w:val="0"/>
          <w:numId w:val="6"/>
        </w:numPr>
        <w:pBdr/>
        <w:tabs>
          <w:tab w:val="left" w:leader="none" w:pos="720"/>
        </w:tabs>
        <w:spacing w:after="120" w:before="120" w:line="276" w:lineRule="auto"/>
        <w:ind w:hanging="284" w:left="284"/>
        <w:jc w:val="both"/>
        <w:rPr>
          <w:b/>
          <w:lang w:val="nl-NL"/>
        </w:rPr>
      </w:pPr>
      <w:r>
        <w:rPr>
          <w:b/>
          <w:lang w:val="nl-NL"/>
        </w:rPr>
        <w:t xml:space="preserve">Bảng điều chỉnh</w:t>
      </w:r>
      <w:r>
        <w:rPr>
          <w:b/>
          <w:lang w:val="nl-NL"/>
        </w:rPr>
        <w:t xml:space="preserve">:</w:t>
      </w:r>
      <w:r>
        <w:rPr>
          <w:b/>
          <w:lang w:val="nl-NL"/>
        </w:rPr>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765"/>
        <w:gridCol w:w="1030"/>
        <w:gridCol w:w="1522"/>
        <w:gridCol w:w="1522"/>
        <w:gridCol w:w="1522"/>
        <w:gridCol w:w="1522"/>
      </w:tblGrid>
      <w:tr>
        <w:trPr>
          <w:trHeight w:val="20"/>
          <w:tblHeader/>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jc w:val="center"/>
              <w:rPr>
                <w:b/>
                <w:bCs/>
                <w:color w:val="000000"/>
                <w:sz w:val="22"/>
                <w:szCs w:val="22"/>
              </w:rPr>
            </w:pPr>
            <w:r>
              <w:rPr>
                <w:b/>
                <w:bCs/>
                <w:color w:val="000000"/>
                <w:sz w:val="22"/>
                <w:szCs w:val="22"/>
              </w:rPr>
              <w:t xml:space="preserve">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Đơn vị tính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Giá trị QSDĐ thị trường (Ước tính sau thương lượng)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3.330.000.000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3.976.440.000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3.638.565.000</w:t>
            </w:r>
            <w:r>
              <w:rPr>
                <w:color w:val="000000"/>
                <w:sz w:val="20"/>
                <w:szCs w:val="20"/>
              </w:rPr>
            </w:r>
            <w:r>
              <w:rPr>
                <w:color w:val="000000"/>
                <w:sz w:val="20"/>
                <w:szCs w:val="20"/>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Đơn giá đất ước tính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35.052.632</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33.641.624</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43.213.361</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Điều chỉnh các 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35.052.632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33.641.624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43.213.361</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K91/H43/10 Cù Chính Lan, phường Thanh Khê, TP Đà Nẵng. Cách mặt tiền đường Cù Chính Lan 80m, cách đường Điện Biên Phủ 216m. Cách UBND phường Thanh Khê khoảng 1,3km.</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Kiệt 151 đường Cù Chính Lan, phường Thanh Khê, thành phố Đà Nẵng. Cách mặt tiền đường Cù Chính Lan khoảng khoảng 89m. Cách UBND phường Thanh Khê khoảng 1,5km.</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Kiệt 123 đường Cù Chính Lan, phường Thanh Khê, thành phố Đà Nẵng. Cách mặt tiền đường Cù Chính Lan khoảng khoảng 213m. Cách UBND phường Thanh Khê khoảng 1,6km.</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Kiệt 123 đường Cù Chính Lan, phường Thanh Khê,</w:t>
            </w:r>
            <w:r>
              <w:rPr>
                <w:color w:val="000000" w:themeColor="text1"/>
                <w:sz w:val="22"/>
                <w:szCs w:val="22"/>
              </w:rPr>
              <w:t xml:space="preserve"> thành phố Đà Nẵng. Cách mặt tiền đường Cù Chính Lan khoảng khoảng 525m. Cách mặt tiền đường Hà Huy Tập khoảng 227m. Cách UBND phường Thanh Khê khoảng 1,4km.</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-701.053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34.351.579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33.641.624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43.213.361</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Độ rộng đường trước tài sản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r>
            <w:r>
              <w:rPr>
                <w:b/>
                <w:bCs/>
                <w:color w:val="000000" w:themeColor="text1"/>
                <w:sz w:val="22"/>
                <w:szCs w:val="22"/>
              </w:rPr>
              <w:t xml:space="preserve">(m)</w:t>
            </w: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3,5</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-1.051.579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-1.009.249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-2.160.668</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33.300.000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32.632.375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41.052.693</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Diện tích đất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r>
            <w:r>
              <w:rPr>
                <w:b/>
                <w:bCs/>
                <w:color w:val="000000" w:themeColor="text1"/>
                <w:sz w:val="22"/>
                <w:szCs w:val="22"/>
              </w:rPr>
              <w:t xml:space="preserve">(m²)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45,7</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95,0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118,2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84,2</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2.103.158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2.354.914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2.160.668</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35.403.158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34.987.289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43.213.361</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Mặt tiền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themeColor="text1"/>
                <w:sz w:val="22"/>
                <w:szCs w:val="22"/>
              </w:rPr>
              <w:t xml:space="preserve">(m)</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3,21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7,03</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5,8</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4,95</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-3.154.737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-2.354.914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-2.160.668</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32.248.421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32.632.375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41.052.693</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Số lượng mặt tiếp giáp</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01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01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02 mặt ngõ</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01 mặt tiền</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-1.682.081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32.248.421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30.950.294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41.052.693</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C.7</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Hình dáng thửa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Tóp hậu</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Tóp hậu</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Đa giác khác</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Tương đối vuông vức</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-1.009.249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-3.024.935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32.248.421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29.941.045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38.027.758</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C.8</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Bất lợi khác</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Ngõ cụt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Ngõ cụt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Ngõ thông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Ngõ cụt</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-1.682.081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32.248.421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28.258.964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38.027.758</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765" w:type="dxa"/>
            <w:vAlign w:val="center"/>
            <w:textDirection w:val="lrTb"/>
            <w:noWrap/>
          </w:tcPr>
          <w:p>
            <w:pPr>
              <w:pBdr/>
              <w:spacing/>
              <w:ind/>
              <w:rPr>
                <w:b/>
                <w:bCs/>
                <w:color w:val="000000"/>
                <w:sz w:val="22"/>
                <w:szCs w:val="22"/>
              </w:rPr>
            </w:pPr>
            <w:r>
              <w:rPr>
                <w:b/>
                <w:bCs/>
                <w:color w:val="000000"/>
                <w:sz w:val="22"/>
                <w:szCs w:val="22"/>
              </w:rPr>
              <w:t xml:space="preserve">Mức giá chỉ dẫn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32.248.421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26.576.883</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31.545.754</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trị trung bình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4566"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30.123.686</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độ chênh lệch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7.05%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-11.77%</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4.72%</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Tổng hợp các số liệu điều chỉnh tại mục C</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giá trị điều chỉnh gộp</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7.010.527</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11.774.569</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20.310.279</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số lần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4</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7</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8</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Biên độ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- 9%%</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- 7%%</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- 10%%</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giá trị điều chỉnh thuần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2.804.211</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7.064.741</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11.667.607</w:t>
            </w:r>
            <w:r>
              <w:rPr>
                <w:sz w:val="22"/>
                <w:szCs w:val="22"/>
              </w:rPr>
            </w:r>
            <w:r>
              <w:rPr>
                <w:sz w:val="22"/>
                <w:szCs w:val="22"/>
              </w:rPr>
            </w:r>
          </w:p>
        </w:tc>
      </w:tr>
    </w:tbl>
    <w:p>
      <w:pPr>
        <w:pBdr/>
        <w:spacing w:after="120" w:before="120" w:line="276" w:lineRule="auto"/>
        <w:ind/>
        <w:jc w:val="both"/>
        <w:rPr>
          <w:b/>
          <w:bCs/>
          <w:i/>
          <w:iCs/>
        </w:rPr>
      </w:pPr>
      <w:r>
        <w:rPr>
          <w:i/>
          <w:iCs/>
          <w:u w:val="single"/>
        </w:rPr>
        <w:t xml:space="preserve"> </w:t>
      </w:r>
      <w:r>
        <w:rPr>
          <w:b/>
          <w:bCs/>
          <w:i/>
          <w:iCs/>
          <w:u w:val="single"/>
        </w:rPr>
        <w:t xml:space="preserve">Về nguyên tắc khống chế</w:t>
      </w:r>
      <w:r>
        <w:rPr>
          <w:b/>
          <w:bCs/>
          <w:i/>
          <w:iCs/>
        </w:rPr>
        <w:t xml:space="preserve">: </w:t>
      </w:r>
      <w:r>
        <w:rPr>
          <w:b/>
          <w:bCs/>
          <w:i/>
          <w:iCs/>
        </w:rPr>
      </w:r>
      <w:r>
        <w:rPr>
          <w:b/>
          <w:bCs/>
          <w:i/>
          <w:iCs/>
        </w:rPr>
      </w:r>
    </w:p>
    <w:p>
      <w:pPr>
        <w:pBdr/>
        <w:spacing w:after="120" w:before="120" w:line="324" w:lineRule="auto"/>
        <w:ind/>
        <w:jc w:val="both"/>
        <w:rPr>
          <w:b/>
          <w:bCs/>
          <w:u w:val="single"/>
        </w:rPr>
      </w:pPr>
      <w:r>
        <w:t xml:space="preserve">Theo số liệu tại mục </w:t>
      </w:r>
      <w:r>
        <w:t xml:space="preserve">D</w:t>
      </w:r>
      <w:r>
        <w:t xml:space="preserve">2, chênh lệch giữa mức giá trung bình của các mức giá chỉ dẫn nằm trong khoảng </w:t>
      </w:r>
      <w:r>
        <w:t xml:space="preserve">từ </w:t>
      </w:r>
      <w:r>
        <w:t xml:space="preserve"> -11,77</w:t>
      </w:r>
      <w:r>
        <w:t xml:space="preserve">% đến</w:t>
      </w:r>
      <w:r>
        <w:t xml:space="preserve"> </w:t>
      </w:r>
      <w:r>
        <w:t xml:space="preserve"> </w:t>
      </w:r>
      <w:r>
        <w:t xml:space="preserve">7,05</w:t>
      </w:r>
      <w:r>
        <w:t xml:space="preserve">%, đảm bảo không quá 15% (theo </w:t>
      </w:r>
      <w:r>
        <w:t xml:space="preserve">Thông tư số 32/2024</w:t>
      </w:r>
      <w:r>
        <w:t xml:space="preserve">/TT-BTC</w:t>
      </w:r>
      <w:r>
        <w:t xml:space="preserve"> ngày 16/5/2024 của Bộ Tài </w:t>
      </w:r>
      <w:r>
        <w:t xml:space="preserve">c</w:t>
      </w:r>
      <w:r>
        <w:t xml:space="preserve">hính)</w:t>
      </w:r>
      <w:r>
        <w:t xml:space="preserve">.</w:t>
      </w:r>
      <w:r>
        <w:rPr>
          <w:b/>
          <w:bCs/>
          <w:u w:val="single"/>
        </w:rPr>
      </w:r>
      <w:r>
        <w:rPr>
          <w:b/>
          <w:bCs/>
          <w:u w:val="single"/>
        </w:rPr>
      </w:r>
    </w:p>
    <w:p>
      <w:pPr>
        <w:pBdr/>
        <w:spacing w:after="120" w:before="120" w:line="276" w:lineRule="auto"/>
        <w:ind/>
        <w:rPr>
          <w:b/>
          <w:bCs/>
          <w:i/>
          <w:iCs/>
          <w:u w:val="single"/>
        </w:rPr>
      </w:pPr>
      <w:r>
        <w:rPr>
          <w:b/>
          <w:bCs/>
          <w:i/>
          <w:iCs/>
          <w:u w:val="single"/>
        </w:rPr>
        <w:t xml:space="preserve">Về thống nhất mức giá chỉ dẫn</w:t>
      </w:r>
      <w:r>
        <w:rPr>
          <w:b/>
          <w:bCs/>
          <w:i/>
          <w:iCs/>
          <w:u w:val="single"/>
        </w:rPr>
        <w:t xml:space="preserve">:</w:t>
      </w:r>
      <w:r>
        <w:rPr>
          <w:b/>
          <w:bCs/>
          <w:i/>
          <w:iCs/>
          <w:u w:val="single"/>
        </w:rPr>
      </w:r>
      <w:r>
        <w:rPr>
          <w:b/>
          <w:bCs/>
          <w:i/>
          <w:iCs/>
          <w:u w:val="single"/>
        </w:rPr>
      </w:r>
    </w:p>
    <w:p>
      <w:pPr>
        <w:pBdr/>
        <w:spacing/>
        <w:ind/>
        <w:jc w:val="right"/>
        <w:rPr>
          <w:i/>
          <w:iCs/>
        </w:rPr>
      </w:pPr>
      <w:r>
        <w:rPr>
          <w:i/>
          <w:iCs/>
        </w:rPr>
        <w:t xml:space="preserve">Đơn vị tính: Đồng/m²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ind/>
              <w:jc w:val="center"/>
              <w:rPr>
                <w:b/>
                <w:bCs/>
                <w:color w:val="000000"/>
              </w:rPr>
            </w:pPr>
            <w:r>
              <w:rPr>
                <w:b/>
                <w:bCs/>
                <w:color w:val="000000"/>
              </w:rPr>
              <w:t xml:space="preserve">Tài 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b/>
                <w:bCs/>
                <w:color w:val="000000"/>
              </w:rPr>
            </w:pPr>
            <w:r>
              <w:rPr>
                <w:b/>
                <w:bCs/>
                <w:color w:val="000000"/>
              </w:rPr>
              <w:t xml:space="preserve">Mức giá chỉ dẫn của các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b/>
                <w:bCs/>
                <w:color w:val="000000"/>
              </w:rPr>
            </w:pPr>
            <w:r>
              <w:rPr>
                <w:b/>
                <w:bCs/>
                <w:color w:val="000000"/>
              </w:rPr>
              <w:t xml:space="preserve">Trọng số của các TSSS sau điều 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rPr>
              <w:t xml:space="preserve">Giá trị trung bình của mức giá chỉ dẫn sau điều 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32.248.421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33.34</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10.751.624</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26.576.883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8.858.075</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31.545.754</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10.514.200</w:t>
            </w:r>
            <w:r>
              <w:rPr>
                <w:color w:val="000000"/>
              </w:rPr>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Giá trị bình quân theo trọng số:</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30.123.899</w:t>
            </w:r>
            <w:r>
              <w:rPr>
                <w:b/>
                <w:bCs/>
                <w:color w:val="000000"/>
              </w:rPr>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Làm tròn:</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30.000.000</w:t>
            </w:r>
            <w:r>
              <w:rPr>
                <w:b/>
                <w:bCs/>
                <w:color w:val="000000"/>
              </w:rPr>
            </w:r>
            <w:r>
              <w:rPr>
                <w:b/>
                <w:bCs/>
                <w:color w:val="000000"/>
              </w:rPr>
            </w:r>
          </w:p>
        </w:tc>
      </w:tr>
    </w:tbl>
    <w:p>
      <w:pPr>
        <w:pBdr/>
        <w:spacing w:after="120" w:before="120" w:line="348" w:lineRule="auto"/>
        <w:ind/>
        <w:jc w:val="both"/>
        <w:rPr>
          <w:b/>
          <w:bCs/>
        </w:rPr>
      </w:pPr>
      <w:r>
        <w:t xml:space="preserve">Tổ thẩm định sử dụng mức giá chỉ dẫn là mức giá bình quân có trọng số của 03 tài sản so sánh làm mức giá của tài sản thẩm định, tương ứng là</w:t>
      </w:r>
      <w:r>
        <w:t xml:space="preserve">:</w:t>
      </w:r>
      <w:r>
        <w:t xml:space="preserve"> </w:t>
      </w:r>
      <w:r>
        <w:rPr>
          <w:b/>
          <w:bCs/>
          <w:color w:val="000000" w:themeColor="text1"/>
          <w:lang w:val="vi-VN"/>
        </w:rPr>
        <w:t xml:space="preserve">30.000.000</w:t>
      </w:r>
      <w:r>
        <w:rPr>
          <w:b/>
          <w:bCs/>
          <w:color w:val="000000" w:themeColor="text1"/>
        </w:rPr>
        <w:t xml:space="preserve"> </w:t>
      </w:r>
      <w:r>
        <w:rPr>
          <w:b/>
          <w:bCs/>
        </w:rPr>
        <w:t xml:space="preserve">đồng/m².</w:t>
      </w:r>
      <w:r>
        <w:rPr>
          <w:b/>
          <w:bCs/>
        </w:rPr>
      </w:r>
      <w:r>
        <w:rPr>
          <w:b/>
          <w:bCs/>
        </w:rPr>
      </w:r>
    </w:p>
    <w:p>
      <w:pPr>
        <w:pStyle w:val="1027"/>
        <w:numPr>
          <w:ilvl w:val="0"/>
          <w:numId w:val="26"/>
        </w:numPr>
        <w:pBdr/>
        <w:spacing w:after="120" w:before="120" w:line="348" w:lineRule="auto"/>
        <w:ind w:hanging="357" w:left="357"/>
        <w:jc w:val="both"/>
        <w:rPr>
          <w:b/>
          <w:lang w:val="pt-BR"/>
        </w:rPr>
      </w:pPr>
      <w:r>
        <w:rPr>
          <w:b/>
          <w:lang w:val="pt-BR"/>
        </w:rPr>
        <w:t xml:space="preserve">Kết quả thẩm định giá:</w:t>
      </w:r>
      <w:r>
        <w:rPr>
          <w:b/>
          <w:lang w:val="pt-BR"/>
        </w:rPr>
      </w:r>
      <w:r>
        <w:rPr>
          <w:b/>
          <w:lang w:val="pt-BR"/>
        </w:rPr>
      </w:r>
    </w:p>
    <w:p>
      <w:pPr>
        <w:pStyle w:val="1027"/>
        <w:pBdr/>
        <w:tabs>
          <w:tab w:val="left" w:leader="none" w:pos="993"/>
        </w:tabs>
        <w:spacing w:after="120" w:before="120" w:line="348" w:lineRule="auto"/>
        <w:ind w:left="0"/>
        <w:jc w:val="both"/>
        <w:rPr/>
      </w:pPr>
      <w:r>
        <w:rPr>
          <w:lang w:val="pt-BR"/>
        </w:rPr>
        <w:t xml:space="preserve">Dựa trên các lập luận trên, </w:t>
      </w:r>
      <w:r>
        <w:rPr>
          <w:lang w:val="pt-BR"/>
        </w:rPr>
        <w:t xml:space="preserve">T</w:t>
      </w:r>
      <w:r>
        <w:rPr>
          <w:lang w:val="pt-BR"/>
        </w:rPr>
        <w:t xml:space="preserve">ổ</w:t>
      </w:r>
      <w:r>
        <w:rPr>
          <w:lang w:val="pt-BR"/>
        </w:rPr>
        <w:t xml:space="preserve"> thẩm định ước tính giá trị </w:t>
      </w:r>
      <w:r>
        <w:rPr>
          <w:lang w:val="vi-VN"/>
        </w:rPr>
        <w:t xml:space="preserve">tài sản thẩm định giá</w:t>
      </w:r>
      <w:r>
        <w:rPr>
          <w:lang w:val="pt-BR"/>
        </w:rPr>
        <w:t xml:space="preserve"> </w:t>
      </w:r>
      <w:r>
        <w:rPr>
          <w:lang w:val="de-DE"/>
        </w:rPr>
        <w:t xml:space="preserve">chưa bao gồm các loại thuế, phí và lệ phí liên quan đến việc chuyển nhượng tài sản</w:t>
      </w:r>
      <w:r>
        <w:rPr>
          <w:lang w:val="pt-BR"/>
        </w:rPr>
        <w:t xml:space="preserve"> tại thời điểm thẩm định giá </w:t>
      </w:r>
      <w:r>
        <w:t xml:space="preserve">Tháng 4/2026</w:t>
      </w:r>
      <w:r>
        <w:t xml:space="preserve"> </w:t>
      </w:r>
      <w:r>
        <w:t xml:space="preserve">ước tính </w:t>
      </w:r>
      <w:r>
        <w:t xml:space="preserve">như sau</w:t>
      </w:r>
      <w:r>
        <w:t xml:space="preserve">:</w:t>
      </w:r>
      <w:r/>
    </w:p>
    <w:tbl>
      <w:tblPr>
        <w:tblW w:w="4964" w:type="pct"/>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688"/>
        <w:gridCol w:w="2741"/>
        <w:gridCol w:w="1843"/>
        <w:gridCol w:w="1951"/>
        <w:gridCol w:w="2234"/>
      </w:tblGrid>
      <w:tr>
        <w:trPr>
          <w:trHeight w:val="411"/>
        </w:trPr>
        <w:tc>
          <w:tcPr>
            <w:shd w:val="clear" w:color="000000" w:fill="ffffff"/>
            <w:tcBorders/>
            <w:tcW w:w="688" w:type="dxa"/>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2741" w:type="dxa"/>
            <w:vAlign w:val="center"/>
            <w:textDirection w:val="lrTb"/>
            <w:noWrap w:val="false"/>
          </w:tcPr>
          <w:p>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1843" w:type="dxa"/>
            <w:vAlign w:val="center"/>
            <w:textDirection w:val="lrTb"/>
            <w:noWrap w:val="false"/>
          </w:tcPr>
          <w:p>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1951" w:type="dxa"/>
            <w:vAlign w:val="center"/>
            <w:textDirection w:val="lrTb"/>
            <w:noWrap w:val="false"/>
          </w:tcPr>
          <w:p>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2234" w:type="dxa"/>
            <w:vAlign w:val="center"/>
            <w:textDirection w:val="lrTb"/>
            <w:noWrap w:val="false"/>
          </w:tcPr>
          <w:p>
            <w:pPr>
              <w:pBdr/>
              <w:spacing w:after="40" w:before="40" w:line="288" w:lineRule="auto"/>
              <w:ind/>
              <w:jc w:val="center"/>
              <w:rPr>
                <w:b/>
                <w:bCs/>
              </w:rPr>
            </w:pPr>
            <w:r>
              <w:rPr>
                <w:b/>
                <w:bCs/>
              </w:rPr>
              <w:t xml:space="preserve">Thành tiền (đồng)</w:t>
            </w:r>
            <w:r>
              <w:rPr>
                <w:b/>
                <w:bCs/>
              </w:rPr>
            </w:r>
            <w:r>
              <w:rPr>
                <w:b/>
                <w:bCs/>
              </w:rPr>
            </w:r>
          </w:p>
        </w:tc>
      </w:tr>
      <w:tr>
        <w:trPr>
          <w:trHeight w:val="2478"/>
        </w:trPr>
        <w:tc>
          <w:tcPr>
            <w:shd w:val="clear" w:color="000000" w:fill="ffffff"/>
            <w:tcBorders/>
            <w:tcW w:w="688" w:type="dxa"/>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6535" w:type="dxa"/>
            <w:vAlign w:val="center"/>
            <w:textDirection w:val="lrTb"/>
            <w:noWrap w:val="false"/>
          </w:tcPr>
          <w:p>
            <w:pPr>
              <w:pBdr/>
              <w:spacing w:after="40" w:before="40" w:line="348" w:lineRule="auto"/>
              <w:ind/>
              <w:jc w:val="both"/>
              <w:rPr>
                <w:b/>
                <w:bCs/>
              </w:rPr>
            </w:pPr>
            <w:r>
              <w:rPr>
                <w:b/>
                <w:bCs/>
                <w:color w:val="000000"/>
              </w:rPr>
              <w:t xml:space="preserve">Giá trị quyền sử dụng đất tại Thửa đất số: 375, tờ bản đồ số: 119, </w:t>
            </w:r>
            <w:r>
              <w:rPr>
                <w:b/>
                <w:bCs/>
                <w:color w:val="000000"/>
              </w:rPr>
              <w:t xml:space="preserve">địa chỉ: K91/H43/10 Cù Chính Lan, phường Thanh Khê, TP Đà Nẵng theo Giấy chứng nhận quyền sử dụng đất số: AE 219160, số vào sổ cấp GCN: H 06592 do UBND quận Thanh Khê, thành phố Đà Nẵng cấp ngày 25/7/2006. Chủ tài sản là Ông Hồ Đắc Hồng và Bà Trần Thị Nga.</w:t>
            </w:r>
            <w:r>
              <w:rPr>
                <w:b/>
                <w:bCs/>
              </w:rPr>
            </w:r>
            <w:r>
              <w:rPr>
                <w:b/>
                <w:bCs/>
              </w:rPr>
            </w:r>
          </w:p>
        </w:tc>
        <w:tc>
          <w:tcPr>
            <w:shd w:val="clear" w:color="000000" w:fill="ffffff"/>
            <w:tcBorders/>
            <w:tcW w:w="2234" w:type="dxa"/>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411"/>
        </w:trPr>
        <w:tc>
          <w:tcPr>
            <w:shd w:val="clear" w:color="000000" w:fill="ffffff"/>
            <w:tcBorders/>
            <w:tcW w:w="688" w:type="dxa"/>
            <w:vAlign w:val="center"/>
            <w:textDirection w:val="lrTb"/>
            <w:noWrap w:val="false"/>
          </w:tcPr>
          <w:p>
            <w:pPr>
              <w:pBdr/>
              <w:spacing w:after="40" w:before="40" w:line="288" w:lineRule="auto"/>
              <w:ind/>
              <w:jc w:val="center"/>
              <w:rPr>
                <w:b w:val="0"/>
                <w:bCs w:val="0"/>
              </w:rPr>
            </w:pPr>
            <w:r>
              <w:rPr>
                <w:b w:val="0"/>
                <w:bCs w:val="0"/>
              </w:rPr>
              <w:t xml:space="preserve">-</w:t>
            </w:r>
            <w:r>
              <w:rPr>
                <w:b w:val="0"/>
                <w:bCs w:val="0"/>
              </w:rPr>
            </w:r>
            <w:r>
              <w:rPr>
                <w:b w:val="0"/>
                <w:bCs w:val="0"/>
              </w:rPr>
            </w:r>
          </w:p>
        </w:tc>
        <w:tc>
          <w:tcPr>
            <w:shd w:val="clear" w:color="000000" w:fill="ffffff"/>
            <w:tcBorders/>
            <w:tcW w:w="2741" w:type="dxa"/>
            <w:vAlign w:val="center"/>
            <w:textDirection w:val="lrTb"/>
            <w:noWrap w:val="false"/>
          </w:tcPr>
          <w:p>
            <w:pPr>
              <w:pBdr/>
              <w:spacing w:after="40" w:before="40" w:line="288" w:lineRule="auto"/>
              <w:ind/>
              <w:rPr>
                <w:b w:val="0"/>
                <w:bCs w:val="0"/>
              </w:rPr>
            </w:pPr>
            <w:r>
              <w:rPr>
                <w:b w:val="0"/>
                <w:bCs w:val="0"/>
              </w:rPr>
              <w:t xml:space="preserve">Đất ở tại đô thị</w:t>
            </w:r>
            <w:r>
              <w:rPr>
                <w:b w:val="0"/>
                <w:bCs w:val="0"/>
              </w:rPr>
            </w:r>
            <w:r>
              <w:rPr>
                <w:b w:val="0"/>
                <w:bCs w:val="0"/>
              </w:rPr>
            </w:r>
          </w:p>
        </w:tc>
        <w:tc>
          <w:tcPr>
            <w:tcBorders/>
            <w:tcW w:w="1843" w:type="dxa"/>
            <w:vAlign w:val="center"/>
            <w:textDirection w:val="lrTb"/>
            <w:noWrap/>
          </w:tcPr>
          <w:p>
            <w:pPr>
              <w:pBdr/>
              <w:spacing w:after="40" w:before="40" w:line="288" w:lineRule="auto"/>
              <w:ind/>
              <w:jc w:val="center"/>
              <w:rPr>
                <w:color w:val="000000"/>
              </w:rPr>
            </w:pPr>
            <w:r>
              <w:rPr>
                <w:color w:val="000000" w:themeColor="text1"/>
              </w:rPr>
              <w:t xml:space="preserve">45,7</w:t>
            </w:r>
            <w:r>
              <w:rPr>
                <w:color w:val="000000"/>
              </w:rPr>
            </w:r>
            <w:r>
              <w:rPr>
                <w:color w:val="000000"/>
              </w:rPr>
            </w:r>
          </w:p>
        </w:tc>
        <w:tc>
          <w:tcPr>
            <w:shd w:val="clear" w:color="000000" w:fill="ffffff"/>
            <w:tcBorders/>
            <w:tcW w:w="1951" w:type="dxa"/>
            <w:vAlign w:val="center"/>
            <w:textDirection w:val="lrTb"/>
            <w:noWrap w:val="false"/>
          </w:tcPr>
          <w:p>
            <w:pPr>
              <w:pBdr/>
              <w:spacing w:after="40" w:before="40" w:line="288" w:lineRule="auto"/>
              <w:ind/>
              <w:jc w:val="center"/>
              <w:rPr/>
            </w:pPr>
            <w:r>
              <w:rPr>
                <w:color w:val="000000" w:themeColor="text1"/>
              </w:rPr>
              <w:t xml:space="preserve">30.000.000</w:t>
            </w:r>
            <w:r/>
          </w:p>
        </w:tc>
        <w:tc>
          <w:tcPr>
            <w:shd w:val="clear" w:color="000000" w:fill="ffffff"/>
            <w:tcBorders/>
            <w:tcW w:w="2234" w:type="dxa"/>
            <w:vAlign w:val="center"/>
            <w:textDirection w:val="lrTb"/>
            <w:noWrap w:val="false"/>
          </w:tcPr>
          <w:p>
            <w:pPr>
              <w:pBdr/>
              <w:spacing w:after="40" w:before="40" w:line="288" w:lineRule="auto"/>
              <w:ind/>
              <w:jc w:val="center"/>
              <w:rPr/>
            </w:pPr>
            <w:r>
              <w:rPr>
                <w:color w:val="000000" w:themeColor="text1"/>
              </w:rPr>
              <w:t xml:space="preserve">1.371.000.000</w:t>
            </w:r>
            <w:r/>
          </w:p>
        </w:tc>
      </w:tr>
      <w:tr>
        <w:trPr>
          <w:trHeight w:val="411"/>
        </w:trPr>
        <w:tc>
          <w:tcPr>
            <w:gridSpan w:val="4"/>
            <w:tcBorders/>
            <w:tcW w:w="7223" w:type="dxa"/>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2234" w:type="dxa"/>
            <w:vAlign w:val="center"/>
            <w:textDirection w:val="lrTb"/>
            <w:noWrap/>
          </w:tcPr>
          <w:p>
            <w:pPr>
              <w:pBdr/>
              <w:spacing w:after="40" w:before="40" w:line="288" w:lineRule="auto"/>
              <w:ind/>
              <w:jc w:val="center"/>
              <w:rPr>
                <w:b/>
                <w:bCs/>
                <w:color w:val="000000"/>
              </w:rPr>
            </w:pPr>
            <w:r>
              <w:rPr>
                <w:b/>
                <w:bCs/>
              </w:rPr>
              <w:t xml:space="preserve">1.371.000.000</w:t>
            </w:r>
            <w:r>
              <w:rPr>
                <w:b/>
                <w:bCs/>
                <w:color w:val="000000"/>
              </w:rPr>
            </w:r>
            <w:r>
              <w:rPr>
                <w:b/>
                <w:bCs/>
                <w:color w:val="000000"/>
              </w:rPr>
            </w:r>
          </w:p>
        </w:tc>
      </w:tr>
      <w:tr>
        <w:trPr>
          <w:trHeight w:val="411"/>
        </w:trPr>
        <w:tc>
          <w:tcPr>
            <w:gridSpan w:val="4"/>
            <w:tcBorders/>
            <w:tcW w:w="7223" w:type="dxa"/>
            <w:vAlign w:val="center"/>
            <w:textDirection w:val="lrTb"/>
            <w:noWrap/>
          </w:tcPr>
          <w:p>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2234" w:type="dxa"/>
            <w:vAlign w:val="center"/>
            <w:textDirection w:val="lrTb"/>
            <w:noWrap/>
          </w:tcPr>
          <w:p>
            <w:pPr>
              <w:pBdr/>
              <w:spacing w:after="40" w:before="40" w:line="288" w:lineRule="auto"/>
              <w:ind/>
              <w:jc w:val="center"/>
              <w:rPr>
                <w:b/>
                <w:bCs/>
                <w:color w:val="000000"/>
              </w:rPr>
            </w:pPr>
            <w:r>
              <w:rPr>
                <w:b/>
                <w:bCs/>
                <w:color w:val="000000"/>
              </w:rPr>
              <w:t xml:space="preserve">1.371.000.000</w:t>
            </w:r>
            <w:r>
              <w:rPr>
                <w:b/>
                <w:bCs/>
                <w:color w:val="000000"/>
              </w:rPr>
            </w:r>
            <w:r>
              <w:rPr>
                <w:b/>
                <w:bCs/>
                <w:color w:val="000000"/>
              </w:rPr>
            </w:r>
          </w:p>
        </w:tc>
      </w:tr>
      <w:tr>
        <w:trPr>
          <w:trHeight w:val="411"/>
        </w:trPr>
        <w:tc>
          <w:tcPr>
            <w:gridSpan w:val="5"/>
            <w:tcBorders/>
            <w:tcW w:w="9457" w:type="dxa"/>
            <w:vAlign w:val="center"/>
            <w:textDirection w:val="lrTb"/>
            <w:noWrap w:val="false"/>
          </w:tcPr>
          <w:p>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Một tỷ, ba trăm bảy mươi mốt triệu đồng</w:t>
            </w:r>
            <w:r>
              <w:rPr>
                <w:b/>
                <w:bCs/>
                <w:i/>
                <w:iCs/>
                <w:color w:val="000000"/>
              </w:rPr>
              <w:t xml:space="preserve">./.)</w:t>
            </w:r>
            <w:r>
              <w:rPr>
                <w:b/>
                <w:bCs/>
                <w:i/>
                <w:iCs/>
                <w:color w:val="000000"/>
              </w:rPr>
            </w:r>
            <w:r>
              <w:rPr>
                <w:b/>
                <w:bCs/>
                <w:i/>
                <w:iCs/>
                <w:color w:val="000000"/>
              </w:rPr>
            </w:r>
          </w:p>
        </w:tc>
      </w:tr>
    </w:tbl>
    <w:p>
      <w:pPr>
        <w:pBdr/>
        <w:spacing w:line="300" w:lineRule="auto"/>
        <w:ind/>
        <w:jc w:val="both"/>
        <w:rPr>
          <w:bCs/>
          <w:i/>
          <w:color w:val="000000"/>
          <w:sz w:val="10"/>
          <w:szCs w:val="10"/>
        </w:rPr>
      </w:pPr>
      <w:r>
        <w:rPr>
          <w:i/>
          <w:iCs/>
          <w:color w:val="000000"/>
          <w:highlight w:val="none"/>
        </w:rPr>
      </w:r>
      <w:r>
        <w:rPr>
          <w:bCs/>
          <w:i/>
          <w:color w:val="000000"/>
          <w:sz w:val="10"/>
          <w:szCs w:val="10"/>
        </w:rPr>
      </w:r>
      <w:r>
        <w:rPr>
          <w:bCs/>
          <w:i/>
          <w:color w:val="000000"/>
          <w:sz w:val="10"/>
          <w:szCs w:val="10"/>
        </w:rPr>
      </w:r>
    </w:p>
    <w:p>
      <w:pPr>
        <w:pBdr/>
        <w:spacing w:line="360" w:lineRule="auto"/>
        <w:ind/>
        <w:jc w:val="both"/>
        <w:rPr>
          <w:bCs/>
          <w:i/>
          <w:color w:val="000000"/>
          <w:highlight w:val="none"/>
        </w:rPr>
      </w:pPr>
      <w:r>
        <w:rPr>
          <w:b/>
          <w:bCs/>
          <w:highlight w:val="none"/>
          <w:lang w:val="pt-BR"/>
        </w:rPr>
        <w:t xml:space="preserve">* Ghi chú: </w:t>
      </w:r>
      <w:r>
        <w:rPr>
          <w:color w:val="000000"/>
        </w:rPr>
        <w:t xml:space="preserve">Tại thời điểm thẩm định, theo khảo sát hiện trạng và GCN, trên bất động sản là ngôi nhà cấp 4 + gác lửng (</w:t>
      </w:r>
      <w:r>
        <w:rPr>
          <w:i/>
          <w:iCs/>
          <w:color w:val="000000"/>
        </w:rPr>
        <w:t xml:space="preserve">DTXD </w:t>
      </w:r>
      <w:r>
        <w:rPr>
          <w:i/>
          <w:iCs/>
          <w:color w:val="000000"/>
        </w:rPr>
        <w:t xml:space="preserve">= 45,1m</w:t>
      </w:r>
      <w:r>
        <w:rPr>
          <w:i/>
          <w:iCs/>
          <w:color w:val="000000"/>
          <w:vertAlign w:val="superscript"/>
        </w:rPr>
        <w:t xml:space="preserve">2</w:t>
      </w:r>
      <w:r>
        <w:rPr>
          <w:i/>
          <w:iCs/>
          <w:color w:val="000000"/>
        </w:rPr>
        <w:t xml:space="preserve">; DTSD = 70,9m</w:t>
      </w:r>
      <w:r>
        <w:rPr>
          <w:i/>
          <w:iCs/>
          <w:color w:val="000000"/>
          <w:vertAlign w:val="superscript"/>
        </w:rPr>
        <w:t xml:space="preserve">2</w:t>
      </w:r>
      <w:r>
        <w:rPr>
          <w:color w:val="000000"/>
        </w:rPr>
        <w:t xml:space="preserve">) có hiện trạng thấm dột, </w:t>
      </w:r>
      <w:r>
        <w:rPr>
          <w:color w:val="000000"/>
        </w:rPr>
        <w:t xml:space="preserve">xuống cấp,</w:t>
      </w:r>
      <w:r>
        <w:rPr>
          <w:color w:val="000000"/>
        </w:rPr>
        <w:t xml:space="preserve"> không còn đủ điều kiện đảm bảo an toàn để tiếp tục sử dụng, chủ tài sản chuẩn bị tháo dỡ và xây mới lại ngôi nhà. Do đó, Tổ Thẩm định không tính giá trị ngôi nhà vào tổng giá trị tài sản.</w:t>
      </w:r>
      <w:r>
        <w:t xml:space="preserve"> Lưu ý Quý Ngân hàng nội dung này trong quá trình xét duyệt cho vay. </w:t>
      </w:r>
      <w:r>
        <w:rPr>
          <w:bCs/>
          <w:i/>
          <w:color w:val="000000"/>
          <w:highlight w:val="none"/>
        </w:rPr>
      </w:r>
      <w:r>
        <w:rPr>
          <w:bCs/>
          <w:i/>
          <w:color w:val="000000"/>
          <w:highlight w:val="none"/>
        </w:rPr>
      </w:r>
    </w:p>
    <w:p>
      <w:pPr>
        <w:pStyle w:val="1027"/>
        <w:pBdr/>
        <w:tabs>
          <w:tab w:val="left" w:leader="none" w:pos="993"/>
        </w:tabs>
        <w:spacing w:after="120" w:before="120" w:line="348" w:lineRule="auto"/>
        <w:ind w:left="0"/>
        <w:jc w:val="both"/>
        <w:rPr>
          <w:b/>
          <w:bCs/>
          <w:highlight w:val="none"/>
          <w:lang w:val="pt-BR"/>
        </w:rPr>
      </w:pPr>
      <w:r>
        <w:rPr>
          <w:b/>
          <w:lang w:val="pt-BR"/>
        </w:rPr>
        <w:t xml:space="preserve">IX</w:t>
      </w:r>
      <w:r>
        <w:rPr>
          <w:b/>
          <w:lang w:val="pt-BR"/>
        </w:rPr>
        <w:t xml:space="preserve">. </w:t>
      </w:r>
      <w:r>
        <w:rPr>
          <w:b/>
          <w:bCs/>
          <w:lang w:val="pt-BR"/>
        </w:rPr>
        <w:t xml:space="preserve">THỜI HẠN HIỆU LỰC CỦA KẾT QUẢ THẨM ĐỊNH GIÁ</w:t>
      </w:r>
      <w:r>
        <w:rPr>
          <w:b/>
          <w:bCs/>
          <w:highlight w:val="none"/>
          <w:lang w:val="pt-BR"/>
        </w:rPr>
      </w:r>
      <w:r>
        <w:rPr>
          <w:b/>
          <w:bCs/>
          <w:highlight w:val="none"/>
          <w:lang w:val="pt-BR"/>
        </w:rPr>
      </w:r>
    </w:p>
    <w:p>
      <w:pPr>
        <w:pStyle w:val="1027"/>
        <w:numPr>
          <w:ilvl w:val="0"/>
          <w:numId w:val="4"/>
        </w:numPr>
        <w:pBdr/>
        <w:tabs>
          <w:tab w:val="left" w:leader="none" w:pos="993"/>
        </w:tabs>
        <w:spacing w:after="120" w:before="120" w:line="348" w:lineRule="auto"/>
        <w:ind/>
        <w:jc w:val="both"/>
        <w:rPr>
          <w:b/>
          <w:lang w:val="pt-BR"/>
        </w:rPr>
      </w:pPr>
      <w:r>
        <w:rPr>
          <w:lang w:val="pt-BR"/>
        </w:rPr>
        <w:t xml:space="preserve">Tối đa 06 (sáu) tháng tính từ ngày ký đối với tài sản là Bất động sản.</w:t>
      </w:r>
      <w:r>
        <w:rPr>
          <w:b/>
          <w:lang w:val="pt-BR"/>
        </w:rPr>
      </w:r>
      <w:r>
        <w:rPr>
          <w:b/>
          <w:lang w:val="pt-BR"/>
        </w:rPr>
      </w:r>
    </w:p>
    <w:p>
      <w:pPr>
        <w:pStyle w:val="1027"/>
        <w:pBdr/>
        <w:tabs>
          <w:tab w:val="left" w:leader="none" w:pos="993"/>
        </w:tabs>
        <w:spacing w:after="120" w:before="120" w:line="34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27"/>
        <w:numPr>
          <w:ilvl w:val="0"/>
          <w:numId w:val="5"/>
        </w:numPr>
        <w:pBdr/>
        <w:tabs>
          <w:tab w:val="left" w:leader="none" w:pos="993"/>
        </w:tabs>
        <w:spacing w:after="120" w:before="120" w:line="348" w:lineRule="auto"/>
        <w:ind/>
        <w:jc w:val="both"/>
        <w:rPr>
          <w:lang w:val="pt-BR"/>
        </w:rPr>
      </w:pPr>
      <w:r>
        <w:rPr>
          <w:lang w:val="pt-BR"/>
        </w:rPr>
        <w:t xml:space="preserve">Công ty </w:t>
      </w:r>
      <w:r>
        <w:rPr>
          <w:lang w:val="pt-BR"/>
        </w:rPr>
        <w:t xml:space="preserve">Cổ phần Thẩm định</w:t>
      </w:r>
      <w:r>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lang w:val="pt-BR"/>
        </w:rPr>
      </w:r>
      <w:r>
        <w:rPr>
          <w:lang w:val="pt-BR"/>
        </w:rPr>
      </w:r>
    </w:p>
    <w:p>
      <w:pPr>
        <w:pStyle w:val="1027"/>
        <w:numPr>
          <w:ilvl w:val="0"/>
          <w:numId w:val="5"/>
        </w:numPr>
        <w:pBdr/>
        <w:tabs>
          <w:tab w:val="left" w:leader="none" w:pos="993"/>
        </w:tabs>
        <w:spacing w:after="120" w:before="120" w:line="348" w:lineRule="auto"/>
        <w:ind/>
        <w:jc w:val="both"/>
        <w:rPr>
          <w:lang w:val="pt-BR"/>
        </w:rPr>
      </w:pPr>
      <w:r>
        <w:rPr>
          <w:lang w:val="pt-BR"/>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w:t>
      </w:r>
      <w:r>
        <w:rPr>
          <w:lang w:val="pt-BR"/>
        </w:rPr>
        <w:t xml:space="preserve">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lang w:val="pt-BR"/>
        </w:rPr>
      </w:r>
      <w:r>
        <w:rPr>
          <w:lang w:val="pt-BR"/>
        </w:rPr>
      </w:r>
    </w:p>
    <w:p>
      <w:pPr>
        <w:pStyle w:val="1027"/>
        <w:numPr>
          <w:ilvl w:val="0"/>
          <w:numId w:val="5"/>
        </w:numPr>
        <w:pBdr/>
        <w:tabs>
          <w:tab w:val="left" w:leader="none" w:pos="993"/>
        </w:tabs>
        <w:spacing w:after="120" w:before="120" w:line="348" w:lineRule="auto"/>
        <w:ind/>
        <w:jc w:val="both"/>
        <w:rPr>
          <w:lang w:val="pt-BR"/>
        </w:rPr>
      </w:pPr>
      <w:r>
        <w:rPr>
          <w:lang w:val="pt-BR"/>
        </w:rPr>
        <w:t xml:space="preserve">Chứng thư, Báo cáo này được soạn thảo theo Hợp đồng được ký kết</w:t>
      </w:r>
      <w:r>
        <w:rPr>
          <w:lang w:val="pt-BR"/>
        </w:rPr>
        <w:t xml:space="preserve"> </w:t>
      </w:r>
      <w:r>
        <w:rPr>
          <w:lang w:val="pt-BR"/>
        </w:rPr>
        <w:t xml:space="preserve">và tuâ</w:t>
      </w:r>
      <w:r>
        <w:rPr>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lang w:val="pt-BR"/>
        </w:rPr>
      </w:r>
      <w:r>
        <w:rPr>
          <w:lang w:val="pt-BR"/>
        </w:rPr>
      </w:r>
    </w:p>
    <w:p>
      <w:pPr>
        <w:pStyle w:val="1027"/>
        <w:numPr>
          <w:ilvl w:val="0"/>
          <w:numId w:val="5"/>
        </w:numPr>
        <w:pBdr/>
        <w:tabs>
          <w:tab w:val="left" w:leader="none" w:pos="993"/>
        </w:tabs>
        <w:spacing w:after="120" w:before="120" w:line="348" w:lineRule="auto"/>
        <w:ind/>
        <w:jc w:val="both"/>
        <w:rPr>
          <w:lang w:val="pt-BR"/>
        </w:rPr>
      </w:pPr>
      <w:r>
        <w:rPr>
          <w:lang w:val="pt-BR"/>
        </w:rPr>
        <w:t xml:space="preserve">Các bên liên quan khi đọc và thực hiện sử dụng sản phẩm tư vấn này, tức là đã chấp nhận và đồng ý với những điều khoản sau:</w:t>
      </w:r>
      <w:r>
        <w:rPr>
          <w:lang w:val="pt-BR"/>
        </w:rPr>
      </w:r>
      <w:r>
        <w:rPr>
          <w:lang w:val="pt-BR"/>
        </w:rPr>
      </w:r>
    </w:p>
    <w:p>
      <w:pPr>
        <w:pStyle w:val="1027"/>
        <w:numPr>
          <w:ilvl w:val="0"/>
          <w:numId w:val="10"/>
        </w:numPr>
        <w:pBdr/>
        <w:spacing w:after="120" w:before="120" w:line="348" w:lineRule="auto"/>
        <w:ind w:hanging="284" w:left="426"/>
        <w:jc w:val="both"/>
        <w:rPr>
          <w:lang w:val="pt-BR"/>
        </w:rPr>
      </w:pPr>
      <w:r>
        <w:rPr>
          <w:lang w:val="pt-BR"/>
        </w:rPr>
        <w:t xml:space="preserve">Sản phẩm tư vấn của Chúng tôi chỉ nhằm mục đích duy nhất đã ghi tại Mục 4 của Chứng thư mà không nhằm bất kỳ mục đích nào khác và mọi hành</w:t>
      </w:r>
      <w:r>
        <w:rPr>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lang w:val="pt-BR"/>
        </w:rPr>
      </w:r>
      <w:r>
        <w:rPr>
          <w:lang w:val="pt-BR"/>
        </w:rPr>
      </w:r>
    </w:p>
    <w:p>
      <w:pPr>
        <w:pStyle w:val="1027"/>
        <w:numPr>
          <w:ilvl w:val="0"/>
          <w:numId w:val="10"/>
        </w:numPr>
        <w:pBdr/>
        <w:spacing w:after="120" w:before="120" w:line="348" w:lineRule="auto"/>
        <w:ind w:hanging="284" w:left="426"/>
        <w:jc w:val="both"/>
        <w:rPr>
          <w:lang w:val="pt-BR"/>
        </w:rPr>
      </w:pPr>
      <w:r>
        <w:rPr>
          <w:lang w:val="pt-BR"/>
        </w:rPr>
        <w:t xml:space="preserve">Lotus VFI, Ban Lãnh đạo, toàn thể nhân viên, Thẩm định viên và đại diện pháp luật của Lotus VFI khôn</w:t>
      </w:r>
      <w:r>
        <w:rPr>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lang w:val="pt-BR"/>
        </w:rPr>
      </w:r>
      <w:r>
        <w:rPr>
          <w:lang w:val="pt-BR"/>
        </w:rPr>
      </w:r>
    </w:p>
    <w:p>
      <w:pPr>
        <w:pStyle w:val="1027"/>
        <w:numPr>
          <w:ilvl w:val="0"/>
          <w:numId w:val="10"/>
        </w:numPr>
        <w:pBdr/>
        <w:spacing w:after="120" w:before="120" w:line="348" w:lineRule="auto"/>
        <w:ind w:hanging="284" w:left="426"/>
        <w:jc w:val="both"/>
        <w:rPr>
          <w:lang w:val="pt-BR"/>
        </w:rPr>
      </w:pPr>
      <w:r>
        <w:rPr>
          <w:lang w:val="pt-BR"/>
        </w:rPr>
        <w:t xml:space="preserve">Khách hàng hoặc bất kỳ bên nào khác sử dụng báo cáo này và bất kỳ hoạt động nào của bất kỳ bên liên q</w:t>
      </w:r>
      <w:r>
        <w:rPr>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lang w:val="pt-BR"/>
        </w:rPr>
      </w:r>
      <w:r>
        <w:rPr>
          <w:lang w:val="pt-BR"/>
        </w:rPr>
      </w:r>
    </w:p>
    <w:p>
      <w:pPr>
        <w:pStyle w:val="1027"/>
        <w:pBdr/>
        <w:tabs>
          <w:tab w:val="left" w:leader="none" w:pos="993"/>
        </w:tabs>
        <w:spacing w:after="120" w:before="120" w:line="34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27"/>
        <w:numPr>
          <w:ilvl w:val="0"/>
          <w:numId w:val="5"/>
        </w:numPr>
        <w:pBdr/>
        <w:tabs>
          <w:tab w:val="left" w:leader="none" w:pos="993"/>
        </w:tabs>
        <w:spacing w:after="120" w:before="120" w:line="348" w:lineRule="auto"/>
        <w:ind w:hanging="357" w:left="357"/>
        <w:jc w:val="both"/>
        <w:rPr>
          <w:lang w:val="pt-BR"/>
        </w:rPr>
      </w:pPr>
      <w:r>
        <w:rPr>
          <w:lang w:val="pt-BR"/>
        </w:rPr>
        <w:t xml:space="preserve">Chứng thư này chỉ được cung cấp theo yêu cầu của khách hàng. Chỉ bản chính và bản sao Chứng thư thẩm định giá do Công ty </w:t>
      </w:r>
      <w:r>
        <w:rPr>
          <w:lang w:val="pt-BR"/>
        </w:rPr>
        <w:t xml:space="preserve">Cổ phần Thẩm định</w:t>
      </w:r>
      <w:r>
        <w:rPr>
          <w:lang w:val="pt-BR"/>
        </w:rPr>
        <w:t xml:space="preserve"> và Đầu tư Tài chính Hoa Sen cấp mới có giá trị. Mọi hành vi sử dụng bản sao Chứng thư/Báo cáo kết quả thẩm định giá mà không có xác nhận của Công ty </w:t>
      </w:r>
      <w:r>
        <w:rPr>
          <w:lang w:val="pt-BR"/>
        </w:rPr>
        <w:t xml:space="preserve">Cổ phần Thẩm định</w:t>
      </w:r>
      <w:r>
        <w:rPr>
          <w:lang w:val="pt-BR"/>
        </w:rPr>
        <w:t xml:space="preserve"> và Đầu tư Tài chính Hoa Sen đều vi phạm pháp luật và không có giá trị.</w:t>
      </w:r>
      <w:r>
        <w:rPr>
          <w:lang w:val="pt-BR"/>
        </w:rPr>
      </w:r>
      <w:r>
        <w:rPr>
          <w:lang w:val="pt-BR"/>
        </w:rPr>
      </w:r>
    </w:p>
    <w:p>
      <w:pPr>
        <w:pStyle w:val="1027"/>
        <w:numPr>
          <w:ilvl w:val="0"/>
          <w:numId w:val="5"/>
        </w:numPr>
        <w:pBdr/>
        <w:tabs>
          <w:tab w:val="left" w:leader="none" w:pos="993"/>
        </w:tabs>
        <w:spacing w:after="120" w:before="120" w:line="348" w:lineRule="auto"/>
        <w:ind w:hanging="357" w:left="357"/>
        <w:jc w:val="both"/>
        <w:rPr>
          <w:lang w:val="pt-BR"/>
        </w:rPr>
      </w:pPr>
      <w:r>
        <w:rPr>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lang w:val="pt-BR"/>
        </w:rPr>
      </w:r>
      <w:r>
        <w:rPr>
          <w:lang w:val="pt-BR"/>
        </w:rPr>
      </w:r>
    </w:p>
    <w:p>
      <w:pPr>
        <w:pStyle w:val="1027"/>
        <w:numPr>
          <w:ilvl w:val="0"/>
          <w:numId w:val="5"/>
        </w:numPr>
        <w:pBdr/>
        <w:tabs>
          <w:tab w:val="left" w:leader="none" w:pos="993"/>
        </w:tabs>
        <w:spacing w:after="120" w:before="120" w:line="348" w:lineRule="auto"/>
        <w:ind w:hanging="357" w:left="357"/>
        <w:jc w:val="both"/>
        <w:rPr>
          <w:lang w:val="pt-BR"/>
        </w:rPr>
      </w:pPr>
      <w:r>
        <w:rPr>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lang w:val="pt-BR"/>
        </w:rPr>
      </w:r>
      <w:r>
        <w:rPr>
          <w:lang w:val="pt-BR"/>
        </w:rPr>
      </w:r>
    </w:p>
    <w:p>
      <w:pPr>
        <w:pStyle w:val="1027"/>
        <w:numPr>
          <w:ilvl w:val="0"/>
          <w:numId w:val="5"/>
        </w:numPr>
        <w:pBdr/>
        <w:tabs>
          <w:tab w:val="left" w:leader="none" w:pos="993"/>
        </w:tabs>
        <w:spacing w:after="120" w:before="120" w:line="348" w:lineRule="auto"/>
        <w:ind/>
        <w:jc w:val="both"/>
        <w:rPr>
          <w:b/>
          <w:lang w:val="pt-BR"/>
        </w:rPr>
      </w:pPr>
      <w:r>
        <w:rPr>
          <w:lang w:val="pt-BR"/>
        </w:rPr>
        <w:t xml:space="preserve">Các phương pháp tính toán trên cơ sở tài liệu được cung cấp bởi khách hàng và dựa trên các tài liệu khác có liên quan do tổ</w:t>
      </w:r>
      <w:r>
        <w:rPr>
          <w:lang w:val="vi-VN"/>
        </w:rPr>
        <w:t xml:space="preserve"> </w:t>
      </w:r>
      <w:r>
        <w:rPr>
          <w:lang w:val="pt-BR"/>
        </w:rPr>
        <w:t xml:space="preserve">thẩm định thu thập, cũng như các điều kiện và kỳ vọng tại thời điểm thẩm định giá phù hợp với các luật định, chính sách quản lý của Nhà nước hiện hành và các điều </w:t>
      </w:r>
      <w:r>
        <w:rPr>
          <w:lang w:val="pt-BR"/>
        </w:rPr>
        <w:t xml:space="preserve">kiện, giả định theo quan điểm hợp lý của tổ</w:t>
      </w:r>
      <w:r>
        <w:rPr>
          <w:lang w:val="vi-VN"/>
        </w:rPr>
        <w:t xml:space="preserve"> </w:t>
      </w:r>
      <w:r>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lang w:val="vi-VN"/>
        </w:rPr>
        <w:t xml:space="preserve">tổ </w:t>
      </w:r>
      <w:r>
        <w:rPr>
          <w:lang w:val="pt-BR"/>
        </w:rPr>
        <w:t xml:space="preserve">thẩm định không đảm bảo là các giả định làm cơ sở thẩm định giá là chính xác hoàn toàn.</w:t>
      </w:r>
      <w:r>
        <w:rPr>
          <w:b/>
          <w:lang w:val="pt-BR"/>
        </w:rPr>
      </w:r>
      <w:r>
        <w:rPr>
          <w:b/>
          <w:lang w:val="pt-BR"/>
        </w:rPr>
      </w:r>
    </w:p>
    <w:p>
      <w:pPr>
        <w:pStyle w:val="1027"/>
        <w:numPr>
          <w:ilvl w:val="0"/>
          <w:numId w:val="5"/>
        </w:numPr>
        <w:pBdr/>
        <w:tabs>
          <w:tab w:val="left" w:leader="none" w:pos="993"/>
        </w:tabs>
        <w:spacing w:after="120" w:before="120" w:line="348" w:lineRule="auto"/>
        <w:ind/>
        <w:jc w:val="both"/>
        <w:rPr>
          <w:b/>
          <w:spacing w:val="2"/>
          <w:lang w:val="pt-BR"/>
        </w:rPr>
      </w:pPr>
      <w:r>
        <w:rPr>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lang w:val="pt-BR"/>
        </w:rPr>
      </w:r>
      <w:r>
        <w:rPr>
          <w:b/>
          <w:spacing w:val="2"/>
          <w:lang w:val="pt-BR"/>
        </w:rPr>
      </w:r>
    </w:p>
    <w:p>
      <w:pPr>
        <w:pStyle w:val="1027"/>
        <w:numPr>
          <w:ilvl w:val="0"/>
          <w:numId w:val="5"/>
        </w:numPr>
        <w:pBdr/>
        <w:tabs>
          <w:tab w:val="left" w:leader="none" w:pos="993"/>
        </w:tabs>
        <w:spacing w:after="120" w:before="120" w:line="348" w:lineRule="auto"/>
        <w:ind w:hanging="357" w:left="357"/>
        <w:jc w:val="both"/>
        <w:rPr>
          <w:b/>
          <w:lang w:val="pt-BR"/>
        </w:rPr>
      </w:pPr>
      <w:r>
        <w:rPr>
          <w:lang w:val="pt-BR"/>
        </w:rPr>
        <w:t xml:space="preserve">Khách hàng yêu cầu thẩm định giá và người hướng dẫn tổ</w:t>
      </w:r>
      <w:r>
        <w:rPr>
          <w:lang w:val="vi-VN"/>
        </w:rPr>
        <w:t xml:space="preserve"> </w:t>
      </w:r>
      <w:r>
        <w:rPr>
          <w:lang w:val="pt-BR"/>
        </w:rPr>
        <w:t xml:space="preserve">thẩm định thực hiện thẩm định hiện trạng tà</w:t>
      </w:r>
      <w:r>
        <w:rPr>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lang w:val="pt-BR"/>
        </w:rPr>
      </w:r>
      <w:r>
        <w:rPr>
          <w:b/>
          <w:lang w:val="pt-BR"/>
        </w:rPr>
      </w:r>
    </w:p>
    <w:p>
      <w:pPr>
        <w:pStyle w:val="1027"/>
        <w:numPr>
          <w:ilvl w:val="0"/>
          <w:numId w:val="5"/>
        </w:numPr>
        <w:pBdr/>
        <w:spacing w:after="120" w:before="120" w:line="348" w:lineRule="auto"/>
        <w:ind w:hanging="357" w:left="357"/>
        <w:jc w:val="both"/>
        <w:rPr>
          <w:lang w:val="pt-BR"/>
        </w:rPr>
      </w:pPr>
      <w:r>
        <w:rPr>
          <w:shd w:val="clear" w:color="auto" w:fill="ffffff"/>
          <w:lang w:val="pt-BR"/>
        </w:rPr>
        <w:t xml:space="preserve">Chúng tôi nhấn mạnh rằng việc thẩm định giá không phải là môn khoa học chính xác, m</w:t>
      </w:r>
      <w:r>
        <w:rPr>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shd w:val="clear" w:color="auto" w:fill="ffffff"/>
          <w:lang w:val="vi-VN"/>
        </w:rPr>
        <w:t xml:space="preserve">.</w:t>
      </w:r>
      <w:r>
        <w:rPr>
          <w:lang w:val="pt-BR"/>
        </w:rPr>
      </w:r>
      <w:r>
        <w:rPr>
          <w:lang w:val="pt-BR"/>
        </w:rPr>
      </w:r>
    </w:p>
    <w:p>
      <w:pPr>
        <w:pStyle w:val="1027"/>
        <w:numPr>
          <w:ilvl w:val="0"/>
          <w:numId w:val="5"/>
        </w:numPr>
        <w:pBdr/>
        <w:tabs>
          <w:tab w:val="left" w:leader="none" w:pos="993"/>
        </w:tabs>
        <w:spacing w:after="120" w:before="120" w:line="348" w:lineRule="auto"/>
        <w:ind/>
        <w:jc w:val="both"/>
        <w:rPr>
          <w:shd w:val="clear" w:color="auto" w:fill="ffffff"/>
          <w:lang w:val="pt-BR"/>
        </w:rPr>
      </w:pPr>
      <w:r>
        <w:rPr>
          <w:shd w:val="clear" w:color="auto" w:fill="ffffff"/>
          <w:lang w:val="pt-BR"/>
        </w:rPr>
        <w:t xml:space="preserve">Chúng tôi chỉ hoạt động trong lĩnh</w:t>
      </w:r>
      <w:r>
        <w:rPr>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lang w:val="pt-BR"/>
        </w:rPr>
        <w:t xml:space="preserve">Giấy chứng nhận quyền sử dụng </w:t>
      </w:r>
      <w:r>
        <w:rPr>
          <w:iCs/>
          <w:lang w:val="pt-BR"/>
        </w:rPr>
        <w:t xml:space="preserve">đất  đã</w:t>
      </w:r>
      <w:r>
        <w:rPr>
          <w:iCs/>
          <w:lang w:val="pt-BR"/>
        </w:rPr>
        <w:t xml:space="preserve"> cung cấp cho chúng tôi.</w:t>
      </w:r>
      <w:r>
        <w:rPr>
          <w:shd w:val="clear" w:color="auto" w:fill="ffffff"/>
          <w:lang w:val="pt-BR"/>
        </w:rPr>
      </w:r>
      <w:r>
        <w:rPr>
          <w:shd w:val="clear" w:color="auto" w:fill="ffffff"/>
          <w:lang w:val="pt-BR"/>
        </w:rPr>
      </w:r>
    </w:p>
    <w:p>
      <w:pPr>
        <w:pStyle w:val="1027"/>
        <w:numPr>
          <w:ilvl w:val="0"/>
          <w:numId w:val="5"/>
        </w:numPr>
        <w:pBdr/>
        <w:spacing w:after="120" w:before="120" w:line="34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pPr>
        <w:pStyle w:val="1027"/>
        <w:numPr>
          <w:ilvl w:val="0"/>
          <w:numId w:val="3"/>
        </w:numPr>
        <w:pBdr/>
        <w:tabs>
          <w:tab w:val="left" w:leader="none" w:pos="993"/>
        </w:tabs>
        <w:spacing w:after="120" w:before="120" w:line="34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27"/>
        <w:numPr>
          <w:ilvl w:val="0"/>
          <w:numId w:val="5"/>
        </w:numPr>
        <w:pBdr/>
        <w:tabs>
          <w:tab w:val="left" w:leader="none" w:pos="993"/>
        </w:tabs>
        <w:spacing w:after="120" w:before="120" w:line="348" w:lineRule="auto"/>
        <w:ind w:hanging="357" w:left="357"/>
        <w:jc w:val="both"/>
        <w:rPr>
          <w:bCs/>
          <w:lang w:val="pt-BR"/>
        </w:rPr>
      </w:pPr>
      <w:r>
        <w:rPr>
          <w:bCs/>
          <w:lang w:val="pt-BR"/>
        </w:rPr>
        <w:t xml:space="preserve">Kết quả t</w:t>
      </w:r>
      <w:r>
        <w:rPr>
          <w:bCs/>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lang w:val="pt-BR"/>
        </w:rPr>
      </w:r>
      <w:r>
        <w:rPr>
          <w:bCs/>
          <w:lang w:val="pt-BR"/>
        </w:rPr>
      </w:r>
    </w:p>
    <w:p>
      <w:pPr>
        <w:pStyle w:val="1027"/>
        <w:numPr>
          <w:ilvl w:val="0"/>
          <w:numId w:val="5"/>
        </w:numPr>
        <w:pBdr/>
        <w:tabs>
          <w:tab w:val="left" w:leader="none" w:pos="993"/>
        </w:tabs>
        <w:spacing w:after="120" w:before="120" w:line="348" w:lineRule="auto"/>
        <w:ind w:hanging="357" w:left="357"/>
        <w:jc w:val="both"/>
        <w:rPr>
          <w:lang w:val="pt-BR"/>
        </w:rPr>
      </w:pPr>
      <w:r/>
      <w:bookmarkStart w:id="4" w:name="_Hlk151374072"/>
      <w:r>
        <w:rPr>
          <w:lang w:val="pt-BR"/>
        </w:rPr>
        <w:t xml:space="preserve">Tổ thẩm định đã gửi các bản dự thảo chứng thư cho các đơn vị sử dụng chứng thư đọc</w:t>
      </w:r>
      <w:r>
        <w:rPr>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r>
        <w:rPr>
          <w:lang w:val="pt-BR"/>
        </w:rPr>
      </w:r>
      <w:r>
        <w:rPr>
          <w:lang w:val="pt-BR"/>
        </w:rPr>
      </w:r>
    </w:p>
    <w:p>
      <w:pPr>
        <w:pBdr/>
        <w:spacing w:after="120" w:before="120" w:line="34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27"/>
        <w:pBdr/>
        <w:tabs>
          <w:tab w:val="left" w:leader="none" w:pos="993"/>
        </w:tabs>
        <w:spacing w:after="120" w:before="120" w:line="348" w:lineRule="auto"/>
        <w:ind w:left="0"/>
        <w:jc w:val="both"/>
        <w:rPr>
          <w:bCs/>
          <w:lang w:val="pt-BR"/>
        </w:rPr>
      </w:pPr>
      <w:r>
        <w:rPr>
          <w:bCs/>
          <w:lang w:val="pt-BR"/>
        </w:rPr>
        <w:t xml:space="preserve">Phụ lục 1: Hình ảnh hiện trạng của tài sản.</w:t>
      </w:r>
      <w:r>
        <w:rPr>
          <w:bCs/>
          <w:lang w:val="pt-BR"/>
        </w:rPr>
      </w:r>
      <w:r>
        <w:rPr>
          <w:bCs/>
          <w:lang w:val="pt-BR"/>
        </w:rPr>
      </w:r>
    </w:p>
    <w:p>
      <w:pPr>
        <w:pStyle w:val="1027"/>
        <w:pBdr/>
        <w:tabs>
          <w:tab w:val="left" w:leader="none" w:pos="993"/>
        </w:tabs>
        <w:spacing w:after="120" w:before="120" w:line="348" w:lineRule="auto"/>
        <w:ind w:left="0"/>
        <w:jc w:val="both"/>
        <w:rPr>
          <w:highlight w:val="none"/>
          <w:lang w:val="pt-BR"/>
        </w:rPr>
      </w:pPr>
      <w:r>
        <w:rPr>
          <w:lang w:val="pt-BR"/>
        </w:rPr>
        <w:t xml:space="preserve">Phụ lục 2: Thông tin </w:t>
      </w:r>
      <w:r>
        <w:rPr>
          <w:lang w:val="pt-BR"/>
        </w:rPr>
        <w:t xml:space="preserve">thu thập thị trường</w:t>
      </w:r>
      <w:r>
        <w:rPr>
          <w:lang w:val="pt-BR"/>
        </w:rPr>
        <w:t xml:space="preserve">.</w:t>
      </w:r>
      <w:r>
        <w:rPr>
          <w:highlight w:val="none"/>
          <w:lang w:val="pt-BR"/>
        </w:rPr>
      </w:r>
      <w:r>
        <w:rPr>
          <w:highlight w:val="none"/>
          <w:lang w:val="pt-BR"/>
        </w:rPr>
      </w:r>
    </w:p>
    <w:p>
      <w:pPr>
        <w:pStyle w:val="1027"/>
        <w:pBdr/>
        <w:tabs>
          <w:tab w:val="left" w:leader="none" w:pos="993"/>
        </w:tabs>
        <w:spacing w:after="120" w:before="120" w:line="348" w:lineRule="auto"/>
        <w:ind w:left="0"/>
        <w:jc w:val="both"/>
        <w:rPr>
          <w:highlight w:val="none"/>
          <w:lang w:val="pt-BR"/>
        </w:rPr>
      </w:pPr>
      <w:r>
        <w:rPr>
          <w:highlight w:val="none"/>
          <w:lang w:val="pt-BR"/>
        </w:rPr>
      </w:r>
      <w:r>
        <w:rPr>
          <w:highlight w:val="none"/>
          <w:lang w:val="pt-BR"/>
        </w:rPr>
      </w:r>
      <w:r>
        <w:rPr>
          <w:highlight w:val="none"/>
          <w:lang w:val="pt-BR"/>
        </w:rPr>
      </w:r>
    </w:p>
    <w:p>
      <w:pPr>
        <w:pStyle w:val="1027"/>
        <w:pBdr/>
        <w:tabs>
          <w:tab w:val="left" w:leader="none" w:pos="993"/>
        </w:tabs>
        <w:spacing w:after="120" w:before="120" w:line="348" w:lineRule="auto"/>
        <w:ind w:left="0"/>
        <w:jc w:val="both"/>
        <w:rPr>
          <w:highlight w:val="none"/>
          <w:lang w:val="pt-BR"/>
        </w:rPr>
      </w:pPr>
      <w:r>
        <w:rPr>
          <w:highlight w:val="none"/>
          <w:lang w:val="pt-BR"/>
        </w:rPr>
      </w:r>
      <w:r>
        <w:rPr>
          <w:highlight w:val="none"/>
          <w:lang w:val="pt-BR"/>
        </w:rPr>
      </w:r>
      <w:r>
        <w:rPr>
          <w:highlight w:val="none"/>
          <w:lang w:val="pt-BR"/>
        </w:rPr>
      </w:r>
    </w:p>
    <w:p>
      <w:pPr>
        <w:pStyle w:val="1027"/>
        <w:pBdr/>
        <w:tabs>
          <w:tab w:val="left" w:leader="none" w:pos="993"/>
        </w:tabs>
        <w:spacing w:after="120" w:before="120" w:line="348" w:lineRule="auto"/>
        <w:ind w:left="0"/>
        <w:jc w:val="both"/>
        <w:rPr>
          <w:highlight w:val="none"/>
          <w:lang w:val="pt-BR"/>
        </w:rPr>
      </w:pPr>
      <w:r>
        <w:rPr>
          <w:highlight w:val="none"/>
          <w:lang w:val="pt-BR"/>
        </w:rPr>
      </w:r>
      <w:r>
        <w:rPr>
          <w:highlight w:val="none"/>
          <w:lang w:val="pt-BR"/>
        </w:rPr>
      </w:r>
      <w:r>
        <w:rPr>
          <w:highlight w:val="none"/>
          <w:lang w:val="pt-BR"/>
        </w:rPr>
      </w:r>
    </w:p>
    <w:p>
      <w:pPr>
        <w:pStyle w:val="1027"/>
        <w:pBdr/>
        <w:tabs>
          <w:tab w:val="left" w:leader="none" w:pos="993"/>
        </w:tabs>
        <w:spacing w:after="120" w:before="120" w:line="348" w:lineRule="auto"/>
        <w:ind w:left="0"/>
        <w:jc w:val="both"/>
        <w:rPr>
          <w:highlight w:val="none"/>
          <w:lang w:val="pt-BR"/>
        </w:rPr>
      </w:pPr>
      <w:r>
        <w:rPr>
          <w:highlight w:val="none"/>
          <w:lang w:val="pt-BR"/>
        </w:rPr>
      </w:r>
      <w:r>
        <w:rPr>
          <w:highlight w:val="none"/>
          <w:lang w:val="pt-BR"/>
        </w:rPr>
      </w:r>
      <w:r>
        <w:rPr>
          <w:highlight w:val="none"/>
          <w:lang w:val="pt-BR"/>
        </w:rPr>
      </w:r>
    </w:p>
    <w:p>
      <w:pPr>
        <w:pStyle w:val="1027"/>
        <w:pBdr/>
        <w:tabs>
          <w:tab w:val="left" w:leader="none" w:pos="993"/>
        </w:tabs>
        <w:spacing w:after="120" w:before="120" w:line="288"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275/2026/0509/VFI-CT.01ĐN.A</w:t>
      </w:r>
      <w:r>
        <w:rPr>
          <w:color w:val="ff0000"/>
          <w:lang w:val="vi-VN"/>
        </w:rPr>
        <w:t xml:space="preserve"> </w:t>
      </w:r>
      <w:r>
        <w:rPr>
          <w:color w:val="000000" w:themeColor="text1"/>
        </w:rPr>
        <w:t xml:space="preserve">ngày 01 tháng 4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rPr>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GĐ</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Lê Thị Thịnh</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VIII13.990</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gridSpan w:val="2"/>
            <w:tcBorders/>
            <w:tcW w:w="9155" w:type="dxa"/>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ind/>
              <w:rPr/>
            </w:pPr>
            <w: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gridSpan w:val="2"/>
            <w:tcBorders/>
            <w:tcW w:w="9155" w:type="dxa"/>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tc>
      </w:tr>
    </w:tbl>
    <w:p>
      <w:pPr>
        <w:pBdr/>
        <w:spacing w:after="200" w:line="276" w:lineRule="auto"/>
        <w:ind/>
        <w:rPr>
          <w:b/>
          <w:u w:val="single"/>
          <w:lang w:val="vi-VN"/>
        </w:rPr>
      </w:pPr>
      <w:r>
        <w:rPr>
          <w:b/>
          <w:u w:val="single"/>
          <w:lang w:val="vi-VN"/>
        </w:rPr>
      </w: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pPr>
        <w:pBdr/>
        <w:spacing/>
        <w:ind/>
        <w:jc w:val="center"/>
        <w:rPr>
          <w:i/>
          <w:lang w:val="pt-BR"/>
        </w:rPr>
      </w:pPr>
      <w:r>
        <w:rPr>
          <w:i/>
          <w:lang w:val="pt-BR"/>
        </w:rPr>
        <w:t xml:space="preserve">(Kèm theo Báo cáo thẩm định số</w:t>
      </w:r>
      <w:r>
        <w:rPr>
          <w:i/>
          <w:lang w:val="pt-BR"/>
        </w:rPr>
        <w:t xml:space="preserve"> </w:t>
      </w:r>
      <w:r>
        <w:rPr>
          <w:i/>
        </w:rPr>
        <w:t xml:space="preserve">275/2026/0509/VFI-BC.01ĐN.A</w:t>
      </w:r>
      <w:r>
        <w:rPr>
          <w:i/>
          <w:lang w:val="pt-BR"/>
        </w:rPr>
        <w:t xml:space="preserve"> </w:t>
      </w:r>
      <w:r>
        <w:rPr>
          <w:i/>
          <w:lang w:val="pt-BR"/>
        </w:rPr>
        <w:t xml:space="preserve">ngày 01 tháng 4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tbl>
      <w:tblPr>
        <w:tblStyle w:val="1031"/>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lang w:val="pt-BR"/>
              </w:rPr>
            </w:pPr>
            <w:r>
              <w:rPr>
                <w:b/>
                <w:bCs/>
                <w:i/>
                <w:lang w:val="pt-BR"/>
              </w:rPr>
              <w:t xml:space="preserve">Hướng</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Tổng quan tài</w:t>
            </w:r>
            <w:r>
              <w:rPr>
                <w:b/>
                <w:bCs/>
                <w:i/>
                <w:lang w:val="pt-BR"/>
              </w:rPr>
              <w:t xml:space="preserve">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006169" cy="2439626"/>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6732168" name=""/>
                              <pic:cNvPicPr>
                                <a:picLocks noChangeAspect="1"/>
                              </pic:cNvPicPr>
                              <pic:nvPr/>
                            </pic:nvPicPr>
                            <pic:blipFill rotWithShape="1">
                              <a:blip r:embed="rId18"/>
                              <a:srcRect l="0" t="4800" r="0" b="11846"/>
                              <a:stretch/>
                            </pic:blipFill>
                            <pic:spPr bwMode="auto">
                              <a:xfrm flipH="0" flipV="0">
                                <a:off x="0" y="0"/>
                                <a:ext cx="2006169" cy="243962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157.97pt;height:192.10pt;mso-wrap-distance-left:0.00pt;mso-wrap-distance-top:0.00pt;mso-wrap-distance-right:0.00pt;mso-wrap-distance-bottom:0.00pt;z-index:1;" stroked="false">
                      <v:imagedata r:id="rId18" o:title="" croptop="3146f" cropleft="0f" cropbottom="7763f" cropright="0f"/>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320507" cy="2436769"/>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9323425" name=""/>
                              <pic:cNvPicPr>
                                <a:picLocks noChangeAspect="1"/>
                              </pic:cNvPicPr>
                              <pic:nvPr/>
                            </pic:nvPicPr>
                            <pic:blipFill rotWithShape="1">
                              <a:blip r:embed="rId19"/>
                              <a:srcRect l="0" t="0" r="0" b="6614"/>
                              <a:stretch/>
                            </pic:blipFill>
                            <pic:spPr bwMode="auto">
                              <a:xfrm flipH="0" flipV="0">
                                <a:off x="0" y="0"/>
                                <a:ext cx="2320507" cy="243676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182.72pt;height:191.87pt;mso-wrap-distance-left:0.00pt;mso-wrap-distance-top:0.00pt;mso-wrap-distance-right:0.00pt;mso-wrap-distance-bottom:0.00pt;z-index:1;" stroked="false">
                      <v:imagedata r:id="rId19" o:title="" croptop="0f" cropleft="0f" cropbottom="4335f" cropright="0f"/>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Đường trước tài sản_bên phải, ngõ cụt</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Đường trước tài sản_bên trái</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686671" cy="2304747"/>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05120" name=""/>
                              <pic:cNvPicPr>
                                <a:picLocks noChangeAspect="1"/>
                              </pic:cNvPicPr>
                              <pic:nvPr/>
                            </pic:nvPicPr>
                            <pic:blipFill rotWithShape="1">
                              <a:blip r:embed="rId20"/>
                              <a:stretch/>
                            </pic:blipFill>
                            <pic:spPr bwMode="auto">
                              <a:xfrm flipH="0" flipV="0">
                                <a:off x="0" y="0"/>
                                <a:ext cx="2686670" cy="230474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11.55pt;height:181.48pt;mso-wrap-distance-left:0.00pt;mso-wrap-distance-top:0.00pt;mso-wrap-distance-right:0.00pt;mso-wrap-distance-bottom:0.00pt;z-index:1;" stroked="false">
                      <v:imagedata r:id="rId20"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706271" cy="2324591"/>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145447" name=""/>
                              <pic:cNvPicPr>
                                <a:picLocks noChangeAspect="1"/>
                              </pic:cNvPicPr>
                              <pic:nvPr/>
                            </pic:nvPicPr>
                            <pic:blipFill rotWithShape="1">
                              <a:blip r:embed="rId21"/>
                              <a:stretch/>
                            </pic:blipFill>
                            <pic:spPr bwMode="auto">
                              <a:xfrm flipH="0" flipV="0">
                                <a:off x="0" y="0"/>
                                <a:ext cx="2706270" cy="232459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13.09pt;height:183.04pt;mso-wrap-distance-left:0.00pt;mso-wrap-distance-top:0.00pt;mso-wrap-distance-right:0.00pt;mso-wrap-distance-bottom:0.00pt;z-index:1;" stroked="false">
                      <v:imagedata r:id="rId21"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644129" cy="2698476"/>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5810882" name=""/>
                              <pic:cNvPicPr>
                                <a:picLocks noChangeAspect="1"/>
                              </pic:cNvPicPr>
                              <pic:nvPr/>
                            </pic:nvPicPr>
                            <pic:blipFill rotWithShape="1">
                              <a:blip r:embed="rId22"/>
                              <a:stretch/>
                            </pic:blipFill>
                            <pic:spPr bwMode="auto">
                              <a:xfrm flipH="0" flipV="0">
                                <a:off x="0" y="0"/>
                                <a:ext cx="2644129" cy="269847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08.20pt;height:212.48pt;mso-wrap-distance-left:0.00pt;mso-wrap-distance-top:0.00pt;mso-wrap-distance-right:0.00pt;mso-wrap-distance-bottom:0.00pt;z-index:1;" stroked="false">
                      <v:imagedata r:id="rId22"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b/>
                <w:bCs/>
                <w:i/>
                <w:lang w:val="pt-BR"/>
              </w:rPr>
            </w:pPr>
            <w:r>
              <w:rPr>
                <w:i/>
                <w:lang w:val="pt-BR"/>
              </w:rPr>
              <mc:AlternateContent>
                <mc:Choice Requires="wpg">
                  <w:drawing>
                    <wp:inline xmlns:wp="http://schemas.openxmlformats.org/drawingml/2006/wordprocessingDrawing" distT="0" distB="0" distL="0" distR="0">
                      <wp:extent cx="2647129" cy="2729360"/>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3357569" name=""/>
                              <pic:cNvPicPr>
                                <a:picLocks noChangeAspect="1"/>
                              </pic:cNvPicPr>
                              <pic:nvPr/>
                            </pic:nvPicPr>
                            <pic:blipFill rotWithShape="1">
                              <a:blip r:embed="rId23"/>
                              <a:stretch/>
                            </pic:blipFill>
                            <pic:spPr bwMode="auto">
                              <a:xfrm flipH="0" flipV="0">
                                <a:off x="0" y="0"/>
                                <a:ext cx="2647129" cy="272935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08.44pt;height:214.91pt;mso-wrap-distance-left:0.00pt;mso-wrap-distance-top:0.00pt;mso-wrap-distance-right:0.00pt;mso-wrap-distance-bottom:0.00pt;z-index:1;" stroked="false">
                      <v:imagedata r:id="rId23" o:title=""/>
                      <o:lock v:ext="edit" rotation="t"/>
                    </v:shape>
                  </w:pict>
                </mc:Fallback>
              </mc:AlternateContent>
            </w:r>
            <w:r>
              <w:rPr>
                <w:b/>
                <w:bCs/>
                <w:i/>
                <w:lang w:val="pt-BR"/>
              </w:rPr>
            </w:r>
            <w:r>
              <w:rPr>
                <w:b/>
                <w:bCs/>
                <w:i/>
                <w:lang w:val="pt-BR"/>
              </w:rPr>
            </w:r>
          </w:p>
        </w:tc>
      </w:tr>
    </w:tbl>
    <w:p>
      <w:pPr>
        <w:pBdr/>
        <w:spacing/>
        <w:ind/>
        <w:jc w:val="center"/>
        <w:rPr>
          <w:b/>
          <w:bCs/>
          <w:highlight w:val="none"/>
        </w:rPr>
      </w:pPr>
      <w:r>
        <w:rPr>
          <w:b/>
          <w:bCs/>
        </w:rPr>
        <w:t xml:space="preserve">HỒ SƠ PHÁP LÝ</w:t>
      </w:r>
      <w:r>
        <w:rPr>
          <w:b/>
          <w:bCs/>
          <w:highlight w:val="none"/>
        </w:rPr>
      </w:r>
      <w:r>
        <w:rPr>
          <w:b/>
          <w:bCs/>
          <w:highlight w:val="none"/>
        </w:rPr>
      </w:r>
    </w:p>
    <w:p>
      <w:pPr>
        <w:pBdr/>
        <w:spacing/>
        <w:ind/>
        <w:jc w:val="center"/>
        <w:rPr>
          <w:b/>
          <w:bCs/>
        </w:rPr>
      </w:pPr>
      <w:r>
        <w:rPr>
          <w:b/>
          <w:bCs/>
          <w:highlight w:val="none"/>
        </w:rPr>
        <mc:AlternateContent>
          <mc:Choice Requires="wpg">
            <w:drawing>
              <wp:inline xmlns:wp="http://schemas.openxmlformats.org/drawingml/2006/wordprocessingDrawing" distT="0" distB="0" distL="0" distR="0">
                <wp:extent cx="6048375" cy="4530290"/>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0650190" name=""/>
                        <pic:cNvPicPr>
                          <a:picLocks noChangeAspect="1"/>
                        </pic:cNvPicPr>
                        <pic:nvPr/>
                      </pic:nvPicPr>
                      <pic:blipFill rotWithShape="1">
                        <a:blip r:embed="rId24"/>
                        <a:stretch/>
                      </pic:blipFill>
                      <pic:spPr bwMode="auto">
                        <a:xfrm flipH="0" flipV="0">
                          <a:off x="0" y="0"/>
                          <a:ext cx="6048374" cy="453028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476.25pt;height:356.72pt;mso-wrap-distance-left:0.00pt;mso-wrap-distance-top:0.00pt;mso-wrap-distance-right:0.00pt;mso-wrap-distance-bottom:0.00pt;z-index:1;" stroked="false">
                <v:imagedata r:id="rId24" o:title=""/>
                <o:lock v:ext="edit" rotation="t"/>
              </v:shape>
            </w:pict>
          </mc:Fallback>
        </mc:AlternateContent>
      </w:r>
      <w:r>
        <w:rPr>
          <w:b/>
          <w:bCs/>
        </w:rPr>
      </w:r>
      <w:r>
        <w:rPr>
          <w:b/>
          <w:bCs/>
        </w:rPr>
      </w:r>
    </w:p>
    <w:p>
      <w:pPr>
        <w:pBdr/>
        <w:spacing w:after="200" w:line="276" w:lineRule="auto"/>
        <w:ind/>
        <w:jc w:val="center"/>
        <w:rPr/>
      </w:pPr>
      <w:r>
        <mc:AlternateContent>
          <mc:Choice Requires="wpg">
            <w:drawing>
              <wp:inline xmlns:wp="http://schemas.openxmlformats.org/drawingml/2006/wordprocessingDrawing" distT="0" distB="0" distL="0" distR="0">
                <wp:extent cx="6048375" cy="4435660"/>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025192" name=""/>
                        <pic:cNvPicPr>
                          <a:picLocks noChangeAspect="1"/>
                        </pic:cNvPicPr>
                        <pic:nvPr/>
                      </pic:nvPicPr>
                      <pic:blipFill rotWithShape="1">
                        <a:blip r:embed="rId25"/>
                        <a:stretch/>
                      </pic:blipFill>
                      <pic:spPr bwMode="auto">
                        <a:xfrm flipH="0" flipV="0">
                          <a:off x="0" y="0"/>
                          <a:ext cx="6048374" cy="443565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476.25pt;height:349.26pt;mso-wrap-distance-left:0.00pt;mso-wrap-distance-top:0.00pt;mso-wrap-distance-right:0.00pt;mso-wrap-distance-bottom:0.00pt;z-index:1;" stroked="false">
                <v:imagedata r:id="rId25" o:title=""/>
                <o:lock v:ext="edit" rotation="t"/>
              </v:shape>
            </w:pict>
          </mc:Fallback>
        </mc:AlternateContent>
      </w:r>
      <w:r>
        <w:rPr>
          <w:b/>
          <w:highlight w:val="none"/>
        </w:rPr>
      </w:r>
      <w:r/>
    </w:p>
    <w:p>
      <w:pPr>
        <w:pBdr/>
        <w:spacing w:after="200" w:line="276" w:lineRule="auto"/>
        <w:ind/>
        <w:jc w:val="center"/>
        <w:rPr>
          <w:b/>
          <w:bCs/>
          <w:highlight w:val="none"/>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b/>
          <w:bCs/>
          <w:highlight w:val="none"/>
        </w:rPr>
      </w:r>
      <w:r>
        <w:rPr>
          <w:b/>
          <w:bCs/>
          <w:highlight w:val="none"/>
        </w:rPr>
      </w:r>
    </w:p>
    <w:p>
      <w:pPr>
        <w:pBdr/>
        <w:spacing/>
        <w:ind/>
        <w:jc w:val="center"/>
        <w:rPr>
          <w:i/>
          <w:lang w:val="pt-BR"/>
        </w:rPr>
      </w:pPr>
      <w:r>
        <w:rPr>
          <w:i/>
          <w:lang w:val="pt-BR"/>
        </w:rPr>
        <w:t xml:space="preserve">(Kèm theo Báo cáo thẩm định số </w:t>
      </w:r>
      <w:r>
        <w:rPr>
          <w:i/>
        </w:rPr>
        <w:t xml:space="preserve">275/2026/0509/VFI-BC.01ĐN.A</w:t>
      </w:r>
      <w:r>
        <w:rPr>
          <w:i/>
          <w:lang w:val="pt-BR"/>
        </w:rPr>
        <w:t xml:space="preserve"> </w:t>
      </w:r>
      <w:r>
        <w:rPr>
          <w:i/>
          <w:lang w:val="pt-BR"/>
        </w:rPr>
        <w:t xml:space="preserve">1 tháng 4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https://www.facebook.com/share/p/1DdRnocvrJ/</w:t>
            </w:r>
            <w:r>
              <w:rPr>
                <w:color w:val="000000" w:themeColor="text1"/>
                <w:sz w:val="22"/>
                <w:szCs w:val="22"/>
              </w:rPr>
              <w:br/>
              <w:t xml:space="preserve">0966.301064</w:t>
            </w:r>
            <w:r>
              <w:rPr>
                <w:sz w:val="22"/>
                <w:szCs w:val="22"/>
              </w:rPr>
              <w:t xml:space="preserve"> </w:t>
            </w:r>
            <w:r>
              <w:rPr>
                <w:sz w:val="22"/>
                <w:szCs w:val="22"/>
              </w:rPr>
              <w:br/>
              <w:t xml:space="preserve">(A.Đình Thắng</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3.700.000.000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3.330.000.000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4/2026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(95m²)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w:t>
            </w:r>
            <w:r>
              <w:rPr>
                <w:color w:val="000000" w:themeColor="text1"/>
                <w:sz w:val="22"/>
                <w:szCs w:val="22"/>
              </w:rPr>
              <w:t xml:space="preserve">iệt 151 đường Cù Chính Lan, phường Thanh Khê, thành phố Đà Nẵng, độ rộng đường trước mặt tài sản 2,5m, mặt tiền 7,03m. Cách trục mặt tiền đường Cù Chính Lan khoảng khoảng 89m. Cách UBND phường Thanh Khê khoảng 1,5km.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95,0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7,03</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Tóp hậu</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w:t>
            </w:r>
            <w:r>
              <w:rPr>
                <w:color w:val="000000"/>
                <w:sz w:val="22"/>
                <w:szCs w:val="22"/>
              </w:rPr>
              <w:t xml:space="preserve"> bất lợi thương mại </w:t>
            </w:r>
            <w:r>
              <w:rPr>
                <w:color w:val="000000"/>
                <w:sz w:val="22"/>
                <w:szCs w:val="22"/>
              </w:rPr>
              <w:t xml:space="preserve">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Ngõ cụt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t xml:space="preserve">Hạ tầng khu dân cư thông thường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 </w:t>
            </w:r>
            <w:r>
              <w:rPr>
                <w:color w:val="000000"/>
                <w:sz w:val="22"/>
                <w:szCs w:val="22"/>
              </w:rPr>
            </w:r>
            <w:r>
              <w:rPr>
                <w:color w:val="000000"/>
                <w:sz w:val="22"/>
                <w:szCs w:val="22"/>
              </w:rPr>
            </w:r>
          </w:p>
          <w:p>
            <w:pPr>
              <w:pBdr/>
              <w:spacing w:line="276" w:lineRule="auto"/>
              <w:ind/>
              <w:jc w:val="center"/>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1546687" cy="3095625"/>
                      <wp:effectExtent l="0" t="0" r="0" b="0"/>
                      <wp:docPr id="14"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6"/>
                              <a:srcRect l="0" t="4000" r="0" b="9244"/>
                              <a:stretch/>
                            </pic:blipFill>
                            <pic:spPr bwMode="auto">
                              <a:xfrm flipH="0" flipV="0">
                                <a:off x="0" y="0"/>
                                <a:ext cx="1546687" cy="3095624"/>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121.79pt;height:243.75pt;mso-wrap-distance-left:0.00pt;mso-wrap-distance-top:0.00pt;mso-wrap-distance-right:0.00pt;mso-wrap-distance-bottom:0.00pt;z-index:1;" stroked="false">
                      <v:imagedata r:id="rId26" o:title="" croptop="2621f" cropleft="0f" cropbottom="6058f" cropright="0f"/>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368727" cy="2809875"/>
                      <wp:effectExtent l="0" t="0" r="0" b="0"/>
                      <wp:docPr id="1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7"/>
                              <a:stretch/>
                            </pic:blipFill>
                            <pic:spPr bwMode="auto">
                              <a:xfrm flipH="0" flipV="0">
                                <a:off x="0" y="0"/>
                                <a:ext cx="2368727" cy="2809874"/>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186.51pt;height:221.25pt;mso-wrap-distance-left:0.00pt;mso-wrap-distance-top:0.00pt;mso-wrap-distance-right:0.00pt;mso-wrap-distance-bottom:0.00pt;z-index:1;" stroked="false">
                      <v:imagedata r:id="rId27" o:title=""/>
                      <o:lock v:ext="edit" rotation="t"/>
                    </v:shape>
                  </w:pict>
                </mc:Fallback>
              </mc:AlternateContent>
            </w:r>
            <w:r>
              <w:rPr>
                <w:color w:val="000000"/>
                <w:sz w:val="22"/>
                <w:szCs w:val="22"/>
              </w:rPr>
              <w:t xml:space="preserve"> </w:t>
            </w:r>
            <w:r>
              <w:rPr>
                <w:color w:val="000000"/>
                <w:sz w:val="22"/>
                <w:szCs w:val="22"/>
              </w:rPr>
              <w:t xml:space="preserve"> </w:t>
              <mc:AlternateContent>
                <mc:Choice Requires="wpg">
                  <w:drawing>
                    <wp:inline xmlns:wp="http://schemas.openxmlformats.org/drawingml/2006/wordprocessingDrawing" distT="0" distB="0" distL="0" distR="0">
                      <wp:extent cx="3041653" cy="2809875"/>
                      <wp:effectExtent l="0" t="0" r="0" b="0"/>
                      <wp:docPr id="1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3435015" name=""/>
                              <pic:cNvPicPr>
                                <a:picLocks noChangeAspect="1"/>
                              </pic:cNvPicPr>
                              <pic:nvPr/>
                            </pic:nvPicPr>
                            <pic:blipFill rotWithShape="1">
                              <a:blip r:embed="rId28"/>
                              <a:srcRect l="0" t="6137" r="9563" b="7036"/>
                              <a:stretch/>
                            </pic:blipFill>
                            <pic:spPr bwMode="auto">
                              <a:xfrm flipH="0" flipV="0">
                                <a:off x="0" y="0"/>
                                <a:ext cx="3041653" cy="280987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239.50pt;height:221.25pt;mso-wrap-distance-left:0.00pt;mso-wrap-distance-top:0.00pt;mso-wrap-distance-right:0.00pt;mso-wrap-distance-bottom:0.00pt;z-index:1;" stroked="false">
                      <v:imagedata r:id="rId28" o:title="" croptop="4022f" cropleft="0f" cropbottom="4611f" cropright="6267f"/>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tc>
      </w:tr>
    </w:tbl>
    <w:p>
      <w:pPr>
        <w:pBdr/>
        <w:spacing w:after="120"/>
        <w:ind/>
        <w:jc w:val="center"/>
        <w:rPr>
          <w:i/>
          <w:lang w:val="pt-BR"/>
        </w:rPr>
      </w:pPr>
      <w:r>
        <w:rPr>
          <w:i/>
          <w:lang w:val="pt-BR"/>
        </w:rPr>
      </w:r>
      <w:r>
        <w:rPr>
          <w:i/>
          <w:lang w:val="pt-BR"/>
        </w:rPr>
      </w:r>
      <w:r>
        <w:rPr>
          <w:i/>
          <w:lang w:val="pt-BR"/>
        </w:rPr>
      </w:r>
    </w:p>
    <w:tbl>
      <w:tblPr>
        <w:tblInd w:w="108" w:type="dxa"/>
        <w:tblW w:w="9506" w:type="dxa"/>
        <w:tblBorders/>
        <w:tblLook w:val="04A0" w:firstRow="1" w:lastRow="0" w:firstColumn="1" w:lastColumn="0" w:noHBand="0" w:noVBand="1"/>
      </w:tblPr>
      <w:tblGrid>
        <w:gridCol w:w="4573"/>
        <w:gridCol w:w="4933"/>
      </w:tblGrid>
      <w:tr>
        <w:trPr>
          <w:trHeight w:val="1611"/>
        </w:trPr>
        <w:tc>
          <w:tcPr>
            <w:tcBorders/>
            <w:tcW w:w="4573" w:type="dxa"/>
            <w:vAlign w:val="center"/>
            <w:textDirection w:val="lrTb"/>
            <w:noWrap w:val="false"/>
          </w:tcPr>
          <w:p>
            <w:pPr>
              <w:pBdr/>
              <w:spacing/>
              <w:ind/>
              <w:jc w:val="center"/>
              <w:rPr>
                <w:b/>
                <w:bCs/>
              </w:rPr>
            </w:pPr>
            <w:r>
              <w:rPr>
                <w:b/>
                <w:bCs/>
              </w:rPr>
            </w:r>
            <w:r>
              <w:rPr>
                <w:b/>
                <w:bCs/>
              </w:rPr>
            </w:r>
            <w:r>
              <w:rPr>
                <w:b/>
                <w:bCs/>
              </w:rPr>
            </w:r>
          </w:p>
        </w:tc>
        <w:tc>
          <w:tcPr>
            <w:tcBorders/>
            <w:tcW w:w="4933" w:type="dxa"/>
            <w:vAlign w:val="center"/>
            <w:textDirection w:val="lrTb"/>
            <w:noWrap/>
          </w:tcPr>
          <w:p>
            <w:pPr>
              <w:pBdr/>
              <w:spacing/>
              <w:ind/>
              <w:jc w:val="center"/>
              <w:rPr>
                <w:b/>
                <w:bCs/>
              </w:rPr>
            </w:pPr>
            <w:r>
              <w:rPr>
                <w:b/>
                <w:bCs/>
              </w:rPr>
              <w:t xml:space="preserve">Người thu thập thông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tc>
      </w:tr>
      <w:tr>
        <w:trPr>
          <w:trHeight w:val="300"/>
        </w:trPr>
        <w:tc>
          <w:tcPr>
            <w:tcBorders/>
            <w:tcW w:w="4573" w:type="dxa"/>
            <w:vAlign w:val="center"/>
            <w:textDirection w:val="lrTb"/>
            <w:noWrap w:val="false"/>
          </w:tcPr>
          <w:p>
            <w:pPr>
              <w:pBdr/>
              <w:spacing/>
              <w:ind/>
              <w:jc w:val="center"/>
              <w:rPr>
                <w:b/>
                <w:bCs/>
              </w:rPr>
            </w:pPr>
            <w:r>
              <w:rPr>
                <w:b/>
                <w:bCs/>
              </w:rPr>
            </w:r>
            <w:r>
              <w:rPr>
                <w:b/>
                <w:bCs/>
              </w:rPr>
            </w:r>
            <w:r>
              <w:rPr>
                <w:b/>
                <w:bCs/>
              </w:rPr>
            </w:r>
          </w:p>
        </w:tc>
        <w:tc>
          <w:tcPr>
            <w:tcBorders/>
            <w:tcW w:w="4933" w:type="dxa"/>
            <w:vAlign w:val="center"/>
            <w:textDirection w:val="lrTb"/>
            <w:noWrap/>
          </w:tcPr>
          <w:p>
            <w:pPr>
              <w:pBdr/>
              <w:spacing/>
              <w:ind/>
              <w:jc w:val="center"/>
              <w:rPr/>
            </w:pPr>
            <w:r>
              <w:t xml:space="preserve">Lê Thị Thịnh</w:t>
            </w:r>
            <w:r/>
          </w:p>
        </w:tc>
      </w:tr>
    </w:tbl>
    <w:p>
      <w:pPr>
        <w:pBdr/>
        <w:spacing w:after="200" w:line="276" w:lineRule="auto"/>
        <w:ind/>
        <w:jc w:val="center"/>
        <w:rPr>
          <w:b/>
          <w:bCs/>
          <w:iCs/>
          <w:lang w:val="pt-BR"/>
        </w:rPr>
      </w:pPr>
      <w:r>
        <w:rPr>
          <w:b/>
          <w:bCs/>
          <w:iCs/>
          <w:lang w:val="pt-BR"/>
        </w:rPr>
      </w:r>
      <w:r>
        <w:rPr>
          <w:b/>
          <w:bCs/>
          <w:iCs/>
          <w:lang w:val="pt-BR"/>
        </w:rPr>
      </w:r>
      <w:r>
        <w:rPr>
          <w:b/>
          <w:bCs/>
          <w:iCs/>
          <w:lang w:val="pt-BR"/>
        </w:rPr>
      </w:r>
    </w:p>
    <w:p>
      <w:pPr>
        <w:pBdr/>
        <w:spacing w:after="200" w:line="276" w:lineRule="auto"/>
        <w:ind/>
        <w:rPr>
          <w:b/>
          <w:bCs/>
          <w:iCs/>
          <w:lang w:val="pt-BR"/>
        </w:rPr>
      </w:pPr>
      <w:r>
        <w:rPr>
          <w:b/>
          <w:bCs/>
          <w:iCs/>
          <w:lang w:val="pt-BR"/>
        </w:rPr>
        <w:br w:type="page" w:clear="all"/>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https://batdongsan.com.vn/ban-dat-duong-cu-chinh-lan-phuong-thanh-khe-dong/ban-nhanh-lo-118m2-da-nang-gan-ben-truong-le-quang-sung-pr44297129</w:t>
            </w:r>
            <w:r>
              <w:rPr>
                <w:color w:val="000000" w:themeColor="text1"/>
                <w:sz w:val="22"/>
                <w:szCs w:val="22"/>
              </w:rPr>
              <w:br/>
              <w:t xml:space="preserve">0948.678444</w:t>
            </w:r>
            <w:r>
              <w:rPr>
                <w:sz w:val="22"/>
                <w:szCs w:val="22"/>
              </w:rPr>
              <w:t xml:space="preserve"> </w:t>
            </w:r>
            <w:r>
              <w:rPr>
                <w:sz w:val="22"/>
                <w:szCs w:val="22"/>
              </w:rPr>
              <w:br/>
              <w:t xml:space="preserve">(Nguyễn Hoàng</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4.850.000.000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4.365.000.000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4/2026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(118,2m²)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Kiệt 123 đường Cù Chính Lan, phường Thanh Khê, thành phố Đà Nẵng, độ rộng đường trước mặt tài sản 2,5m, mặt tiền 5,8m. Cách trục mặt tiền đường Cù Chính Lan khoảng khoảng 213m. Cách UBND phường Thanh Khê khoảng 1,6km.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118,2</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5,8</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02 mặt ngõ</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 giác khác</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t xml:space="preserve">Hạ tầng khu dân cư thông thường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w:t>
            </w:r>
            <w:r>
              <w:rPr>
                <w:color w:val="000000"/>
                <w:sz w:val="22"/>
                <w:szCs w:val="22"/>
              </w:rPr>
            </w:r>
            <w:r>
              <w:rPr>
                <w:color w:val="000000"/>
                <w:sz w:val="22"/>
                <w:szCs w:val="22"/>
              </w:rPr>
            </w:r>
          </w:p>
          <w:p>
            <w:pPr>
              <w:pBdr/>
              <w:spacing w:line="276" w:lineRule="auto"/>
              <w:ind/>
              <w:jc w:val="center"/>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1846214" cy="3577245"/>
                      <wp:effectExtent l="0" t="0" r="0" b="0"/>
                      <wp:docPr id="1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9"/>
                              <a:srcRect l="0" t="5669" r="0" b="3328"/>
                              <a:stretch/>
                            </pic:blipFill>
                            <pic:spPr bwMode="auto">
                              <a:xfrm flipH="0" flipV="0">
                                <a:off x="0" y="0"/>
                                <a:ext cx="1846213" cy="3577245"/>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145.37pt;height:281.67pt;mso-wrap-distance-left:0.00pt;mso-wrap-distance-top:0.00pt;mso-wrap-distance-right:0.00pt;mso-wrap-distance-bottom:0.00pt;z-index:1;" stroked="false">
                      <v:imagedata r:id="rId29" o:title="" croptop="3715f" cropleft="0f" cropbottom="2181f" cropright="0f"/>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1497185" cy="2863447"/>
                      <wp:effectExtent l="0" t="0" r="0" b="0"/>
                      <wp:docPr id="1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0"/>
                              <a:stretch/>
                            </pic:blipFill>
                            <pic:spPr bwMode="auto">
                              <a:xfrm flipH="0" flipV="0">
                                <a:off x="0" y="0"/>
                                <a:ext cx="1497184" cy="2863447"/>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117.89pt;height:225.47pt;mso-wrap-distance-left:0.00pt;mso-wrap-distance-top:0.00pt;mso-wrap-distance-right:0.00pt;mso-wrap-distance-bottom:0.00pt;z-index:1;" stroked="false">
                      <v:imagedata r:id="rId30"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mc:AlternateContent>
                <mc:Choice Requires="wpg">
                  <w:drawing>
                    <wp:inline xmlns:wp="http://schemas.openxmlformats.org/drawingml/2006/wordprocessingDrawing" distT="0" distB="0" distL="0" distR="0">
                      <wp:extent cx="1933585" cy="2863447"/>
                      <wp:effectExtent l="0" t="0" r="0" b="0"/>
                      <wp:docPr id="1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5334254" name=""/>
                              <pic:cNvPicPr>
                                <a:picLocks noChangeAspect="1"/>
                              </pic:cNvPicPr>
                              <pic:nvPr/>
                            </pic:nvPicPr>
                            <pic:blipFill rotWithShape="1">
                              <a:blip r:embed="rId31"/>
                              <a:stretch/>
                            </pic:blipFill>
                            <pic:spPr bwMode="auto">
                              <a:xfrm flipH="0" flipV="0">
                                <a:off x="0" y="0"/>
                                <a:ext cx="1933584" cy="286344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152.25pt;height:225.47pt;mso-wrap-distance-left:0.00pt;mso-wrap-distance-top:0.00pt;mso-wrap-distance-right:0.00pt;mso-wrap-distance-bottom:0.00pt;z-index:1;" stroked="false">
                      <v:imagedata r:id="rId31" o:title=""/>
                      <o:lock v:ext="edit" rotation="t"/>
                    </v:shape>
                  </w:pict>
                </mc:Fallback>
              </mc:AlternateContent>
              <w:t xml:space="preserve"> </w:t>
            </w:r>
            <w:r>
              <w:rPr>
                <w:color w:val="000000"/>
                <w:sz w:val="22"/>
                <w:szCs w:val="22"/>
              </w:rPr>
              <mc:AlternateContent>
                <mc:Choice Requires="wpg">
                  <w:drawing>
                    <wp:inline xmlns:wp="http://schemas.openxmlformats.org/drawingml/2006/wordprocessingDrawing" distT="0" distB="0" distL="0" distR="0">
                      <wp:extent cx="1900415" cy="2878066"/>
                      <wp:effectExtent l="0" t="0" r="0" b="0"/>
                      <wp:docPr id="2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4860548" name=""/>
                              <pic:cNvPicPr>
                                <a:picLocks noChangeAspect="1"/>
                              </pic:cNvPicPr>
                              <pic:nvPr/>
                            </pic:nvPicPr>
                            <pic:blipFill rotWithShape="1">
                              <a:blip r:embed="rId32"/>
                              <a:srcRect l="0" t="3623" r="0" b="4495"/>
                              <a:stretch/>
                            </pic:blipFill>
                            <pic:spPr bwMode="auto">
                              <a:xfrm flipH="0" flipV="0">
                                <a:off x="0" y="0"/>
                                <a:ext cx="1900414" cy="287806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149.64pt;height:226.62pt;mso-wrap-distance-left:0.00pt;mso-wrap-distance-top:0.00pt;mso-wrap-distance-right:0.00pt;mso-wrap-distance-bottom:0.00pt;z-index:1;" stroked="false">
                      <v:imagedata r:id="rId32" o:title="" croptop="2374f" cropleft="0f" cropbottom="2946f" cropright="0f"/>
                      <o:lock v:ext="edit" rotation="t"/>
                    </v:shape>
                  </w:pict>
                </mc:Fallback>
              </mc:AlternateContent>
            </w:r>
            <w:r>
              <w:rPr>
                <w:color w:val="000000"/>
                <w:sz w:val="22"/>
                <w:szCs w:val="22"/>
              </w:rPr>
            </w:r>
            <w:r>
              <w:rPr>
                <w:color w:val="000000"/>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556" w:type="dxa"/>
        <w:tblBorders/>
        <w:tblLook w:val="04A0" w:firstRow="1" w:lastRow="0" w:firstColumn="1" w:lastColumn="0" w:noHBand="0" w:noVBand="1"/>
      </w:tblPr>
      <w:tblGrid>
        <w:gridCol w:w="4597"/>
        <w:gridCol w:w="4959"/>
      </w:tblGrid>
      <w:tr>
        <w:trPr>
          <w:trHeight w:val="1634"/>
        </w:trPr>
        <w:tc>
          <w:tcPr>
            <w:tcBorders/>
            <w:tcW w:w="4597" w:type="dxa"/>
            <w:vAlign w:val="center"/>
            <w:textDirection w:val="lrTb"/>
            <w:noWrap w:val="false"/>
          </w:tcPr>
          <w:p>
            <w:pPr>
              <w:pBdr/>
              <w:spacing/>
              <w:ind/>
              <w:jc w:val="center"/>
              <w:rPr>
                <w:b/>
                <w:bCs/>
              </w:rPr>
            </w:pPr>
            <w:r>
              <w:rPr>
                <w:b/>
                <w:bCs/>
              </w:rPr>
            </w:r>
            <w:r>
              <w:rPr>
                <w:b/>
                <w:bCs/>
              </w:rPr>
            </w:r>
            <w:r>
              <w:rPr>
                <w:b/>
                <w:bCs/>
              </w:rPr>
            </w:r>
          </w:p>
        </w:tc>
        <w:tc>
          <w:tcPr>
            <w:tcBorders/>
            <w:tcW w:w="4959" w:type="dxa"/>
            <w:vAlign w:val="center"/>
            <w:textDirection w:val="lrTb"/>
            <w:noWrap/>
          </w:tcPr>
          <w:p>
            <w:pPr>
              <w:pBdr/>
              <w:spacing/>
              <w:ind/>
              <w:jc w:val="center"/>
              <w:rPr>
                <w:b/>
                <w:bCs/>
              </w:rPr>
            </w:pPr>
            <w:r>
              <w:rPr>
                <w:b/>
                <w:bCs/>
              </w:rPr>
              <w:t xml:space="preserve">Người thu thập thông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left"/>
              <w:rPr>
                <w:b/>
                <w:bCs/>
              </w:rPr>
            </w:pPr>
            <w:r>
              <w:rPr>
                <w:b/>
                <w:bCs/>
              </w:rPr>
            </w:r>
            <w:r>
              <w:rPr>
                <w:b/>
                <w:bCs/>
              </w:rPr>
            </w:r>
            <w:r>
              <w:rPr>
                <w:b/>
                <w:bCs/>
              </w:rPr>
            </w:r>
          </w:p>
          <w:p>
            <w:pPr>
              <w:pBdr/>
              <w:spacing/>
              <w:ind/>
              <w:rPr>
                <w:b/>
                <w:bCs/>
              </w:rPr>
            </w:pPr>
            <w:r>
              <w:rPr>
                <w:b/>
                <w:bCs/>
              </w:rPr>
            </w:r>
            <w:r>
              <w:rPr>
                <w:b/>
                <w:bCs/>
              </w:rPr>
            </w:r>
            <w:r>
              <w:rPr>
                <w:b/>
                <w:bCs/>
              </w:rPr>
            </w:r>
          </w:p>
        </w:tc>
      </w:tr>
      <w:tr>
        <w:trPr>
          <w:trHeight w:val="545"/>
        </w:trPr>
        <w:tc>
          <w:tcPr>
            <w:tcBorders/>
            <w:tcW w:w="4597" w:type="dxa"/>
            <w:vAlign w:val="center"/>
            <w:textDirection w:val="lrTb"/>
            <w:noWrap w:val="false"/>
          </w:tcPr>
          <w:p>
            <w:pPr>
              <w:pBdr/>
              <w:spacing/>
              <w:ind/>
              <w:jc w:val="center"/>
              <w:rPr>
                <w:b/>
                <w:bCs/>
              </w:rPr>
            </w:pPr>
            <w:r>
              <w:rPr>
                <w:b/>
                <w:bCs/>
              </w:rPr>
            </w:r>
            <w:r>
              <w:rPr>
                <w:b/>
                <w:bCs/>
              </w:rPr>
            </w:r>
            <w:r>
              <w:rPr>
                <w:b/>
                <w:bCs/>
              </w:rPr>
            </w:r>
          </w:p>
        </w:tc>
        <w:tc>
          <w:tcPr>
            <w:tcBorders/>
            <w:tcW w:w="4959" w:type="dxa"/>
            <w:vAlign w:val="center"/>
            <w:textDirection w:val="lrTb"/>
            <w:noWrap/>
          </w:tcPr>
          <w:p>
            <w:pPr>
              <w:pBdr/>
              <w:spacing/>
              <w:ind/>
              <w:jc w:val="center"/>
              <w:rPr/>
            </w:pPr>
            <w:r>
              <w:t xml:space="preserve">Lê Thị Thịnh</w:t>
            </w:r>
            <w:r/>
          </w:p>
        </w:tc>
      </w:tr>
    </w:tbl>
    <w:p>
      <w:pPr>
        <w:pBdr/>
        <w:spacing w:after="200" w:line="276" w:lineRule="auto"/>
        <w:ind/>
        <w:rPr>
          <w:iCs/>
          <w:lang w:val="pt-BR"/>
        </w:rPr>
      </w:pPr>
      <w:r>
        <w:rPr>
          <w:iCs/>
          <w:lang w:val="pt-BR"/>
        </w:rPr>
      </w:r>
      <w:r>
        <w:rPr>
          <w:iCs/>
          <w:lang w:val="pt-BR"/>
        </w:rPr>
      </w:r>
      <w:r>
        <w:rPr>
          <w:iCs/>
          <w:lang w:val="pt-BR"/>
        </w:rPr>
      </w:r>
    </w:p>
    <w:p>
      <w:pPr>
        <w:pBdr/>
        <w:spacing w:after="200" w:line="276" w:lineRule="auto"/>
        <w:ind/>
        <w:rPr>
          <w:iCs/>
          <w:lang w:val="pt-BR"/>
        </w:rPr>
      </w:pPr>
      <w:r>
        <w:rPr>
          <w:iCs/>
          <w:lang w:val="pt-BR"/>
        </w:rPr>
        <w:br w:type="page" w:clear="all"/>
      </w:r>
      <w:r>
        <w:rPr>
          <w:iCs/>
          <w:lang w:val="pt-BR"/>
        </w:rPr>
      </w:r>
      <w:r>
        <w:rPr>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Phỏng vấn qua Zalo</w:t>
            </w:r>
            <w:r>
              <w:rPr>
                <w:color w:val="000000" w:themeColor="text1"/>
                <w:sz w:val="22"/>
                <w:szCs w:val="22"/>
              </w:rPr>
              <w:br/>
            </w:r>
            <w:r>
              <w:rPr>
                <w:sz w:val="22"/>
                <w:szCs w:val="22"/>
              </w:rPr>
              <w:t xml:space="preserve">SĐT: </w:t>
            </w:r>
            <w:r>
              <w:rPr>
                <w:color w:val="000000" w:themeColor="text1"/>
                <w:sz w:val="22"/>
                <w:szCs w:val="22"/>
              </w:rPr>
              <w:t xml:space="preserve">0799.130919</w:t>
            </w:r>
            <w:r>
              <w:rPr>
                <w:sz w:val="22"/>
                <w:szCs w:val="22"/>
              </w:rPr>
              <w:t xml:space="preserve"> </w:t>
            </w:r>
            <w:r>
              <w:rPr>
                <w:sz w:val="22"/>
                <w:szCs w:val="22"/>
              </w:rPr>
              <w:br/>
              <w:t xml:space="preserve">(Thuỳ Dung</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4.400.000.000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3.960.000.000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4/2026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(84,2m²)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Kiệt 123 đường Cù Chính Lan, phường Thanh Khê,</w:t>
            </w:r>
            <w:r>
              <w:rPr>
                <w:color w:val="000000" w:themeColor="text1"/>
                <w:sz w:val="22"/>
                <w:szCs w:val="22"/>
              </w:rPr>
              <w:t xml:space="preserve"> thành phố Đà Nẵng, độ rộng đường trước mặt tài sản 3,5m, mặt tiền 4,95m. Cách trục mặt tiền đường Cù Chính Lan khoảng khoảng 525m. Cách mặt tiền đường Hà Huy Tập khoảng 227m. Cách UBND phường Thanh Khê khoảng 1,4km.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84,2</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4,95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01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Tương đối vuông vức</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 </w:t>
            </w:r>
            <w:r>
              <w:rPr>
                <w:color w:val="000000"/>
                <w:sz w:val="22"/>
                <w:szCs w:val="22"/>
              </w:rPr>
              <w:t xml:space="preserve">bất lợi thương mại </w:t>
            </w:r>
            <w:r>
              <w:rPr>
                <w:color w:val="000000"/>
                <w:sz w:val="22"/>
                <w:szCs w:val="22"/>
              </w:rPr>
              <w:t xml:space="preserve">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Ngõ cụt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t xml:space="preserve">Hạ tầng khu dân cư thông thường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b/>
                <w:bCs/>
                <w:color w:val="000000"/>
                <w:sz w:val="22"/>
                <w:szCs w:val="22"/>
              </w:rPr>
            </w:pPr>
            <w:r>
              <w:rPr>
                <w:b/>
                <w:bCs/>
                <w:color w:val="000000"/>
                <w:sz w:val="22"/>
                <w:szCs w:val="22"/>
              </w:rPr>
              <w:t xml:space="preserve"> </w:t>
            </w:r>
            <w:r>
              <w:rPr>
                <w:b/>
                <w:bCs/>
                <w:color w:val="000000"/>
                <w:sz w:val="22"/>
                <w:szCs w:val="22"/>
              </w:rPr>
              <w:t xml:space="preserve"> </w:t>
            </w:r>
            <w:r>
              <w:rPr>
                <w:color w:val="000000"/>
                <w:sz w:val="22"/>
                <w:szCs w:val="22"/>
              </w:rPr>
              <w:t xml:space="preserve">Hình ảnh đăng bán:</w:t>
            </w:r>
            <w:r>
              <w:rPr>
                <w:b/>
                <w:bCs/>
                <w:color w:val="000000"/>
                <w:sz w:val="22"/>
                <w:szCs w:val="22"/>
              </w:rPr>
            </w:r>
            <w:r>
              <w:rPr>
                <w:b/>
                <w:bCs/>
                <w:color w:val="000000"/>
                <w:sz w:val="22"/>
                <w:szCs w:val="22"/>
              </w:rPr>
            </w:r>
          </w:p>
          <w:p>
            <w:pPr>
              <w:pBdr/>
              <w:spacing w:line="276" w:lineRule="auto"/>
              <w:ind/>
              <w:jc w:val="center"/>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1962291" cy="3642333"/>
                      <wp:effectExtent l="0" t="0" r="0" b="0"/>
                      <wp:docPr id="21"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3"/>
                              <a:srcRect l="0" t="3688" r="0" b="6780"/>
                              <a:stretch/>
                            </pic:blipFill>
                            <pic:spPr bwMode="auto">
                              <a:xfrm flipH="0" flipV="0">
                                <a:off x="0" y="0"/>
                                <a:ext cx="1962290" cy="3642333"/>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154.51pt;height:286.80pt;mso-wrap-distance-left:0.00pt;mso-wrap-distance-top:0.00pt;mso-wrap-distance-right:0.00pt;mso-wrap-distance-bottom:0.00pt;z-index:1;" stroked="false">
                      <v:imagedata r:id="rId33" o:title="" croptop="2417f" cropleft="0f" cropbottom="4443f" cropright="0f"/>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079339" cy="3642333"/>
                      <wp:effectExtent l="0" t="0" r="0" b="0"/>
                      <wp:docPr id="22"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4"/>
                              <a:srcRect l="0" t="2912" r="0" b="7554"/>
                              <a:stretch/>
                            </pic:blipFill>
                            <pic:spPr bwMode="auto">
                              <a:xfrm flipH="0" flipV="0">
                                <a:off x="0" y="0"/>
                                <a:ext cx="2079337" cy="3642333"/>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163.73pt;height:286.80pt;mso-wrap-distance-left:0.00pt;mso-wrap-distance-top:0.00pt;mso-wrap-distance-right:0.00pt;mso-wrap-distance-bottom:0.00pt;z-index:1;" stroked="false">
                      <v:imagedata r:id="rId34" o:title="" croptop="1908f" cropleft="0f" cropbottom="4951f" cropright="0f"/>
                      <o:lock v:ext="edit" rotation="t"/>
                    </v:shape>
                  </w:pict>
                </mc:Fallback>
              </mc:AlternateConten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1862310" cy="2168927"/>
                      <wp:effectExtent l="0" t="0" r="0" b="0"/>
                      <wp:docPr id="23"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5"/>
                              <a:stretch/>
                            </pic:blipFill>
                            <pic:spPr bwMode="auto">
                              <a:xfrm flipH="0" flipV="0">
                                <a:off x="0" y="0"/>
                                <a:ext cx="1862309" cy="2168927"/>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2" o:spid="_x0000_s22" type="#_x0000_t75" style="width:146.64pt;height:170.78pt;mso-wrap-distance-left:0.00pt;mso-wrap-distance-top:0.00pt;mso-wrap-distance-right:0.00pt;mso-wrap-distance-bottom:0.00pt;z-index:1;" stroked="false">
                      <v:imagedata r:id="rId35"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mc:AlternateContent>
                <mc:Choice Requires="wpg">
                  <w:drawing>
                    <wp:inline xmlns:wp="http://schemas.openxmlformats.org/drawingml/2006/wordprocessingDrawing" distT="0" distB="0" distL="0" distR="0">
                      <wp:extent cx="1642524" cy="2168927"/>
                      <wp:effectExtent l="0" t="0" r="0" b="0"/>
                      <wp:docPr id="2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851311" name=""/>
                              <pic:cNvPicPr>
                                <a:picLocks noChangeAspect="1"/>
                              </pic:cNvPicPr>
                              <pic:nvPr/>
                            </pic:nvPicPr>
                            <pic:blipFill rotWithShape="1">
                              <a:blip r:embed="rId36"/>
                              <a:srcRect l="7917" t="4882" r="6034" b="6114"/>
                              <a:stretch/>
                            </pic:blipFill>
                            <pic:spPr bwMode="auto">
                              <a:xfrm flipH="0" flipV="0">
                                <a:off x="0" y="0"/>
                                <a:ext cx="1642524" cy="216892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3" o:spid="_x0000_s23" type="#_x0000_t75" style="width:129.33pt;height:170.78pt;mso-wrap-distance-left:0.00pt;mso-wrap-distance-top:0.00pt;mso-wrap-distance-right:0.00pt;mso-wrap-distance-bottom:0.00pt;z-index:1;" stroked="false">
                      <v:imagedata r:id="rId36" o:title="" croptop="3199f" cropleft="5188f" cropbottom="4007f" cropright="3954f"/>
                      <o:lock v:ext="edit" rotation="t"/>
                    </v:shape>
                  </w:pict>
                </mc:Fallback>
              </mc:AlternateContent>
            </w:r>
            <w:r>
              <w:rPr>
                <w:color w:val="000000"/>
                <w:sz w:val="22"/>
                <w:szCs w:val="22"/>
              </w:rPr>
              <w:t xml:space="preserve"> </w:t>
            </w:r>
            <w:r>
              <w:rPr>
                <w:color w:val="000000"/>
                <w:sz w:val="22"/>
                <w:szCs w:val="22"/>
              </w:rPr>
              <w:t xml:space="preserve"> </w:t>
              <mc:AlternateContent>
                <mc:Choice Requires="wpg">
                  <w:drawing>
                    <wp:inline xmlns:wp="http://schemas.openxmlformats.org/drawingml/2006/wordprocessingDrawing" distT="0" distB="0" distL="0" distR="0">
                      <wp:extent cx="1862310" cy="2168927"/>
                      <wp:effectExtent l="0" t="0" r="0" b="0"/>
                      <wp:docPr id="2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8818890" name=""/>
                              <pic:cNvPicPr>
                                <a:picLocks noChangeAspect="1"/>
                              </pic:cNvPicPr>
                              <pic:nvPr/>
                            </pic:nvPicPr>
                            <pic:blipFill rotWithShape="1">
                              <a:blip r:embed="rId37"/>
                              <a:stretch/>
                            </pic:blipFill>
                            <pic:spPr bwMode="auto">
                              <a:xfrm flipH="0" flipV="0">
                                <a:off x="0" y="0"/>
                                <a:ext cx="1862309" cy="216892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4" o:spid="_x0000_s24" type="#_x0000_t75" style="width:146.64pt;height:170.78pt;mso-wrap-distance-left:0.00pt;mso-wrap-distance-top:0.00pt;mso-wrap-distance-right:0.00pt;mso-wrap-distance-bottom:0.00pt;z-index:1;" stroked="false">
                      <v:imagedata r:id="rId37" o:title=""/>
                      <o:lock v:ext="edit" rotation="t"/>
                    </v:shape>
                  </w:pict>
                </mc:Fallback>
              </mc:AlternateContent>
            </w:r>
            <w:r>
              <w:rPr>
                <w:color w:val="000000"/>
                <w:sz w:val="22"/>
                <w:szCs w:val="22"/>
              </w:rPr>
            </w:r>
            <w:r>
              <w:rPr>
                <w:color w:val="000000"/>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556" w:type="dxa"/>
        <w:tblBorders/>
        <w:tblLook w:val="04A0" w:firstRow="1" w:lastRow="0" w:firstColumn="1" w:lastColumn="0" w:noHBand="0" w:noVBand="1"/>
      </w:tblPr>
      <w:tblGrid>
        <w:gridCol w:w="4597"/>
        <w:gridCol w:w="4959"/>
      </w:tblGrid>
      <w:tr>
        <w:trPr>
          <w:trHeight w:val="302"/>
        </w:trPr>
        <w:tc>
          <w:tcPr>
            <w:tcBorders/>
            <w:tcW w:w="4597" w:type="dxa"/>
            <w:vAlign w:val="center"/>
            <w:textDirection w:val="lrTb"/>
            <w:noWrap w:val="false"/>
          </w:tcPr>
          <w:p>
            <w:pPr>
              <w:pBdr/>
              <w:spacing/>
              <w:ind/>
              <w:jc w:val="center"/>
              <w:rPr>
                <w:b/>
                <w:bCs/>
              </w:rPr>
            </w:pPr>
            <w:r>
              <w:rPr>
                <w:b/>
                <w:bCs/>
              </w:rPr>
            </w:r>
            <w:r>
              <w:rPr>
                <w:b/>
                <w:bCs/>
              </w:rPr>
            </w:r>
            <w:r>
              <w:rPr>
                <w:b/>
                <w:bCs/>
              </w:rPr>
            </w:r>
          </w:p>
        </w:tc>
        <w:tc>
          <w:tcPr>
            <w:tcBorders/>
            <w:tcW w:w="4959" w:type="dxa"/>
            <w:vAlign w:val="center"/>
            <w:textDirection w:val="lrTb"/>
            <w:noWrap/>
          </w:tcPr>
          <w:p>
            <w:pPr>
              <w:pBdr/>
              <w:spacing/>
              <w:ind/>
              <w:jc w:val="center"/>
              <w:rPr>
                <w:b/>
                <w:bCs/>
              </w:rPr>
            </w:pPr>
            <w:r>
              <w:rPr>
                <w:b/>
                <w:bCs/>
              </w:rPr>
              <w:t xml:space="preserve">Người thu thập thông tin</w:t>
            </w:r>
            <w:r>
              <w:rPr>
                <w:b/>
                <w:bCs/>
              </w:rPr>
            </w:r>
            <w:r>
              <w:rPr>
                <w:b/>
                <w:bCs/>
              </w:rPr>
            </w:r>
          </w:p>
        </w:tc>
      </w:tr>
      <w:tr>
        <w:trPr>
          <w:trHeight w:val="1337"/>
        </w:trPr>
        <w:tc>
          <w:tcPr>
            <w:tcBorders/>
            <w:tcW w:w="4597" w:type="dxa"/>
            <w:vAlign w:val="center"/>
            <w:textDirection w:val="lrTb"/>
            <w:noWrap w:val="false"/>
          </w:tcPr>
          <w:p>
            <w:pPr>
              <w:pBdr/>
              <w:spacing/>
              <w:ind/>
              <w:jc w:val="center"/>
              <w:rPr>
                <w:b/>
                <w:bCs/>
              </w:rPr>
            </w:pPr>
            <w:r>
              <w:rPr>
                <w:b/>
                <w:bCs/>
              </w:rPr>
            </w:r>
            <w:r>
              <w:rPr>
                <w:b/>
                <w:bCs/>
              </w:rPr>
            </w:r>
            <w:r>
              <w:rPr>
                <w:b/>
                <w:bCs/>
              </w:rPr>
            </w:r>
          </w:p>
        </w:tc>
        <w:tc>
          <w:tcPr>
            <w:tcBorders/>
            <w:tcW w:w="4959" w:type="dxa"/>
            <w:vAlign w:val="center"/>
            <w:textDirection w:val="lrTb"/>
            <w:noWrap/>
          </w:tcPr>
          <w:p>
            <w:pPr>
              <w:pBdr/>
              <w:spacing/>
              <w:ind/>
              <w:jc w:val="center"/>
              <w:rPr/>
            </w:pPr>
            <w:r/>
            <w:r/>
          </w:p>
          <w:p>
            <w:pPr>
              <w:pBdr/>
              <w:spacing/>
              <w:ind/>
              <w:rPr/>
            </w:pPr>
            <w:r/>
            <w:r/>
          </w:p>
          <w:p>
            <w:pPr>
              <w:pBdr/>
              <w:spacing/>
              <w:ind/>
              <w:jc w:val="center"/>
              <w:rPr/>
            </w:pPr>
            <w:r/>
            <w:r/>
          </w:p>
          <w:p>
            <w:pPr>
              <w:pBdr/>
              <w:spacing/>
              <w:ind/>
              <w:jc w:val="center"/>
              <w:rPr/>
            </w:pPr>
            <w:r/>
            <w:r/>
          </w:p>
          <w:p>
            <w:pPr>
              <w:pBdr/>
              <w:spacing/>
              <w:ind/>
              <w:jc w:val="center"/>
              <w:rPr/>
            </w:pPr>
            <w:r/>
            <w:r/>
          </w:p>
        </w:tc>
      </w:tr>
      <w:tr>
        <w:trPr>
          <w:trHeight w:val="302"/>
        </w:trPr>
        <w:tc>
          <w:tcPr>
            <w:tcBorders/>
            <w:tcW w:w="4597" w:type="dxa"/>
            <w:vAlign w:val="bottom"/>
            <w:textDirection w:val="lrTb"/>
            <w:noWrap w:val="false"/>
          </w:tcPr>
          <w:p>
            <w:pPr>
              <w:pBdr/>
              <w:spacing/>
              <w:ind/>
              <w:jc w:val="center"/>
              <w:rPr>
                <w:b/>
                <w:bCs/>
              </w:rPr>
            </w:pPr>
            <w:r>
              <w:rPr>
                <w:b/>
                <w:bCs/>
              </w:rPr>
            </w:r>
            <w:r>
              <w:rPr>
                <w:b/>
                <w:bCs/>
              </w:rPr>
            </w:r>
            <w:r>
              <w:rPr>
                <w:b/>
                <w:bCs/>
              </w:rPr>
            </w:r>
          </w:p>
        </w:tc>
        <w:tc>
          <w:tcPr>
            <w:tcBorders/>
            <w:tcW w:w="4959" w:type="dxa"/>
            <w:vAlign w:val="center"/>
            <w:textDirection w:val="lrTb"/>
            <w:noWrap/>
          </w:tcPr>
          <w:p>
            <w:pPr>
              <w:pBdr/>
              <w:spacing/>
              <w:ind/>
              <w:jc w:val="center"/>
              <w:rPr/>
            </w:pPr>
            <w:r>
              <w:t xml:space="preserve">Lê Thị Thịnh</w:t>
            </w:r>
            <w:r/>
          </w:p>
        </w:tc>
      </w:tr>
    </w:tbl>
    <w:p>
      <w:pPr>
        <w:pBdr/>
        <w:spacing w:after="200" w:line="276" w:lineRule="auto"/>
        <w:ind/>
        <w:rPr>
          <w:iCs/>
          <w:lang w:val="pt-BR"/>
        </w:rPr>
      </w:pPr>
      <w:r>
        <w:rPr>
          <w:iCs/>
          <w:lang w:val="pt-BR"/>
        </w:rPr>
      </w:r>
      <w:r>
        <w:rPr>
          <w:iCs/>
          <w:lang w:val="pt-BR"/>
        </w:rPr>
      </w:r>
      <w:r>
        <w:rPr>
          <w:iCs/>
          <w:lang w:val="pt-BR"/>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3"/>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23"/>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3"/>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3"/>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1"/>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2426BAD4"/>
    <w:lvl w:ilvl="0">
      <w:isLgl w:val="false"/>
      <w:lvlJc w:val="left"/>
      <w:lvlText w:val="·"/>
      <w:numFmt w:val="bullet"/>
      <w:pPr>
        <w:pBdr/>
        <w:spacing/>
        <w:ind w:hanging="360" w:left="709"/>
      </w:pPr>
      <w:rPr>
        <w:rFonts w:hint="default" w:ascii="Symbol" w:hAnsi="Symbol" w:eastAsia="Symbol" w:cs="Symbo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39">
    <w:name w:val="Table Grid Light"/>
    <w:basedOn w:val="1011"/>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0">
    <w:name w:val="Plain Table 1"/>
    <w:basedOn w:val="1011"/>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1">
    <w:name w:val="Plain Table 2"/>
    <w:basedOn w:val="1011"/>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Plain Table 3"/>
    <w:basedOn w:val="101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Plain Table 4"/>
    <w:basedOn w:val="101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Plain Table 5"/>
    <w:basedOn w:val="101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Grid Table 1 Light"/>
    <w:basedOn w:val="1011"/>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Grid Table 1 Light - Accent 1"/>
    <w:basedOn w:val="1011"/>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Grid Table 1 Light - Accent 2"/>
    <w:basedOn w:val="1011"/>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Grid Table 1 Light - Accent 3"/>
    <w:basedOn w:val="1011"/>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1 Light - Accent 4"/>
    <w:basedOn w:val="1011"/>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1 Light - Accent 5"/>
    <w:basedOn w:val="1011"/>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1 Light - Accent 6"/>
    <w:basedOn w:val="1011"/>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2"/>
    <w:basedOn w:val="1011"/>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2 - Accent 1"/>
    <w:basedOn w:val="1011"/>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2 - Accent 2"/>
    <w:basedOn w:val="1011"/>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2 - Accent 3"/>
    <w:basedOn w:val="1011"/>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2 - Accent 4"/>
    <w:basedOn w:val="1011"/>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2 - Accent 5"/>
    <w:basedOn w:val="1011"/>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2 - Accent 6"/>
    <w:basedOn w:val="1011"/>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3"/>
    <w:basedOn w:val="1011"/>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3 - Accent 1"/>
    <w:basedOn w:val="1011"/>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3 - Accent 2"/>
    <w:basedOn w:val="1011"/>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3 - Accent 3"/>
    <w:basedOn w:val="1011"/>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3 - Accent 4"/>
    <w:basedOn w:val="1011"/>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3 - Accent 5"/>
    <w:basedOn w:val="1011"/>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3 - Accent 6"/>
    <w:basedOn w:val="1011"/>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4"/>
    <w:basedOn w:val="1011"/>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4 - Accent 1"/>
    <w:basedOn w:val="1011"/>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4 - Accent 2"/>
    <w:basedOn w:val="1011"/>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4 - Accent 3"/>
    <w:basedOn w:val="1011"/>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4 - Accent 4"/>
    <w:basedOn w:val="1011"/>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4 - Accent 5"/>
    <w:basedOn w:val="1011"/>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4 - Accent 6"/>
    <w:basedOn w:val="1011"/>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5 Dark"/>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5 Dark- Accent 1"/>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5 Dark - Accent 2"/>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5 Dark - Accent 3"/>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5 Dark- Accent 4"/>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5 Dark - Accent 5"/>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5 Dark - Accent 6"/>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6 Colorful"/>
    <w:basedOn w:val="1011"/>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81">
    <w:name w:val="Grid Table 6 Colorful - Accent 1"/>
    <w:basedOn w:val="1011"/>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2">
    <w:name w:val="Grid Table 6 Colorful - Accent 2"/>
    <w:basedOn w:val="1011"/>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3">
    <w:name w:val="Grid Table 6 Colorful - Accent 3"/>
    <w:basedOn w:val="1011"/>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4">
    <w:name w:val="Grid Table 6 Colorful - Accent 4"/>
    <w:basedOn w:val="1011"/>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85">
    <w:name w:val="Grid Table 6 Colorful - Accent 5"/>
    <w:basedOn w:val="1011"/>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6">
    <w:name w:val="Grid Table 6 Colorful - Accent 6"/>
    <w:basedOn w:val="1011"/>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7">
    <w:name w:val="Grid Table 7 Colorful"/>
    <w:basedOn w:val="1011"/>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7 Colorful - Accent 1"/>
    <w:basedOn w:val="1011"/>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7 Colorful - Accent 2"/>
    <w:basedOn w:val="1011"/>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7 Colorful - Accent 3"/>
    <w:basedOn w:val="1011"/>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Grid Table 7 Colorful - Accent 4"/>
    <w:basedOn w:val="1011"/>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Grid Table 7 Colorful - Accent 5"/>
    <w:basedOn w:val="1011"/>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Grid Table 7 Colorful - Accent 6"/>
    <w:basedOn w:val="1011"/>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List Table 1 Light"/>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List Table 1 Light - Accent 1"/>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List Table 1 Light - Accent 2"/>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List Table 1 Light - Accent 3"/>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1 Light - Accent 4"/>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1 Light - Accent 5"/>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1 Light - Accent 6"/>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2"/>
    <w:basedOn w:val="1011"/>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2 - Accent 1"/>
    <w:basedOn w:val="1011"/>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2 - Accent 2"/>
    <w:basedOn w:val="1011"/>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2 - Accent 3"/>
    <w:basedOn w:val="1011"/>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2 - Accent 4"/>
    <w:basedOn w:val="1011"/>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2 - Accent 5"/>
    <w:basedOn w:val="1011"/>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2 - Accent 6"/>
    <w:basedOn w:val="1011"/>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3"/>
    <w:basedOn w:val="1011"/>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3 - Accent 1"/>
    <w:basedOn w:val="1011"/>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3 - Accent 2"/>
    <w:basedOn w:val="1011"/>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3 - Accent 3"/>
    <w:basedOn w:val="1011"/>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3 - Accent 4"/>
    <w:basedOn w:val="1011"/>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3 - Accent 5"/>
    <w:basedOn w:val="1011"/>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3 - Accent 6"/>
    <w:basedOn w:val="1011"/>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4"/>
    <w:basedOn w:val="1011"/>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4 - Accent 1"/>
    <w:basedOn w:val="1011"/>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4 - Accent 2"/>
    <w:basedOn w:val="1011"/>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4 - Accent 3"/>
    <w:basedOn w:val="1011"/>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4 - Accent 4"/>
    <w:basedOn w:val="1011"/>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4 - Accent 5"/>
    <w:basedOn w:val="1011"/>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4 - Accent 6"/>
    <w:basedOn w:val="1011"/>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5 Dark"/>
    <w:basedOn w:val="1011"/>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3">
    <w:name w:val="List Table 5 Dark - Accent 1"/>
    <w:basedOn w:val="1011"/>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4">
    <w:name w:val="List Table 5 Dark - Accent 2"/>
    <w:basedOn w:val="1011"/>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5">
    <w:name w:val="List Table 5 Dark - Accent 3"/>
    <w:basedOn w:val="1011"/>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6">
    <w:name w:val="List Table 5 Dark - Accent 4"/>
    <w:basedOn w:val="1011"/>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7">
    <w:name w:val="List Table 5 Dark - Accent 5"/>
    <w:basedOn w:val="1011"/>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8">
    <w:name w:val="List Table 5 Dark - Accent 6"/>
    <w:basedOn w:val="1011"/>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9">
    <w:name w:val="List Table 6 Colorful"/>
    <w:basedOn w:val="1011"/>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6 Colorful - Accent 1"/>
    <w:basedOn w:val="1011"/>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6 Colorful - Accent 2"/>
    <w:basedOn w:val="1011"/>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6 Colorful - Accent 3"/>
    <w:basedOn w:val="1011"/>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6 Colorful - Accent 4"/>
    <w:basedOn w:val="1011"/>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6 Colorful - Accent 5"/>
    <w:basedOn w:val="1011"/>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5">
    <w:name w:val="List Table 6 Colorful - Accent 6"/>
    <w:basedOn w:val="1011"/>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6">
    <w:name w:val="List Table 7 Colorful"/>
    <w:basedOn w:val="1011"/>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37">
    <w:name w:val="List Table 7 Colorful - Accent 1"/>
    <w:basedOn w:val="1011"/>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38">
    <w:name w:val="List Table 7 Colorful - Accent 2"/>
    <w:basedOn w:val="1011"/>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39">
    <w:name w:val="List Table 7 Colorful - Accent 3"/>
    <w:basedOn w:val="1011"/>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40">
    <w:name w:val="List Table 7 Colorful - Accent 4"/>
    <w:basedOn w:val="1011"/>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41">
    <w:name w:val="List Table 7 Colorful - Accent 5"/>
    <w:basedOn w:val="1011"/>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42">
    <w:name w:val="List Table 7 Colorful - Accent 6"/>
    <w:basedOn w:val="1011"/>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3">
    <w:name w:val="Lined - Accent"/>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ned - Accent 1"/>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5">
    <w:name w:val="Lined - Accent 2"/>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ned - Accent 3"/>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Lined - Accent 4"/>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Lined - Accent 5"/>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Lined - Accent 6"/>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Bordered &amp; Lined - Accent"/>
    <w:basedOn w:val="1011"/>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Bordered &amp; Lined - Accent 1"/>
    <w:basedOn w:val="1011"/>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Bordered &amp; Lined - Accent 2"/>
    <w:basedOn w:val="1011"/>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Bordered &amp; Lined - Accent 3"/>
    <w:basedOn w:val="1011"/>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Bordered &amp; Lined - Accent 4"/>
    <w:basedOn w:val="1011"/>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amp; Lined - Accent 5"/>
    <w:basedOn w:val="1011"/>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amp; Lined - Accent 6"/>
    <w:basedOn w:val="1011"/>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w:basedOn w:val="1011"/>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 Accent 1"/>
    <w:basedOn w:val="1011"/>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 Accent 2"/>
    <w:basedOn w:val="1011"/>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 Accent 3"/>
    <w:basedOn w:val="1011"/>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 Accent 4"/>
    <w:basedOn w:val="1011"/>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Bordered - Accent 5"/>
    <w:basedOn w:val="1011"/>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Bordered - Accent 6"/>
    <w:basedOn w:val="1011"/>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4">
    <w:name w:val="Heading 5"/>
    <w:basedOn w:val="1005"/>
    <w:next w:val="1005"/>
    <w:link w:val="969"/>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65">
    <w:name w:val="Heading 6"/>
    <w:basedOn w:val="1005"/>
    <w:next w:val="1005"/>
    <w:link w:val="970"/>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66">
    <w:name w:val="Heading 7"/>
    <w:basedOn w:val="1005"/>
    <w:next w:val="1005"/>
    <w:link w:val="971"/>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67">
    <w:name w:val="Heading 8"/>
    <w:basedOn w:val="1005"/>
    <w:next w:val="1005"/>
    <w:link w:val="972"/>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68">
    <w:name w:val="Heading 9"/>
    <w:basedOn w:val="1005"/>
    <w:next w:val="1005"/>
    <w:link w:val="973"/>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69">
    <w:name w:val="Heading 5 Char"/>
    <w:basedOn w:val="1010"/>
    <w:link w:val="964"/>
    <w:uiPriority w:val="9"/>
    <w:pPr>
      <w:pBdr/>
      <w:spacing/>
      <w:ind/>
    </w:pPr>
    <w:rPr>
      <w:rFonts w:ascii="Arial" w:hAnsi="Arial" w:eastAsia="Arial" w:cs="Arial"/>
      <w:color w:val="0f4761" w:themeColor="accent1" w:themeShade="BF"/>
    </w:rPr>
  </w:style>
  <w:style w:type="character" w:styleId="970">
    <w:name w:val="Heading 6 Char"/>
    <w:basedOn w:val="1010"/>
    <w:link w:val="965"/>
    <w:uiPriority w:val="9"/>
    <w:pPr>
      <w:pBdr/>
      <w:spacing/>
      <w:ind/>
    </w:pPr>
    <w:rPr>
      <w:rFonts w:ascii="Arial" w:hAnsi="Arial" w:eastAsia="Arial" w:cs="Arial"/>
      <w:i/>
      <w:iCs/>
      <w:color w:val="595959" w:themeColor="text1" w:themeTint="A6"/>
    </w:rPr>
  </w:style>
  <w:style w:type="character" w:styleId="971">
    <w:name w:val="Heading 7 Char"/>
    <w:basedOn w:val="1010"/>
    <w:link w:val="966"/>
    <w:uiPriority w:val="9"/>
    <w:pPr>
      <w:pBdr/>
      <w:spacing/>
      <w:ind/>
    </w:pPr>
    <w:rPr>
      <w:rFonts w:ascii="Arial" w:hAnsi="Arial" w:eastAsia="Arial" w:cs="Arial"/>
      <w:color w:val="595959" w:themeColor="text1" w:themeTint="A6"/>
    </w:rPr>
  </w:style>
  <w:style w:type="character" w:styleId="972">
    <w:name w:val="Heading 8 Char"/>
    <w:basedOn w:val="1010"/>
    <w:link w:val="967"/>
    <w:uiPriority w:val="9"/>
    <w:pPr>
      <w:pBdr/>
      <w:spacing/>
      <w:ind/>
    </w:pPr>
    <w:rPr>
      <w:rFonts w:ascii="Arial" w:hAnsi="Arial" w:eastAsia="Arial" w:cs="Arial"/>
      <w:i/>
      <w:iCs/>
      <w:color w:val="272727" w:themeColor="text1" w:themeTint="D8"/>
    </w:rPr>
  </w:style>
  <w:style w:type="character" w:styleId="973">
    <w:name w:val="Heading 9 Char"/>
    <w:basedOn w:val="1010"/>
    <w:link w:val="968"/>
    <w:uiPriority w:val="9"/>
    <w:pPr>
      <w:pBdr/>
      <w:spacing/>
      <w:ind/>
    </w:pPr>
    <w:rPr>
      <w:rFonts w:ascii="Arial" w:hAnsi="Arial" w:eastAsia="Arial" w:cs="Arial"/>
      <w:i/>
      <w:iCs/>
      <w:color w:val="272727" w:themeColor="text1" w:themeTint="D8"/>
    </w:rPr>
  </w:style>
  <w:style w:type="paragraph" w:styleId="974">
    <w:name w:val="Subtitle"/>
    <w:basedOn w:val="1005"/>
    <w:next w:val="1005"/>
    <w:link w:val="975"/>
    <w:uiPriority w:val="11"/>
    <w:qFormat/>
    <w:pPr>
      <w:numPr>
        <w:ilvl w:val="1"/>
      </w:numPr>
      <w:pBdr/>
      <w:spacing/>
      <w:ind/>
    </w:pPr>
    <w:rPr>
      <w:color w:val="595959" w:themeColor="text1" w:themeTint="A6"/>
      <w:spacing w:val="15"/>
      <w:sz w:val="28"/>
      <w:szCs w:val="28"/>
    </w:rPr>
  </w:style>
  <w:style w:type="character" w:styleId="975">
    <w:name w:val="Subtitle Char"/>
    <w:basedOn w:val="1010"/>
    <w:link w:val="974"/>
    <w:uiPriority w:val="11"/>
    <w:pPr>
      <w:pBdr/>
      <w:spacing/>
      <w:ind/>
    </w:pPr>
    <w:rPr>
      <w:color w:val="595959" w:themeColor="text1" w:themeTint="A6"/>
      <w:spacing w:val="15"/>
      <w:sz w:val="28"/>
      <w:szCs w:val="28"/>
    </w:rPr>
  </w:style>
  <w:style w:type="paragraph" w:styleId="976">
    <w:name w:val="Quote"/>
    <w:basedOn w:val="1005"/>
    <w:next w:val="1005"/>
    <w:link w:val="977"/>
    <w:uiPriority w:val="29"/>
    <w:qFormat/>
    <w:pPr>
      <w:pBdr/>
      <w:spacing w:before="160"/>
      <w:ind/>
      <w:jc w:val="center"/>
    </w:pPr>
    <w:rPr>
      <w:i/>
      <w:iCs/>
      <w:color w:val="404040" w:themeColor="text1" w:themeTint="BF"/>
    </w:rPr>
  </w:style>
  <w:style w:type="character" w:styleId="977">
    <w:name w:val="Quote Char"/>
    <w:basedOn w:val="1010"/>
    <w:link w:val="976"/>
    <w:uiPriority w:val="29"/>
    <w:pPr>
      <w:pBdr/>
      <w:spacing/>
      <w:ind/>
    </w:pPr>
    <w:rPr>
      <w:i/>
      <w:iCs/>
      <w:color w:val="404040" w:themeColor="text1" w:themeTint="BF"/>
    </w:rPr>
  </w:style>
  <w:style w:type="character" w:styleId="978">
    <w:name w:val="Intense Emphasis"/>
    <w:basedOn w:val="1010"/>
    <w:uiPriority w:val="21"/>
    <w:qFormat/>
    <w:pPr>
      <w:pBdr/>
      <w:spacing/>
      <w:ind/>
    </w:pPr>
    <w:rPr>
      <w:i/>
      <w:iCs/>
      <w:color w:val="0f4761" w:themeColor="accent1" w:themeShade="BF"/>
    </w:rPr>
  </w:style>
  <w:style w:type="paragraph" w:styleId="979">
    <w:name w:val="Intense Quote"/>
    <w:basedOn w:val="1005"/>
    <w:next w:val="1005"/>
    <w:link w:val="980"/>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80">
    <w:name w:val="Intense Quote Char"/>
    <w:basedOn w:val="1010"/>
    <w:link w:val="979"/>
    <w:uiPriority w:val="30"/>
    <w:pPr>
      <w:pBdr/>
      <w:spacing/>
      <w:ind/>
    </w:pPr>
    <w:rPr>
      <w:i/>
      <w:iCs/>
      <w:color w:val="0f4761" w:themeColor="accent1" w:themeShade="BF"/>
    </w:rPr>
  </w:style>
  <w:style w:type="character" w:styleId="981">
    <w:name w:val="Intense Reference"/>
    <w:basedOn w:val="1010"/>
    <w:uiPriority w:val="32"/>
    <w:qFormat/>
    <w:pPr>
      <w:pBdr/>
      <w:spacing/>
      <w:ind/>
    </w:pPr>
    <w:rPr>
      <w:b/>
      <w:bCs/>
      <w:smallCaps/>
      <w:color w:val="0f4761" w:themeColor="accent1" w:themeShade="BF"/>
      <w:spacing w:val="5"/>
    </w:rPr>
  </w:style>
  <w:style w:type="paragraph" w:styleId="982">
    <w:name w:val="No Spacing"/>
    <w:basedOn w:val="1005"/>
    <w:uiPriority w:val="1"/>
    <w:qFormat/>
    <w:pPr>
      <w:pBdr/>
      <w:spacing w:after="0" w:line="240" w:lineRule="auto"/>
      <w:ind/>
    </w:pPr>
  </w:style>
  <w:style w:type="character" w:styleId="983">
    <w:name w:val="Subtle Emphasis"/>
    <w:basedOn w:val="1010"/>
    <w:uiPriority w:val="19"/>
    <w:qFormat/>
    <w:pPr>
      <w:pBdr/>
      <w:spacing/>
      <w:ind/>
    </w:pPr>
    <w:rPr>
      <w:i/>
      <w:iCs/>
      <w:color w:val="404040" w:themeColor="text1" w:themeTint="BF"/>
    </w:rPr>
  </w:style>
  <w:style w:type="character" w:styleId="984">
    <w:name w:val="Subtle Reference"/>
    <w:basedOn w:val="1010"/>
    <w:uiPriority w:val="31"/>
    <w:qFormat/>
    <w:pPr>
      <w:pBdr/>
      <w:spacing/>
      <w:ind/>
    </w:pPr>
    <w:rPr>
      <w:smallCaps/>
      <w:color w:val="5a5a5a" w:themeColor="text1" w:themeTint="A5"/>
    </w:rPr>
  </w:style>
  <w:style w:type="character" w:styleId="985">
    <w:name w:val="Book Title"/>
    <w:basedOn w:val="1010"/>
    <w:uiPriority w:val="33"/>
    <w:qFormat/>
    <w:pPr>
      <w:pBdr/>
      <w:spacing/>
      <w:ind/>
    </w:pPr>
    <w:rPr>
      <w:b/>
      <w:bCs/>
      <w:i/>
      <w:iCs/>
      <w:spacing w:val="5"/>
    </w:rPr>
  </w:style>
  <w:style w:type="paragraph" w:styleId="986">
    <w:name w:val="Caption"/>
    <w:basedOn w:val="1005"/>
    <w:next w:val="1005"/>
    <w:uiPriority w:val="35"/>
    <w:unhideWhenUsed/>
    <w:qFormat/>
    <w:pPr>
      <w:pBdr/>
      <w:spacing w:after="200" w:line="240" w:lineRule="auto"/>
      <w:ind/>
    </w:pPr>
    <w:rPr>
      <w:i/>
      <w:iCs/>
      <w:color w:val="0e2841" w:themeColor="text2"/>
      <w:sz w:val="18"/>
      <w:szCs w:val="18"/>
    </w:rPr>
  </w:style>
  <w:style w:type="paragraph" w:styleId="987">
    <w:name w:val="footnote text"/>
    <w:basedOn w:val="1005"/>
    <w:link w:val="988"/>
    <w:uiPriority w:val="99"/>
    <w:semiHidden/>
    <w:unhideWhenUsed/>
    <w:pPr>
      <w:pBdr/>
      <w:spacing w:after="0" w:line="240" w:lineRule="auto"/>
      <w:ind/>
    </w:pPr>
    <w:rPr>
      <w:sz w:val="20"/>
      <w:szCs w:val="20"/>
    </w:rPr>
  </w:style>
  <w:style w:type="character" w:styleId="988">
    <w:name w:val="Footnote Text Char"/>
    <w:basedOn w:val="1010"/>
    <w:link w:val="987"/>
    <w:uiPriority w:val="99"/>
    <w:semiHidden/>
    <w:pPr>
      <w:pBdr/>
      <w:spacing/>
      <w:ind/>
    </w:pPr>
    <w:rPr>
      <w:sz w:val="20"/>
      <w:szCs w:val="20"/>
    </w:rPr>
  </w:style>
  <w:style w:type="character" w:styleId="989">
    <w:name w:val="footnote reference"/>
    <w:basedOn w:val="1010"/>
    <w:uiPriority w:val="99"/>
    <w:semiHidden/>
    <w:unhideWhenUsed/>
    <w:pPr>
      <w:pBdr/>
      <w:spacing/>
      <w:ind/>
    </w:pPr>
    <w:rPr>
      <w:vertAlign w:val="superscript"/>
    </w:rPr>
  </w:style>
  <w:style w:type="paragraph" w:styleId="990">
    <w:name w:val="endnote text"/>
    <w:basedOn w:val="1005"/>
    <w:link w:val="991"/>
    <w:uiPriority w:val="99"/>
    <w:semiHidden/>
    <w:unhideWhenUsed/>
    <w:pPr>
      <w:pBdr/>
      <w:spacing w:after="0" w:line="240" w:lineRule="auto"/>
      <w:ind/>
    </w:pPr>
    <w:rPr>
      <w:sz w:val="20"/>
      <w:szCs w:val="20"/>
    </w:rPr>
  </w:style>
  <w:style w:type="character" w:styleId="991">
    <w:name w:val="Endnote Text Char"/>
    <w:basedOn w:val="1010"/>
    <w:link w:val="990"/>
    <w:uiPriority w:val="99"/>
    <w:semiHidden/>
    <w:pPr>
      <w:pBdr/>
      <w:spacing/>
      <w:ind/>
    </w:pPr>
    <w:rPr>
      <w:sz w:val="20"/>
      <w:szCs w:val="20"/>
    </w:rPr>
  </w:style>
  <w:style w:type="character" w:styleId="992">
    <w:name w:val="endnote reference"/>
    <w:basedOn w:val="1010"/>
    <w:uiPriority w:val="99"/>
    <w:semiHidden/>
    <w:unhideWhenUsed/>
    <w:pPr>
      <w:pBdr/>
      <w:spacing/>
      <w:ind/>
    </w:pPr>
    <w:rPr>
      <w:vertAlign w:val="superscript"/>
    </w:rPr>
  </w:style>
  <w:style w:type="paragraph" w:styleId="993">
    <w:name w:val="toc 1"/>
    <w:basedOn w:val="1005"/>
    <w:next w:val="1005"/>
    <w:uiPriority w:val="39"/>
    <w:unhideWhenUsed/>
    <w:pPr>
      <w:pBdr/>
      <w:spacing w:after="100"/>
      <w:ind/>
    </w:pPr>
  </w:style>
  <w:style w:type="paragraph" w:styleId="994">
    <w:name w:val="toc 2"/>
    <w:basedOn w:val="1005"/>
    <w:next w:val="1005"/>
    <w:uiPriority w:val="39"/>
    <w:unhideWhenUsed/>
    <w:pPr>
      <w:pBdr/>
      <w:spacing w:after="100"/>
      <w:ind w:left="220"/>
    </w:pPr>
  </w:style>
  <w:style w:type="paragraph" w:styleId="995">
    <w:name w:val="toc 3"/>
    <w:basedOn w:val="1005"/>
    <w:next w:val="1005"/>
    <w:uiPriority w:val="39"/>
    <w:unhideWhenUsed/>
    <w:pPr>
      <w:pBdr/>
      <w:spacing w:after="100"/>
      <w:ind w:left="440"/>
    </w:pPr>
  </w:style>
  <w:style w:type="paragraph" w:styleId="996">
    <w:name w:val="toc 4"/>
    <w:basedOn w:val="1005"/>
    <w:next w:val="1005"/>
    <w:uiPriority w:val="39"/>
    <w:unhideWhenUsed/>
    <w:pPr>
      <w:pBdr/>
      <w:spacing w:after="100"/>
      <w:ind w:left="660"/>
    </w:pPr>
  </w:style>
  <w:style w:type="paragraph" w:styleId="997">
    <w:name w:val="toc 5"/>
    <w:basedOn w:val="1005"/>
    <w:next w:val="1005"/>
    <w:uiPriority w:val="39"/>
    <w:unhideWhenUsed/>
    <w:pPr>
      <w:pBdr/>
      <w:spacing w:after="100"/>
      <w:ind w:left="880"/>
    </w:pPr>
  </w:style>
  <w:style w:type="paragraph" w:styleId="998">
    <w:name w:val="toc 6"/>
    <w:basedOn w:val="1005"/>
    <w:next w:val="1005"/>
    <w:uiPriority w:val="39"/>
    <w:unhideWhenUsed/>
    <w:pPr>
      <w:pBdr/>
      <w:spacing w:after="100"/>
      <w:ind w:left="1100"/>
    </w:pPr>
  </w:style>
  <w:style w:type="paragraph" w:styleId="999">
    <w:name w:val="toc 7"/>
    <w:basedOn w:val="1005"/>
    <w:next w:val="1005"/>
    <w:uiPriority w:val="39"/>
    <w:unhideWhenUsed/>
    <w:pPr>
      <w:pBdr/>
      <w:spacing w:after="100"/>
      <w:ind w:left="1320"/>
    </w:pPr>
  </w:style>
  <w:style w:type="paragraph" w:styleId="1000">
    <w:name w:val="toc 8"/>
    <w:basedOn w:val="1005"/>
    <w:next w:val="1005"/>
    <w:uiPriority w:val="39"/>
    <w:unhideWhenUsed/>
    <w:pPr>
      <w:pBdr/>
      <w:spacing w:after="100"/>
      <w:ind w:left="1540"/>
    </w:pPr>
  </w:style>
  <w:style w:type="paragraph" w:styleId="1001">
    <w:name w:val="toc 9"/>
    <w:basedOn w:val="1005"/>
    <w:next w:val="1005"/>
    <w:uiPriority w:val="39"/>
    <w:unhideWhenUsed/>
    <w:pPr>
      <w:pBdr/>
      <w:spacing w:after="100"/>
      <w:ind w:left="1760"/>
    </w:pPr>
  </w:style>
  <w:style w:type="character" w:styleId="1002">
    <w:name w:val="Placeholder Text"/>
    <w:basedOn w:val="1010"/>
    <w:uiPriority w:val="99"/>
    <w:semiHidden/>
    <w:pPr>
      <w:pBdr/>
      <w:spacing/>
      <w:ind/>
    </w:pPr>
    <w:rPr>
      <w:color w:val="666666"/>
    </w:rPr>
  </w:style>
  <w:style w:type="paragraph" w:styleId="1003">
    <w:name w:val="TOC Heading"/>
    <w:uiPriority w:val="39"/>
    <w:unhideWhenUsed/>
    <w:pPr>
      <w:pBdr/>
      <w:spacing/>
      <w:ind/>
    </w:pPr>
  </w:style>
  <w:style w:type="paragraph" w:styleId="1004">
    <w:name w:val="table of figures"/>
    <w:basedOn w:val="1005"/>
    <w:next w:val="1005"/>
    <w:uiPriority w:val="99"/>
    <w:unhideWhenUsed/>
    <w:pPr>
      <w:pBdr/>
      <w:spacing w:after="0" w:afterAutospacing="0"/>
      <w:ind/>
    </w:pPr>
  </w:style>
  <w:style w:type="paragraph" w:styleId="1005" w:default="1">
    <w:name w:val="Normal"/>
    <w:qFormat/>
    <w:pPr>
      <w:pBdr/>
      <w:spacing w:after="0" w:line="240" w:lineRule="auto"/>
      <w:ind/>
    </w:pPr>
    <w:rPr>
      <w:rFonts w:ascii="Times New Roman" w:hAnsi="Times New Roman" w:eastAsia="Times New Roman" w:cs="Times New Roman"/>
      <w:sz w:val="24"/>
      <w:szCs w:val="24"/>
    </w:rPr>
  </w:style>
  <w:style w:type="paragraph" w:styleId="1006">
    <w:name w:val="Heading 1"/>
    <w:basedOn w:val="1005"/>
    <w:next w:val="1005"/>
    <w:link w:val="1013"/>
    <w:qFormat/>
    <w:pPr>
      <w:keepNext w:val="true"/>
      <w:pBdr/>
      <w:spacing w:after="120" w:before="120"/>
      <w:ind/>
      <w:jc w:val="center"/>
      <w:outlineLvl w:val="0"/>
    </w:pPr>
    <w:rPr>
      <w:b/>
      <w:bCs/>
      <w:sz w:val="27"/>
      <w:szCs w:val="27"/>
    </w:rPr>
  </w:style>
  <w:style w:type="paragraph" w:styleId="1007">
    <w:name w:val="Heading 2"/>
    <w:basedOn w:val="1005"/>
    <w:next w:val="1005"/>
    <w:link w:val="1014"/>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08">
    <w:name w:val="Heading 3"/>
    <w:basedOn w:val="1005"/>
    <w:next w:val="1005"/>
    <w:link w:val="1015"/>
    <w:qFormat/>
    <w:pPr>
      <w:keepNext w:val="true"/>
      <w:pBdr/>
      <w:spacing w:before="60"/>
      <w:ind/>
      <w:outlineLvl w:val="2"/>
    </w:pPr>
    <w:rPr>
      <w:sz w:val="28"/>
      <w:szCs w:val="28"/>
    </w:rPr>
  </w:style>
  <w:style w:type="paragraph" w:styleId="1009">
    <w:name w:val="Heading 4"/>
    <w:basedOn w:val="1005"/>
    <w:next w:val="1005"/>
    <w:link w:val="1016"/>
    <w:qFormat/>
    <w:pPr>
      <w:keepNext w:val="true"/>
      <w:pBdr/>
      <w:spacing/>
      <w:ind/>
      <w:jc w:val="center"/>
      <w:outlineLvl w:val="3"/>
    </w:pPr>
    <w:rPr>
      <w:b/>
      <w:bCs/>
    </w:rPr>
  </w:style>
  <w:style w:type="character" w:styleId="1010" w:default="1">
    <w:name w:val="Default Paragraph Font"/>
    <w:uiPriority w:val="1"/>
    <w:semiHidden/>
    <w:unhideWhenUsed/>
    <w:pPr>
      <w:pBdr/>
      <w:spacing/>
      <w:ind/>
    </w:pPr>
  </w:style>
  <w:style w:type="table" w:styleId="1011"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2" w:default="1">
    <w:name w:val="No List"/>
    <w:uiPriority w:val="99"/>
    <w:semiHidden/>
    <w:unhideWhenUsed/>
    <w:pPr>
      <w:pBdr/>
      <w:spacing/>
      <w:ind/>
    </w:pPr>
  </w:style>
  <w:style w:type="character" w:styleId="1013" w:customStyle="1">
    <w:name w:val="Heading 1 Char"/>
    <w:basedOn w:val="1010"/>
    <w:link w:val="1006"/>
    <w:pPr>
      <w:pBdr/>
      <w:spacing/>
      <w:ind/>
    </w:pPr>
    <w:rPr>
      <w:rFonts w:ascii="Times New Roman" w:hAnsi="Times New Roman" w:eastAsia="Times New Roman" w:cs="Times New Roman"/>
      <w:b/>
      <w:bCs/>
      <w:sz w:val="27"/>
      <w:szCs w:val="27"/>
    </w:rPr>
  </w:style>
  <w:style w:type="character" w:styleId="1014" w:customStyle="1">
    <w:name w:val="Heading 2 Char"/>
    <w:basedOn w:val="1010"/>
    <w:link w:val="1007"/>
    <w:uiPriority w:val="9"/>
    <w:pPr>
      <w:pBdr/>
      <w:spacing/>
      <w:ind/>
    </w:pPr>
    <w:rPr>
      <w:rFonts w:asciiTheme="majorHAnsi" w:hAnsiTheme="majorHAnsi" w:eastAsiaTheme="majorEastAsia" w:cstheme="majorBidi"/>
      <w:color w:val="365f91" w:themeColor="accent1" w:themeShade="BF"/>
      <w:sz w:val="26"/>
      <w:szCs w:val="26"/>
    </w:rPr>
  </w:style>
  <w:style w:type="character" w:styleId="1015" w:customStyle="1">
    <w:name w:val="Heading 3 Char"/>
    <w:basedOn w:val="1010"/>
    <w:link w:val="1008"/>
    <w:pPr>
      <w:pBdr/>
      <w:spacing/>
      <w:ind/>
    </w:pPr>
    <w:rPr>
      <w:rFonts w:ascii="Times New Roman" w:hAnsi="Times New Roman" w:eastAsia="Times New Roman" w:cs="Times New Roman"/>
      <w:sz w:val="28"/>
      <w:szCs w:val="28"/>
    </w:rPr>
  </w:style>
  <w:style w:type="character" w:styleId="1016" w:customStyle="1">
    <w:name w:val="Heading 4 Char"/>
    <w:basedOn w:val="1010"/>
    <w:link w:val="1009"/>
    <w:pPr>
      <w:pBdr/>
      <w:spacing/>
      <w:ind/>
    </w:pPr>
    <w:rPr>
      <w:rFonts w:ascii="Times New Roman" w:hAnsi="Times New Roman" w:eastAsia="Times New Roman" w:cs="Times New Roman"/>
      <w:b/>
      <w:bCs/>
      <w:sz w:val="24"/>
      <w:szCs w:val="24"/>
    </w:rPr>
  </w:style>
  <w:style w:type="character" w:styleId="1017">
    <w:name w:val="Hyperlink"/>
    <w:uiPriority w:val="99"/>
    <w:pPr>
      <w:pBdr/>
      <w:spacing/>
      <w:ind/>
    </w:pPr>
    <w:rPr>
      <w:color w:val="000000"/>
      <w:u w:val="single"/>
    </w:rPr>
  </w:style>
  <w:style w:type="character" w:styleId="1018">
    <w:name w:val="Strong"/>
    <w:uiPriority w:val="22"/>
    <w:qFormat/>
    <w:pPr>
      <w:pBdr/>
      <w:spacing/>
      <w:ind/>
    </w:pPr>
    <w:rPr>
      <w:b/>
      <w:bCs/>
    </w:rPr>
  </w:style>
  <w:style w:type="paragraph" w:styleId="1019">
    <w:name w:val="Balloon Text"/>
    <w:basedOn w:val="1005"/>
    <w:link w:val="1020"/>
    <w:uiPriority w:val="99"/>
    <w:semiHidden/>
    <w:unhideWhenUsed/>
    <w:pPr>
      <w:pBdr/>
      <w:spacing/>
      <w:ind/>
    </w:pPr>
    <w:rPr>
      <w:rFonts w:ascii="Tahoma" w:hAnsi="Tahoma" w:cs="Tahoma"/>
      <w:sz w:val="16"/>
      <w:szCs w:val="16"/>
    </w:rPr>
  </w:style>
  <w:style w:type="character" w:styleId="1020" w:customStyle="1">
    <w:name w:val="Balloon Text Char"/>
    <w:basedOn w:val="1010"/>
    <w:link w:val="1019"/>
    <w:uiPriority w:val="99"/>
    <w:semiHidden/>
    <w:pPr>
      <w:pBdr/>
      <w:spacing/>
      <w:ind/>
    </w:pPr>
    <w:rPr>
      <w:rFonts w:ascii="Tahoma" w:hAnsi="Tahoma" w:eastAsia="Times New Roman" w:cs="Tahoma"/>
      <w:sz w:val="16"/>
      <w:szCs w:val="16"/>
    </w:rPr>
  </w:style>
  <w:style w:type="paragraph" w:styleId="1021">
    <w:name w:val="Header"/>
    <w:basedOn w:val="1005"/>
    <w:link w:val="1022"/>
    <w:unhideWhenUsed/>
    <w:pPr>
      <w:pBdr/>
      <w:tabs>
        <w:tab w:val="center" w:leader="none" w:pos="4680"/>
        <w:tab w:val="right" w:leader="none" w:pos="9360"/>
      </w:tabs>
      <w:spacing/>
      <w:ind/>
    </w:pPr>
  </w:style>
  <w:style w:type="character" w:styleId="1022" w:customStyle="1">
    <w:name w:val="Header Char"/>
    <w:basedOn w:val="1010"/>
    <w:link w:val="1021"/>
    <w:pPr>
      <w:pBdr/>
      <w:spacing/>
      <w:ind/>
    </w:pPr>
    <w:rPr>
      <w:rFonts w:ascii="Times New Roman" w:hAnsi="Times New Roman" w:eastAsia="Times New Roman" w:cs="Times New Roman"/>
      <w:sz w:val="24"/>
      <w:szCs w:val="24"/>
    </w:rPr>
  </w:style>
  <w:style w:type="paragraph" w:styleId="1023">
    <w:name w:val="Footer"/>
    <w:basedOn w:val="1005"/>
    <w:link w:val="1024"/>
    <w:uiPriority w:val="99"/>
    <w:unhideWhenUsed/>
    <w:pPr>
      <w:pBdr/>
      <w:tabs>
        <w:tab w:val="center" w:leader="none" w:pos="4680"/>
        <w:tab w:val="right" w:leader="none" w:pos="9360"/>
      </w:tabs>
      <w:spacing/>
      <w:ind/>
    </w:pPr>
  </w:style>
  <w:style w:type="character" w:styleId="1024" w:customStyle="1">
    <w:name w:val="Footer Char"/>
    <w:basedOn w:val="1010"/>
    <w:link w:val="1023"/>
    <w:uiPriority w:val="99"/>
    <w:pPr>
      <w:pBdr/>
      <w:spacing/>
      <w:ind/>
    </w:pPr>
    <w:rPr>
      <w:rFonts w:ascii="Times New Roman" w:hAnsi="Times New Roman" w:eastAsia="Times New Roman" w:cs="Times New Roman"/>
      <w:sz w:val="24"/>
      <w:szCs w:val="24"/>
    </w:rPr>
  </w:style>
  <w:style w:type="character" w:styleId="1025" w:customStyle="1">
    <w:name w:val="normal-h1"/>
    <w:pPr>
      <w:pBdr/>
      <w:spacing/>
      <w:ind/>
    </w:pPr>
    <w:rPr>
      <w:rFonts w:hint="default" w:ascii=".VnTime" w:hAnsi=".VnTime"/>
      <w:color w:val="0000ff"/>
      <w:sz w:val="24"/>
      <w:szCs w:val="24"/>
    </w:rPr>
  </w:style>
  <w:style w:type="paragraph" w:styleId="1026" w:customStyle="1">
    <w:name w:val="normal-p"/>
    <w:basedOn w:val="1005"/>
    <w:pPr>
      <w:pBdr/>
      <w:spacing/>
      <w:ind/>
      <w:jc w:val="both"/>
    </w:pPr>
    <w:rPr>
      <w:sz w:val="20"/>
      <w:szCs w:val="20"/>
    </w:rPr>
  </w:style>
  <w:style w:type="paragraph" w:styleId="1027">
    <w:name w:val="List Paragraph"/>
    <w:basedOn w:val="1005"/>
    <w:link w:val="1114"/>
    <w:uiPriority w:val="34"/>
    <w:qFormat/>
    <w:pPr>
      <w:pBdr/>
      <w:spacing/>
      <w:ind w:left="720"/>
    </w:pPr>
  </w:style>
  <w:style w:type="paragraph" w:styleId="1028">
    <w:name w:val="Normal (Web)"/>
    <w:basedOn w:val="1005"/>
    <w:uiPriority w:val="99"/>
    <w:pPr>
      <w:pBdr/>
      <w:spacing w:after="100" w:afterAutospacing="1" w:before="100" w:beforeAutospacing="1"/>
      <w:ind/>
    </w:pPr>
  </w:style>
  <w:style w:type="paragraph" w:styleId="1029">
    <w:name w:val="Body Text"/>
    <w:basedOn w:val="1005"/>
    <w:link w:val="1030"/>
    <w:pPr>
      <w:pBdr/>
      <w:spacing w:after="120"/>
      <w:ind/>
      <w:jc w:val="both"/>
    </w:pPr>
  </w:style>
  <w:style w:type="character" w:styleId="1030" w:customStyle="1">
    <w:name w:val="Body Text Char"/>
    <w:basedOn w:val="1010"/>
    <w:link w:val="1029"/>
    <w:pPr>
      <w:pBdr/>
      <w:spacing/>
      <w:ind/>
    </w:pPr>
    <w:rPr>
      <w:rFonts w:ascii="Times New Roman" w:hAnsi="Times New Roman" w:eastAsia="Times New Roman" w:cs="Times New Roman"/>
      <w:sz w:val="24"/>
      <w:szCs w:val="24"/>
    </w:rPr>
  </w:style>
  <w:style w:type="table" w:styleId="1031">
    <w:name w:val="Table Grid"/>
    <w:basedOn w:val="1011"/>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2"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3">
    <w:name w:val="annotation reference"/>
    <w:basedOn w:val="1010"/>
    <w:uiPriority w:val="99"/>
    <w:semiHidden/>
    <w:unhideWhenUsed/>
    <w:pPr>
      <w:pBdr/>
      <w:spacing/>
      <w:ind/>
    </w:pPr>
    <w:rPr>
      <w:sz w:val="16"/>
      <w:szCs w:val="16"/>
    </w:rPr>
  </w:style>
  <w:style w:type="paragraph" w:styleId="1034">
    <w:name w:val="annotation text"/>
    <w:basedOn w:val="1005"/>
    <w:link w:val="1035"/>
    <w:uiPriority w:val="99"/>
    <w:unhideWhenUsed/>
    <w:pPr>
      <w:pBdr/>
      <w:spacing/>
      <w:ind/>
    </w:pPr>
    <w:rPr>
      <w:sz w:val="20"/>
      <w:szCs w:val="20"/>
    </w:rPr>
  </w:style>
  <w:style w:type="character" w:styleId="1035" w:customStyle="1">
    <w:name w:val="Comment Text Char"/>
    <w:basedOn w:val="1010"/>
    <w:link w:val="1034"/>
    <w:uiPriority w:val="99"/>
    <w:pPr>
      <w:pBdr/>
      <w:spacing/>
      <w:ind/>
    </w:pPr>
    <w:rPr>
      <w:rFonts w:ascii="Times New Roman" w:hAnsi="Times New Roman" w:eastAsia="Times New Roman" w:cs="Times New Roman"/>
      <w:sz w:val="20"/>
      <w:szCs w:val="20"/>
    </w:rPr>
  </w:style>
  <w:style w:type="paragraph" w:styleId="1036">
    <w:name w:val="annotation subject"/>
    <w:basedOn w:val="1034"/>
    <w:next w:val="1034"/>
    <w:link w:val="1037"/>
    <w:uiPriority w:val="99"/>
    <w:semiHidden/>
    <w:unhideWhenUsed/>
    <w:pPr>
      <w:pBdr/>
      <w:spacing/>
      <w:ind/>
    </w:pPr>
    <w:rPr>
      <w:b/>
      <w:bCs/>
    </w:rPr>
  </w:style>
  <w:style w:type="character" w:styleId="1037" w:customStyle="1">
    <w:name w:val="Comment Subject Char"/>
    <w:basedOn w:val="1035"/>
    <w:link w:val="1036"/>
    <w:uiPriority w:val="99"/>
    <w:semiHidden/>
    <w:pPr>
      <w:pBdr/>
      <w:spacing/>
      <w:ind/>
    </w:pPr>
    <w:rPr>
      <w:rFonts w:ascii="Times New Roman" w:hAnsi="Times New Roman" w:eastAsia="Times New Roman" w:cs="Times New Roman"/>
      <w:b/>
      <w:bCs/>
      <w:sz w:val="20"/>
      <w:szCs w:val="20"/>
    </w:rPr>
  </w:style>
  <w:style w:type="paragraph" w:styleId="1038" w:customStyle="1">
    <w:name w:val="font5"/>
    <w:basedOn w:val="1005"/>
    <w:pPr>
      <w:pBdr/>
      <w:spacing w:after="100" w:afterAutospacing="1" w:before="100" w:beforeAutospacing="1"/>
      <w:ind/>
    </w:pPr>
    <w:rPr>
      <w:rFonts w:ascii="Tahoma" w:hAnsi="Tahoma" w:cs="Tahoma"/>
      <w:color w:val="000000"/>
      <w:sz w:val="18"/>
      <w:szCs w:val="18"/>
    </w:rPr>
  </w:style>
  <w:style w:type="paragraph" w:styleId="1039" w:customStyle="1">
    <w:name w:val="font6"/>
    <w:basedOn w:val="1005"/>
    <w:pPr>
      <w:pBdr/>
      <w:spacing w:after="100" w:afterAutospacing="1" w:before="100" w:beforeAutospacing="1"/>
      <w:ind/>
    </w:pPr>
    <w:rPr>
      <w:rFonts w:ascii="Tahoma" w:hAnsi="Tahoma" w:cs="Tahoma"/>
      <w:b/>
      <w:bCs/>
      <w:color w:val="000000"/>
      <w:sz w:val="18"/>
      <w:szCs w:val="18"/>
    </w:rPr>
  </w:style>
  <w:style w:type="paragraph" w:styleId="1040" w:customStyle="1">
    <w:name w:val="xl233"/>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41" w:customStyle="1">
    <w:name w:val="xl234"/>
    <w:basedOn w:val="1005"/>
    <w:pPr>
      <w:pBdr/>
      <w:spacing w:after="100" w:afterAutospacing="1" w:before="100" w:beforeAutospacing="1"/>
      <w:ind/>
      <w:jc w:val="center"/>
    </w:pPr>
  </w:style>
  <w:style w:type="paragraph" w:styleId="1042" w:customStyle="1">
    <w:name w:val="xl235"/>
    <w:basedOn w:val="1005"/>
    <w:pPr>
      <w:pBdr/>
      <w:spacing w:after="100" w:afterAutospacing="1" w:before="100" w:beforeAutospacing="1"/>
      <w:ind/>
      <w:jc w:val="center"/>
    </w:pPr>
    <w:rPr>
      <w:b/>
      <w:bCs/>
    </w:rPr>
  </w:style>
  <w:style w:type="paragraph" w:styleId="1043" w:customStyle="1">
    <w:name w:val="xl236"/>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4" w:customStyle="1">
    <w:name w:val="xl237"/>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5" w:customStyle="1">
    <w:name w:val="xl238"/>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46" w:customStyle="1">
    <w:name w:val="xl239"/>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47" w:customStyle="1">
    <w:name w:val="xl240"/>
    <w:basedOn w:val="1005"/>
    <w:pPr>
      <w:pBdr/>
      <w:spacing w:after="100" w:afterAutospacing="1" w:before="100" w:beforeAutospacing="1"/>
      <w:ind/>
    </w:pPr>
  </w:style>
  <w:style w:type="paragraph" w:styleId="1048" w:customStyle="1">
    <w:name w:val="xl241"/>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9" w:customStyle="1">
    <w:name w:val="xl242"/>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0" w:customStyle="1">
    <w:name w:val="xl243"/>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1" w:customStyle="1">
    <w:name w:val="xl244"/>
    <w:basedOn w:val="1005"/>
    <w:pPr>
      <w:pBdr/>
      <w:spacing w:after="100" w:afterAutospacing="1" w:before="100" w:beforeAutospacing="1"/>
      <w:ind/>
    </w:pPr>
    <w:rPr>
      <w:b/>
      <w:bCs/>
    </w:rPr>
  </w:style>
  <w:style w:type="paragraph" w:styleId="1052" w:customStyle="1">
    <w:name w:val="xl245"/>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3" w:customStyle="1">
    <w:name w:val="xl246"/>
    <w:basedOn w:val="1005"/>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4" w:customStyle="1">
    <w:name w:val="xl247"/>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5" w:customStyle="1">
    <w:name w:val="xl248"/>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56" w:customStyle="1">
    <w:name w:val="xl249"/>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7" w:customStyle="1">
    <w:name w:val="xl250"/>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58" w:customStyle="1">
    <w:name w:val="xl251"/>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59" w:customStyle="1">
    <w:name w:val="xl252"/>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0" w:customStyle="1">
    <w:name w:val="xl253"/>
    <w:basedOn w:val="1005"/>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1" w:customStyle="1">
    <w:name w:val="xl254"/>
    <w:basedOn w:val="1005"/>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2" w:customStyle="1">
    <w:name w:val="xl255"/>
    <w:basedOn w:val="1005"/>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3" w:customStyle="1">
    <w:name w:val="xl256"/>
    <w:basedOn w:val="1005"/>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4" w:customStyle="1">
    <w:name w:val="xl257"/>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5" w:customStyle="1">
    <w:name w:val="xl258"/>
    <w:basedOn w:val="1005"/>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6" w:customStyle="1">
    <w:name w:val="xl259"/>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7" w:customStyle="1">
    <w:name w:val="xl260"/>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8" w:customStyle="1">
    <w:name w:val="xl261"/>
    <w:basedOn w:val="1005"/>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69" w:customStyle="1">
    <w:name w:val="xl262"/>
    <w:basedOn w:val="1005"/>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0" w:customStyle="1">
    <w:name w:val="xl263"/>
    <w:basedOn w:val="1005"/>
    <w:pPr>
      <w:pBdr/>
      <w:shd w:val="clear" w:color="000000" w:fill="ffffff"/>
      <w:spacing w:after="100" w:afterAutospacing="1" w:before="100" w:beforeAutospacing="1"/>
      <w:ind/>
    </w:pPr>
  </w:style>
  <w:style w:type="paragraph" w:styleId="1071" w:customStyle="1">
    <w:name w:val="xl264"/>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2" w:customStyle="1">
    <w:name w:val="xl265"/>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3" w:customStyle="1">
    <w:name w:val="xl266"/>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4" w:customStyle="1">
    <w:name w:val="xl267"/>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5" w:customStyle="1">
    <w:name w:val="xl268"/>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6" w:customStyle="1">
    <w:name w:val="xl269"/>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7" w:customStyle="1">
    <w:name w:val="xl270"/>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8" w:customStyle="1">
    <w:name w:val="xl271"/>
    <w:basedOn w:val="1005"/>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79" w:customStyle="1">
    <w:name w:val="xl272"/>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80" w:customStyle="1">
    <w:name w:val="xl273"/>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81" w:customStyle="1">
    <w:name w:val="xl274"/>
    <w:basedOn w:val="1005"/>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2" w:customStyle="1">
    <w:name w:val="xl275"/>
    <w:basedOn w:val="1005"/>
    <w:pPr>
      <w:pBdr/>
      <w:spacing w:after="100" w:afterAutospacing="1" w:before="100" w:beforeAutospacing="1"/>
      <w:ind/>
    </w:pPr>
  </w:style>
  <w:style w:type="paragraph" w:styleId="1083" w:customStyle="1">
    <w:name w:val="xl276"/>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4" w:customStyle="1">
    <w:name w:val="xl277"/>
    <w:basedOn w:val="1005"/>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5" w:customStyle="1">
    <w:name w:val="xl278"/>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6" w:customStyle="1">
    <w:name w:val="xl279"/>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7" w:customStyle="1">
    <w:name w:val="xl280"/>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8" w:customStyle="1">
    <w:name w:val="xl281"/>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9" w:customStyle="1">
    <w:name w:val="xl282"/>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0" w:customStyle="1">
    <w:name w:val="xl283"/>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1" w:customStyle="1">
    <w:name w:val="xl284"/>
    <w:basedOn w:val="1005"/>
    <w:pPr>
      <w:pBdr>
        <w:left w:val="single" w:color="000000" w:sz="4" w:space="0"/>
        <w:bottom w:val="single" w:color="000000" w:sz="4" w:space="0"/>
        <w:right w:val="single" w:color="000000" w:sz="4" w:space="0"/>
      </w:pBdr>
      <w:spacing w:after="100" w:afterAutospacing="1" w:before="100" w:beforeAutospacing="1"/>
      <w:ind/>
    </w:pPr>
  </w:style>
  <w:style w:type="paragraph" w:styleId="1092" w:customStyle="1">
    <w:name w:val="xl285"/>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3" w:customStyle="1">
    <w:name w:val="xl286"/>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4" w:customStyle="1">
    <w:name w:val="xl287"/>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5" w:customStyle="1">
    <w:name w:val="xl288"/>
    <w:basedOn w:val="1005"/>
    <w:pPr>
      <w:pBdr>
        <w:top w:val="single" w:color="000000" w:sz="4" w:space="0"/>
        <w:left w:val="single" w:color="000000" w:sz="4" w:space="0"/>
        <w:right w:val="single" w:color="000000" w:sz="4" w:space="0"/>
      </w:pBdr>
      <w:spacing w:after="100" w:afterAutospacing="1" w:before="100" w:beforeAutospacing="1"/>
      <w:ind/>
    </w:pPr>
  </w:style>
  <w:style w:type="paragraph" w:styleId="1096" w:customStyle="1">
    <w:name w:val="xl289"/>
    <w:basedOn w:val="1005"/>
    <w:pPr>
      <w:pBdr>
        <w:left w:val="single" w:color="000000" w:sz="4" w:space="0"/>
        <w:right w:val="single" w:color="000000" w:sz="4" w:space="0"/>
      </w:pBdr>
      <w:spacing w:after="100" w:afterAutospacing="1" w:before="100" w:beforeAutospacing="1"/>
      <w:ind/>
    </w:pPr>
    <w:rPr>
      <w:b/>
      <w:bCs/>
    </w:rPr>
  </w:style>
  <w:style w:type="paragraph" w:styleId="1097" w:customStyle="1">
    <w:name w:val="xl290"/>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98" w:customStyle="1">
    <w:name w:val="xl291"/>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9" w:customStyle="1">
    <w:name w:val="xl292"/>
    <w:basedOn w:val="1005"/>
    <w:pPr>
      <w:pBdr>
        <w:top w:val="single" w:color="000000" w:sz="4" w:space="0"/>
        <w:left w:val="single" w:color="000000" w:sz="4" w:space="0"/>
        <w:right w:val="single" w:color="000000" w:sz="4" w:space="0"/>
      </w:pBdr>
      <w:spacing w:after="100" w:afterAutospacing="1" w:before="100" w:beforeAutospacing="1"/>
      <w:ind/>
    </w:pPr>
  </w:style>
  <w:style w:type="paragraph" w:styleId="1100" w:customStyle="1">
    <w:name w:val="xl293"/>
    <w:basedOn w:val="1005"/>
    <w:pPr>
      <w:pBdr>
        <w:left w:val="single" w:color="000000" w:sz="4" w:space="0"/>
        <w:bottom w:val="single" w:color="000000" w:sz="4" w:space="0"/>
        <w:right w:val="single" w:color="000000" w:sz="4" w:space="0"/>
      </w:pBdr>
      <w:spacing w:after="100" w:afterAutospacing="1" w:before="100" w:beforeAutospacing="1"/>
      <w:ind/>
    </w:pPr>
  </w:style>
  <w:style w:type="paragraph" w:styleId="1101" w:customStyle="1">
    <w:name w:val="xl294"/>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2">
    <w:name w:val="Title"/>
    <w:basedOn w:val="1005"/>
    <w:link w:val="1103"/>
    <w:qFormat/>
    <w:pPr>
      <w:pBdr/>
      <w:spacing/>
      <w:ind/>
      <w:jc w:val="center"/>
    </w:pPr>
    <w:rPr>
      <w:b/>
      <w:bCs/>
      <w:sz w:val="32"/>
      <w:szCs w:val="26"/>
    </w:rPr>
  </w:style>
  <w:style w:type="character" w:styleId="1103" w:customStyle="1">
    <w:name w:val="Title Char"/>
    <w:basedOn w:val="1010"/>
    <w:link w:val="1102"/>
    <w:pPr>
      <w:pBdr/>
      <w:spacing/>
      <w:ind/>
    </w:pPr>
    <w:rPr>
      <w:rFonts w:ascii="Times New Roman" w:hAnsi="Times New Roman" w:eastAsia="Times New Roman" w:cs="Times New Roman"/>
      <w:b/>
      <w:bCs/>
      <w:sz w:val="32"/>
      <w:szCs w:val="26"/>
    </w:rPr>
  </w:style>
  <w:style w:type="character" w:styleId="1104" w:customStyle="1">
    <w:name w:val="Unresolved Mention1"/>
    <w:basedOn w:val="1010"/>
    <w:uiPriority w:val="99"/>
    <w:semiHidden/>
    <w:unhideWhenUsed/>
    <w:pPr>
      <w:pBdr/>
      <w:spacing/>
      <w:ind/>
    </w:pPr>
    <w:rPr>
      <w:color w:val="605e5c"/>
      <w:shd w:val="clear" w:color="auto" w:fill="e1dfdd"/>
    </w:rPr>
  </w:style>
  <w:style w:type="character" w:styleId="1105" w:customStyle="1">
    <w:name w:val="Body text (3)_"/>
    <w:link w:val="1106"/>
    <w:pPr>
      <w:pBdr/>
      <w:spacing/>
      <w:ind/>
    </w:pPr>
    <w:rPr>
      <w:rFonts w:ascii="Times New Roman" w:hAnsi="Times New Roman" w:cs="Times New Roman"/>
      <w:i/>
      <w:iCs/>
      <w:spacing w:val="4"/>
      <w:shd w:val="clear" w:color="auto" w:fill="ffffff"/>
    </w:rPr>
  </w:style>
  <w:style w:type="paragraph" w:styleId="1106" w:customStyle="1">
    <w:name w:val="Body text (3)1"/>
    <w:basedOn w:val="1005"/>
    <w:link w:val="1105"/>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07" w:customStyle="1">
    <w:name w:val="t-j"/>
    <w:basedOn w:val="1005"/>
    <w:pPr>
      <w:pBdr/>
      <w:spacing w:after="100" w:afterAutospacing="1" w:before="100" w:beforeAutospacing="1"/>
      <w:ind/>
    </w:pPr>
  </w:style>
  <w:style w:type="character" w:styleId="1108" w:customStyle="1">
    <w:name w:val="Unresolved Mention2"/>
    <w:basedOn w:val="1010"/>
    <w:uiPriority w:val="99"/>
    <w:semiHidden/>
    <w:unhideWhenUsed/>
    <w:pPr>
      <w:pBdr/>
      <w:spacing/>
      <w:ind/>
    </w:pPr>
    <w:rPr>
      <w:color w:val="605e5c"/>
      <w:shd w:val="clear" w:color="auto" w:fill="e1dfdd"/>
    </w:rPr>
  </w:style>
  <w:style w:type="character" w:styleId="1109">
    <w:name w:val="FollowedHyperlink"/>
    <w:basedOn w:val="1010"/>
    <w:uiPriority w:val="99"/>
    <w:semiHidden/>
    <w:unhideWhenUsed/>
    <w:pPr>
      <w:pBdr/>
      <w:spacing/>
      <w:ind/>
    </w:pPr>
    <w:rPr>
      <w:color w:val="800080" w:themeColor="followedHyperlink"/>
      <w:u w:val="single"/>
    </w:rPr>
  </w:style>
  <w:style w:type="character" w:styleId="1110" w:customStyle="1">
    <w:name w:val="text"/>
    <w:basedOn w:val="1010"/>
    <w:pPr>
      <w:pBdr/>
      <w:spacing/>
      <w:ind/>
    </w:pPr>
  </w:style>
  <w:style w:type="character" w:styleId="1111" w:customStyle="1">
    <w:name w:val="card-send-time__sendtime"/>
    <w:basedOn w:val="1010"/>
    <w:pPr>
      <w:pBdr/>
      <w:spacing/>
      <w:ind/>
    </w:pPr>
  </w:style>
  <w:style w:type="character" w:styleId="1112" w:customStyle="1">
    <w:name w:val="Đề cập Chưa giải quyết1"/>
    <w:basedOn w:val="1010"/>
    <w:uiPriority w:val="99"/>
    <w:semiHidden/>
    <w:unhideWhenUsed/>
    <w:pPr>
      <w:pBdr/>
      <w:spacing/>
      <w:ind/>
    </w:pPr>
    <w:rPr>
      <w:color w:val="605e5c"/>
      <w:shd w:val="clear" w:color="auto" w:fill="e1dfdd"/>
    </w:rPr>
  </w:style>
  <w:style w:type="paragraph" w:styleId="1113" w:customStyle="1">
    <w:name w:val="nqtitle"/>
    <w:basedOn w:val="1005"/>
    <w:pPr>
      <w:pBdr/>
      <w:spacing w:after="100" w:afterAutospacing="1" w:before="100" w:beforeAutospacing="1"/>
      <w:ind/>
    </w:pPr>
    <w:rPr>
      <w:lang w:val="vi-VN" w:eastAsia="vi-VN"/>
    </w:rPr>
  </w:style>
  <w:style w:type="character" w:styleId="1114" w:customStyle="1">
    <w:name w:val="List Paragraph Char"/>
    <w:link w:val="1027"/>
    <w:uiPriority w:val="34"/>
    <w:qFormat/>
    <w:pPr>
      <w:pBdr/>
      <w:spacing/>
      <w:ind/>
    </w:pPr>
    <w:rPr>
      <w:rFonts w:ascii="Times New Roman" w:hAnsi="Times New Roman" w:eastAsia="Times New Roman" w:cs="Times New Roman"/>
      <w:sz w:val="24"/>
      <w:szCs w:val="24"/>
    </w:rPr>
  </w:style>
  <w:style w:type="character" w:styleId="1115" w:customStyle="1">
    <w:name w:val="Đề cập Chưa giải quyết2"/>
    <w:basedOn w:val="1010"/>
    <w:uiPriority w:val="99"/>
    <w:semiHidden/>
    <w:unhideWhenUsed/>
    <w:pPr>
      <w:pBdr/>
      <w:spacing/>
      <w:ind/>
    </w:pPr>
    <w:rPr>
      <w:color w:val="605e5c"/>
      <w:shd w:val="clear" w:color="auto" w:fill="e1dfdd"/>
    </w:rPr>
  </w:style>
  <w:style w:type="character" w:styleId="1116" w:customStyle="1">
    <w:name w:val="Unresolved Mention3"/>
    <w:basedOn w:val="1010"/>
    <w:uiPriority w:val="99"/>
    <w:semiHidden/>
    <w:unhideWhenUsed/>
    <w:pPr>
      <w:pBdr/>
      <w:spacing/>
      <w:ind/>
    </w:pPr>
    <w:rPr>
      <w:color w:val="605e5c"/>
      <w:shd w:val="clear" w:color="auto" w:fill="e1dfdd"/>
    </w:rPr>
  </w:style>
  <w:style w:type="character" w:styleId="1117" w:customStyle="1">
    <w:name w:val="copy"/>
    <w:basedOn w:val="1010"/>
    <w:pPr>
      <w:pBdr/>
      <w:spacing/>
      <w:ind/>
    </w:pPr>
  </w:style>
  <w:style w:type="paragraph" w:styleId="1118" w:customStyle="1">
    <w:name w:val="align-justify"/>
    <w:basedOn w:val="1005"/>
    <w:pPr>
      <w:pBdr/>
      <w:spacing w:after="100" w:afterAutospacing="1" w:before="100" w:beforeAutospacing="1"/>
      <w:ind/>
    </w:pPr>
  </w:style>
  <w:style w:type="character" w:styleId="1119" w:customStyle="1">
    <w:name w:val="btn"/>
    <w:basedOn w:val="1010"/>
    <w:pPr>
      <w:pBdr/>
      <w:spacing/>
      <w:ind/>
    </w:pPr>
  </w:style>
  <w:style w:type="character" w:styleId="1120" w:customStyle="1">
    <w:name w:val="hide_mobile"/>
    <w:basedOn w:val="1010"/>
    <w:pPr>
      <w:pBdr/>
      <w:spacing/>
      <w:ind/>
    </w:pPr>
  </w:style>
  <w:style w:type="character" w:styleId="1121">
    <w:name w:val="Emphasis"/>
    <w:basedOn w:val="1010"/>
    <w:uiPriority w:val="20"/>
    <w:qFormat/>
    <w:pPr>
      <w:pBdr/>
      <w:spacing/>
      <w:ind/>
    </w:pPr>
    <w:rPr>
      <w:i/>
      <w:iCs/>
    </w:rPr>
  </w:style>
  <w:style w:type="character" w:styleId="1122" w:customStyle="1">
    <w:name w:val="t1"/>
    <w:basedOn w:val="1010"/>
    <w:pPr>
      <w:pBdr/>
      <w:spacing/>
      <w:ind/>
    </w:pPr>
  </w:style>
  <w:style w:type="character" w:styleId="1123" w:customStyle="1">
    <w:name w:val="Unresolved Mention4"/>
    <w:basedOn w:val="1010"/>
    <w:uiPriority w:val="99"/>
    <w:semiHidden/>
    <w:unhideWhenUsed/>
    <w:pPr>
      <w:pBdr/>
      <w:spacing/>
      <w:ind/>
    </w:pPr>
    <w:rPr>
      <w:color w:val="605e5c"/>
      <w:shd w:val="clear" w:color="auto" w:fill="e1dfdd"/>
    </w:rPr>
  </w:style>
  <w:style w:type="character" w:styleId="1124">
    <w:name w:val="Unresolved Mention"/>
    <w:basedOn w:val="1010"/>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jpg"/><Relationship Id="rId19" Type="http://schemas.openxmlformats.org/officeDocument/2006/relationships/image" Target="media/image5.jpg"/><Relationship Id="rId20" Type="http://schemas.openxmlformats.org/officeDocument/2006/relationships/image" Target="media/image6.jpg"/><Relationship Id="rId21" Type="http://schemas.openxmlformats.org/officeDocument/2006/relationships/image" Target="media/image7.jpg"/><Relationship Id="rId22" Type="http://schemas.openxmlformats.org/officeDocument/2006/relationships/image" Target="media/image8.jpg"/><Relationship Id="rId23" Type="http://schemas.openxmlformats.org/officeDocument/2006/relationships/image" Target="media/image9.jpg"/><Relationship Id="rId24" Type="http://schemas.openxmlformats.org/officeDocument/2006/relationships/image" Target="media/image10.jpg"/><Relationship Id="rId25" Type="http://schemas.openxmlformats.org/officeDocument/2006/relationships/image" Target="media/image11.jpg"/><Relationship Id="rId26" Type="http://schemas.openxmlformats.org/officeDocument/2006/relationships/image" Target="media/image12.jpg"/><Relationship Id="rId27" Type="http://schemas.openxmlformats.org/officeDocument/2006/relationships/image" Target="media/image13.jpg"/><Relationship Id="rId28" Type="http://schemas.openxmlformats.org/officeDocument/2006/relationships/image" Target="media/image14.jpg"/><Relationship Id="rId29" Type="http://schemas.openxmlformats.org/officeDocument/2006/relationships/image" Target="media/image15.jpg"/><Relationship Id="rId30" Type="http://schemas.openxmlformats.org/officeDocument/2006/relationships/image" Target="media/image16.jpg"/><Relationship Id="rId31" Type="http://schemas.openxmlformats.org/officeDocument/2006/relationships/image" Target="media/image17.jpg"/><Relationship Id="rId32" Type="http://schemas.openxmlformats.org/officeDocument/2006/relationships/image" Target="media/image18.jpg"/><Relationship Id="rId33" Type="http://schemas.openxmlformats.org/officeDocument/2006/relationships/image" Target="media/image19.jpg"/><Relationship Id="rId34" Type="http://schemas.openxmlformats.org/officeDocument/2006/relationships/image" Target="media/image20.jpg"/><Relationship Id="rId35" Type="http://schemas.openxmlformats.org/officeDocument/2006/relationships/image" Target="media/image21.jpg"/><Relationship Id="rId36" Type="http://schemas.openxmlformats.org/officeDocument/2006/relationships/image" Target="media/image22.jpg"/><Relationship Id="rId37" Type="http://schemas.openxmlformats.org/officeDocument/2006/relationships/image" Target="media/image23.jp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Vũ Văn Quân - Chủ tịch</cp:lastModifiedBy>
  <cp:revision>281</cp:revision>
  <dcterms:created xsi:type="dcterms:W3CDTF">2025-09-15T09:58:00Z</dcterms:created>
  <dcterms:modified xsi:type="dcterms:W3CDTF">2026-04-02T01:17:22Z</dcterms:modified>
</cp:coreProperties>
</file>