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920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920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275/2026/0593/VFI-CT.39.A</w:t>
                            </w: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ÔNG NGÔ HIẾN CHƯƠNG</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rPr>
                              <w:t xml:space="preserve">Quyền sử dụng đất và tài sản gắn liền với đất tại thửa đất số: 24, tờ bản đồ số: 73 có địa chỉ: Thôn Hoàng Thu Phố, xã Si Ma Cai, tỉnh Lào Cai theo Giấy chứng nhận Quyền sử dụng đất quyền sở hữu tài sản gắn liền với đất số: AA 03186617, số vào sổ cấp GCN: </w:t>
                            </w:r>
                            <w:r>
                              <w:rPr>
                                <w:rFonts w:ascii="Times New Roman" w:hAnsi="Times New Roman" w:eastAsia="Times New Roman" w:cs="Times New Roman"/>
                                <w:color w:val="000000"/>
                                <w:sz w:val="24"/>
                              </w:rPr>
                              <w:t xml:space="preserve">CN 21 do Chi nhánh văn phòng đăng ký đất đai khu vực Si Ma Cai cấp ngày 15/8/2025; Chủ sử dụng đất là ông Ngô Hiến Chương.</w:t>
                            </w: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04/2026.</w:t>
                            </w:r>
                            <w:r/>
                          </w:p>
                          <w:p>
                            <w:pPr>
                              <w:pBdr/>
                              <w:spacing w:after="120" w:before="120" w:line="360" w:lineRule="auto"/>
                              <w:ind/>
                              <w:jc w:val="center"/>
                              <w:rPr>
                                <w:bCs/>
                                <w:i/>
                                <w:iCs/>
                              </w:rPr>
                            </w:pPr>
                            <w:r>
                              <w:rPr>
                                <w:b/>
                                <w:bCs/>
                                <w:lang w:val="pt-BR"/>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1.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275/2026/0593/VFI-CT.39.A</w:t>
                      </w: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ÔNG NGÔ HIẾN CHƯƠNG</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rPr>
                        <w:t xml:space="preserve">Quyền sử dụng đất và tài sản gắn liền với đất tại thửa đất số: 24, tờ bản đồ số: 73 có địa chỉ: Thôn Hoàng Thu Phố, xã Si Ma Cai, tỉnh Lào Cai theo Giấy chứng nhận Quyền sử dụng đất quyền sở hữu tài sản gắn liền với đất số: AA 03186617, số vào sổ cấp GCN: </w:t>
                      </w:r>
                      <w:r>
                        <w:rPr>
                          <w:rFonts w:ascii="Times New Roman" w:hAnsi="Times New Roman" w:eastAsia="Times New Roman" w:cs="Times New Roman"/>
                          <w:color w:val="000000"/>
                          <w:sz w:val="24"/>
                        </w:rPr>
                        <w:t xml:space="preserve">CN 21 do Chi nhánh văn phòng đăng ký đất đai khu vực Si Ma Cai cấp ngày 15/8/2025; Chủ sử dụng đất là ông Ngô Hiến Chương.</w:t>
                      </w: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04/2026.</w:t>
                      </w:r>
                      <w:r/>
                    </w:p>
                    <w:p>
                      <w:pPr>
                        <w:pBdr/>
                        <w:spacing w:after="120" w:before="120" w:line="360" w:lineRule="auto"/>
                        <w:ind/>
                        <w:jc w:val="center"/>
                        <w:rPr>
                          <w:bCs/>
                          <w:i/>
                          <w:iCs/>
                        </w:rPr>
                      </w:pPr>
                      <w:r>
                        <w:rPr>
                          <w:b/>
                          <w:bCs/>
                          <w:lang w:val="pt-BR"/>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8"/>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pPr>
              <w:pStyle w:val="1048"/>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23-28</w:t>
            </w:r>
            <w:r>
              <w:rPr>
                <w:b/>
                <w:bCs/>
              </w:rPr>
            </w:r>
            <w:r>
              <w:rPr>
                <w:b/>
                <w:bCs/>
              </w:rPr>
            </w:r>
          </w:p>
        </w:tc>
      </w:tr>
    </w:tbl>
    <w:p>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7"/>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ayout w:type="fixed"/>
        <w:tblLook w:val="04A0" w:firstRow="1" w:lastRow="0" w:firstColumn="1" w:lastColumn="0" w:noHBand="0" w:noVBand="1"/>
      </w:tblPr>
      <w:tblGrid>
        <w:gridCol w:w="236"/>
        <w:gridCol w:w="1493"/>
        <w:gridCol w:w="3685"/>
        <w:gridCol w:w="4522"/>
        <w:gridCol w:w="163"/>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7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536"/>
        </w:trPr>
        <w:tc>
          <w:tcPr>
            <w:gridSpan w:val="2"/>
            <w:shd w:val="clear" w:color="auto" w:fill="auto"/>
            <w:tcBorders/>
            <w:tcMar>
              <w:left w:w="108" w:type="dxa"/>
              <w:top w:w="0" w:type="dxa"/>
              <w:right w:w="108" w:type="dxa"/>
              <w:bottom w:w="0" w:type="dxa"/>
            </w:tcMar>
            <w:tcW w:w="5178" w:type="dxa"/>
            <w:textDirection w:val="lrTb"/>
            <w:noWrap w:val="false"/>
          </w:tcPr>
          <w:p>
            <w:pPr>
              <w:pBdr/>
              <w:tabs>
                <w:tab w:val="left" w:leader="none" w:pos="450"/>
              </w:tabs>
              <w:spacing w:after="120" w:before="120" w:line="288" w:lineRule="auto"/>
              <w:ind w:left="-72"/>
              <w:jc w:val="both"/>
              <w:rPr>
                <w:spacing w:val="-4"/>
                <w14:ligatures w14:val="none"/>
              </w:rPr>
            </w:pPr>
            <w:r>
              <w:rPr>
                <w:spacing w:val="-4"/>
              </w:rPr>
            </w:r>
            <w:r>
              <w:rPr>
                <w:spacing w:val="-4"/>
              </w:rPr>
              <w:t xml:space="preserve">Số:275/2026/0593/VFI-CT.39.A                    </w:t>
            </w:r>
            <w:r>
              <w:rPr>
                <w:spacing w:val="-4"/>
                <w14:ligatures w14:val="none"/>
              </w:rPr>
            </w:r>
            <w:r>
              <w:rPr>
                <w:spacing w:val="-4"/>
                <w14:ligatures w14:val="none"/>
              </w:rPr>
            </w:r>
          </w:p>
        </w:tc>
        <w:tc>
          <w:tcPr>
            <w:shd w:val="clear" w:color="auto" w:fill="auto"/>
            <w:tcBorders/>
            <w:tcMar>
              <w:left w:w="108" w:type="dxa"/>
              <w:top w:w="0" w:type="dxa"/>
              <w:right w:w="108" w:type="dxa"/>
              <w:bottom w:w="0" w:type="dxa"/>
            </w:tcMar>
            <w:tcW w:w="4522" w:type="dxa"/>
            <w:textDirection w:val="lrTb"/>
            <w:noWrap w:val="false"/>
          </w:tcPr>
          <w:p>
            <w:pPr>
              <w:pBdr/>
              <w:tabs>
                <w:tab w:val="left" w:leader="none" w:pos="450"/>
              </w:tabs>
              <w:spacing w:after="120" w:before="120" w:line="288" w:lineRule="auto"/>
              <w:ind w:left="-72"/>
              <w:jc w:val="both"/>
              <w:rPr>
                <w:spacing w:val="-4"/>
                <w14:ligatures w14:val="none"/>
              </w:rPr>
            </w:pPr>
            <w:r>
              <w:rPr>
                <w:spacing w:val="-4"/>
              </w:rPr>
            </w:r>
            <w:r>
              <w:rPr>
                <w:spacing w:val="-4"/>
              </w:rPr>
              <w:t xml:space="preserve">TP. Hà Nội, </w:t>
            </w:r>
            <w:r>
              <w:rPr>
                <w:spacing w:val="-4"/>
              </w:rPr>
              <w:t xml:space="preserve">ngày 17 tháng 4 năm 2026</w:t>
            </w:r>
            <w:r>
              <w:rPr>
                <w:spacing w:val="-4"/>
                <w14:ligatures w14:val="none"/>
              </w:rPr>
            </w:r>
            <w:r>
              <w:rPr>
                <w:spacing w:val="-4"/>
                <w14:ligatures w14:val="none"/>
              </w:rPr>
            </w:r>
          </w:p>
        </w:tc>
      </w:tr>
    </w:tbl>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b/>
          <w:bCs/>
          <w:color w:val="000000"/>
          <w:sz w:val="28"/>
          <w:szCs w:val="28"/>
          <w:highlight w:val="white"/>
          <w14:ligatures w14:val="none"/>
        </w:rPr>
      </w:pPr>
      <w:r>
        <w:rPr>
          <w:rFonts w:ascii="Times New Roman" w:hAnsi="Times New Roman" w:eastAsia="Times New Roman" w:cs="Times New Roman"/>
          <w:b/>
          <w:bCs/>
          <w:color w:val="000000"/>
          <w:sz w:val="28"/>
          <w:szCs w:val="28"/>
          <w:highlight w:val="white"/>
        </w:rPr>
        <w:t xml:space="preserve">CHỨNG THƯ THẨM ĐỊNH GIÁ</w:t>
      </w:r>
      <w:r>
        <w:rPr>
          <w:rFonts w:ascii="Times New Roman" w:hAnsi="Times New Roman" w:eastAsia="Times New Roman" w:cs="Times New Roman"/>
          <w:b/>
          <w:bCs/>
          <w:color w:val="000000"/>
          <w:sz w:val="28"/>
          <w:szCs w:val="28"/>
          <w:highlight w:val="white"/>
          <w14:ligatures w14:val="none"/>
        </w:rPr>
      </w:r>
      <w:r>
        <w:rPr>
          <w:rFonts w:ascii="Times New Roman" w:hAnsi="Times New Roman" w:eastAsia="Times New Roman" w:cs="Times New Roman"/>
          <w:b/>
          <w:bCs/>
          <w:color w:val="000000"/>
          <w:sz w:val="28"/>
          <w:szCs w:val="28"/>
          <w:highlight w:val="white"/>
          <w14:ligatures w14:val="none"/>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white"/>
          <w:u w:val="single"/>
        </w:rPr>
        <w:t xml:space="preserve">Kính </w:t>
      </w:r>
      <w:r>
        <w:rPr>
          <w:rFonts w:ascii="Times New Roman" w:hAnsi="Times New Roman" w:eastAsia="Times New Roman" w:cs="Times New Roman"/>
          <w:b/>
          <w:bCs/>
          <w:color w:val="000000"/>
          <w:sz w:val="24"/>
          <w:szCs w:val="24"/>
          <w:highlight w:val="white"/>
          <w:u w:val="single"/>
        </w:rPr>
        <w:t xml:space="preserve">gửi</w:t>
      </w:r>
      <w:r>
        <w:rPr>
          <w:rFonts w:ascii="Times New Roman" w:hAnsi="Times New Roman" w:eastAsia="Times New Roman" w:cs="Times New Roman"/>
          <w:b/>
          <w:color w:val="000000"/>
          <w:sz w:val="24"/>
          <w:highlight w:val="white"/>
        </w:rPr>
        <w:t xml:space="preserve">: ÔNG NGÔ HIẾN CHƯƠNG</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rFonts w:ascii="Times New Roman" w:hAnsi="Times New Roman" w:eastAsia="Times New Roman" w:cs="Times New Roman"/>
          <w:color w:val="000000"/>
          <w:spacing w:val="-4"/>
          <w:sz w:val="24"/>
          <w:highlight w:val="white"/>
        </w:rPr>
        <w:tab/>
        <w:t xml:space="preserve">Căn cứ Hợp đồng dịch vụ thẩm định giá số: 275/2026/0593/VFI-HĐTĐ.39.A ký ngày 02 tháng 4 năm 2026 giữa ông Ngô Hiến Chương</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pacing w:val="-6"/>
          <w:sz w:val="24"/>
          <w:highlight w:val="white"/>
        </w:rPr>
        <w:t xml:space="preserve">với  </w:t>
      </w:r>
      <w:r>
        <w:rPr>
          <w:rFonts w:ascii="Times New Roman" w:hAnsi="Times New Roman" w:eastAsia="Times New Roman" w:cs="Times New Roman"/>
          <w:color w:val="000000"/>
          <w:spacing w:val="-4"/>
          <w:sz w:val="24"/>
          <w:highlight w:val="white"/>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highlight w:val="white"/>
        </w:rPr>
        <w:t xml:space="preserve">Căn cứ Báo cáo thẩm định giá số 275/2026/0593/VFI-BC.39.Angày 17 </w:t>
      </w:r>
      <w:r>
        <w:rPr>
          <w:rFonts w:ascii="Times New Roman" w:hAnsi="Times New Roman" w:eastAsia="Times New Roman" w:cs="Times New Roman"/>
          <w:color w:val="000000"/>
          <w:spacing w:val="-2"/>
          <w:sz w:val="24"/>
        </w:rPr>
        <w:t xml:space="preserve">tháng 4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52"/>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154"/>
        <w:gridCol w:w="283"/>
        <w:gridCol w:w="7087"/>
      </w:tblGrid>
      <w:tr>
        <w:trPr>
          <w:trHeight w:val="20"/>
        </w:trPr>
        <w:tc>
          <w:tcPr>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NGÔ HIẾN CHƯƠNG</w:t>
            </w:r>
            <w:r/>
          </w:p>
        </w:tc>
      </w:tr>
      <w:tr>
        <w:trPr>
          <w:trHeight w:val="20"/>
        </w:trPr>
        <w:tc>
          <w:tcPr>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010075000845</w:t>
            </w:r>
            <w:r/>
          </w:p>
        </w:tc>
      </w:tr>
      <w:tr>
        <w:trPr>
          <w:trHeight w:val="20"/>
        </w:trPr>
        <w:tc>
          <w:tcPr>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 Hoàng Thu Phố, xã Si Ma Cai, tỉnh Lào Cai</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52"/>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127"/>
        <w:gridCol w:w="270"/>
        <w:gridCol w:w="6629"/>
      </w:tblGrid>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292a2e"/>
                <w:sz w:val="24"/>
              </w:rPr>
              <w:t xml:space="preserve">Số 1294/TB-BTC ngày 25/12/2025</w:t>
            </w:r>
            <w:r>
              <w:rPr>
                <w:rFonts w:ascii="Segoe UI" w:hAnsi="Segoe UI" w:eastAsia="Segoe UI" w:cs="Segoe UI"/>
                <w:color w:val="292a2e"/>
                <w:sz w:val="21"/>
              </w:rPr>
              <w:t xml:space="preserve"> </w:t>
            </w:r>
            <w:r>
              <w:rPr>
                <w:rFonts w:ascii="Times New Roman" w:hAnsi="Times New Roman" w:eastAsia="Times New Roman" w:cs="Times New Roman"/>
                <w:color w:val="000000"/>
                <w:sz w:val="24"/>
              </w:rPr>
              <w:t xml:space="preserve">về việc doanh nghiệp đủ điều kiện kinh doanh Dịch vụ thẩm định giá.</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Vũ Văn Quân </w:t>
              <w:tab/>
              <w:t xml:space="preserve">Chức vụ: Chủ tịch HĐQT kiêm Tổng Giám Đốc</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Quyền sử dụng đất và tài sản gắn liền với đất tại thửa đất số: 24, tờ bản đồ số: 73 có địa chỉ: Thôn Hoàng Thu Phố, xã Si Ma Cai, tỉnh Lào Cai theo Giấy chứng nhận Quyền sử dụng đất quyền sở hữu tài sản gắn liền với đất số: AA 03186617, số vào sổ cấp GCN:</w:t>
      </w:r>
      <w:r>
        <w:rPr>
          <w:rFonts w:ascii="Times New Roman" w:hAnsi="Times New Roman" w:eastAsia="Times New Roman" w:cs="Times New Roman"/>
          <w:color w:val="000000"/>
          <w:sz w:val="24"/>
        </w:rPr>
        <w:t xml:space="preserve"> CN 21 do Chi nhánh văn phòng đăng ký đất đai khu vực Si Ma Cai cấp ngày 15/8/2025; Chủ sử dụng đất là ông Ngô Hiến Chương</w:t>
      </w:r>
      <w:r>
        <w:rPr>
          <w:rFonts w:ascii="Times New Roman" w:hAnsi="Times New Roman" w:eastAsia="Times New Roman" w:cs="Times New Roman"/>
          <w:i/>
          <w:color w:val="000000"/>
          <w:sz w:val="24"/>
        </w:rPr>
        <w:t xml:space="preserve">.</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04/2026.</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5. Mục đích thẩm định giá: </w:t>
      </w: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 </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04/2026 ước tính như sau:</w:t>
      </w:r>
      <w:r>
        <w:rPr>
          <w:rFonts w:ascii="Times New Roman" w:hAnsi="Times New Roman" w:eastAsia="Times New Roman" w:cs="Times New Roman"/>
          <w:sz w:val="24"/>
        </w:rPr>
      </w:r>
      <w:r/>
    </w:p>
    <w:tbl>
      <w:tblPr>
        <w:tblStyle w:val="105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7"/>
        <w:gridCol w:w="2126"/>
        <w:gridCol w:w="1606"/>
        <w:gridCol w:w="1606"/>
        <w:gridCol w:w="1606"/>
        <w:gridCol w:w="1843"/>
      </w:tblGrid>
      <w:tr>
        <w:trPr>
          <w:trHeight w:val="73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Diện tích </w:t>
              <w:br/>
              <w:t xml:space="preserve"> (m²)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Đơn giá </w:t>
              <w:br/>
              <w:t xml:space="preserve"> (đồng/m²)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CLCL </w:t>
              <w:br/>
              <w:t xml:space="preserve"> (%)</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Thành tiền </w:t>
              <w:br/>
              <w:t xml:space="preserve"> (đồng)</w:t>
            </w:r>
            <w:r/>
          </w:p>
        </w:tc>
      </w:tr>
      <w:tr>
        <w:trPr>
          <w:trHeight w:val="189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69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24, tờ bản đồ số: 73 có địa chỉ: Thôn Hoàng Thu Phố, xã Si Ma Cai, tỉnh Lào Cai theo Giấy chứng nhận Quyền sử dụng đất quyền sở hữu tài sản gắn liền với đất số: AA 03186617, số vào sổ cấp GCN: </w:t>
            </w:r>
            <w:r>
              <w:rPr>
                <w:rFonts w:ascii="Times New Roman" w:hAnsi="Times New Roman" w:eastAsia="Times New Roman" w:cs="Times New Roman"/>
                <w:b/>
                <w:color w:val="000000"/>
                <w:sz w:val="24"/>
              </w:rPr>
              <w:t xml:space="preserve">CN 21 do Chi nhánh văn phòng đăng ký đất đai khu vực Si Ma Cai cấp ngày 15/8/2025; Chủ sử dụng đất là ông Ngô Hiến Chương.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31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0" w:type="dxa"/>
              <w:top w:w="0" w:type="dxa"/>
              <w:right w:w="0" w:type="dxa"/>
              <w:bottom w:w="0" w:type="dxa"/>
            </w:tcMar>
            <w:tcW w:w="160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14.200.000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4"/>
              </w:rPr>
              <w:t xml:space="preserve">1.420.000.000</w:t>
            </w:r>
            <w:r/>
          </w:p>
        </w:tc>
      </w:tr>
      <w:tr>
        <w:trPr>
          <w:trHeight w:val="67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Nhà 2 tầng</w:t>
            </w:r>
            <w:r/>
          </w:p>
        </w:tc>
        <w:tc>
          <w:tcPr>
            <w:tcBorders>
              <w:bottom w:val="single" w:color="000000" w:sz="8" w:space="0"/>
              <w:right w:val="single" w:color="000000" w:sz="8" w:space="0"/>
            </w:tcBorders>
            <w:tcMar>
              <w:left w:w="0" w:type="dxa"/>
              <w:top w:w="0" w:type="dxa"/>
              <w:right w:w="0" w:type="dxa"/>
              <w:bottom w:w="0" w:type="dxa"/>
            </w:tcMar>
            <w:tcW w:w="160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185</w:t>
            </w:r>
            <w:r/>
          </w:p>
        </w:tc>
        <w:tc>
          <w:tcPr>
            <w:shd w:val="clear" w:color="ffffff" w:fill="ffffff"/>
            <w:tcBorders>
              <w:bottom w:val="single" w:color="000000" w:sz="8" w:space="0"/>
              <w:right w:val="single" w:color="000000" w:sz="8" w:space="0"/>
            </w:tcBorders>
            <w:tcMar>
              <w:left w:w="0" w:type="dxa"/>
              <w:top w:w="0" w:type="dxa"/>
              <w:right w:w="0" w:type="dxa"/>
              <w:bottom w:w="0" w:type="dxa"/>
            </w:tcMar>
            <w:tcW w:w="1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2"/>
              </w:rPr>
              <w:t xml:space="preserve">7.114.500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88%</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4"/>
              </w:rPr>
              <w:t xml:space="preserve"> 1.152.236.961 </w:t>
            </w:r>
            <w:r/>
          </w:p>
        </w:tc>
      </w:tr>
      <w:tr>
        <w:trPr>
          <w:trHeight w:val="310"/>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768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0" w:type="dxa"/>
              <w:top w:w="0" w:type="dxa"/>
              <w:right w:w="0" w:type="dxa"/>
              <w:bottom w:w="0" w:type="dxa"/>
            </w:tcMar>
            <w:tcW w:w="1843"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2.578.240.600</w:t>
            </w:r>
            <w:r/>
          </w:p>
        </w:tc>
      </w:tr>
      <w:tr>
        <w:trPr>
          <w:trHeight w:val="310"/>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768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0" w:type="dxa"/>
              <w:top w:w="0" w:type="dxa"/>
              <w:right w:w="0" w:type="dxa"/>
              <w:bottom w:w="0" w:type="dxa"/>
            </w:tcMar>
            <w:tcW w:w="1843"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2.578.000.000</w:t>
            </w:r>
            <w:r/>
          </w:p>
        </w:tc>
      </w:tr>
      <w:tr>
        <w:trPr>
          <w:trHeight w:val="310"/>
        </w:trPr>
        <w:tc>
          <w:tcPr>
            <w:gridSpan w:val="6"/>
            <w:tcBorders>
              <w:left w:val="single" w:color="000000" w:sz="8" w:space="0"/>
              <w:bottom w:val="single" w:color="000000" w:sz="8" w:space="0"/>
              <w:right w:val="single" w:color="000000" w:sz="8" w:space="0"/>
            </w:tcBorders>
            <w:tcMar>
              <w:left w:w="0" w:type="dxa"/>
              <w:top w:w="0" w:type="dxa"/>
              <w:right w:w="0" w:type="dxa"/>
              <w:bottom w:w="0" w:type="dxa"/>
            </w:tcMar>
            <w:tcW w:w="95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tỷ năm trăm bảy mươi tám triệu đồng chẵn ./.)</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rPr/>
      </w:pPr>
      <w:r>
        <w:rPr>
          <w:rFonts w:ascii="Times New Roman" w:hAnsi="Times New Roman" w:eastAsia="Times New Roman" w:cs="Times New Roman"/>
          <w:color w:val="000000"/>
          <w:sz w:val="24"/>
        </w:rPr>
        <w:t xml:space="preserve">- Chi tiết như Báo cáo kèm theo.</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pacing w:val="-4"/>
          <w:sz w:val="24"/>
        </w:rPr>
        <w:t xml:space="preserve">12. Các tài liệu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Báo cáo kết quả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Các phụ lục chi tiết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 Mọi hình thức sao chép báo cáo và chứng thư thẩm định giá không có sự đồng ý bằng văn bản của Công ty Cổ phần Thẩm định và Đầu tư Tài chính Hoa Sen đều là hành vi vi phạm pháp luật.</w:t>
      </w:r>
      <w:r/>
    </w:p>
    <w:tbl>
      <w:tblPr>
        <w:tblStyle w:val="1052"/>
        <w:tblInd w:w="0" w:type="dxa"/>
        <w:tblW w:w="485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4578"/>
        <w:gridCol w:w="71358"/>
      </w:tblGrid>
      <w:tr>
        <w:trPr>
          <w:trHeight w:val="20"/>
        </w:trPr>
        <w:tc>
          <w:tcPr>
            <w:tcBorders/>
            <w:tcMar>
              <w:left w:w="108" w:type="dxa"/>
              <w:top w:w="0" w:type="dxa"/>
              <w:right w:w="108" w:type="dxa"/>
              <w:bottom w:w="0" w:type="dxa"/>
            </w:tcMar>
            <w:tcW w:w="74578"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71358"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54"/>
        </w:trPr>
        <w:tc>
          <w:tcPr>
            <w:tcBorders/>
            <w:tcMar>
              <w:left w:w="108" w:type="dxa"/>
              <w:top w:w="0" w:type="dxa"/>
              <w:right w:w="108" w:type="dxa"/>
              <w:bottom w:w="0" w:type="dxa"/>
            </w:tcMar>
            <w:tcW w:w="745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71358"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745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 Dương</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XVI25TS.2576</w:t>
            </w:r>
            <w:r/>
          </w:p>
        </w:tc>
        <w:tc>
          <w:tcPr>
            <w:tcBorders/>
            <w:tcMar>
              <w:left w:w="108" w:type="dxa"/>
              <w:top w:w="0" w:type="dxa"/>
              <w:right w:w="108" w:type="dxa"/>
              <w:bottom w:w="0" w:type="dxa"/>
            </w:tcMar>
            <w:tcW w:w="7135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shd w:val="nil" w:color="auto"/>
        <w:spacing/>
        <w:ind/>
        <w:rPr/>
      </w:pPr>
      <w:r>
        <w:br w:type="page" w:clear="all"/>
      </w:r>
      <w:r/>
    </w:p>
    <w:tbl>
      <w:tblPr>
        <w:tblInd w:w="-284" w:type="dxa"/>
        <w:tblW w:w="10335" w:type="dxa"/>
        <w:tblBorders/>
        <w:tblLayout w:type="fixed"/>
        <w:tblLook w:val="04A0" w:firstRow="1" w:lastRow="0" w:firstColumn="1" w:lastColumn="0" w:noHBand="0" w:noVBand="1"/>
      </w:tblPr>
      <w:tblGrid>
        <w:gridCol w:w="230"/>
        <w:gridCol w:w="1641"/>
        <w:gridCol w:w="2834"/>
        <w:gridCol w:w="5523"/>
        <w:gridCol w:w="106"/>
      </w:tblGrid>
      <w:tr>
        <w:trPr>
          <w:trHeight w:val="1843"/>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46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4476" w:type="dxa"/>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rFonts w:ascii="Times New Roman" w:hAnsi="Times New Roman" w:cs="Times New Roman"/>
              </w:rPr>
            </w:pPr>
            <w:r>
              <w:rPr>
                <w:rFonts w:ascii="Times New Roman" w:hAnsi="Times New Roman" w:eastAsia="Times New Roman" w:cs="Times New Roman"/>
                <w:color w:val="000000"/>
                <w:sz w:val="24"/>
                <w:highlight w:val="white"/>
              </w:rPr>
              <w:t xml:space="preserve">Số:275/2026/0593/VFI-BC.39.A             </w:t>
            </w:r>
            <w:r>
              <w:rPr>
                <w:rFonts w:ascii="Times New Roman" w:hAnsi="Times New Roman" w:cs="Times New Roman"/>
              </w:rPr>
            </w:r>
            <w:r>
              <w:rPr>
                <w:rFonts w:ascii="Times New Roman" w:hAnsi="Times New Roman" w:cs="Times New Roman"/>
              </w:rPr>
            </w:r>
          </w:p>
        </w:tc>
        <w:tc>
          <w:tcPr>
            <w:shd w:val="clear" w:color="auto" w:fill="auto"/>
            <w:tcBorders/>
            <w:tcMar>
              <w:left w:w="108" w:type="dxa"/>
              <w:top w:w="0" w:type="dxa"/>
              <w:right w:w="108" w:type="dxa"/>
              <w:bottom w:w="0" w:type="dxa"/>
            </w:tcMar>
            <w:tcW w:w="5523" w:type="dxa"/>
            <w:textDirection w:val="lrTb"/>
            <w:noWrap w:val="false"/>
          </w:tcPr>
          <w:p>
            <w:pPr>
              <w:pStyle w:val="1047"/>
              <w:pBdr/>
              <w:spacing w:after="60"/>
              <w:ind w:right="-56"/>
              <w:jc w:val="right"/>
              <w:rPr>
                <w:color w:val="000000" w:themeColor="text1"/>
                <w:sz w:val="24"/>
                <w:szCs w:val="24"/>
                <w:lang w:val="vi-VN"/>
              </w:rPr>
            </w:pPr>
            <w:r>
              <w:rPr>
                <w:rStyle w:val="1046"/>
                <w:rFonts w:ascii="Times New Roman" w:hAnsi="Times New Roman"/>
                <w:i/>
                <w:color w:val="auto"/>
              </w:rPr>
              <w:t xml:space="preserve">TP. Hà Nội</w:t>
            </w:r>
            <w:r>
              <w:rPr>
                <w:rStyle w:val="1046"/>
                <w:rFonts w:ascii="Times New Roman" w:hAnsi="Times New Roman"/>
                <w:i/>
                <w:color w:val="auto"/>
                <w:lang w:val="vi-VN"/>
              </w:rPr>
              <w:t xml:space="preserve">, </w:t>
            </w:r>
            <w:r>
              <w:rPr>
                <w:rStyle w:val="1046"/>
                <w:rFonts w:ascii="Times New Roman" w:hAnsi="Times New Roman"/>
                <w:i/>
                <w:color w:val="000000" w:themeColor="text1"/>
                <w:lang w:val="vi-VN"/>
              </w:rPr>
              <w:t xml:space="preserve">ngày 17 tháng 4 năm 2026</w:t>
            </w:r>
            <w:r>
              <w:rPr>
                <w:color w:val="000000" w:themeColor="text1"/>
                <w:sz w:val="24"/>
                <w:szCs w:val="24"/>
                <w:lang w:val="vi-VN"/>
              </w:rPr>
            </w:r>
            <w:r>
              <w:rPr>
                <w:color w:val="000000" w:themeColor="text1"/>
                <w:sz w:val="24"/>
                <w:szCs w:val="24"/>
                <w:lang w:val="vi-VN"/>
              </w:rPr>
            </w:r>
          </w:p>
        </w:tc>
      </w:tr>
    </w:tbl>
    <w:p>
      <w:pPr>
        <w:pStyle w:val="1047"/>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7"/>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b w:val="0"/>
          <w:bCs w:val="0"/>
        </w:rPr>
      </w:pPr>
      <w:r>
        <w:rPr>
          <w:b w:val="0"/>
          <w:bCs w:val="0"/>
          <w:i/>
          <w:spacing w:val="-6"/>
          <w:sz w:val="24"/>
          <w:szCs w:val="24"/>
          <w:lang w:val="pt-BR"/>
        </w:rPr>
        <w:t xml:space="preserve">(</w:t>
      </w:r>
      <w:r>
        <w:rPr>
          <w:rFonts w:ascii="Times New Roman" w:hAnsi="Times New Roman" w:eastAsia="Times New Roman" w:cs="Times New Roman"/>
          <w:b w:val="0"/>
          <w:bCs w:val="0"/>
          <w:i/>
          <w:color w:val="000000"/>
          <w:spacing w:val="-6"/>
          <w:sz w:val="24"/>
        </w:rPr>
        <w:t xml:space="preserve">Kèm theo Chứng thư thẩm định giá số: 275/2026/0593/VFI-CT.39.A ngày 17 tháng 4 năm 2026)</w:t>
      </w:r>
      <w:r>
        <w:rPr>
          <w:b w:val="0"/>
          <w:bCs w:val="0"/>
        </w:rPr>
      </w:r>
      <w:r>
        <w:rPr>
          <w:b w:val="0"/>
          <w:bCs w:val="0"/>
        </w:rPr>
      </w:r>
    </w:p>
    <w:p>
      <w:pPr>
        <w:pStyle w:val="1027"/>
        <w:pBdr>
          <w:top w:val="none" w:color="000000" w:sz="4" w:space="0"/>
          <w:left w:val="none" w:color="000000" w:sz="4" w:space="0"/>
          <w:bottom w:val="none" w:color="000000" w:sz="4" w:space="0"/>
          <w:right w:val="none" w:color="000000" w:sz="4" w:space="0"/>
        </w:pBdr>
        <w:tabs>
          <w:tab w:val="left" w:leader="none" w:pos="4820"/>
        </w:tabs>
        <w:spacing w:after="200" w:before="0" w:line="340" w:lineRule="atLeast"/>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1052"/>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52"/>
        <w:gridCol w:w="289"/>
        <w:gridCol w:w="6940"/>
      </w:tblGrid>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Vũ Văn Quân </w:t>
              <w:tab/>
              <w:t xml:space="preserve">Chức vụ: Chủ tịch HĐQT kiêm Tổng Giám Đốc</w:t>
            </w:r>
            <w:r/>
          </w:p>
        </w:tc>
      </w:tr>
    </w:tbl>
    <w:p>
      <w:pPr>
        <w:pBdr>
          <w:top w:val="none" w:color="000000" w:sz="4" w:space="0"/>
          <w:left w:val="none" w:color="000000" w:sz="4" w:space="0"/>
          <w:bottom w:val="none" w:color="000000" w:sz="4" w:space="0"/>
          <w:right w:val="none" w:color="000000" w:sz="4" w:space="0"/>
        </w:pBdr>
        <w:tabs>
          <w:tab w:val="left" w:leader="none" w:pos="284"/>
        </w:tabs>
        <w:spacing w:after="120" w:before="0" w:line="320" w:lineRule="atLeast"/>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pBdr>
          <w:top w:val="none" w:color="000000" w:sz="4" w:space="0"/>
          <w:left w:val="none" w:color="000000" w:sz="4" w:space="0"/>
          <w:bottom w:val="none" w:color="000000" w:sz="4" w:space="0"/>
          <w:right w:val="none" w:color="000000" w:sz="4" w:space="0"/>
        </w:pBdr>
        <w:tabs>
          <w:tab w:val="left" w:leader="none" w:pos="284"/>
        </w:tabs>
        <w:spacing w:after="120" w:before="120" w:line="320" w:lineRule="atLeast"/>
        <w:ind w:right="0" w:firstLine="0" w:left="0"/>
        <w:jc w:val="both"/>
        <w:rPr/>
      </w:pPr>
      <w:r>
        <w:rPr>
          <w:rFonts w:ascii="Times New Roman" w:hAnsi="Times New Roman" w:eastAsia="Times New Roman" w:cs="Times New Roman"/>
          <w:b/>
          <w:color w:val="000000"/>
          <w:sz w:val="24"/>
        </w:rPr>
        <w:t xml:space="preserve">1. Thông tin cơ bản về cuộc thẩm định giá:</w:t>
      </w:r>
      <w:r/>
    </w:p>
    <w:tbl>
      <w:tblPr>
        <w:tblStyle w:val="105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18"/>
        <w:gridCol w:w="284"/>
        <w:gridCol w:w="6945"/>
      </w:tblGrid>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Ngô Hiến Chương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MST/CMTND/CCCD:</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010075000845</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 Hoàng Thu Phố, xã Si Ma Cai, tỉnh Lào Cai</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Quyền sử dụng đất và tài sản gắn liền với đất tại thửa đất số: 24, tờ bản đồ số: 73 có địa chỉ: Thôn Hoàng Thu Phố, xã Si Ma Cai, tỉnh Lào Cai theo Giấy chứng nhận Quyền sử dụng đất quyền sở hữu tài sản gắn liền với đất số: AA 03186617, số vào sổ cấp GCN: </w:t>
            </w:r>
            <w:r>
              <w:rPr>
                <w:rFonts w:ascii="Times New Roman" w:hAnsi="Times New Roman" w:eastAsia="Times New Roman" w:cs="Times New Roman"/>
                <w:color w:val="000000"/>
                <w:sz w:val="24"/>
              </w:rPr>
              <w:t xml:space="preserve">CN 21 do Chi nhánh văn phòng đăng ký đất đai khu vực Si Ma Cai cấp ngày 15/8/2025; Chủ sử dụng đất là ông Ngô Hiến Chương.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04/2026.</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Địa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Xã Si Ma Cai, tỉnh Lào Cai</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Vị trí tài sản thẩm định </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(22.688222222222, 104.27038888889)</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04/2026.</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pacing w:val="-6"/>
          <w:sz w:val="24"/>
        </w:rPr>
        <w:t xml:space="preserve">2. Các nguồn thông tin được sử dụng trong quá trình thẩm định giá và xem xét đánh giá các thông tin thu thập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6"/>
          <w:sz w:val="24"/>
        </w:rPr>
        <w:t xml:space="preserve">Tham khảo nguồn thông tin từ các trang giao bán bất động sản qua mạng Internet, gọi điện trực tiếp</w:t>
      </w:r>
      <w:r>
        <w:rPr>
          <w:rFonts w:ascii="Times New Roman" w:hAnsi="Times New Roman" w:eastAsia="Times New Roman" w:cs="Times New Roman"/>
          <w:color w:val="000000"/>
          <w:sz w:val="24"/>
        </w:rPr>
        <w:t xml:space="preserve">.</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Tham khảo nguồn thông tin trực tiếp từ những người dân sinh sống xung quanh trên địa bàn.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 Căn cứ pháp lý</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3.1. Văn bản quy phạm pháp luật:</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Luật Giá số 16/2023/QH15 ngày 19/6/2023;</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5 thông qua ngày 18 tháng 01 năm 2024;</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Xây dựng số 50/2014/QH13 đã được Quốc hội nước Cộng hòa xã hội chủ nghĩa Việt Nam khóa XIII, kỳ họp thứ 7 thông qua ngày 18 tháng 6 năm 2014;</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Pr/>
      </w:pPr>
      <w:r>
        <w:rPr>
          <w:rFonts w:ascii="Times New Roman" w:hAnsi="Times New Roman" w:eastAsia="Times New Roman" w:cs="Times New Roman"/>
          <w:color w:val="000000"/>
          <w:sz w:val="24"/>
        </w:rPr>
        <w:t xml:space="preserve">Nghị định số 71/2024/NĐ-CP ngày 27/6/2024 của Chính phủ Quy định về giá đất.</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Nghị định số 103/2024/NĐ-CP ngày 30/7/2024 của Chính phủ quy định về thu tiền sử dụng đất, tiền thuê đất;</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31/2024/TT-BTC ngày 16/5/2024 của Bộ Tài chính ban hành chuẩn mực thẩm định giá Việt Nam về thu thập và phân tích thông tin về tài sản thẩm định giá;</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32/2024/TT-BTC ngày 16/5/2024 của Bộ Tài chính ban hành các chuẩn mực thẩm định giá Việt Nam về cách tiếp cận từ thị trường, cách tiếp cận từ chi phí, cách tiếp cận từ thu nhập;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36/2024/TT-BTC ngày 16/5/2024 của Bộ Tài chính ban hành chuẩn mực thẩm định giá Việt Nam về thẩm định giá doanh nghiệp;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37/2024/TT-BTC ngày 16/5/2024 của Bộ Tài chính ban hành chuẩn mực thẩm định giá Việt Nam về thẩm định giá tài sản vô hình;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42/2024/TT-BTC ngày 20/6/2024 của Bộ Tài chính ban hành chuẩn mực thẩm định giá Việt Nam về thẩm định giá bất động sản;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4"/>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4"/>
          <w:sz w:val="24"/>
        </w:rPr>
        <w:t xml:space="preserve">ài sản cố định;</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Quyết định số 425/QĐ-BXD ngày 30/3/2026 của Bộ Xây dựng về việc Công bố suất vốn đầu tư xây dựng công trình và giá xây dựng tổng hợp bộ phận kết cấu công trình năm 2025;</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văn số 1326/BXD-QLN của Bộ Xây dựng ban hành ngày 08/8/2011 về việc hướng dẫn kiểm kê, đánh giá lại giá trị tài sản cố định là nhà, vật kiến trúc;</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Và các văn bản pháp luật có liên quan khác.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3.2. Các văn bản liên quan khác: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 </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tài sản gắn liền với đất số: AA 03186617, số vào sổ cấp GCN: CN 21 do Chi nhánh văn phòng đăng ký đất đai khu vực Si Ma Cai cấp ngày 15/8/2025; Chủ sử dụng đất là ông Ngô Hiến Chương.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s</w:t>
      </w:r>
      <w:r>
        <w:rPr>
          <w:rFonts w:ascii="Times New Roman" w:hAnsi="Times New Roman" w:eastAsia="Times New Roman" w:cs="Times New Roman"/>
          <w:color w:val="000000"/>
          <w:sz w:val="24"/>
          <w:highlight w:val="white"/>
        </w:rPr>
        <w:t xml:space="preserve">ố 275/2026/0593/VFI-HĐTĐ.39.A ngà</w:t>
      </w:r>
      <w:r>
        <w:rPr>
          <w:rFonts w:ascii="Times New Roman" w:hAnsi="Times New Roman" w:eastAsia="Times New Roman" w:cs="Times New Roman"/>
          <w:color w:val="000000"/>
          <w:sz w:val="24"/>
        </w:rPr>
        <w:t xml:space="preserve">y 02/04/2026 giữa ông Ngô Hiến Chương với Công ty Cổ phần Thẩm định và Đầu tư Tài chính Hoa Sen.</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both"/>
        <w:rPr/>
      </w:pPr>
      <w:r>
        <w:rPr>
          <w:rFonts w:ascii="Times New Roman" w:hAnsi="Times New Roman" w:eastAsia="Times New Roman" w:cs="Times New Roman"/>
          <w:b/>
          <w:color w:val="000000"/>
          <w:sz w:val="24"/>
          <w:highlight w:val="white"/>
        </w:rPr>
        <w:t xml:space="preserve">III. TỔNG QUAN VỀ THỊ TRƯỜNG CỦA TÀI SẢN THẨM ĐỊNH GIÁ</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pPr>
      <w:r>
        <w:rPr>
          <w:rFonts w:ascii="Times New Roman" w:hAnsi="Times New Roman" w:eastAsia="Times New Roman" w:cs="Times New Roman"/>
          <w:color w:val="000000"/>
          <w:sz w:val="24"/>
          <w:highlight w:val="white"/>
        </w:rPr>
        <w:t xml:space="preserve">Việc đầu tư vào đất nền Lào Cai không chỉ là cơ hội để nắm bắt tiềm năng kinh tế từ các khu vực phát triển mới, mà còn là chiến lược đảm bảo nguồn lợi nhuận dài hạn nhờ sự phát triển bền vững của tỉnh. Lào Cai là một tỉnh miền núi nằm ở vùng Tây Bắc và Đôn</w:t>
      </w:r>
      <w:r>
        <w:rPr>
          <w:rFonts w:ascii="Times New Roman" w:hAnsi="Times New Roman" w:eastAsia="Times New Roman" w:cs="Times New Roman"/>
          <w:color w:val="000000"/>
          <w:sz w:val="24"/>
          <w:highlight w:val="white"/>
        </w:rPr>
        <w:t xml:space="preserve">g Bắc Việt Nam, nổi bật với vị trí chiến lược và hạ tầng phát triển mạnh mẽ. Tỉnh giáp với Hà Giang ở phía Đông, Lai Châu ở phía Tây, Yên Bái ở phía Nam, và Vân Nam, Trung Quốc ở phía Bắc với đường biên giới dài 182 km. Trung tâm hành chính của tỉnh là thà</w:t>
      </w:r>
      <w:r>
        <w:rPr>
          <w:rFonts w:ascii="Times New Roman" w:hAnsi="Times New Roman" w:eastAsia="Times New Roman" w:cs="Times New Roman"/>
          <w:color w:val="000000"/>
          <w:sz w:val="24"/>
          <w:highlight w:val="white"/>
        </w:rPr>
        <w:t xml:space="preserve">nh phố Lào Cai, cách Hà Nội khoảng 345 km theo đường bộ và 296 km theo đường sắt.</w:t>
        <w:br/>
        <w:t xml:space="preserve"> Với diện tích 6.364 km2, Lào Cai chia thành 9 đơn vị hành chính, gồm 1 thành phố, 1 thị xã và 7 huyện, đặc biệt là Sapa – một điểm du lịch quốc gia đầy tiềm năng. Lào Cai cò</w:t>
      </w:r>
      <w:r>
        <w:rPr>
          <w:rFonts w:ascii="Times New Roman" w:hAnsi="Times New Roman" w:eastAsia="Times New Roman" w:cs="Times New Roman"/>
          <w:color w:val="000000"/>
          <w:sz w:val="24"/>
          <w:highlight w:val="white"/>
        </w:rPr>
        <w:t xml:space="preserve">n sở hữu hệ thống giao thông đa dạng với đường bộ, đường sắt và đang xây dựng sân bay Sapa dự kiến hoàn thành vào năm 2026. Đường cao tốc Nội Bài - Lào Cai là tuyến huyết mạch giúp kết nối vùng với cả Trung Quốc qua đường cao tốc Côn Minh - Hà Khẩu, nâng c</w:t>
      </w:r>
      <w:r>
        <w:rPr>
          <w:rFonts w:ascii="Times New Roman" w:hAnsi="Times New Roman" w:eastAsia="Times New Roman" w:cs="Times New Roman"/>
          <w:color w:val="000000"/>
          <w:sz w:val="24"/>
          <w:highlight w:val="white"/>
        </w:rPr>
        <w:t xml:space="preserve">ao khả năng giao thương kinh tế cửa khẩu.</w:t>
        <w:br/>
        <w:t xml:space="preserve"> Bản đồ quy hoạch tỉnh Lào Cai đến năm 2030 định hướng phát triển bốn mũi nhọn: kinh tế dọc theo sông Hồng, phát triển công nghiệp chế biến, du lịch và các khu logistic. Quy hoạch này không chỉ tạo nền tảng hạ tầng</w:t>
      </w:r>
      <w:r>
        <w:rPr>
          <w:rFonts w:ascii="Times New Roman" w:hAnsi="Times New Roman" w:eastAsia="Times New Roman" w:cs="Times New Roman"/>
          <w:color w:val="000000"/>
          <w:sz w:val="24"/>
          <w:highlight w:val="white"/>
        </w:rPr>
        <w:t xml:space="preserve"> vững chắc, mà còn nâng cao khả năng thu hút đầu tư, phát triển kinh tế cửa khẩu và thương mại quốc tế.</w:t>
        <w:br/>
        <w:t xml:space="preserve"> Thị trường đất nền tại tỉnh Lào Cai đang ngày càng trở nên hấp dẫn, đặc biệt trong bối cảnh đô thị hóa và nhu cầu nhà ở tăng cao. Sự xuất hiện của các </w:t>
      </w:r>
      <w:r>
        <w:rPr>
          <w:rFonts w:ascii="Times New Roman" w:hAnsi="Times New Roman" w:eastAsia="Times New Roman" w:cs="Times New Roman"/>
          <w:color w:val="000000"/>
          <w:sz w:val="24"/>
          <w:highlight w:val="white"/>
        </w:rPr>
        <w:t xml:space="preserve">dự án lớn từ các tập đoàn như Sun Group, Bitexco, Geleximco và T&amp;T Group đã thúc đẩy thị trường bất động sản phát triển mạnh mẽ, đặc biệt là khu vực Sapa và thành phố Lào Cai. Những khu đô thị mới như Đông Bắc Sapa và Bảo Hà không chỉ mang lại diện mạo mới</w:t>
      </w:r>
      <w:r>
        <w:rPr>
          <w:rFonts w:ascii="Times New Roman" w:hAnsi="Times New Roman" w:eastAsia="Times New Roman" w:cs="Times New Roman"/>
          <w:color w:val="000000"/>
          <w:sz w:val="24"/>
          <w:highlight w:val="white"/>
        </w:rPr>
        <w:t xml:space="preserve"> cho vùng mà còn đáp ứng nhu cầu nhà ở và kinh doanh của cư dân địa phương lẫn nhà đầu tư.</w:t>
        <w:br/>
        <w:t xml:space="preserve"> Với sự phát triển hạ tầng đồng bộ và các dự án lớn, thị trường đất nền Lào Cai mang lại cơ hội sinh lời cho các nhà đầu tư. Kinh tế cửa khẩu với Trung Quốc, cùng vớ</w:t>
      </w:r>
      <w:r>
        <w:rPr>
          <w:rFonts w:ascii="Times New Roman" w:hAnsi="Times New Roman" w:eastAsia="Times New Roman" w:cs="Times New Roman"/>
          <w:color w:val="000000"/>
          <w:sz w:val="24"/>
          <w:highlight w:val="white"/>
        </w:rPr>
        <w:t xml:space="preserve">i tiềm năng du lịch tại các điểm nóng như Sapa, đã và đang tạo ra một lực đẩy mạnh mẽ cho thị trường này. Mặc dù thị trường bất động sản chung hiện có phần trầm lắng, nhưng các dự án đất nền tại Lào Cai vẫn giữ vững sự ổn định về giá và kỳ vọng sẽ tăng trư</w:t>
      </w:r>
      <w:r>
        <w:rPr>
          <w:rFonts w:ascii="Times New Roman" w:hAnsi="Times New Roman" w:eastAsia="Times New Roman" w:cs="Times New Roman"/>
          <w:color w:val="000000"/>
          <w:sz w:val="24"/>
          <w:highlight w:val="white"/>
        </w:rPr>
        <w:t xml:space="preserve">ởng mạnh mẽ trong tương lai gần.</w:t>
        <w:br/>
        <w:t xml:space="preserve"> (nguồn tham khảo: https://onehousing.vn/blog/tong-quan-tinh-hinh-thi-truong-dat-nen-lao-cai-cap-nhat-moi-nhat-n17t)</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tbl>
      <w:tblPr>
        <w:tblStyle w:val="105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2126"/>
        <w:gridCol w:w="2126"/>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24, tờ bản đồ số: 73 có địa chỉ: Thôn Hoàng Thu Phố, xã Si Ma Cai, tỉnh Lào Cai theo Giấy chứng nhận Quyền sử dụng đất quyền sở hữu tài sản gắn liền với đất số: AA 03186617, số vào sổ cấp GCN: </w:t>
            </w:r>
            <w:r>
              <w:rPr>
                <w:rFonts w:ascii="Times New Roman" w:hAnsi="Times New Roman" w:eastAsia="Times New Roman" w:cs="Times New Roman"/>
                <w:b/>
                <w:color w:val="000000"/>
                <w:sz w:val="24"/>
              </w:rPr>
              <w:t xml:space="preserve">CN 21 do Chi nhánh văn phòng đăng ký đất đai khu vực Si Ma Cai cấp ngày 15/8/2025; Chủ sử dụng đất là ông Ngô Hiến Chương.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Thôn Hoàng Thu Phố, xã Si Ma Cai, tỉnh Lào Cai</w:t>
            </w:r>
            <w:r/>
          </w:p>
        </w:tc>
      </w:tr>
      <w:tr>
        <w:trPr>
          <w:trHeight w:val="567"/>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 có vỉa hè</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spacing/>
              <w:ind/>
              <w:jc w:val="left"/>
              <w:rPr>
                <w:color w:val="000000"/>
                <w:sz w:val="22"/>
                <w:szCs w:val="22"/>
              </w:rPr>
            </w:pPr>
            <w:r>
              <w:rPr>
                <w:color w:val="000000" w:themeColor="text1"/>
                <w:sz w:val="22"/>
                <w:szCs w:val="22"/>
              </w:rPr>
              <w:t xml:space="preserve">Tài sản tại:xã Si Ma Cai, Tỉnh Lào Cai,Cách đường tỉnh 153 khoảng 600m. Cách chợ Sima Cai khoảng 2km</w:t>
            </w:r>
            <w:r>
              <w:rPr>
                <w:color w:val="000000"/>
                <w:sz w:val="22"/>
                <w:szCs w:val="22"/>
              </w:rPr>
            </w:r>
            <w:r>
              <w:rPr>
                <w:color w:val="000000"/>
                <w:sz w:val="22"/>
                <w:szCs w:val="22"/>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 </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Đông Nam: Tiếp giáp mặt đường bê tông</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Các hướng còn lại: Tiếp giáp với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(22.688222222222, 104.27038888889)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4924425" cy="239077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884281" name=""/>
                              <pic:cNvPicPr>
                                <a:picLocks noChangeAspect="1"/>
                              </pic:cNvPicPr>
                              <pic:nvPr/>
                            </pic:nvPicPr>
                            <pic:blipFill rotWithShape="1">
                              <a:blip r:embed="rId17"/>
                              <a:stretch/>
                            </pic:blipFill>
                            <pic:spPr bwMode="auto">
                              <a:xfrm>
                                <a:off x="0" y="0"/>
                                <a:ext cx="4924423" cy="23907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87.75pt;height:188.25pt;mso-wrap-distance-left:0.00pt;mso-wrap-distance-top:0.00pt;mso-wrap-distance-right:0.00pt;mso-wrap-distance-bottom:0.00pt;z-index:1;" stroked="false">
                      <v:imagedata r:id="rId17"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64"/>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vuông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49"/>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Thưa thớt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Tại thời điểm khảo sát dưới sự hướng dẫn của khách hàng, tổ thẩm định nhận thấy trên đất có 01 CTXD là nhà 2 tầng xây dựng khoảng 92,5m²/sàn, tổng diện tích xây dựng khoảng 185m², xây năm 2020. Công trình chưa được chứng nhận trên GCN số AA 03186617. Hiệ</w:t>
            </w:r>
            <w:r>
              <w:rPr>
                <w:rFonts w:ascii="Times New Roman" w:hAnsi="Times New Roman" w:eastAsia="Times New Roman" w:cs="Times New Roman"/>
                <w:color w:val="000000"/>
                <w:sz w:val="24"/>
              </w:rPr>
              <w:t xml:space="preserve">n công trình đang được sử dụng để ở. </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highlight w:val="white"/>
        </w:rPr>
        <w:t xml:space="preserve">Bảng ghi chú thay đổi giữa khảo sát thực trạng và pháp lý tài sản:</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highlight w:val="white"/>
        </w:rPr>
        <w:t xml:space="preserve"> </w:t>
      </w:r>
      <w:r/>
    </w:p>
    <w:tbl>
      <w:tblPr>
        <w:tblStyle w:val="105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167"/>
        <w:gridCol w:w="1663"/>
        <w:gridCol w:w="1788"/>
        <w:gridCol w:w="1788"/>
        <w:gridCol w:w="1417"/>
        <w:gridCol w:w="1692"/>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Các yếu tố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khảo sát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Chênh lệch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Nguyên nhân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Địa chỉ</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Thôn Hoàng Thu Phố, xã Si Ma Cai, tỉnh Lào Cai</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Thôn Hoàng Thu Phố, xã Si Ma Cai, tỉnh Lào Cai ✔</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1734"/>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Pháp lý</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tài sản gắn liền với đất </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tài sản gắn liền với đất ✔</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Loại đất</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nông thôn ✔</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 ✔</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Diện tích</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 ✔</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tiền</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 ✔</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Chiều sâu</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 ✔</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tiếp giáp</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 ✔</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dạng thửa đất</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vuông</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vuông ✔</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lợi thế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52"/>
        <w:tblInd w:w="0" w:type="dxa"/>
        <w:tblW w:w="5000"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878"/>
        <w:gridCol w:w="5669"/>
        <w:gridCol w:w="1276"/>
        <w:gridCol w:w="1702"/>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bám biển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bám hồ (Diện tích &gt;=5ha thì được coi là hồ)</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Bám đầm, ao lớn thuộc sở hữu nhà nước (ao lớn - S=0.5ha)&lt;5ha</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Thế đất tọa sơn hướng thủy 'hậu tựa núi, trước view sông, hồ, đầm', view thoáng, không bị che khuất, loại đất rất được ưa chuộng nghỉ dưỡng, nhà nghỉ cao cấp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View hồ sông, sông, suối, đầm, ao lớn (S=0.5ha), ruộng lúa, đồi núi xa, ngắm hoàng hôn, bình minh xa soi mặt nước, thơ mộng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thoáng không đâm thẳng cửa chính 'Thế tránh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Có yếu tố 'Linh' gắn với tiếng lành, tài lộc, đại danh, văn hóa, truyền thuyết được xem là khu địa linh nhân kiệt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liền kề, đối diện vườn hoa, khu thể thao, bể bơi (không đối diện nhà ở) để được xe hơi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view công viên, vườn hoa, khu thể thao, bể bơi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bất lợi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52"/>
        <w:tblInd w:w="0" w:type="dxa"/>
        <w:tblW w:w="5000"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595"/>
        <w:gridCol w:w="5953"/>
        <w:gridCol w:w="1276"/>
        <w:gridCol w:w="1702"/>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(50m &lt;= 150m)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(150m &lt;= 300m)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(300m &lt;= 500m)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(30m &lt;= 100m)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từng là nghĩa trang, khu tâm linh cũ (đền, đình, chùa, miếu mạo…) đã được san lấp làm khu dân cư</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đất/Công trình có mộ không thể hoặc rất khó có khả năng di chuyển (Mộ tổ chi, tộc, mộ cổ, mộ tâm linh gắn với miếu mạo được nhân dân thờ cúng)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mộ gia đình hoặc vô chủ có thể di chuyển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khu mộ phần hoặc liền kề mộ phần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điện thờ, nhà thợ họ dòng tộc</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hoặc liền kề nhà thờ họ</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gia tộc anh em, họ hàng sống xung quanh chung ngõ đi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chung cư, nhà phố ảnh hưởn</w:t>
            </w:r>
            <w:r>
              <w:rPr>
                <w:rFonts w:ascii="Times New Roman" w:hAnsi="Times New Roman" w:eastAsia="Times New Roman" w:cs="Times New Roman"/>
                <w:color w:val="000000"/>
                <w:sz w:val="24"/>
              </w:rPr>
              <w:t xml:space="preserve">g của nó giảm theo thời gian”.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Mạnh “Vụ có yếu tố bạo lực, hoặc được đăng báo địa phương; khu dân cư tỏ ra e ngại; mua ở chịu ảnh hưởng. Mức này thường dùng khi có giao dịch thực tế cho thấy có sự kiện bị bán </w:t>
            </w:r>
            <w:r>
              <w:rPr>
                <w:rFonts w:ascii="Times New Roman" w:hAnsi="Times New Roman" w:eastAsia="Times New Roman" w:cs="Times New Roman"/>
                <w:color w:val="000000"/>
                <w:sz w:val="24"/>
              </w:rPr>
              <w:t xml:space="preserve">rẻ hơn”.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w:t>
            </w:r>
            <w:r>
              <w:rPr>
                <w:rFonts w:ascii="Times New Roman" w:hAnsi="Times New Roman" w:eastAsia="Times New Roman" w:cs="Times New Roman"/>
                <w:color w:val="000000"/>
                <w:sz w:val="24"/>
              </w:rPr>
              <w:t xml:space="preserve">a, quỉ, hiện tượng tâm linh nhiều năm. Mức này dẫn tới tài sản rất khó bán thậm trí có thể loại trừ trong so sánh”.</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cây xăng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trạm thu phát sóng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cao thế 500 KV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220 KV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Mặt tiền bị che chắn (có cột điện, trạm biến áp…)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đường sắt&lt;=50m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thẳng tắp như mũi tên đâm thẳng cửa chính “Thế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nằm dưới chân cầu, đường dốc cao (Thế bị xung : Hổ phục, Long phục) xe lao xuống, gió tạt thẳng sát khí, không tụ.</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Giao lộ Chữ “T”, bị đường đâm thẳng vào “Thế tiền đao sát”.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pPr>
      <w:r>
        <w:rPr>
          <w:rFonts w:ascii="Times New Roman" w:hAnsi="Times New Roman" w:eastAsia="Times New Roman" w:cs="Times New Roman"/>
          <w:b/>
          <w:color w:val="000000"/>
          <w:sz w:val="24"/>
        </w:rPr>
        <w:t xml:space="preserve">V. CÁC GIẢ THIẾT VÀ GIẢ THIẾT ĐẶC BIỆT</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pacing w:val="-2"/>
          <w:sz w:val="24"/>
        </w:rPr>
        <w:t xml:space="preserve"> trừ mọi trách nhiệm phát sinh, liên đới (nếu có) trong trường hợp này.</w:t>
      </w:r>
      <w:r/>
    </w:p>
    <w:p>
      <w:pPr>
        <w:numPr>
          <w:ilvl w:val="0"/>
          <w:numId w:val="43"/>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color w:val="000000"/>
          <w:sz w:val="24"/>
        </w:rPr>
        <w:t xml:space="preserve">Tại thời điểm khảo sát dưới sự hướng dẫn của khách hàng, tổ thẩm định nhận thấy trên đất có 01 CTXD là nhà 2 tầng xây dựng khoảng 92,5m²/sàn, tổng diện tích xây dựng khoảng 185m², xây năm 2020. Công trình chưa được chứng nhận trên GCN số AA 03186617. Hiện </w:t>
      </w:r>
      <w:r>
        <w:rPr>
          <w:rFonts w:ascii="Times New Roman" w:hAnsi="Times New Roman" w:eastAsia="Times New Roman" w:cs="Times New Roman"/>
          <w:color w:val="000000"/>
          <w:sz w:val="24"/>
        </w:rPr>
        <w:t xml:space="preserve">công trình đang được s</w:t>
      </w:r>
      <w:r>
        <w:rPr>
          <w:rFonts w:ascii="Times New Roman" w:hAnsi="Times New Roman" w:eastAsia="Times New Roman" w:cs="Times New Roman"/>
          <w:color w:val="000000"/>
          <w:sz w:val="24"/>
        </w:rPr>
        <w:t xml:space="preserve">ử dụng để ở. Ngoài ra, Tổ thẩm định không thu thập được bất kì hồ sơ pháp lí nào liên quan đến công trình xây dựng nêu trên. Do đó, theo đề nghị của Khách hàng/Ngân hàng, Tổ thẩm định xác định giá trị công trình xây dựng này theo khảo sát đo đạc thực tế ch</w:t>
      </w:r>
      <w:r>
        <w:rPr>
          <w:rFonts w:ascii="Times New Roman" w:hAnsi="Times New Roman" w:eastAsia="Times New Roman" w:cs="Times New Roman"/>
          <w:color w:val="000000"/>
          <w:sz w:val="24"/>
        </w:rPr>
        <w:t xml:space="preserve">o mục đích tham khảo với giả định thông số đo đạc được là chính xác. Kính đề nghị đơn vị sử dụng kết quả lưu ý.</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Giá trị tài sản thẩm định giá được ước tính dựa trên giả định không có bất kỳ yếu tố nào làm cản trở ảnh hưởng đến việc giao dịch bình thường của tài sản trên thị trường.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VI. CƠ SỞ GIÁ TRỊ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 CÁCH TIẾP CẬN, PHƯƠNG PHÁP THẨM ĐỊNH GIÁ</w:t>
      </w: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Cách tiếp cận và phương pháp thẩm định:</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Cách tiếp cận từ thị trường: </w:t>
      </w:r>
      <w:r>
        <w:rPr>
          <w:rFonts w:ascii="Times New Roman" w:hAnsi="Times New Roman" w:eastAsia="Times New Roman" w:cs="Times New Roman"/>
          <w:color w:val="000000"/>
          <w:sz w:val="24"/>
        </w:rPr>
        <w:t xml:space="preserve">Xác định giá trị của tài sản thẩm định giá thông qua việc so sánh tài sản thẩm định giá với các tài sản so sánh đã có các thông tin về giá trên thị trường.</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p>
    <w:p>
      <w:pPr>
        <w:numPr>
          <w:ilvl w:val="0"/>
          <w:numId w:val="42"/>
        </w:numPr>
        <w:pBdr>
          <w:top w:val="none" w:color="000000" w:sz="4" w:space="0"/>
          <w:left w:val="none" w:color="000000" w:sz="4" w:space="0"/>
          <w:bottom w:val="none" w:color="000000" w:sz="4" w:space="0"/>
          <w:right w:val="none" w:color="000000" w:sz="4" w:space="0"/>
        </w:pBdr>
        <w:spacing w:after="60" w:before="60" w:line="276" w:lineRule="auto"/>
        <w:ind/>
        <w:jc w:val="both"/>
        <w:rPr/>
      </w:pPr>
      <w:r>
        <w:rPr>
          <w:rFonts w:ascii="Times New Roman" w:hAnsi="Times New Roman" w:eastAsia="Times New Roman" w:cs="Times New Roman"/>
          <w:i/>
          <w:color w:val="000000"/>
          <w:sz w:val="24"/>
        </w:rPr>
        <w:t xml:space="preserve">Cách tiếp cận từ chi phí: </w:t>
      </w:r>
      <w:r>
        <w:rPr>
          <w:rFonts w:ascii="Times New Roman" w:hAnsi="Times New Roman" w:eastAsia="Times New Roman" w:cs="Times New Roman"/>
          <w:color w:val="000000"/>
          <w:sz w:val="24"/>
        </w:rPr>
        <w:t xml:space="preserve">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i/>
          <w:color w:val="000000"/>
          <w:sz w:val="24"/>
        </w:rPr>
        <w:t xml:space="preserve">Phương pháp chi phí thay thế:</w:t>
      </w:r>
      <w:r>
        <w:rPr>
          <w:rFonts w:ascii="Times New Roman" w:hAnsi="Times New Roman" w:eastAsia="Times New Roman" w:cs="Times New Roman"/>
          <w:color w:val="000000"/>
          <w:sz w:val="24"/>
        </w:rPr>
        <w:t xml:space="preserve">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w:t>
      </w:r>
      <w:r>
        <w:rPr>
          <w:rFonts w:ascii="Times New Roman" w:hAnsi="Times New Roman" w:eastAsia="Times New Roman" w:cs="Times New Roman"/>
          <w:color w:val="000000"/>
          <w:sz w:val="24"/>
        </w:rPr>
        <w:t xml:space="preserve">tài sản thẩm định giá</w:t>
      </w:r>
      <w:r>
        <w:rPr>
          <w:rFonts w:ascii="Times New Roman" w:hAnsi="Times New Roman" w:eastAsia="Times New Roman" w:cs="Times New Roman"/>
          <w:color w:val="000000"/>
          <w:spacing w:val="-2"/>
          <w:sz w:val="24"/>
        </w:rPr>
        <w:t xml:space="preserve">.</w:t>
      </w: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cách tiếp cận và phương pháp đối với tài sản thẩm định giá:</w:t>
      </w: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trị quyền sử dụng</w:t>
      </w:r>
      <w:r>
        <w:rPr>
          <w:rFonts w:ascii="Times New Roman" w:hAnsi="Times New Roman" w:eastAsia="Times New Roman" w:cs="Times New Roman"/>
          <w:color w:val="000000"/>
          <w:spacing w:val="-4"/>
          <w:sz w:val="24"/>
        </w:rPr>
        <w:t xml:space="preserve"> đất của tài sản thẩm định giá.</w:t>
      </w: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w:t>
      </w:r>
      <w:r>
        <w:rPr>
          <w:rFonts w:ascii="Times New Roman" w:hAnsi="Times New Roman" w:eastAsia="Times New Roman" w:cs="Times New Roman"/>
          <w:color w:val="000000"/>
          <w:spacing w:val="-4"/>
          <w:sz w:val="24"/>
        </w:rPr>
        <w:t xml:space="preserve">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w:t>
      </w:r>
      <w:r>
        <w:rPr>
          <w:rFonts w:ascii="Times New Roman" w:hAnsi="Times New Roman" w:eastAsia="Times New Roman" w:cs="Times New Roman"/>
          <w:color w:val="000000"/>
          <w:spacing w:val="-4"/>
          <w:sz w:val="24"/>
        </w:rPr>
        <w:t xml:space="preserve">ổ thẩm định sử dụng cách tiếp cận từ chi phí (phương pháp chi phí thay thế) để xác định giá trị công trình gắn liền trên đất của tài sản so sánh và tài sản thẩm định</w:t>
      </w:r>
      <w:r>
        <w:rPr>
          <w:rFonts w:ascii="Times New Roman" w:hAnsi="Times New Roman" w:eastAsia="Times New Roman" w:cs="Times New Roman"/>
          <w:color w:val="000000"/>
          <w:spacing w:val="-2"/>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VIII. GIÁ TRỊ TÀI SẢN THẨM ĐỊNH</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quyền sử dụng đất:</w:t>
      </w: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numPr>
          <w:ilvl w:val="0"/>
          <w:numId w:val="46"/>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sz w:val="24"/>
        </w:rPr>
      </w:r>
      <w:r/>
    </w:p>
    <w:tbl>
      <w:tblPr>
        <w:tblW w:w="0" w:type="auto"/>
        <w:tblBorders/>
        <w:tblLayout w:type="fixed"/>
        <w:tblLook w:val="04A0" w:firstRow="1" w:lastRow="0" w:firstColumn="1" w:lastColumn="0" w:noHBand="0" w:noVBand="1"/>
      </w:tblPr>
      <w:tblGrid>
        <w:gridCol w:w="737"/>
        <w:gridCol w:w="1810"/>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10"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rFonts w:ascii="Times New Roman" w:hAnsi="Times New Roman" w:eastAsia="Times New Roman" w:cs="Times New Roman"/>
                <w:color w:val="000000"/>
                <w:sz w:val="24"/>
              </w:rPr>
              <w:t xml:space="preserve">xã Si Ma Cai, tỉnh Lào Cai</w:t>
            </w:r>
            <w:r>
              <w:rPr>
                <w:rFonts w:ascii="Times New Roman" w:hAnsi="Times New Roman" w:eastAsia="Times New Roman" w:cs="Times New Roman"/>
                <w:sz w:val="24"/>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rFonts w:ascii="Times New Roman" w:hAnsi="Times New Roman" w:eastAsia="Times New Roman" w:cs="Times New Roman"/>
                <w:color w:val="000000"/>
                <w:sz w:val="24"/>
              </w:rPr>
              <w:t xml:space="preserve">xã Si Ma Cai, tỉnh Lào Cai</w:t>
            </w:r>
            <w:r>
              <w:rPr>
                <w:rFonts w:ascii="Times New Roman" w:hAnsi="Times New Roman" w:eastAsia="Times New Roman" w:cs="Times New Roman"/>
                <w:sz w:val="24"/>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rFonts w:ascii="Times New Roman" w:hAnsi="Times New Roman" w:eastAsia="Times New Roman" w:cs="Times New Roman"/>
                <w:color w:val="000000"/>
                <w:sz w:val="24"/>
              </w:rPr>
              <w:t xml:space="preserve">xã Si Ma Cai, tỉnh Lào Cai</w:t>
            </w:r>
            <w:r>
              <w:rPr>
                <w:rFonts w:ascii="Times New Roman" w:hAnsi="Times New Roman" w:eastAsia="Times New Roman" w:cs="Times New Roman"/>
                <w:sz w:val="24"/>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rFonts w:ascii="Times New Roman" w:hAnsi="Times New Roman" w:eastAsia="Times New Roman" w:cs="Times New Roman"/>
                <w:color w:val="000000"/>
                <w:sz w:val="24"/>
              </w:rPr>
              <w:t xml:space="preserve">xã Si Ma Cai, tỉnh Lào Cai</w:t>
            </w:r>
            <w:r>
              <w:rPr>
                <w:rFonts w:ascii="Times New Roman" w:hAnsi="Times New Roman" w:eastAsia="Times New Roman" w:cs="Times New Roman"/>
                <w:sz w:val="24"/>
              </w:rPr>
            </w: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https://www.facebook.com/groups/simacai/posts/3542965452525986/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https://www.facebook.com/groups/simacai/permalink/3567842380038293/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https://www.facebook.com/groups/simacai/permalink/3573189359503595/?rdid=jnULDb1WNUwO8dzx#</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0988104444</w:t>
            </w:r>
            <w:r>
              <w:rPr>
                <w:sz w:val="22"/>
                <w:szCs w:val="22"/>
              </w:rPr>
              <w:t xml:space="preserve"> </w:t>
            </w:r>
            <w:r>
              <w:rPr>
                <w:sz w:val="22"/>
                <w:szCs w:val="22"/>
              </w:rPr>
              <w:br/>
              <w:t xml:space="preserve">(</w:t>
            </w:r>
            <w:r>
              <w:rPr>
                <w:sz w:val="22"/>
                <w:szCs w:val="22"/>
              </w:rPr>
              <w:t xml:space="preserve">Dơ</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0986538888</w:t>
            </w:r>
            <w:r>
              <w:rPr>
                <w:sz w:val="22"/>
                <w:szCs w:val="22"/>
              </w:rPr>
              <w:br/>
            </w:r>
            <w:r>
              <w:rPr>
                <w:sz w:val="22"/>
                <w:szCs w:val="22"/>
              </w:rPr>
              <w:t xml:space="preserve">(</w:t>
            </w:r>
            <w:r>
              <w:rPr>
                <w:sz w:val="22"/>
                <w:szCs w:val="22"/>
              </w:rPr>
              <w:t xml:space="preserve">Xuân Đỉnh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0988104444</w:t>
            </w:r>
            <w:r>
              <w:rPr>
                <w:sz w:val="22"/>
                <w:szCs w:val="22"/>
              </w:rPr>
              <w:br/>
            </w:r>
            <w:r>
              <w:rPr>
                <w:sz w:val="22"/>
                <w:szCs w:val="22"/>
              </w:rPr>
              <w:t xml:space="preserve">(</w:t>
            </w:r>
            <w:r>
              <w:rPr>
                <w:sz w:val="22"/>
                <w:szCs w:val="22"/>
              </w:rPr>
              <w:t xml:space="preserve">Ngọc Lan</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Giấy chứng nhận quyền sử dụng đất</w:t>
            </w: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633"/>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tại:xã Si Ma Cai, Tỉnh Lào Cai,Cách đường tỉnh 153 khoảng 600m. Cách chợ Sima Cai khoảng 2km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Si Ma Cai, Tỉnh Lào Cai, đường Đường 153. Cách chợ Sima Cai khoảng 950,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Si Ma Cai, Tỉnh Lào Cai, khoảng cách ra đường chính Cách đường 153 khoảng 350m, Cách chợ Simacai khoảng 1,9km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Si Ma Cai, Tỉnh Lào Cai, khoảng cách ra đường chính Cách trục đường 153 khoảng 100m, Cách chợ Simacai khoảng 2km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Đường bê tông vỉa hè</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Đường bê tông vỉa hè</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Đường bê tông vỉa hè</w:t>
            </w:r>
            <w:r>
              <w:rPr>
                <w:color w:val="000000"/>
                <w:sz w:val="22"/>
                <w:szCs w:val="22"/>
              </w:rPr>
            </w:r>
            <w:r/>
          </w:p>
        </w:tc>
      </w:tr>
      <w:tr>
        <w:trPr>
          <w:trHeight w:val="61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4,63</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18,03</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View khu dân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View khu dân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View khu dân cư</w:t>
            </w:r>
            <w:r>
              <w:rPr>
                <w:color w:val="000000"/>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Khá</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Khá</w:t>
            </w:r>
            <w:r>
              <w:rPr>
                <w:color w:val="000000"/>
                <w:sz w:val="22"/>
                <w:szCs w:val="22"/>
              </w:rPr>
            </w:r>
            <w:r/>
          </w:p>
        </w:tc>
      </w:tr>
      <w:tr>
        <w:trPr>
          <w:trHeight w:val="0"/>
        </w:trPr>
        <w:tc>
          <w:tcPr>
            <w:tcBorders>
              <w:top w:val="none" w:color="000000" w:sz="4" w:space="0"/>
              <w:left w:val="single" w:color="000000" w:sz="4" w:space="0"/>
              <w:bottom w:val="single" w:color="000000" w:sz="4" w:space="0"/>
              <w:right w:val="single" w:color="000000" w:sz="4" w:space="0"/>
            </w:tcBorders>
            <w:tcW w:w="737"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10"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1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t xml:space="preserve">Đất trống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highlight w:val="none"/>
              </w:rPr>
            </w:pPr>
            <w:r>
              <w:t xml:space="preserve">Nhà 2,5 tầng</w:t>
            </w:r>
            <w:r>
              <w:rPr>
                <w:highlight w:val="none"/>
              </w:rPr>
            </w:r>
            <w:r>
              <w:rPr>
                <w:highlight w:val="none"/>
              </w:rPr>
            </w:r>
          </w:p>
        </w:tc>
      </w:tr>
      <w:tr>
        <w:trPr>
          <w:trHeight w:val="0"/>
        </w:trPr>
        <w:tc>
          <w:tcPr>
            <w:tcBorders>
              <w:top w:val="none" w:color="000000" w:sz="4" w:space="0"/>
              <w:left w:val="single" w:color="000000" w:sz="4" w:space="0"/>
              <w:bottom w:val="single" w:color="000000" w:sz="4" w:space="0"/>
              <w:right w:val="single" w:color="000000" w:sz="4" w:space="0"/>
            </w:tcBorders>
            <w:tcW w:w="737"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rPr/>
            </w:p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highlight w:val="none"/>
              </w:rPr>
            </w:pPr>
            <w:r>
              <w:t xml:space="preserve">2,5</w:t>
            </w:r>
            <w:r>
              <w:rPr>
                <w:highlight w:val="none"/>
              </w:rPr>
            </w:r>
            <w:r>
              <w:rPr>
                <w:highlight w:val="none"/>
              </w:rPr>
            </w:r>
          </w:p>
        </w:tc>
      </w:tr>
      <w:tr>
        <w:trPr>
          <w:trHeight w:val="0"/>
        </w:trPr>
        <w:tc>
          <w:tcPr>
            <w:tcBorders>
              <w:top w:val="none" w:color="000000" w:sz="4" w:space="0"/>
              <w:left w:val="single" w:color="000000" w:sz="4" w:space="0"/>
              <w:bottom w:val="single" w:color="000000" w:sz="4" w:space="0"/>
              <w:right w:val="single" w:color="000000" w:sz="4" w:space="0"/>
            </w:tcBorders>
            <w:tcW w:w="737"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(m2)</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rPr/>
            </w:p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89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t xml:space="preserve">175</w:t>
            </w: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highlight w:val="none"/>
              </w:rPr>
            </w:pPr>
            <w:r>
              <w:rPr>
                <w:color w:val="000000" w:themeColor="text1"/>
                <w:sz w:val="22"/>
                <w:szCs w:val="22"/>
              </w:rPr>
              <w:t xml:space="preserve">24</w:t>
            </w:r>
            <w:r>
              <w:rPr>
                <w:color w:val="000000" w:themeColor="text1"/>
                <w:sz w:val="22"/>
                <w:szCs w:val="22"/>
                <w:highlight w:val="none"/>
              </w:rPr>
            </w:r>
            <w:r>
              <w:rPr>
                <w:color w:val="000000" w:themeColor="text1"/>
                <w:sz w:val="22"/>
                <w:szCs w:val="22"/>
                <w:highlight w:val="none"/>
              </w:rPr>
            </w:r>
          </w:p>
          <w:p>
            <w:pPr>
              <w:pBdr/>
              <w:spacing/>
              <w:ind/>
              <w:jc w:val="center"/>
              <w:rPr>
                <w:color w:val="000000"/>
                <w:sz w:val="22"/>
                <w:szCs w:val="22"/>
              </w:rPr>
            </w:pPr>
            <w:r>
              <w:rPr>
                <w:color w:val="000000" w:themeColor="text1"/>
                <w:sz w:val="22"/>
                <w:szCs w:val="22"/>
                <w:highlight w:val="none"/>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1.997.500.000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1.160.250.000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2.125.000.000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401.697.717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1.058.281.875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425/QĐ-BXD ngày 30/3/2026 của Bộ Xây Dựng (đồng/m²)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5.309.950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7.114.500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tcPr>
          <w:p>
            <w:pPr>
              <w:pBdr/>
              <w:spacing/>
              <w:ind/>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1.595.802.283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1.160.250.000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1.066.718.125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17.910.239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16.284.211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12.775.067</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8"/>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1.595.802.283</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1.160.250.000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1.066.718.125</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17.910.239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16.284.211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12.775.067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17.910.239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16.284.211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12.775.067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17.910.239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16.284.211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12.775.067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17.910.239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16.284.211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12.775.067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tại:xã Si Ma Cai, Tỉnh Lào Cai,Cách đường tỉnh 153 khoảng 600m. Cách chợ Sima Cai khoảng 2km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Si Ma Cai, Tỉnh Lào Cai, đường Đường 153. Cách chợ Sima Cai khoảng 950,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Si Ma Cai, Tỉnh Lào Cai, khoảng cách ra đường chính Cách đường 153 khoảng 350m, Cách chợ Simacai khoảng 1,9km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Si Ma Cai, Tỉnh Lào Cai, khoảng cách ra đường chính Cách trục đường 153 khoảng 100m, Cách chợ Simacai khoảng 2km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-895.512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17.014.727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16.284.211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12.775.067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 vỉa hè</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Đường bê tông vỉa hè</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Đường bê tông vỉa hè</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Đường bê tông vỉa hè</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17.014.727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16.284.211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12.775.067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17.014.727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16.284.211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12.775.067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89,1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71,25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-895.512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-1.302.737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-638.753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16.119.215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14.981.474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12.136.314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716.410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814.211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638.753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16.835.625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15.795.685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12.775.067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18,03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16.835.625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15.795.685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12.775.067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16.835.625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15.795.685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12.775.067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16.835.625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15.795.685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12.775.067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Khá</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Khá</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-2.686.536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14.149.089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15.795.685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12.775.067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14.149.089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15.795.685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12.775.067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14.239.947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-0,64%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10,93%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-10,29%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5.193.970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2.116.948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1.277.506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3.761.150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488.526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-10,29</w:t>
      </w:r>
      <w:r>
        <w:t xml:space="preserve">% đến </w:t>
      </w:r>
      <w:r>
        <w:t xml:space="preserve">10,93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14.149.089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4.717.306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15.795.685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5.264.702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12.775.067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4.257.930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14.239.938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14.200.000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14.200.000</w:t>
      </w:r>
      <w:r>
        <w:rPr>
          <w:b/>
          <w:bCs/>
          <w:color w:val="000000" w:themeColor="text1"/>
        </w:rPr>
        <w:t xml:space="preserve"> </w:t>
      </w:r>
      <w:r>
        <w:rPr>
          <w:b/>
          <w:bCs/>
        </w:rPr>
        <w:t xml:space="preserve">đồng/m².</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firstLine="0" w:left="720"/>
        <w:jc w:val="both"/>
        <w:rPr/>
      </w:pPr>
      <w:r>
        <w:rPr>
          <w:rFonts w:ascii="Times New Roman" w:hAnsi="Times New Roman" w:eastAsia="Times New Roman" w:cs="Times New Roman"/>
          <w:b/>
          <w:color w:val="000000"/>
          <w:sz w:val="24"/>
        </w:rPr>
        <w:t xml:space="preserve">2. Xác định giá trị tài sản gắn liền với đất</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Trên cơ sở tham khảo và phân tích tài sản, Thẩm định viên lựa chọn phương pháp chi phí thay thế để tính giá trị công trình xây dựng như sau: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Giá trị tài sản = Chi phí thay thế - Tổng giá trị hao mòn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                      =  Chi phí thay thế x (1- tỷ lệ hao mòn)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                       = Chi phí thay thế x tỷ lệ chất lượng còn lại của công trình</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2 tầng, cân nhắc và xem xét với mức độ hoàn thiện của công trình xây dựng hiện có, tổ thẩm định nhận thấy đơn giá vận dụng theo Quyết định 425/QĐ-BXD năm 2026 công bố suất vốn đầu tư x</w:t>
      </w:r>
      <w:r>
        <w:rPr>
          <w:rFonts w:ascii="Times New Roman" w:hAnsi="Times New Roman" w:eastAsia="Times New Roman" w:cs="Times New Roman"/>
          <w:color w:val="000000"/>
          <w:sz w:val="24"/>
        </w:rPr>
        <w:t xml:space="preserve">ây dựng và giá xây dựng tổng hợp bộ phận kết cấu công trình 2025 là khá phù hợp với thị trường, theo đó:</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color w:val="000000"/>
          <w:sz w:val="24"/>
        </w:rPr>
        <w:t xml:space="preserve">“Nhà từ 2 đến 3 tầng, kết cấu khung chịu lực BTCT; tường bao xây gạch; sàn, mái BTCT đổ tại chỗ không có tầng hầm, có đơn giá là 8.370.000 đồng/m² sàn.</w:t>
      </w:r>
      <w:r/>
    </w:p>
    <w:p>
      <w:pPr>
        <w:pBdr>
          <w:top w:val="none" w:color="000000" w:sz="4" w:space="0"/>
          <w:left w:val="none" w:color="000000" w:sz="4" w:space="0"/>
          <w:bottom w:val="none" w:color="000000" w:sz="4" w:space="0"/>
          <w:right w:val="none" w:color="000000" w:sz="4" w:space="0"/>
        </w:pBdr>
        <w:tabs>
          <w:tab w:val="left" w:leader="none" w:pos="993"/>
        </w:tabs>
        <w:spacing w:line="312" w:lineRule="auto"/>
        <w:ind w:right="0" w:firstLine="426" w:left="0"/>
        <w:jc w:val="both"/>
        <w:rPr/>
      </w:pPr>
      <w:r>
        <w:rPr>
          <w:rFonts w:ascii="Times New Roman" w:hAnsi="Times New Roman" w:eastAsia="Times New Roman" w:cs="Times New Roman"/>
          <w:color w:val="000000"/>
          <w:sz w:val="24"/>
        </w:rPr>
        <w:t xml:space="preserve">Hệ số điều chỉnh vùng cho Suất đầu tư: Tỉnh Lào Cai thuộc vùng 1 có hệ số điều chỉnh là 0,935.”</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Do đó, Tổ thẩm định xác định đơn giá xây mới của công trình xây dựng là: (Suất đầu tư xây dựng) x (Hệ số vùng) = 8.370.000 x 0,935/1,1= 7.114.500 đồng/m² sàn.</w:t>
      </w: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Xác định Tỷ lệ hao mòn của CTXD</w:t>
      </w:r>
      <w:r>
        <w:rPr>
          <w:rFonts w:ascii="Times New Roman" w:hAnsi="Times New Roman" w:eastAsia="Times New Roman" w:cs="Times New Roman"/>
          <w:color w:val="000000"/>
          <w:sz w:val="24"/>
        </w:rPr>
        <w:t xml:space="preserve">: Qua khảo sát hiện trạng, Tổ thẩm định lựa chọn phương pháp tổng cộng để ước tính Tỷ lệ hao mòn của các công trình xây dựng, cụ thể như sau:</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i/>
          <w:color w:val="000000"/>
          <w:sz w:val="24"/>
        </w:rPr>
        <w:t xml:space="preserve">Xác định tỷ lệ hao mòn theo phương pháp tổng cộng: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Qua khảo sát hiện trạng, dựa vào đặc điểm tài sản và tham khảo ý kiến các chuyên giá về xây dựng, Tổ thẩm định đánh giá chất lượng còn lại của công trình xây dựng theo Văn bản số 1326/BXD-QLN do Bộ Xây dựng ban hành ngày 08/8/2011 về việc hướng dẫn kiểm kê</w:t>
      </w:r>
      <w:r>
        <w:rPr>
          <w:rFonts w:ascii="Times New Roman" w:hAnsi="Times New Roman" w:eastAsia="Times New Roman" w:cs="Times New Roman"/>
          <w:color w:val="000000"/>
          <w:sz w:val="24"/>
        </w:rPr>
        <w:t xml:space="preserve">, đánh giá lại giá trị tài sản cố định là nhà, vật kiến trúc như sau: Tỷ lệ chất lượng còn lại của nhà, vật kiến trúc được xác định căn cứ vào tỷ lệ chất lượng còn lại của các kết cấu chính (nếu là nhà thì kết cấu chính gồm: móng, khung, cột, tường, nền, s</w:t>
      </w:r>
      <w:r>
        <w:rPr>
          <w:rFonts w:ascii="Times New Roman" w:hAnsi="Times New Roman" w:eastAsia="Times New Roman" w:cs="Times New Roman"/>
          <w:color w:val="000000"/>
          <w:sz w:val="24"/>
        </w:rPr>
        <w:t xml:space="preserve">àn, kết cấu đỡ mái và mái) tạo nên nhà đó và tỷ lệ giá trị của các kết cấu chính đó so với tổng giá trị của nhà hoặc vật kiến trúc. </w:t>
      </w:r>
      <w:r/>
    </w:p>
    <w:p>
      <w:pPr>
        <w:pBdr>
          <w:top w:val="none" w:color="000000" w:sz="4" w:space="0"/>
          <w:left w:val="none" w:color="000000" w:sz="4" w:space="0"/>
          <w:bottom w:val="none" w:color="000000" w:sz="4" w:space="0"/>
          <w:right w:val="none" w:color="000000" w:sz="4" w:space="0"/>
        </w:pBdr>
        <w:spacing w:line="264" w:lineRule="auto"/>
        <w:ind w:right="0" w:firstLine="502" w:left="0"/>
        <w:rPr/>
      </w:pPr>
      <w:r>
        <w:rPr>
          <w:rFonts w:ascii="Times New Roman" w:hAnsi="Times New Roman" w:eastAsia="Times New Roman" w:cs="Times New Roman"/>
          <w:color w:val="000000"/>
          <w:sz w:val="24"/>
        </w:rPr>
        <w:t xml:space="preserve">Công thức tính như sau:</w:t>
      </w:r>
      <w:r/>
    </w:p>
    <w:tbl>
      <w:tblPr>
        <w:tblStyle w:val="105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2068"/>
        <w:gridCol w:w="560"/>
        <w:gridCol w:w="700"/>
        <w:gridCol w:w="2864"/>
        <w:gridCol w:w="636"/>
        <w:gridCol w:w="2460"/>
      </w:tblGrid>
      <w:tr>
        <w:trPr/>
        <w:tc>
          <w:tcPr>
            <w:tcBorders/>
            <w:tcMar>
              <w:left w:w="108" w:type="dxa"/>
              <w:top w:w="0" w:type="dxa"/>
              <w:right w:w="108" w:type="dxa"/>
              <w:bottom w:w="0" w:type="dxa"/>
            </w:tcMar>
            <w:tcW w:w="20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color w:val="000000"/>
                <w:sz w:val="24"/>
              </w:rPr>
              <w:t xml:space="preserve">Tỷ lệ chất lượng còn lại của nhà, vật kiến trúc (%)</w:t>
            </w:r>
            <w:r/>
          </w:p>
        </w:tc>
        <w:tc>
          <w:tcPr>
            <w:tcBorders/>
            <w:tcMar>
              <w:left w:w="108" w:type="dxa"/>
              <w:top w:w="0" w:type="dxa"/>
              <w:right w:w="108" w:type="dxa"/>
              <w:bottom w:w="0" w:type="dxa"/>
            </w:tcMar>
            <w:tcW w:w="5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mc:AlternateContent>
                <mc:Choice Requires="wpg">
                  <w:drawing>
                    <wp:inline xmlns:wp="http://schemas.openxmlformats.org/drawingml/2006/wordprocessingDrawing" distT="0" distB="0" distL="0" distR="0">
                      <wp:extent cx="295275" cy="42862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817118" name=""/>
                              <pic:cNvPicPr>
                                <a:picLocks noChangeAspect="1"/>
                              </pic:cNvPicPr>
                              <pic:nvPr/>
                            </pic:nvPicPr>
                            <pic:blipFill rotWithShape="1">
                              <a:blip r:embed="rId18"/>
                              <a:stretch/>
                            </pic:blipFill>
                            <pic:spPr bwMode="auto">
                              <a:xfrm>
                                <a:off x="0" y="0"/>
                                <a:ext cx="295274" cy="4286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3.25pt;height:33.75pt;mso-wrap-distance-left:0.00pt;mso-wrap-distance-top:0.00pt;mso-wrap-distance-right:0.00pt;mso-wrap-distance-bottom:0.00pt;z-index:1;" stroked="false">
                      <v:imagedata r:id="rId18" o:title=""/>
                      <o:lock v:ext="edit" rotation="t"/>
                    </v:shape>
                  </w:pict>
                </mc:Fallback>
              </mc:AlternateContent>
            </w:r>
            <w:r/>
          </w:p>
        </w:tc>
        <w:tc>
          <w:tcPr>
            <w:tcBorders>
              <w:bottom w:val="single" w:color="000000" w:sz="8" w:space="0"/>
            </w:tcBorders>
            <w:tcMar>
              <w:left w:w="108" w:type="dxa"/>
              <w:top w:w="0" w:type="dxa"/>
              <w:right w:w="108" w:type="dxa"/>
              <w:bottom w:w="0" w:type="dxa"/>
            </w:tcMar>
            <w:tcW w:w="28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6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24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w:t>
            </w:r>
            <w:r/>
          </w:p>
        </w:tc>
      </w:tr>
      <w:tr>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rPr/>
      </w:pPr>
      <w:r>
        <w:rPr>
          <w:rFonts w:ascii="Times New Roman" w:hAnsi="Times New Roman" w:eastAsia="Times New Roman" w:cs="Times New Roman"/>
          <w:i/>
          <w:color w:val="000000"/>
          <w:sz w:val="24"/>
        </w:rPr>
        <w:t xml:space="preserve">Trong đó:</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rPr/>
      </w:pPr>
      <w:r>
        <w:rPr>
          <w:rFonts w:ascii="Times New Roman" w:hAnsi="Times New Roman" w:eastAsia="Times New Roman" w:cs="Times New Roman"/>
          <w:color w:val="000000"/>
          <w:sz w:val="24"/>
        </w:rPr>
        <w:t xml:space="preserve">i: số thứ tự của kết cấu chính</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rPr/>
      </w:pPr>
      <w:r>
        <w:rPr>
          <w:rFonts w:ascii="Times New Roman" w:hAnsi="Times New Roman" w:eastAsia="Times New Roman" w:cs="Times New Roman"/>
          <w:color w:val="000000"/>
          <w:sz w:val="24"/>
        </w:rPr>
        <w:t xml:space="preserve">n: số các kết cấu chính.</w:t>
      </w:r>
      <w:r/>
    </w:p>
    <w:tbl>
      <w:tblPr>
        <w:tblStyle w:val="105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80"/>
        <w:gridCol w:w="2146"/>
        <w:gridCol w:w="2129"/>
        <w:gridCol w:w="2380"/>
        <w:gridCol w:w="2378"/>
      </w:tblGrid>
      <w:tr>
        <w:trPr>
          <w:trHeight w:val="20"/>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4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0" w:type="dxa"/>
              <w:top w:w="0" w:type="dxa"/>
              <w:right w:w="0" w:type="dxa"/>
              <w:bottom w:w="0" w:type="dxa"/>
            </w:tcMar>
            <w:tcW w:w="21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0" w:type="dxa"/>
              <w:top w:w="0" w:type="dxa"/>
              <w:right w:w="0" w:type="dxa"/>
              <w:bottom w:w="0" w:type="dxa"/>
            </w:tcMar>
            <w:tcW w:w="21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0" w:type="dxa"/>
              <w:top w:w="0" w:type="dxa"/>
              <w:right w:w="0" w:type="dxa"/>
              <w:bottom w:w="0" w:type="dxa"/>
            </w:tcMar>
            <w:tcW w:w="23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8" w:space="0"/>
              <w:bottom w:val="single" w:color="000000" w:sz="8" w:space="0"/>
              <w:right w:val="single" w:color="000000" w:sz="8" w:space="0"/>
            </w:tcBorders>
            <w:tcMar>
              <w:left w:w="0" w:type="dxa"/>
              <w:top w:w="0" w:type="dxa"/>
              <w:right w:w="0" w:type="dxa"/>
              <w:bottom w:w="0" w:type="dxa"/>
            </w:tcMar>
            <w:tcW w:w="23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4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0" w:type="dxa"/>
              <w:top w:w="0" w:type="dxa"/>
              <w:right w:w="0" w:type="dxa"/>
              <w:bottom w:w="0" w:type="dxa"/>
            </w:tcMar>
            <w:tcW w:w="21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0" w:type="dxa"/>
              <w:top w:w="0" w:type="dxa"/>
              <w:right w:w="0" w:type="dxa"/>
              <w:bottom w:w="0" w:type="dxa"/>
            </w:tcMar>
            <w:tcW w:w="21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0" w:type="dxa"/>
              <w:top w:w="0" w:type="dxa"/>
              <w:right w:w="0" w:type="dxa"/>
              <w:bottom w:w="0" w:type="dxa"/>
            </w:tcMar>
            <w:tcW w:w="23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0" w:type="dxa"/>
              <w:top w:w="0" w:type="dxa"/>
              <w:right w:w="0" w:type="dxa"/>
              <w:bottom w:w="0" w:type="dxa"/>
            </w:tcMar>
            <w:tcW w:w="23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4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0" w:type="dxa"/>
              <w:top w:w="0" w:type="dxa"/>
              <w:right w:w="0" w:type="dxa"/>
              <w:bottom w:w="0" w:type="dxa"/>
            </w:tcMar>
            <w:tcW w:w="214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0" w:type="dxa"/>
              <w:top w:w="0" w:type="dxa"/>
              <w:right w:w="0" w:type="dxa"/>
              <w:bottom w:w="0" w:type="dxa"/>
            </w:tcMar>
            <w:tcW w:w="21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0" w:type="dxa"/>
              <w:top w:w="0" w:type="dxa"/>
              <w:right w:w="0" w:type="dxa"/>
              <w:bottom w:w="0" w:type="dxa"/>
            </w:tcMar>
            <w:tcW w:w="23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93%</w:t>
            </w:r>
            <w:r/>
          </w:p>
        </w:tc>
        <w:tc>
          <w:tcPr>
            <w:tcBorders>
              <w:bottom w:val="single" w:color="000000" w:sz="8" w:space="0"/>
              <w:right w:val="single" w:color="000000" w:sz="8" w:space="0"/>
            </w:tcBorders>
            <w:tcMar>
              <w:left w:w="0" w:type="dxa"/>
              <w:top w:w="0" w:type="dxa"/>
              <w:right w:w="0" w:type="dxa"/>
              <w:bottom w:w="0" w:type="dxa"/>
            </w:tcMar>
            <w:tcW w:w="23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4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0" w:type="dxa"/>
              <w:top w:w="0" w:type="dxa"/>
              <w:right w:w="0" w:type="dxa"/>
              <w:bottom w:w="0" w:type="dxa"/>
            </w:tcMar>
            <w:tcW w:w="214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0" w:type="dxa"/>
              <w:top w:w="0" w:type="dxa"/>
              <w:right w:w="0" w:type="dxa"/>
              <w:bottom w:w="0" w:type="dxa"/>
            </w:tcMar>
            <w:tcW w:w="21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0" w:type="dxa"/>
              <w:top w:w="0" w:type="dxa"/>
              <w:right w:w="0" w:type="dxa"/>
              <w:bottom w:w="0" w:type="dxa"/>
            </w:tcMar>
            <w:tcW w:w="23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0" w:type="dxa"/>
              <w:top w:w="0" w:type="dxa"/>
              <w:right w:w="0" w:type="dxa"/>
              <w:bottom w:w="0" w:type="dxa"/>
            </w:tcMar>
            <w:tcW w:w="23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4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0" w:type="dxa"/>
              <w:top w:w="0" w:type="dxa"/>
              <w:right w:w="0" w:type="dxa"/>
              <w:bottom w:w="0" w:type="dxa"/>
            </w:tcMar>
            <w:tcW w:w="214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0" w:type="dxa"/>
              <w:top w:w="0" w:type="dxa"/>
              <w:right w:w="0" w:type="dxa"/>
              <w:bottom w:w="0" w:type="dxa"/>
            </w:tcMar>
            <w:tcW w:w="21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0" w:type="dxa"/>
              <w:top w:w="0" w:type="dxa"/>
              <w:right w:w="0" w:type="dxa"/>
              <w:bottom w:w="0" w:type="dxa"/>
            </w:tcMar>
            <w:tcW w:w="23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85%</w:t>
            </w:r>
            <w:r/>
          </w:p>
        </w:tc>
        <w:tc>
          <w:tcPr>
            <w:tcBorders>
              <w:bottom w:val="single" w:color="000000" w:sz="8" w:space="0"/>
              <w:right w:val="single" w:color="000000" w:sz="8" w:space="0"/>
            </w:tcBorders>
            <w:tcMar>
              <w:left w:w="0" w:type="dxa"/>
              <w:top w:w="0" w:type="dxa"/>
              <w:right w:w="0" w:type="dxa"/>
              <w:bottom w:w="0" w:type="dxa"/>
            </w:tcMar>
            <w:tcW w:w="23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27%</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4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0" w:type="dxa"/>
              <w:top w:w="0" w:type="dxa"/>
              <w:right w:w="0" w:type="dxa"/>
              <w:bottom w:w="0" w:type="dxa"/>
            </w:tcMar>
            <w:tcW w:w="214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0" w:type="dxa"/>
              <w:top w:w="0" w:type="dxa"/>
              <w:right w:w="0" w:type="dxa"/>
              <w:bottom w:w="0" w:type="dxa"/>
            </w:tcMar>
            <w:tcW w:w="21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c>
          <w:tcPr>
            <w:tcBorders>
              <w:bottom w:val="single" w:color="000000" w:sz="8" w:space="0"/>
              <w:right w:val="single" w:color="000000" w:sz="8" w:space="0"/>
            </w:tcBorders>
            <w:tcMar>
              <w:left w:w="0" w:type="dxa"/>
              <w:top w:w="0" w:type="dxa"/>
              <w:right w:w="0" w:type="dxa"/>
              <w:bottom w:w="0" w:type="dxa"/>
            </w:tcMar>
            <w:tcW w:w="23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90%</w:t>
            </w:r>
            <w:r/>
          </w:p>
        </w:tc>
        <w:tc>
          <w:tcPr>
            <w:tcBorders>
              <w:bottom w:val="single" w:color="000000" w:sz="8" w:space="0"/>
              <w:right w:val="single" w:color="000000" w:sz="8" w:space="0"/>
            </w:tcBorders>
            <w:tcMar>
              <w:left w:w="0" w:type="dxa"/>
              <w:top w:w="0" w:type="dxa"/>
              <w:right w:w="0" w:type="dxa"/>
              <w:bottom w:w="0" w:type="dxa"/>
            </w:tcMar>
            <w:tcW w:w="23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4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0" w:type="dxa"/>
              <w:top w:w="0" w:type="dxa"/>
              <w:right w:w="0" w:type="dxa"/>
              <w:bottom w:w="0" w:type="dxa"/>
            </w:tcMar>
            <w:tcW w:w="214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0" w:type="dxa"/>
              <w:top w:w="0" w:type="dxa"/>
              <w:right w:w="0" w:type="dxa"/>
              <w:bottom w:w="0" w:type="dxa"/>
            </w:tcMar>
            <w:tcW w:w="21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0" w:type="dxa"/>
              <w:top w:w="0" w:type="dxa"/>
              <w:right w:w="0" w:type="dxa"/>
              <w:bottom w:w="0" w:type="dxa"/>
            </w:tcMar>
            <w:tcW w:w="23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0" w:type="dxa"/>
              <w:top w:w="0" w:type="dxa"/>
              <w:right w:w="0" w:type="dxa"/>
              <w:bottom w:w="0" w:type="dxa"/>
            </w:tcMar>
            <w:tcW w:w="23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4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0" w:type="dxa"/>
              <w:top w:w="0" w:type="dxa"/>
              <w:right w:w="0" w:type="dxa"/>
              <w:bottom w:w="0" w:type="dxa"/>
            </w:tcMar>
            <w:tcW w:w="214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0" w:type="dxa"/>
              <w:top w:w="0" w:type="dxa"/>
              <w:right w:w="0" w:type="dxa"/>
              <w:bottom w:w="0" w:type="dxa"/>
            </w:tcMar>
            <w:tcW w:w="21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0" w:type="dxa"/>
              <w:top w:w="0" w:type="dxa"/>
              <w:right w:w="0" w:type="dxa"/>
              <w:bottom w:w="0" w:type="dxa"/>
            </w:tcMar>
            <w:tcW w:w="23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85%</w:t>
            </w:r>
            <w:r/>
          </w:p>
        </w:tc>
        <w:tc>
          <w:tcPr>
            <w:tcBorders>
              <w:bottom w:val="single" w:color="000000" w:sz="8" w:space="0"/>
              <w:right w:val="single" w:color="000000" w:sz="8" w:space="0"/>
            </w:tcBorders>
            <w:tcMar>
              <w:left w:w="0" w:type="dxa"/>
              <w:top w:w="0" w:type="dxa"/>
              <w:right w:w="0" w:type="dxa"/>
              <w:bottom w:w="0" w:type="dxa"/>
            </w:tcMar>
            <w:tcW w:w="23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4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21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 (g)</w:t>
            </w:r>
            <w:r/>
          </w:p>
        </w:tc>
        <w:tc>
          <w:tcPr>
            <w:tcBorders>
              <w:bottom w:val="single" w:color="000000" w:sz="8" w:space="0"/>
              <w:right w:val="single" w:color="000000" w:sz="8" w:space="0"/>
            </w:tcBorders>
            <w:tcMar>
              <w:left w:w="0" w:type="dxa"/>
              <w:top w:w="0" w:type="dxa"/>
              <w:right w:w="0" w:type="dxa"/>
              <w:bottom w:w="0" w:type="dxa"/>
            </w:tcMar>
            <w:tcW w:w="21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57%</w:t>
            </w:r>
            <w:r/>
          </w:p>
        </w:tc>
        <w:tc>
          <w:tcPr>
            <w:tcBorders>
              <w:bottom w:val="single" w:color="000000" w:sz="8" w:space="0"/>
              <w:right w:val="single" w:color="000000" w:sz="8" w:space="0"/>
            </w:tcBorders>
            <w:tcMar>
              <w:left w:w="0" w:type="dxa"/>
              <w:top w:w="0" w:type="dxa"/>
              <w:right w:w="0" w:type="dxa"/>
              <w:bottom w:w="0" w:type="dxa"/>
            </w:tcMar>
            <w:tcW w:w="23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23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4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21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w:t>
            </w:r>
            <w:r/>
          </w:p>
        </w:tc>
        <w:tc>
          <w:tcPr>
            <w:tcBorders>
              <w:bottom w:val="single" w:color="000000" w:sz="8" w:space="0"/>
              <w:right w:val="single" w:color="000000" w:sz="8" w:space="0"/>
            </w:tcBorders>
            <w:tcMar>
              <w:left w:w="0" w:type="dxa"/>
              <w:top w:w="0" w:type="dxa"/>
              <w:right w:w="0" w:type="dxa"/>
              <w:bottom w:w="0" w:type="dxa"/>
            </w:tcMar>
            <w:tcW w:w="21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23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23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88%</w:t>
            </w:r>
            <w:r/>
          </w:p>
        </w:tc>
      </w:tr>
    </w:tbl>
    <w:p>
      <w:pPr>
        <w:numPr>
          <w:ilvl w:val="0"/>
          <w:numId w:val="48"/>
        </w:numPr>
        <w:pBdr>
          <w:top w:val="none" w:color="000000" w:sz="4" w:space="0"/>
          <w:left w:val="none" w:color="000000" w:sz="4" w:space="0"/>
          <w:bottom w:val="none" w:color="000000" w:sz="4" w:space="0"/>
          <w:right w:val="none" w:color="000000" w:sz="4" w:space="0"/>
        </w:pBdr>
        <w:spacing w:after="120" w:before="240" w:line="360"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tbl>
      <w:tblPr>
        <w:tblStyle w:val="1052"/>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587"/>
        <w:gridCol w:w="1587"/>
        <w:gridCol w:w="1587"/>
        <w:gridCol w:w="1587"/>
        <w:gridCol w:w="1587"/>
        <w:gridCol w:w="1587"/>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Chi phí thay thế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Tỷ lệ chất lượng còn lại(%)</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Giá trị thẩm định tại thời điểm thẩm định giá (đồng)</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(4) = (2) * (3)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(7) = (4) - (6)</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2"/>
              </w:rPr>
              <w:t xml:space="preserve">Nhà 2 tầng</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2"/>
              </w:rPr>
              <w:t xml:space="preserve">185</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2"/>
              </w:rPr>
              <w:t xml:space="preserve">7.114.500</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1.316.182.500</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2"/>
              </w:rPr>
              <w:t xml:space="preserve">88%</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4"/>
              </w:rPr>
              <w:t xml:space="preserve">1.152.236.961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 </w:t>
      </w:r>
      <w:r>
        <w:rPr>
          <w:b/>
          <w:lang w:val="pt-BR"/>
        </w:rPr>
        <w:t xml:space="preserve">Kết quả thẩm định giá:</w:t>
      </w:r>
      <w:r>
        <w:rPr>
          <w:rFonts w:ascii="Times New Roman" w:hAnsi="Times New Roman" w:eastAsia="Times New Roman" w:cs="Times New Roman"/>
          <w:sz w:val="24"/>
        </w:rPr>
      </w:r>
      <w:r/>
    </w:p>
    <w:p>
      <w:pPr>
        <w:pStyle w:val="1048"/>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04/2026</w:t>
      </w:r>
      <w:r>
        <w:t xml:space="preserve"> </w:t>
      </w:r>
      <w:r>
        <w:t xml:space="preserve">ước tính </w:t>
      </w:r>
      <w:r>
        <w:t xml:space="preserve">như sau</w:t>
      </w:r>
      <w:r>
        <w:t xml:space="preserve">:</w:t>
      </w:r>
      <w:r>
        <w:rPr>
          <w:highlight w:val="none"/>
        </w:rPr>
      </w:r>
      <w:r>
        <w:rPr>
          <w:highlight w:val="none"/>
        </w:rPr>
      </w:r>
    </w:p>
    <w:p>
      <w:pPr>
        <w:pStyle w:val="1048"/>
        <w:pBdr/>
        <w:tabs>
          <w:tab w:val="left" w:leader="none" w:pos="993"/>
        </w:tabs>
        <w:spacing w:after="120" w:before="120" w:line="276" w:lineRule="auto"/>
        <w:ind w:left="0"/>
        <w:jc w:val="both"/>
        <w:rPr/>
      </w:pPr>
      <w:r/>
      <w:r/>
    </w:p>
    <w:p>
      <w:pPr>
        <w:pStyle w:val="1048"/>
        <w:pBdr/>
        <w:tabs>
          <w:tab w:val="left" w:leader="none" w:pos="993"/>
        </w:tabs>
        <w:spacing w:after="120" w:before="120" w:line="276" w:lineRule="auto"/>
        <w:ind w:left="0"/>
        <w:jc w:val="both"/>
        <w:rPr/>
      </w:pPr>
      <w:r/>
      <w:r/>
    </w:p>
    <w:p>
      <w:pPr>
        <w:pStyle w:val="1048"/>
        <w:pBdr/>
        <w:tabs>
          <w:tab w:val="left" w:leader="none" w:pos="993"/>
        </w:tabs>
        <w:spacing w:after="120" w:before="120" w:line="276" w:lineRule="auto"/>
        <w:ind w:left="0"/>
        <w:jc w:val="both"/>
        <w:rPr/>
      </w:pPr>
      <w:r>
        <w:rPr>
          <w:highlight w:val="none"/>
        </w:rPr>
      </w:r>
      <w:r>
        <w:rPr>
          <w:highlight w:val="none"/>
        </w:rPr>
      </w:r>
      <w:r/>
    </w:p>
    <w:tbl>
      <w:tblPr>
        <w:tblStyle w:val="105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7"/>
        <w:gridCol w:w="2126"/>
        <w:gridCol w:w="1606"/>
        <w:gridCol w:w="1606"/>
        <w:gridCol w:w="1606"/>
        <w:gridCol w:w="1843"/>
      </w:tblGrid>
      <w:tr>
        <w:trPr>
          <w:trHeight w:val="73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Diện tích </w:t>
              <w:br/>
              <w:t xml:space="preserve"> (m²)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Đơn giá </w:t>
              <w:br/>
              <w:t xml:space="preserve"> (đồng/m²)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CLCL </w:t>
              <w:br/>
              <w:t xml:space="preserve"> (%)</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Thành tiền </w:t>
              <w:br/>
              <w:t xml:space="preserve"> (đồng)</w:t>
            </w:r>
            <w:r/>
          </w:p>
        </w:tc>
      </w:tr>
      <w:tr>
        <w:trPr>
          <w:trHeight w:val="189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69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24, tờ bản đồ số: 73 có địa chỉ: Thôn Hoàng Thu Phố, xã Si Ma Cai, tỉnh Lào Cai theo Giấy chứng nhận Quyền sử dụng đất quyền sở hữu tài sản gắn liền với đất số: AA 03186617, số vào sổ cấp GCN: </w:t>
            </w:r>
            <w:r>
              <w:rPr>
                <w:rFonts w:ascii="Times New Roman" w:hAnsi="Times New Roman" w:eastAsia="Times New Roman" w:cs="Times New Roman"/>
                <w:b/>
                <w:color w:val="000000"/>
                <w:sz w:val="24"/>
              </w:rPr>
              <w:t xml:space="preserve">CN 21 do Chi nhánh văn phòng đăng ký đất đai khu vực Si Ma Cai cấp ngày 15/8/2025; Chủ sử dụng đất là ông Ngô Hiến Chương.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31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0" w:type="dxa"/>
              <w:top w:w="0" w:type="dxa"/>
              <w:right w:w="0" w:type="dxa"/>
              <w:bottom w:w="0" w:type="dxa"/>
            </w:tcMar>
            <w:tcW w:w="160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14.200.000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4"/>
              </w:rPr>
              <w:t xml:space="preserve">1.420.000.000</w:t>
            </w:r>
            <w:r/>
          </w:p>
        </w:tc>
      </w:tr>
      <w:tr>
        <w:trPr>
          <w:trHeight w:val="67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Nhà 2 tầng</w:t>
            </w:r>
            <w:r/>
          </w:p>
        </w:tc>
        <w:tc>
          <w:tcPr>
            <w:tcBorders>
              <w:bottom w:val="single" w:color="000000" w:sz="8" w:space="0"/>
              <w:right w:val="single" w:color="000000" w:sz="8" w:space="0"/>
            </w:tcBorders>
            <w:tcMar>
              <w:left w:w="0" w:type="dxa"/>
              <w:top w:w="0" w:type="dxa"/>
              <w:right w:w="0" w:type="dxa"/>
              <w:bottom w:w="0" w:type="dxa"/>
            </w:tcMar>
            <w:tcW w:w="160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185</w:t>
            </w:r>
            <w:r/>
          </w:p>
        </w:tc>
        <w:tc>
          <w:tcPr>
            <w:shd w:val="clear" w:color="ffffff" w:fill="ffffff"/>
            <w:tcBorders>
              <w:bottom w:val="single" w:color="000000" w:sz="8" w:space="0"/>
              <w:right w:val="single" w:color="000000" w:sz="8" w:space="0"/>
            </w:tcBorders>
            <w:tcMar>
              <w:left w:w="0" w:type="dxa"/>
              <w:top w:w="0" w:type="dxa"/>
              <w:right w:w="0" w:type="dxa"/>
              <w:bottom w:w="0" w:type="dxa"/>
            </w:tcMar>
            <w:tcW w:w="1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2"/>
              </w:rPr>
              <w:t xml:space="preserve">7.114.500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88%</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4"/>
              </w:rPr>
              <w:t xml:space="preserve"> 1.152.236.961 </w:t>
            </w:r>
            <w:r/>
          </w:p>
        </w:tc>
      </w:tr>
      <w:tr>
        <w:trPr>
          <w:trHeight w:val="310"/>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768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0" w:type="dxa"/>
              <w:top w:w="0" w:type="dxa"/>
              <w:right w:w="0" w:type="dxa"/>
              <w:bottom w:w="0" w:type="dxa"/>
            </w:tcMar>
            <w:tcW w:w="1843"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2.578.240.600</w:t>
            </w:r>
            <w:r/>
          </w:p>
        </w:tc>
      </w:tr>
      <w:tr>
        <w:trPr>
          <w:trHeight w:val="310"/>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768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0" w:type="dxa"/>
              <w:top w:w="0" w:type="dxa"/>
              <w:right w:w="0" w:type="dxa"/>
              <w:bottom w:w="0" w:type="dxa"/>
            </w:tcMar>
            <w:tcW w:w="1843"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2.578.000.000</w:t>
            </w:r>
            <w:r/>
          </w:p>
        </w:tc>
      </w:tr>
      <w:tr>
        <w:trPr>
          <w:trHeight w:val="310"/>
        </w:trPr>
        <w:tc>
          <w:tcPr>
            <w:gridSpan w:val="6"/>
            <w:tcBorders>
              <w:left w:val="single" w:color="000000" w:sz="8" w:space="0"/>
              <w:bottom w:val="single" w:color="000000" w:sz="8" w:space="0"/>
              <w:right w:val="single" w:color="000000" w:sz="8" w:space="0"/>
            </w:tcBorders>
            <w:tcMar>
              <w:left w:w="0" w:type="dxa"/>
              <w:top w:w="0" w:type="dxa"/>
              <w:right w:w="0" w:type="dxa"/>
              <w:bottom w:w="0" w:type="dxa"/>
            </w:tcMar>
            <w:tcW w:w="95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tỷ năm trăm bảy mươi tám triệu đồng chẵn ./.)</w:t>
            </w:r>
            <w:r/>
          </w:p>
        </w:tc>
      </w:tr>
    </w:tbl>
    <w:p>
      <w:pPr>
        <w:pStyle w:val="1048"/>
        <w:pBdr/>
        <w:tabs>
          <w:tab w:val="left" w:leader="none" w:pos="993"/>
        </w:tabs>
        <w:spacing w:after="120" w:before="120" w:line="276" w:lineRule="auto"/>
        <w:ind w:left="0"/>
        <w:jc w:val="both"/>
        <w:rPr/>
      </w:pPr>
      <w:r/>
      <w:r/>
    </w:p>
    <w:p>
      <w:pPr>
        <w:pStyle w:val="1048"/>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8"/>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8"/>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8"/>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8"/>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8"/>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8"/>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8"/>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8"/>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8"/>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8"/>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8"/>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8"/>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8"/>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8"/>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8"/>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8"/>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8"/>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8"/>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48"/>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50"/>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color w:val="000000"/>
          <w:sz w:val="24"/>
        </w:rPr>
        <w:t xml:space="preserve">Tại thời điểm khảo sát dưới sự hướng dẫn của khách hàng, tổ thẩm định nhận thấy trên đất có 01 CTXD là nhà 2 tầng xây dựng khoảng 92,5m²/sàn, tổng diện tích xây dựng khoảng 185m², xây năm 2020. Công trình chưa được chứng nhận trên GCN số AA 03186617. Hiện </w:t>
      </w:r>
      <w:r>
        <w:rPr>
          <w:rFonts w:ascii="Times New Roman" w:hAnsi="Times New Roman" w:eastAsia="Times New Roman" w:cs="Times New Roman"/>
          <w:color w:val="000000"/>
          <w:sz w:val="24"/>
        </w:rPr>
        <w:t xml:space="preserve">công trình đang được s</w:t>
      </w:r>
      <w:r>
        <w:rPr>
          <w:rFonts w:ascii="Times New Roman" w:hAnsi="Times New Roman" w:eastAsia="Times New Roman" w:cs="Times New Roman"/>
          <w:color w:val="000000"/>
          <w:sz w:val="24"/>
        </w:rPr>
        <w:t xml:space="preserve">ử dụng để ở. Ngoài ra, Tổ thẩm định không thu thập được bất kì hồ sơ pháp lí nào liên quan đến công trình xây dựng nêu trên. Do đó, theo đề nghị của Khách hàng/Ngân hàng, Tổ thẩm định xác định giá trị công trình xây dựng này theo khảo sát đo đạc thực tế ch</w:t>
      </w:r>
      <w:r>
        <w:rPr>
          <w:rFonts w:ascii="Times New Roman" w:hAnsi="Times New Roman" w:eastAsia="Times New Roman" w:cs="Times New Roman"/>
          <w:color w:val="000000"/>
          <w:sz w:val="24"/>
        </w:rPr>
        <w:t xml:space="preserve">o mục đích tham khảo với giả định thông số đo đạc được là chính xác. Kính đề nghị đơn vị sử dụng kết quả lưu ý.</w:t>
      </w:r>
      <w:r>
        <w:rPr>
          <w:highlight w:val="none"/>
          <w:lang w:val="vi-VN"/>
        </w:rPr>
      </w:r>
      <w:r/>
    </w:p>
    <w:p>
      <w:pPr>
        <w:pStyle w:val="1048"/>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48"/>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8"/>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8"/>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8"/>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8"/>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48"/>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275/2026/0593/VFI-CT.39.A</w:t>
      </w:r>
      <w:r>
        <w:rPr>
          <w:color w:val="ff0000"/>
          <w:lang w:val="vi-VN"/>
        </w:rPr>
        <w:t xml:space="preserve"> </w:t>
      </w:r>
      <w:r>
        <w:rPr>
          <w:color w:val="000000" w:themeColor="text1"/>
        </w:rPr>
        <w:t xml:space="preserve">ngày 17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275/2026/0593/VFI-BC.39.A</w:t>
      </w:r>
      <w:r>
        <w:rPr>
          <w:i/>
        </w:rPr>
        <w:t xml:space="preserve"> ngày</w:t>
      </w:r>
      <w:r>
        <w:rPr>
          <w:i/>
          <w:lang w:val="pt-BR"/>
        </w:rPr>
        <w:t xml:space="preserve"> </w:t>
      </w:r>
      <w:r>
        <w:rPr>
          <w:i/>
          <w:lang w:val="pt-BR"/>
        </w:rPr>
        <w:t xml:space="preserve">17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5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rHeight w:val="0"/>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rHeight w:val="0"/>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067408" cy="231681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931750" name=""/>
                              <pic:cNvPicPr>
                                <a:picLocks noChangeAspect="1"/>
                              </pic:cNvPicPr>
                              <pic:nvPr/>
                            </pic:nvPicPr>
                            <pic:blipFill rotWithShape="1">
                              <a:blip r:embed="rId19"/>
                              <a:stretch/>
                            </pic:blipFill>
                            <pic:spPr bwMode="auto">
                              <a:xfrm flipH="0" flipV="0">
                                <a:off x="0" y="0"/>
                                <a:ext cx="1067408" cy="23168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84.05pt;height:182.43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00432" cy="209883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274523" name=""/>
                              <pic:cNvPicPr>
                                <a:picLocks noChangeAspect="1"/>
                              </pic:cNvPicPr>
                              <pic:nvPr/>
                            </pic:nvPicPr>
                            <pic:blipFill rotWithShape="1">
                              <a:blip r:embed="rId20"/>
                              <a:stretch/>
                            </pic:blipFill>
                            <pic:spPr bwMode="auto">
                              <a:xfrm flipH="0" flipV="0">
                                <a:off x="0" y="0"/>
                                <a:ext cx="2800432" cy="20988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0.51pt;height:165.26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rHeight w:val="0"/>
        </w:trPr>
        <w:tc>
          <w:tcPr>
            <w:tcBorders/>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trước tài sản</w:t>
            </w:r>
            <w:r/>
          </w:p>
        </w:tc>
        <w:tc>
          <w:tcPr>
            <w:tcBorders/>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r>
      <w:tr>
        <w:trPr>
          <w:trHeight w:val="0"/>
        </w:trPr>
        <w:tc>
          <w:tcPr>
            <w:tcBorders/>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1787430" cy="238529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472470" name=""/>
                              <pic:cNvPicPr>
                                <a:picLocks noChangeAspect="1"/>
                              </pic:cNvPicPr>
                              <pic:nvPr/>
                            </pic:nvPicPr>
                            <pic:blipFill rotWithShape="1">
                              <a:blip r:embed="rId21"/>
                              <a:stretch/>
                            </pic:blipFill>
                            <pic:spPr bwMode="auto">
                              <a:xfrm flipH="0" flipV="0">
                                <a:off x="0" y="0"/>
                                <a:ext cx="1787429" cy="23852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0.74pt;height:187.82pt;mso-wrap-distance-left:0.00pt;mso-wrap-distance-top:0.00pt;mso-wrap-distance-right:0.00pt;mso-wrap-distance-bottom:0.00pt;z-index:1;" stroked="false">
                      <v:imagedata r:id="rId21" o:title=""/>
                      <o:lock v:ext="edit" rotation="t"/>
                    </v:shape>
                  </w:pict>
                </mc:Fallback>
              </mc:AlternateContent>
            </w:r>
            <w:r/>
          </w:p>
        </w:tc>
        <w:tc>
          <w:tcPr>
            <w:tcBorders/>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1821698" cy="243121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916318" name=""/>
                              <pic:cNvPicPr>
                                <a:picLocks noChangeAspect="1"/>
                              </pic:cNvPicPr>
                              <pic:nvPr/>
                            </pic:nvPicPr>
                            <pic:blipFill rotWithShape="1">
                              <a:blip r:embed="rId22"/>
                              <a:stretch/>
                            </pic:blipFill>
                            <pic:spPr bwMode="auto">
                              <a:xfrm flipH="0" flipV="0">
                                <a:off x="0" y="0"/>
                                <a:ext cx="1821698" cy="24312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43.44pt;height:191.43pt;mso-wrap-distance-left:0.00pt;mso-wrap-distance-top:0.00pt;mso-wrap-distance-right:0.00pt;mso-wrap-distance-bottom:0.00pt;z-index:1;" stroked="false">
                      <v:imagedata r:id="rId22" o:title=""/>
                      <o:lock v:ext="edit" rotation="t"/>
                    </v:shape>
                  </w:pict>
                </mc:Fallback>
              </mc:AlternateContent>
            </w:r>
            <w:r/>
          </w:p>
        </w:tc>
      </w:tr>
      <w:tr>
        <w:trPr>
          <w:trHeight w:val="0"/>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rHeight w:val="0"/>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903233" cy="254002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963052" name=""/>
                              <pic:cNvPicPr>
                                <a:picLocks noChangeAspect="1"/>
                              </pic:cNvPicPr>
                              <pic:nvPr/>
                            </pic:nvPicPr>
                            <pic:blipFill rotWithShape="1">
                              <a:blip r:embed="rId23"/>
                              <a:stretch/>
                            </pic:blipFill>
                            <pic:spPr bwMode="auto">
                              <a:xfrm flipH="0" flipV="0">
                                <a:off x="0" y="0"/>
                                <a:ext cx="1903232" cy="25400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9.86pt;height:200.0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020399" cy="269386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19923" name=""/>
                              <pic:cNvPicPr>
                                <a:picLocks noChangeAspect="1"/>
                              </pic:cNvPicPr>
                              <pic:nvPr/>
                            </pic:nvPicPr>
                            <pic:blipFill rotWithShape="1">
                              <a:blip r:embed="rId24"/>
                              <a:stretch/>
                            </pic:blipFill>
                            <pic:spPr bwMode="auto">
                              <a:xfrm flipH="0" flipV="0">
                                <a:off x="0" y="0"/>
                                <a:ext cx="2020398" cy="26938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59.09pt;height:212.12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275/2026/0593/VFI-BC.39.A</w:t>
      </w:r>
      <w:r>
        <w:rPr>
          <w:i/>
        </w:rPr>
        <w:t xml:space="preserve"> ngày</w:t>
      </w:r>
      <w:r>
        <w:rPr>
          <w:i/>
          <w:lang w:val="pt-BR"/>
        </w:rPr>
        <w:t xml:space="preserve"> </w:t>
      </w:r>
      <w:r>
        <w:rPr>
          <w:i/>
          <w:lang w:val="pt-BR"/>
        </w:rPr>
        <w:t xml:space="preserve">17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https://www.facebook.com/groups/simacai/posts/3542965452525986/</w:t>
            </w:r>
            <w:r>
              <w:rPr>
                <w:color w:val="000000" w:themeColor="text1"/>
                <w:sz w:val="22"/>
                <w:szCs w:val="22"/>
              </w:rPr>
              <w:br/>
              <w:t xml:space="preserve">0988104444</w:t>
            </w:r>
            <w:r>
              <w:rPr>
                <w:sz w:val="22"/>
                <w:szCs w:val="22"/>
              </w:rPr>
              <w:t xml:space="preserve"> </w:t>
            </w:r>
            <w:r>
              <w:rPr>
                <w:sz w:val="22"/>
                <w:szCs w:val="22"/>
              </w:rPr>
              <w:br/>
              <w:t xml:space="preserve">(Dơ</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1.997.500.000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(89.1m²)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Thị trấn Si Ma Cai, Huyện Si Ma Cai, Tỉnh Lào Cai, đường tỉnh 153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Bê tông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89,1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32422"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2324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75.78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62652"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3626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22.2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Đinh Thị Lan Hương</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https://www.facebook.com/groups/simacai/permalink/3567842380038293/</w:t>
            </w:r>
            <w:r>
              <w:rPr>
                <w:color w:val="000000" w:themeColor="text1"/>
                <w:sz w:val="22"/>
                <w:szCs w:val="22"/>
              </w:rPr>
              <w:br/>
              <w:t xml:space="preserve">0986538888</w:t>
            </w:r>
            <w:r>
              <w:rPr>
                <w:sz w:val="22"/>
                <w:szCs w:val="22"/>
              </w:rPr>
              <w:t xml:space="preserve"> </w:t>
            </w:r>
            <w:r>
              <w:rPr>
                <w:sz w:val="22"/>
                <w:szCs w:val="22"/>
              </w:rPr>
              <w:br/>
              <w:t xml:space="preserve">(Xuân Đỉnh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1.160.250.000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(71.25m²)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Thị trấn Si Ma Cai, Huyện Si Ma Cai, Tỉnh Lào Cai, khoảng cách ra đường chính Cách đường 153 khoảng 350m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71,25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88329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670207527" name="" descr=""/>
                              <pic:cNvPicPr/>
                              <pic:nvPr/>
                            </pic:nvPicPr>
                            <pic:blipFill rotWithShape="1">
                              <a:blip r:embed="rId28"/>
                              <a:stretch/>
                            </pic:blipFill>
                            <pic:spPr bwMode="auto">
                              <a:xfrm>
                                <a:off x="0" y="0"/>
                                <a:ext cx="388329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05.77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1926"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6192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5.11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533525" cy="192405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445744" name=""/>
                              <pic:cNvPicPr>
                                <a:picLocks noChangeAspect="1"/>
                              </pic:cNvPicPr>
                              <pic:nvPr/>
                            </pic:nvPicPr>
                            <pic:blipFill rotWithShape="1">
                              <a:blip r:embed="rId30"/>
                              <a:stretch/>
                            </pic:blipFill>
                            <pic:spPr bwMode="auto">
                              <a:xfrm rot="0" flipH="0" flipV="0">
                                <a:off x="0" y="0"/>
                                <a:ext cx="1533524" cy="19240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20.75pt;height:151.50pt;mso-wrap-distance-left:0.00pt;mso-wrap-distance-top:0.00pt;mso-wrap-distance-right:0.00pt;mso-wrap-distance-bottom:0.00pt;rotation:0;z-index:1;" stroked="false">
                      <v:imagedata r:id="rId30"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Đinh Thị Lan Hương</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https://www.facebook.com/groups/simacai/permalink/3573189359503595/?rdid=jnULDb1WNUwO8dzx#</w:t>
            </w:r>
            <w:r>
              <w:rPr>
                <w:color w:val="000000" w:themeColor="text1"/>
                <w:sz w:val="22"/>
                <w:szCs w:val="22"/>
              </w:rPr>
              <w:br/>
            </w:r>
            <w:r>
              <w:rPr>
                <w:sz w:val="22"/>
                <w:szCs w:val="22"/>
              </w:rPr>
              <w:t xml:space="preserve">SĐT: </w:t>
            </w:r>
            <w:r>
              <w:rPr>
                <w:color w:val="000000" w:themeColor="text1"/>
                <w:sz w:val="22"/>
                <w:szCs w:val="22"/>
              </w:rPr>
              <w:t xml:space="preserve">0988104444</w:t>
            </w:r>
            <w:r>
              <w:rPr>
                <w:sz w:val="22"/>
                <w:szCs w:val="22"/>
              </w:rPr>
              <w:t xml:space="preserve"> </w:t>
            </w:r>
            <w:r>
              <w:rPr>
                <w:sz w:val="22"/>
                <w:szCs w:val="22"/>
              </w:rPr>
              <w:br/>
              <w:t xml:space="preserve">(Ngọc Lan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2.125.000.000</w:t>
            </w:r>
            <w:r>
              <w:rPr>
                <w:sz w:val="22"/>
                <w:szCs w:val="22"/>
              </w:rPr>
            </w:r>
            <w:r>
              <w:rPr>
                <w:sz w:val="22"/>
                <w:szCs w:val="22"/>
              </w:rPr>
            </w:r>
          </w:p>
        </w:tc>
      </w:tr>
      <w:tr>
        <w:trPr>
          <w:trHeight w:val="35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(83.5m²)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Thị trấn Si Ma Cai, Huyện Si Ma Cai, Tỉnh Lào Cai, khoảng cách ra đường chính Cách trục đường 153 khoảng 100m, độ rộng đường trước mặt tài sản 7.5m, mặt tiền 4.63m, 22.690884751879665, 104.27365376256562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645240" cy="2864011"/>
                      <wp:effectExtent l="0" t="0" r="0" b="0"/>
                      <wp:docPr id="19" name=""/>
                      <wp:cNvGraphicFramePr/>
                      <a:graphic xmlns:a="http://schemas.openxmlformats.org/drawingml/2006/main">
                        <a:graphicData uri="http://schemas.openxmlformats.org/drawingml/2006/picture">
                          <pic:pic xmlns:pic="http://schemas.openxmlformats.org/drawingml/2006/picture">
                            <pic:nvPicPr>
                              <pic:cNvPr id="1240144333" name="" descr=""/>
                              <pic:cNvPicPr/>
                              <pic:nvPr/>
                            </pic:nvPicPr>
                            <pic:blipFill rotWithShape="1">
                              <a:blip r:embed="rId31"/>
                              <a:stretch/>
                            </pic:blipFill>
                            <pic:spPr bwMode="auto">
                              <a:xfrm flipH="0" flipV="0">
                                <a:off x="0" y="0"/>
                                <a:ext cx="3645239" cy="286401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87.03pt;height:225.51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057275" cy="18288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127058" name=""/>
                              <pic:cNvPicPr>
                                <a:picLocks noChangeAspect="1"/>
                              </pic:cNvPicPr>
                              <pic:nvPr/>
                            </pic:nvPicPr>
                            <pic:blipFill rotWithShape="1">
                              <a:blip r:embed="rId32"/>
                              <a:stretch/>
                            </pic:blipFill>
                            <pic:spPr bwMode="auto">
                              <a:xfrm>
                                <a:off x="0" y="0"/>
                                <a:ext cx="1057275" cy="1828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83.25pt;height:144.00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276060" cy="2311740"/>
                      <wp:effectExtent l="0" t="0" r="0" b="0"/>
                      <wp:docPr id="22" name=""/>
                      <wp:cNvGraphicFramePr/>
                      <a:graphic xmlns:a="http://schemas.openxmlformats.org/drawingml/2006/main">
                        <a:graphicData uri="http://schemas.openxmlformats.org/drawingml/2006/picture">
                          <pic:pic xmlns:pic="http://schemas.openxmlformats.org/drawingml/2006/picture">
                            <pic:nvPicPr>
                              <pic:cNvPr id="306884372" name="" descr=""/>
                              <pic:cNvPicPr/>
                              <pic:nvPr/>
                            </pic:nvPicPr>
                            <pic:blipFill rotWithShape="1">
                              <a:blip r:embed="rId34"/>
                              <a:stretch/>
                            </pic:blipFill>
                            <pic:spPr bwMode="auto">
                              <a:xfrm rot="16199969" flipH="0" flipV="0">
                                <a:off x="0" y="0"/>
                                <a:ext cx="3276059" cy="23117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57.96pt;height:182.03pt;mso-wrap-distance-left:0.00pt;mso-wrap-distance-top:0.00pt;mso-wrap-distance-right:0.00pt;mso-wrap-distance-bottom:0.00pt;rotation:269;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Đinh Thị Lan Hương</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4"/>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44"/>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4"/>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2"/>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A424D0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2267E19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26E08EB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3D9BCD6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3071DB8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72224AFD"/>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3">
    <w:nsid w:val="33D6E0E3"/>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4">
    <w:nsid w:val="7699CD89"/>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5">
    <w:nsid w:val="420AE928"/>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6">
    <w:nsid w:val="0180239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7">
    <w:nsid w:val="3071DB8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60">
    <w:name w:val="Table Grid Light"/>
    <w:basedOn w:val="103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1"/>
    <w:basedOn w:val="103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2"/>
    <w:basedOn w:val="103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Plain Table 3"/>
    <w:basedOn w:val="10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Plain Table 4"/>
    <w:basedOn w:val="10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Plain Table 5"/>
    <w:basedOn w:val="10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w:basedOn w:val="103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1"/>
    <w:basedOn w:val="10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2"/>
    <w:basedOn w:val="10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3"/>
    <w:basedOn w:val="10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1 Light - Accent 4"/>
    <w:basedOn w:val="10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1 Light - Accent 5"/>
    <w:basedOn w:val="10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1 Light - Accent 6"/>
    <w:basedOn w:val="10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w:basedOn w:val="10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1"/>
    <w:basedOn w:val="10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2"/>
    <w:basedOn w:val="10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3"/>
    <w:basedOn w:val="10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2 - Accent 4"/>
    <w:basedOn w:val="10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2 - Accent 5"/>
    <w:basedOn w:val="10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2 - Accent 6"/>
    <w:basedOn w:val="10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w:basedOn w:val="10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1"/>
    <w:basedOn w:val="10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2"/>
    <w:basedOn w:val="10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3"/>
    <w:basedOn w:val="10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3 - Accent 4"/>
    <w:basedOn w:val="10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3 - Accent 5"/>
    <w:basedOn w:val="10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3 - Accent 6"/>
    <w:basedOn w:val="10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w:basedOn w:val="103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1"/>
    <w:basedOn w:val="103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2"/>
    <w:basedOn w:val="103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3"/>
    <w:basedOn w:val="103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4 - Accent 4"/>
    <w:basedOn w:val="103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4 - Accent 5"/>
    <w:basedOn w:val="103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4 - Accent 6"/>
    <w:basedOn w:val="103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w:basedOn w:val="10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Accent 1"/>
    <w:basedOn w:val="10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2"/>
    <w:basedOn w:val="10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 Accent 3"/>
    <w:basedOn w:val="10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5 Dark- Accent 4"/>
    <w:basedOn w:val="10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5 Dark - Accent 5"/>
    <w:basedOn w:val="10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5 Dark - Accent 6"/>
    <w:basedOn w:val="10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6 Colorful"/>
    <w:basedOn w:val="103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02">
    <w:name w:val="Grid Table 6 Colorful - Accent 1"/>
    <w:basedOn w:val="103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3">
    <w:name w:val="Grid Table 6 Colorful - Accent 2"/>
    <w:basedOn w:val="10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4">
    <w:name w:val="Grid Table 6 Colorful - Accent 3"/>
    <w:basedOn w:val="103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5">
    <w:name w:val="Grid Table 6 Colorful - Accent 4"/>
    <w:basedOn w:val="10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6">
    <w:name w:val="Grid Table 6 Colorful - Accent 5"/>
    <w:basedOn w:val="103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7">
    <w:name w:val="Grid Table 6 Colorful - Accent 6"/>
    <w:basedOn w:val="103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8">
    <w:name w:val="Grid Table 7 Colorful"/>
    <w:basedOn w:val="103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1"/>
    <w:basedOn w:val="103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2"/>
    <w:basedOn w:val="103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3"/>
    <w:basedOn w:val="103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7 Colorful - Accent 4"/>
    <w:basedOn w:val="103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7 Colorful - Accent 5"/>
    <w:basedOn w:val="103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Grid Table 7 Colorful - Accent 6"/>
    <w:basedOn w:val="103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w:basedOn w:val="10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1"/>
    <w:basedOn w:val="10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2"/>
    <w:basedOn w:val="10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3"/>
    <w:basedOn w:val="10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1 Light - Accent 4"/>
    <w:basedOn w:val="10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1 Light - Accent 5"/>
    <w:basedOn w:val="10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1 Light - Accent 6"/>
    <w:basedOn w:val="10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w:basedOn w:val="103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1"/>
    <w:basedOn w:val="103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2"/>
    <w:basedOn w:val="103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3"/>
    <w:basedOn w:val="103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2 - Accent 4"/>
    <w:basedOn w:val="103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2 - Accent 5"/>
    <w:basedOn w:val="103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2 - Accent 6"/>
    <w:basedOn w:val="103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w:basedOn w:val="10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1"/>
    <w:basedOn w:val="103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2"/>
    <w:basedOn w:val="10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3"/>
    <w:basedOn w:val="103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3 - Accent 4"/>
    <w:basedOn w:val="10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3 - Accent 5"/>
    <w:basedOn w:val="103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3 - Accent 6"/>
    <w:basedOn w:val="103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w:basedOn w:val="10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1"/>
    <w:basedOn w:val="103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2"/>
    <w:basedOn w:val="103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3"/>
    <w:basedOn w:val="103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4 - Accent 4"/>
    <w:basedOn w:val="103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4 - Accent 5"/>
    <w:basedOn w:val="103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4 - Accent 6"/>
    <w:basedOn w:val="103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5 Dark"/>
    <w:basedOn w:val="103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1"/>
    <w:basedOn w:val="103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2"/>
    <w:basedOn w:val="103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3"/>
    <w:basedOn w:val="103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5 Dark - Accent 4"/>
    <w:basedOn w:val="103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8">
    <w:name w:val="List Table 5 Dark - Accent 5"/>
    <w:basedOn w:val="103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9">
    <w:name w:val="List Table 5 Dark - Accent 6"/>
    <w:basedOn w:val="103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0">
    <w:name w:val="List Table 6 Colorful"/>
    <w:basedOn w:val="103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1"/>
    <w:basedOn w:val="103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2"/>
    <w:basedOn w:val="103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3"/>
    <w:basedOn w:val="103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6 Colorful - Accent 4"/>
    <w:basedOn w:val="103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6 Colorful - Accent 5"/>
    <w:basedOn w:val="103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6 Colorful - Accent 6"/>
    <w:basedOn w:val="103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st Table 7 Colorful"/>
    <w:basedOn w:val="103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8">
    <w:name w:val="List Table 7 Colorful - Accent 1"/>
    <w:basedOn w:val="103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9">
    <w:name w:val="List Table 7 Colorful - Accent 2"/>
    <w:basedOn w:val="103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60">
    <w:name w:val="List Table 7 Colorful - Accent 3"/>
    <w:basedOn w:val="103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61">
    <w:name w:val="List Table 7 Colorful - Accent 4"/>
    <w:basedOn w:val="103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62">
    <w:name w:val="List Table 7 Colorful - Accent 5"/>
    <w:basedOn w:val="103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3">
    <w:name w:val="List Table 7 Colorful - Accent 6"/>
    <w:basedOn w:val="103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4">
    <w:name w:val="Lined - Accent"/>
    <w:basedOn w:val="10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1"/>
    <w:basedOn w:val="10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2"/>
    <w:basedOn w:val="10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3"/>
    <w:basedOn w:val="10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ned - Accent 4"/>
    <w:basedOn w:val="10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ned - Accent 5"/>
    <w:basedOn w:val="10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Lined - Accent 6"/>
    <w:basedOn w:val="10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w:basedOn w:val="103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1"/>
    <w:basedOn w:val="103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2"/>
    <w:basedOn w:val="103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3"/>
    <w:basedOn w:val="103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amp; Lined - Accent 4"/>
    <w:basedOn w:val="103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amp; Lined - Accent 5"/>
    <w:basedOn w:val="103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amp; Lined - Accent 6"/>
    <w:basedOn w:val="103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w:basedOn w:val="103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1"/>
    <w:basedOn w:val="10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2"/>
    <w:basedOn w:val="10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3"/>
    <w:basedOn w:val="10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 Accent 4"/>
    <w:basedOn w:val="10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 Accent 5"/>
    <w:basedOn w:val="10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Bordered - Accent 6"/>
    <w:basedOn w:val="10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5">
    <w:name w:val="Heading 5"/>
    <w:basedOn w:val="1026"/>
    <w:next w:val="1026"/>
    <w:link w:val="99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6">
    <w:name w:val="Heading 6"/>
    <w:basedOn w:val="1026"/>
    <w:next w:val="1026"/>
    <w:link w:val="99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7">
    <w:name w:val="Heading 7"/>
    <w:basedOn w:val="1026"/>
    <w:next w:val="1026"/>
    <w:link w:val="99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8">
    <w:name w:val="Heading 8"/>
    <w:basedOn w:val="1026"/>
    <w:next w:val="1026"/>
    <w:link w:val="99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9">
    <w:name w:val="Heading 9"/>
    <w:basedOn w:val="1026"/>
    <w:next w:val="1026"/>
    <w:link w:val="99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90">
    <w:name w:val="Heading 5 Char"/>
    <w:basedOn w:val="1031"/>
    <w:link w:val="985"/>
    <w:uiPriority w:val="9"/>
    <w:pPr>
      <w:pBdr/>
      <w:spacing/>
      <w:ind/>
    </w:pPr>
    <w:rPr>
      <w:rFonts w:ascii="Arial" w:hAnsi="Arial" w:eastAsia="Arial" w:cs="Arial"/>
      <w:color w:val="0f4761" w:themeColor="accent1" w:themeShade="BF"/>
    </w:rPr>
  </w:style>
  <w:style w:type="character" w:styleId="991">
    <w:name w:val="Heading 6 Char"/>
    <w:basedOn w:val="1031"/>
    <w:link w:val="986"/>
    <w:uiPriority w:val="9"/>
    <w:pPr>
      <w:pBdr/>
      <w:spacing/>
      <w:ind/>
    </w:pPr>
    <w:rPr>
      <w:rFonts w:ascii="Arial" w:hAnsi="Arial" w:eastAsia="Arial" w:cs="Arial"/>
      <w:i/>
      <w:iCs/>
      <w:color w:val="595959" w:themeColor="text1" w:themeTint="A6"/>
    </w:rPr>
  </w:style>
  <w:style w:type="character" w:styleId="992">
    <w:name w:val="Heading 7 Char"/>
    <w:basedOn w:val="1031"/>
    <w:link w:val="987"/>
    <w:uiPriority w:val="9"/>
    <w:pPr>
      <w:pBdr/>
      <w:spacing/>
      <w:ind/>
    </w:pPr>
    <w:rPr>
      <w:rFonts w:ascii="Arial" w:hAnsi="Arial" w:eastAsia="Arial" w:cs="Arial"/>
      <w:color w:val="595959" w:themeColor="text1" w:themeTint="A6"/>
    </w:rPr>
  </w:style>
  <w:style w:type="character" w:styleId="993">
    <w:name w:val="Heading 8 Char"/>
    <w:basedOn w:val="1031"/>
    <w:link w:val="988"/>
    <w:uiPriority w:val="9"/>
    <w:pPr>
      <w:pBdr/>
      <w:spacing/>
      <w:ind/>
    </w:pPr>
    <w:rPr>
      <w:rFonts w:ascii="Arial" w:hAnsi="Arial" w:eastAsia="Arial" w:cs="Arial"/>
      <w:i/>
      <w:iCs/>
      <w:color w:val="272727" w:themeColor="text1" w:themeTint="D8"/>
    </w:rPr>
  </w:style>
  <w:style w:type="character" w:styleId="994">
    <w:name w:val="Heading 9 Char"/>
    <w:basedOn w:val="1031"/>
    <w:link w:val="989"/>
    <w:uiPriority w:val="9"/>
    <w:pPr>
      <w:pBdr/>
      <w:spacing/>
      <w:ind/>
    </w:pPr>
    <w:rPr>
      <w:rFonts w:ascii="Arial" w:hAnsi="Arial" w:eastAsia="Arial" w:cs="Arial"/>
      <w:i/>
      <w:iCs/>
      <w:color w:val="272727" w:themeColor="text1" w:themeTint="D8"/>
    </w:rPr>
  </w:style>
  <w:style w:type="paragraph" w:styleId="995">
    <w:name w:val="Subtitle"/>
    <w:basedOn w:val="1026"/>
    <w:next w:val="1026"/>
    <w:link w:val="996"/>
    <w:uiPriority w:val="11"/>
    <w:qFormat/>
    <w:pPr>
      <w:numPr>
        <w:ilvl w:val="1"/>
      </w:numPr>
      <w:pBdr/>
      <w:spacing/>
      <w:ind/>
    </w:pPr>
    <w:rPr>
      <w:color w:val="595959" w:themeColor="text1" w:themeTint="A6"/>
      <w:spacing w:val="15"/>
      <w:sz w:val="28"/>
      <w:szCs w:val="28"/>
    </w:rPr>
  </w:style>
  <w:style w:type="character" w:styleId="996">
    <w:name w:val="Subtitle Char"/>
    <w:basedOn w:val="1031"/>
    <w:link w:val="995"/>
    <w:uiPriority w:val="11"/>
    <w:pPr>
      <w:pBdr/>
      <w:spacing/>
      <w:ind/>
    </w:pPr>
    <w:rPr>
      <w:color w:val="595959" w:themeColor="text1" w:themeTint="A6"/>
      <w:spacing w:val="15"/>
      <w:sz w:val="28"/>
      <w:szCs w:val="28"/>
    </w:rPr>
  </w:style>
  <w:style w:type="paragraph" w:styleId="997">
    <w:name w:val="Quote"/>
    <w:basedOn w:val="1026"/>
    <w:next w:val="1026"/>
    <w:link w:val="998"/>
    <w:uiPriority w:val="29"/>
    <w:qFormat/>
    <w:pPr>
      <w:pBdr/>
      <w:spacing w:before="160"/>
      <w:ind/>
      <w:jc w:val="center"/>
    </w:pPr>
    <w:rPr>
      <w:i/>
      <w:iCs/>
      <w:color w:val="404040" w:themeColor="text1" w:themeTint="BF"/>
    </w:rPr>
  </w:style>
  <w:style w:type="character" w:styleId="998">
    <w:name w:val="Quote Char"/>
    <w:basedOn w:val="1031"/>
    <w:link w:val="997"/>
    <w:uiPriority w:val="29"/>
    <w:pPr>
      <w:pBdr/>
      <w:spacing/>
      <w:ind/>
    </w:pPr>
    <w:rPr>
      <w:i/>
      <w:iCs/>
      <w:color w:val="404040" w:themeColor="text1" w:themeTint="BF"/>
    </w:rPr>
  </w:style>
  <w:style w:type="character" w:styleId="999">
    <w:name w:val="Intense Emphasis"/>
    <w:basedOn w:val="1031"/>
    <w:uiPriority w:val="21"/>
    <w:qFormat/>
    <w:pPr>
      <w:pBdr/>
      <w:spacing/>
      <w:ind/>
    </w:pPr>
    <w:rPr>
      <w:i/>
      <w:iCs/>
      <w:color w:val="0f4761" w:themeColor="accent1" w:themeShade="BF"/>
    </w:rPr>
  </w:style>
  <w:style w:type="paragraph" w:styleId="1000">
    <w:name w:val="Intense Quote"/>
    <w:basedOn w:val="1026"/>
    <w:next w:val="1026"/>
    <w:link w:val="100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01">
    <w:name w:val="Intense Quote Char"/>
    <w:basedOn w:val="1031"/>
    <w:link w:val="1000"/>
    <w:uiPriority w:val="30"/>
    <w:pPr>
      <w:pBdr/>
      <w:spacing/>
      <w:ind/>
    </w:pPr>
    <w:rPr>
      <w:i/>
      <w:iCs/>
      <w:color w:val="0f4761" w:themeColor="accent1" w:themeShade="BF"/>
    </w:rPr>
  </w:style>
  <w:style w:type="character" w:styleId="1002">
    <w:name w:val="Intense Reference"/>
    <w:basedOn w:val="1031"/>
    <w:uiPriority w:val="32"/>
    <w:qFormat/>
    <w:pPr>
      <w:pBdr/>
      <w:spacing/>
      <w:ind/>
    </w:pPr>
    <w:rPr>
      <w:b/>
      <w:bCs/>
      <w:smallCaps/>
      <w:color w:val="0f4761" w:themeColor="accent1" w:themeShade="BF"/>
      <w:spacing w:val="5"/>
    </w:rPr>
  </w:style>
  <w:style w:type="paragraph" w:styleId="1003">
    <w:name w:val="No Spacing"/>
    <w:basedOn w:val="1026"/>
    <w:uiPriority w:val="1"/>
    <w:qFormat/>
    <w:pPr>
      <w:pBdr/>
      <w:spacing w:after="0" w:line="240" w:lineRule="auto"/>
      <w:ind/>
    </w:pPr>
  </w:style>
  <w:style w:type="character" w:styleId="1004">
    <w:name w:val="Subtle Emphasis"/>
    <w:basedOn w:val="1031"/>
    <w:uiPriority w:val="19"/>
    <w:qFormat/>
    <w:pPr>
      <w:pBdr/>
      <w:spacing/>
      <w:ind/>
    </w:pPr>
    <w:rPr>
      <w:i/>
      <w:iCs/>
      <w:color w:val="404040" w:themeColor="text1" w:themeTint="BF"/>
    </w:rPr>
  </w:style>
  <w:style w:type="character" w:styleId="1005">
    <w:name w:val="Subtle Reference"/>
    <w:basedOn w:val="1031"/>
    <w:uiPriority w:val="31"/>
    <w:qFormat/>
    <w:pPr>
      <w:pBdr/>
      <w:spacing/>
      <w:ind/>
    </w:pPr>
    <w:rPr>
      <w:smallCaps/>
      <w:color w:val="5a5a5a" w:themeColor="text1" w:themeTint="A5"/>
    </w:rPr>
  </w:style>
  <w:style w:type="character" w:styleId="1006">
    <w:name w:val="Book Title"/>
    <w:basedOn w:val="1031"/>
    <w:uiPriority w:val="33"/>
    <w:qFormat/>
    <w:pPr>
      <w:pBdr/>
      <w:spacing/>
      <w:ind/>
    </w:pPr>
    <w:rPr>
      <w:b/>
      <w:bCs/>
      <w:i/>
      <w:iCs/>
      <w:spacing w:val="5"/>
    </w:rPr>
  </w:style>
  <w:style w:type="paragraph" w:styleId="1007">
    <w:name w:val="Caption"/>
    <w:basedOn w:val="1026"/>
    <w:next w:val="1026"/>
    <w:uiPriority w:val="35"/>
    <w:unhideWhenUsed/>
    <w:qFormat/>
    <w:pPr>
      <w:pBdr/>
      <w:spacing w:after="200" w:line="240" w:lineRule="auto"/>
      <w:ind/>
    </w:pPr>
    <w:rPr>
      <w:i/>
      <w:iCs/>
      <w:color w:val="0e2841" w:themeColor="text2"/>
      <w:sz w:val="18"/>
      <w:szCs w:val="18"/>
    </w:rPr>
  </w:style>
  <w:style w:type="paragraph" w:styleId="1008">
    <w:name w:val="footnote text"/>
    <w:basedOn w:val="1026"/>
    <w:link w:val="1009"/>
    <w:uiPriority w:val="99"/>
    <w:semiHidden/>
    <w:unhideWhenUsed/>
    <w:pPr>
      <w:pBdr/>
      <w:spacing w:after="0" w:line="240" w:lineRule="auto"/>
      <w:ind/>
    </w:pPr>
    <w:rPr>
      <w:sz w:val="20"/>
      <w:szCs w:val="20"/>
    </w:rPr>
  </w:style>
  <w:style w:type="character" w:styleId="1009">
    <w:name w:val="Footnote Text Char"/>
    <w:basedOn w:val="1031"/>
    <w:link w:val="1008"/>
    <w:uiPriority w:val="99"/>
    <w:semiHidden/>
    <w:pPr>
      <w:pBdr/>
      <w:spacing/>
      <w:ind/>
    </w:pPr>
    <w:rPr>
      <w:sz w:val="20"/>
      <w:szCs w:val="20"/>
    </w:rPr>
  </w:style>
  <w:style w:type="character" w:styleId="1010">
    <w:name w:val="footnote reference"/>
    <w:basedOn w:val="1031"/>
    <w:uiPriority w:val="99"/>
    <w:semiHidden/>
    <w:unhideWhenUsed/>
    <w:pPr>
      <w:pBdr/>
      <w:spacing/>
      <w:ind/>
    </w:pPr>
    <w:rPr>
      <w:vertAlign w:val="superscript"/>
    </w:rPr>
  </w:style>
  <w:style w:type="paragraph" w:styleId="1011">
    <w:name w:val="endnote text"/>
    <w:basedOn w:val="1026"/>
    <w:link w:val="1012"/>
    <w:uiPriority w:val="99"/>
    <w:semiHidden/>
    <w:unhideWhenUsed/>
    <w:pPr>
      <w:pBdr/>
      <w:spacing w:after="0" w:line="240" w:lineRule="auto"/>
      <w:ind/>
    </w:pPr>
    <w:rPr>
      <w:sz w:val="20"/>
      <w:szCs w:val="20"/>
    </w:rPr>
  </w:style>
  <w:style w:type="character" w:styleId="1012">
    <w:name w:val="Endnote Text Char"/>
    <w:basedOn w:val="1031"/>
    <w:link w:val="1011"/>
    <w:uiPriority w:val="99"/>
    <w:semiHidden/>
    <w:pPr>
      <w:pBdr/>
      <w:spacing/>
      <w:ind/>
    </w:pPr>
    <w:rPr>
      <w:sz w:val="20"/>
      <w:szCs w:val="20"/>
    </w:rPr>
  </w:style>
  <w:style w:type="character" w:styleId="1013">
    <w:name w:val="endnote reference"/>
    <w:basedOn w:val="1031"/>
    <w:uiPriority w:val="99"/>
    <w:semiHidden/>
    <w:unhideWhenUsed/>
    <w:pPr>
      <w:pBdr/>
      <w:spacing/>
      <w:ind/>
    </w:pPr>
    <w:rPr>
      <w:vertAlign w:val="superscript"/>
    </w:rPr>
  </w:style>
  <w:style w:type="paragraph" w:styleId="1014">
    <w:name w:val="toc 1"/>
    <w:basedOn w:val="1026"/>
    <w:next w:val="1026"/>
    <w:uiPriority w:val="39"/>
    <w:unhideWhenUsed/>
    <w:pPr>
      <w:pBdr/>
      <w:spacing w:after="100"/>
      <w:ind/>
    </w:pPr>
  </w:style>
  <w:style w:type="paragraph" w:styleId="1015">
    <w:name w:val="toc 2"/>
    <w:basedOn w:val="1026"/>
    <w:next w:val="1026"/>
    <w:uiPriority w:val="39"/>
    <w:unhideWhenUsed/>
    <w:pPr>
      <w:pBdr/>
      <w:spacing w:after="100"/>
      <w:ind w:left="220"/>
    </w:pPr>
  </w:style>
  <w:style w:type="paragraph" w:styleId="1016">
    <w:name w:val="toc 3"/>
    <w:basedOn w:val="1026"/>
    <w:next w:val="1026"/>
    <w:uiPriority w:val="39"/>
    <w:unhideWhenUsed/>
    <w:pPr>
      <w:pBdr/>
      <w:spacing w:after="100"/>
      <w:ind w:left="440"/>
    </w:pPr>
  </w:style>
  <w:style w:type="paragraph" w:styleId="1017">
    <w:name w:val="toc 4"/>
    <w:basedOn w:val="1026"/>
    <w:next w:val="1026"/>
    <w:uiPriority w:val="39"/>
    <w:unhideWhenUsed/>
    <w:pPr>
      <w:pBdr/>
      <w:spacing w:after="100"/>
      <w:ind w:left="660"/>
    </w:pPr>
  </w:style>
  <w:style w:type="paragraph" w:styleId="1018">
    <w:name w:val="toc 5"/>
    <w:basedOn w:val="1026"/>
    <w:next w:val="1026"/>
    <w:uiPriority w:val="39"/>
    <w:unhideWhenUsed/>
    <w:pPr>
      <w:pBdr/>
      <w:spacing w:after="100"/>
      <w:ind w:left="880"/>
    </w:pPr>
  </w:style>
  <w:style w:type="paragraph" w:styleId="1019">
    <w:name w:val="toc 6"/>
    <w:basedOn w:val="1026"/>
    <w:next w:val="1026"/>
    <w:uiPriority w:val="39"/>
    <w:unhideWhenUsed/>
    <w:pPr>
      <w:pBdr/>
      <w:spacing w:after="100"/>
      <w:ind w:left="1100"/>
    </w:pPr>
  </w:style>
  <w:style w:type="paragraph" w:styleId="1020">
    <w:name w:val="toc 7"/>
    <w:basedOn w:val="1026"/>
    <w:next w:val="1026"/>
    <w:uiPriority w:val="39"/>
    <w:unhideWhenUsed/>
    <w:pPr>
      <w:pBdr/>
      <w:spacing w:after="100"/>
      <w:ind w:left="1320"/>
    </w:pPr>
  </w:style>
  <w:style w:type="paragraph" w:styleId="1021">
    <w:name w:val="toc 8"/>
    <w:basedOn w:val="1026"/>
    <w:next w:val="1026"/>
    <w:uiPriority w:val="39"/>
    <w:unhideWhenUsed/>
    <w:pPr>
      <w:pBdr/>
      <w:spacing w:after="100"/>
      <w:ind w:left="1540"/>
    </w:pPr>
  </w:style>
  <w:style w:type="paragraph" w:styleId="1022">
    <w:name w:val="toc 9"/>
    <w:basedOn w:val="1026"/>
    <w:next w:val="1026"/>
    <w:uiPriority w:val="39"/>
    <w:unhideWhenUsed/>
    <w:pPr>
      <w:pBdr/>
      <w:spacing w:after="100"/>
      <w:ind w:left="1760"/>
    </w:pPr>
  </w:style>
  <w:style w:type="character" w:styleId="1023">
    <w:name w:val="Placeholder Text"/>
    <w:basedOn w:val="1031"/>
    <w:uiPriority w:val="99"/>
    <w:semiHidden/>
    <w:pPr>
      <w:pBdr/>
      <w:spacing/>
      <w:ind/>
    </w:pPr>
    <w:rPr>
      <w:color w:val="666666"/>
    </w:rPr>
  </w:style>
  <w:style w:type="paragraph" w:styleId="1024">
    <w:name w:val="TOC Heading"/>
    <w:uiPriority w:val="39"/>
    <w:unhideWhenUsed/>
    <w:pPr>
      <w:pBdr/>
      <w:spacing/>
      <w:ind/>
    </w:pPr>
  </w:style>
  <w:style w:type="paragraph" w:styleId="1025">
    <w:name w:val="table of figures"/>
    <w:basedOn w:val="1026"/>
    <w:next w:val="1026"/>
    <w:uiPriority w:val="99"/>
    <w:unhideWhenUsed/>
    <w:pPr>
      <w:pBdr/>
      <w:spacing w:after="0" w:afterAutospacing="0"/>
      <w:ind/>
    </w:pPr>
  </w:style>
  <w:style w:type="paragraph" w:styleId="1026" w:default="1">
    <w:name w:val="Normal"/>
    <w:qFormat/>
    <w:pPr>
      <w:pBdr/>
      <w:spacing w:after="0" w:line="240" w:lineRule="auto"/>
      <w:ind/>
    </w:pPr>
    <w:rPr>
      <w:rFonts w:ascii="Times New Roman" w:hAnsi="Times New Roman" w:eastAsia="Times New Roman" w:cs="Times New Roman"/>
      <w:sz w:val="24"/>
      <w:szCs w:val="24"/>
    </w:rPr>
  </w:style>
  <w:style w:type="paragraph" w:styleId="1027">
    <w:name w:val="Heading 1"/>
    <w:basedOn w:val="1026"/>
    <w:next w:val="1026"/>
    <w:link w:val="1034"/>
    <w:qFormat/>
    <w:pPr>
      <w:keepNext w:val="true"/>
      <w:pBdr/>
      <w:spacing w:after="120" w:before="120"/>
      <w:ind/>
      <w:jc w:val="center"/>
      <w:outlineLvl w:val="0"/>
    </w:pPr>
    <w:rPr>
      <w:b/>
      <w:bCs/>
      <w:sz w:val="27"/>
      <w:szCs w:val="27"/>
    </w:rPr>
  </w:style>
  <w:style w:type="paragraph" w:styleId="1028">
    <w:name w:val="Heading 2"/>
    <w:basedOn w:val="1026"/>
    <w:next w:val="1026"/>
    <w:link w:val="103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9">
    <w:name w:val="Heading 3"/>
    <w:basedOn w:val="1026"/>
    <w:next w:val="1026"/>
    <w:link w:val="1036"/>
    <w:qFormat/>
    <w:pPr>
      <w:keepNext w:val="true"/>
      <w:pBdr/>
      <w:spacing w:before="60"/>
      <w:ind/>
      <w:outlineLvl w:val="2"/>
    </w:pPr>
    <w:rPr>
      <w:sz w:val="28"/>
      <w:szCs w:val="28"/>
    </w:rPr>
  </w:style>
  <w:style w:type="paragraph" w:styleId="1030">
    <w:name w:val="Heading 4"/>
    <w:basedOn w:val="1026"/>
    <w:next w:val="1026"/>
    <w:link w:val="1037"/>
    <w:qFormat/>
    <w:pPr>
      <w:keepNext w:val="true"/>
      <w:pBdr/>
      <w:spacing/>
      <w:ind/>
      <w:jc w:val="center"/>
      <w:outlineLvl w:val="3"/>
    </w:pPr>
    <w:rPr>
      <w:b/>
      <w:bCs/>
    </w:rPr>
  </w:style>
  <w:style w:type="character" w:styleId="1031" w:default="1">
    <w:name w:val="Default Paragraph Font"/>
    <w:uiPriority w:val="1"/>
    <w:semiHidden/>
    <w:unhideWhenUsed/>
    <w:pPr>
      <w:pBdr/>
      <w:spacing/>
      <w:ind/>
    </w:pPr>
  </w:style>
  <w:style w:type="table" w:styleId="103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3" w:default="1">
    <w:name w:val="No List"/>
    <w:uiPriority w:val="99"/>
    <w:semiHidden/>
    <w:unhideWhenUsed/>
    <w:pPr>
      <w:pBdr/>
      <w:spacing/>
      <w:ind/>
    </w:pPr>
  </w:style>
  <w:style w:type="character" w:styleId="1034" w:customStyle="1">
    <w:name w:val="Heading 1 Char"/>
    <w:basedOn w:val="1031"/>
    <w:link w:val="1027"/>
    <w:pPr>
      <w:pBdr/>
      <w:spacing/>
      <w:ind/>
    </w:pPr>
    <w:rPr>
      <w:rFonts w:ascii="Times New Roman" w:hAnsi="Times New Roman" w:eastAsia="Times New Roman" w:cs="Times New Roman"/>
      <w:b/>
      <w:bCs/>
      <w:sz w:val="27"/>
      <w:szCs w:val="27"/>
    </w:rPr>
  </w:style>
  <w:style w:type="character" w:styleId="1035" w:customStyle="1">
    <w:name w:val="Heading 2 Char"/>
    <w:basedOn w:val="1031"/>
    <w:link w:val="1028"/>
    <w:uiPriority w:val="9"/>
    <w:pPr>
      <w:pBdr/>
      <w:spacing/>
      <w:ind/>
    </w:pPr>
    <w:rPr>
      <w:rFonts w:asciiTheme="majorHAnsi" w:hAnsiTheme="majorHAnsi" w:eastAsiaTheme="majorEastAsia" w:cstheme="majorBidi"/>
      <w:color w:val="365f91" w:themeColor="accent1" w:themeShade="BF"/>
      <w:sz w:val="26"/>
      <w:szCs w:val="26"/>
    </w:rPr>
  </w:style>
  <w:style w:type="character" w:styleId="1036" w:customStyle="1">
    <w:name w:val="Heading 3 Char"/>
    <w:basedOn w:val="1031"/>
    <w:link w:val="1029"/>
    <w:pPr>
      <w:pBdr/>
      <w:spacing/>
      <w:ind/>
    </w:pPr>
    <w:rPr>
      <w:rFonts w:ascii="Times New Roman" w:hAnsi="Times New Roman" w:eastAsia="Times New Roman" w:cs="Times New Roman"/>
      <w:sz w:val="28"/>
      <w:szCs w:val="28"/>
    </w:rPr>
  </w:style>
  <w:style w:type="character" w:styleId="1037" w:customStyle="1">
    <w:name w:val="Heading 4 Char"/>
    <w:basedOn w:val="1031"/>
    <w:link w:val="1030"/>
    <w:pPr>
      <w:pBdr/>
      <w:spacing/>
      <w:ind/>
    </w:pPr>
    <w:rPr>
      <w:rFonts w:ascii="Times New Roman" w:hAnsi="Times New Roman" w:eastAsia="Times New Roman" w:cs="Times New Roman"/>
      <w:b/>
      <w:bCs/>
      <w:sz w:val="24"/>
      <w:szCs w:val="24"/>
    </w:rPr>
  </w:style>
  <w:style w:type="character" w:styleId="1038">
    <w:name w:val="Hyperlink"/>
    <w:uiPriority w:val="99"/>
    <w:pPr>
      <w:pBdr/>
      <w:spacing/>
      <w:ind/>
    </w:pPr>
    <w:rPr>
      <w:color w:val="000000"/>
      <w:u w:val="single"/>
    </w:rPr>
  </w:style>
  <w:style w:type="character" w:styleId="1039">
    <w:name w:val="Strong"/>
    <w:uiPriority w:val="22"/>
    <w:qFormat/>
    <w:pPr>
      <w:pBdr/>
      <w:spacing/>
      <w:ind/>
    </w:pPr>
    <w:rPr>
      <w:b/>
      <w:bCs/>
    </w:rPr>
  </w:style>
  <w:style w:type="paragraph" w:styleId="1040">
    <w:name w:val="Balloon Text"/>
    <w:basedOn w:val="1026"/>
    <w:link w:val="1041"/>
    <w:uiPriority w:val="99"/>
    <w:semiHidden/>
    <w:unhideWhenUsed/>
    <w:pPr>
      <w:pBdr/>
      <w:spacing/>
      <w:ind/>
    </w:pPr>
    <w:rPr>
      <w:rFonts w:ascii="Tahoma" w:hAnsi="Tahoma" w:cs="Tahoma"/>
      <w:sz w:val="16"/>
      <w:szCs w:val="16"/>
    </w:rPr>
  </w:style>
  <w:style w:type="character" w:styleId="1041" w:customStyle="1">
    <w:name w:val="Balloon Text Char"/>
    <w:basedOn w:val="1031"/>
    <w:link w:val="1040"/>
    <w:uiPriority w:val="99"/>
    <w:semiHidden/>
    <w:pPr>
      <w:pBdr/>
      <w:spacing/>
      <w:ind/>
    </w:pPr>
    <w:rPr>
      <w:rFonts w:ascii="Tahoma" w:hAnsi="Tahoma" w:eastAsia="Times New Roman" w:cs="Tahoma"/>
      <w:sz w:val="16"/>
      <w:szCs w:val="16"/>
    </w:rPr>
  </w:style>
  <w:style w:type="paragraph" w:styleId="1042">
    <w:name w:val="Header"/>
    <w:basedOn w:val="1026"/>
    <w:link w:val="1043"/>
    <w:unhideWhenUsed/>
    <w:pPr>
      <w:pBdr/>
      <w:tabs>
        <w:tab w:val="center" w:leader="none" w:pos="4680"/>
        <w:tab w:val="right" w:leader="none" w:pos="9360"/>
      </w:tabs>
      <w:spacing/>
      <w:ind/>
    </w:pPr>
  </w:style>
  <w:style w:type="character" w:styleId="1043" w:customStyle="1">
    <w:name w:val="Header Char"/>
    <w:basedOn w:val="1031"/>
    <w:link w:val="1042"/>
    <w:pPr>
      <w:pBdr/>
      <w:spacing/>
      <w:ind/>
    </w:pPr>
    <w:rPr>
      <w:rFonts w:ascii="Times New Roman" w:hAnsi="Times New Roman" w:eastAsia="Times New Roman" w:cs="Times New Roman"/>
      <w:sz w:val="24"/>
      <w:szCs w:val="24"/>
    </w:rPr>
  </w:style>
  <w:style w:type="paragraph" w:styleId="1044">
    <w:name w:val="Footer"/>
    <w:basedOn w:val="1026"/>
    <w:link w:val="1045"/>
    <w:uiPriority w:val="99"/>
    <w:unhideWhenUsed/>
    <w:pPr>
      <w:pBdr/>
      <w:tabs>
        <w:tab w:val="center" w:leader="none" w:pos="4680"/>
        <w:tab w:val="right" w:leader="none" w:pos="9360"/>
      </w:tabs>
      <w:spacing/>
      <w:ind/>
    </w:pPr>
  </w:style>
  <w:style w:type="character" w:styleId="1045" w:customStyle="1">
    <w:name w:val="Footer Char"/>
    <w:basedOn w:val="1031"/>
    <w:link w:val="1044"/>
    <w:uiPriority w:val="99"/>
    <w:pPr>
      <w:pBdr/>
      <w:spacing/>
      <w:ind/>
    </w:pPr>
    <w:rPr>
      <w:rFonts w:ascii="Times New Roman" w:hAnsi="Times New Roman" w:eastAsia="Times New Roman" w:cs="Times New Roman"/>
      <w:sz w:val="24"/>
      <w:szCs w:val="24"/>
    </w:rPr>
  </w:style>
  <w:style w:type="character" w:styleId="1046" w:customStyle="1">
    <w:name w:val="normal-h1"/>
    <w:pPr>
      <w:pBdr/>
      <w:spacing/>
      <w:ind/>
    </w:pPr>
    <w:rPr>
      <w:rFonts w:hint="default" w:ascii=".VnTime" w:hAnsi=".VnTime"/>
      <w:color w:val="0000ff"/>
      <w:sz w:val="24"/>
      <w:szCs w:val="24"/>
    </w:rPr>
  </w:style>
  <w:style w:type="paragraph" w:styleId="1047" w:customStyle="1">
    <w:name w:val="normal-p"/>
    <w:basedOn w:val="1026"/>
    <w:pPr>
      <w:pBdr/>
      <w:spacing/>
      <w:ind/>
      <w:jc w:val="both"/>
    </w:pPr>
    <w:rPr>
      <w:sz w:val="20"/>
      <w:szCs w:val="20"/>
    </w:rPr>
  </w:style>
  <w:style w:type="paragraph" w:styleId="1048">
    <w:name w:val="List Paragraph"/>
    <w:basedOn w:val="1026"/>
    <w:link w:val="1135"/>
    <w:uiPriority w:val="34"/>
    <w:qFormat/>
    <w:pPr>
      <w:pBdr/>
      <w:spacing/>
      <w:ind w:left="720"/>
    </w:pPr>
  </w:style>
  <w:style w:type="paragraph" w:styleId="1049">
    <w:name w:val="Normal (Web)"/>
    <w:basedOn w:val="1026"/>
    <w:uiPriority w:val="99"/>
    <w:pPr>
      <w:pBdr/>
      <w:spacing w:after="100" w:afterAutospacing="1" w:before="100" w:beforeAutospacing="1"/>
      <w:ind/>
    </w:pPr>
  </w:style>
  <w:style w:type="paragraph" w:styleId="1050">
    <w:name w:val="Body Text"/>
    <w:basedOn w:val="1026"/>
    <w:link w:val="1051"/>
    <w:pPr>
      <w:pBdr/>
      <w:spacing w:after="120"/>
      <w:ind/>
      <w:jc w:val="both"/>
    </w:pPr>
  </w:style>
  <w:style w:type="character" w:styleId="1051" w:customStyle="1">
    <w:name w:val="Body Text Char"/>
    <w:basedOn w:val="1031"/>
    <w:link w:val="1050"/>
    <w:pPr>
      <w:pBdr/>
      <w:spacing/>
      <w:ind/>
    </w:pPr>
    <w:rPr>
      <w:rFonts w:ascii="Times New Roman" w:hAnsi="Times New Roman" w:eastAsia="Times New Roman" w:cs="Times New Roman"/>
      <w:sz w:val="24"/>
      <w:szCs w:val="24"/>
    </w:rPr>
  </w:style>
  <w:style w:type="table" w:styleId="1052">
    <w:name w:val="Table Grid"/>
    <w:basedOn w:val="103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4">
    <w:name w:val="annotation reference"/>
    <w:basedOn w:val="1031"/>
    <w:uiPriority w:val="99"/>
    <w:semiHidden/>
    <w:unhideWhenUsed/>
    <w:pPr>
      <w:pBdr/>
      <w:spacing/>
      <w:ind/>
    </w:pPr>
    <w:rPr>
      <w:sz w:val="16"/>
      <w:szCs w:val="16"/>
    </w:rPr>
  </w:style>
  <w:style w:type="paragraph" w:styleId="1055">
    <w:name w:val="annotation text"/>
    <w:basedOn w:val="1026"/>
    <w:link w:val="1056"/>
    <w:uiPriority w:val="99"/>
    <w:unhideWhenUsed/>
    <w:pPr>
      <w:pBdr/>
      <w:spacing/>
      <w:ind/>
    </w:pPr>
    <w:rPr>
      <w:sz w:val="20"/>
      <w:szCs w:val="20"/>
    </w:rPr>
  </w:style>
  <w:style w:type="character" w:styleId="1056" w:customStyle="1">
    <w:name w:val="Comment Text Char"/>
    <w:basedOn w:val="1031"/>
    <w:link w:val="1055"/>
    <w:uiPriority w:val="99"/>
    <w:pPr>
      <w:pBdr/>
      <w:spacing/>
      <w:ind/>
    </w:pPr>
    <w:rPr>
      <w:rFonts w:ascii="Times New Roman" w:hAnsi="Times New Roman" w:eastAsia="Times New Roman" w:cs="Times New Roman"/>
      <w:sz w:val="20"/>
      <w:szCs w:val="20"/>
    </w:rPr>
  </w:style>
  <w:style w:type="paragraph" w:styleId="1057">
    <w:name w:val="annotation subject"/>
    <w:basedOn w:val="1055"/>
    <w:next w:val="1055"/>
    <w:link w:val="1058"/>
    <w:uiPriority w:val="99"/>
    <w:semiHidden/>
    <w:unhideWhenUsed/>
    <w:pPr>
      <w:pBdr/>
      <w:spacing/>
      <w:ind/>
    </w:pPr>
    <w:rPr>
      <w:b/>
      <w:bCs/>
    </w:rPr>
  </w:style>
  <w:style w:type="character" w:styleId="1058" w:customStyle="1">
    <w:name w:val="Comment Subject Char"/>
    <w:basedOn w:val="1056"/>
    <w:link w:val="1057"/>
    <w:uiPriority w:val="99"/>
    <w:semiHidden/>
    <w:pPr>
      <w:pBdr/>
      <w:spacing/>
      <w:ind/>
    </w:pPr>
    <w:rPr>
      <w:rFonts w:ascii="Times New Roman" w:hAnsi="Times New Roman" w:eastAsia="Times New Roman" w:cs="Times New Roman"/>
      <w:b/>
      <w:bCs/>
      <w:sz w:val="20"/>
      <w:szCs w:val="20"/>
    </w:rPr>
  </w:style>
  <w:style w:type="paragraph" w:styleId="1059" w:customStyle="1">
    <w:name w:val="font5"/>
    <w:basedOn w:val="1026"/>
    <w:pPr>
      <w:pBdr/>
      <w:spacing w:after="100" w:afterAutospacing="1" w:before="100" w:beforeAutospacing="1"/>
      <w:ind/>
    </w:pPr>
    <w:rPr>
      <w:rFonts w:ascii="Tahoma" w:hAnsi="Tahoma" w:cs="Tahoma"/>
      <w:color w:val="000000"/>
      <w:sz w:val="18"/>
      <w:szCs w:val="18"/>
    </w:rPr>
  </w:style>
  <w:style w:type="paragraph" w:styleId="1060" w:customStyle="1">
    <w:name w:val="font6"/>
    <w:basedOn w:val="1026"/>
    <w:pPr>
      <w:pBdr/>
      <w:spacing w:after="100" w:afterAutospacing="1" w:before="100" w:beforeAutospacing="1"/>
      <w:ind/>
    </w:pPr>
    <w:rPr>
      <w:rFonts w:ascii="Tahoma" w:hAnsi="Tahoma" w:cs="Tahoma"/>
      <w:b/>
      <w:bCs/>
      <w:color w:val="000000"/>
      <w:sz w:val="18"/>
      <w:szCs w:val="18"/>
    </w:rPr>
  </w:style>
  <w:style w:type="paragraph" w:styleId="1061" w:customStyle="1">
    <w:name w:val="xl233"/>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2" w:customStyle="1">
    <w:name w:val="xl234"/>
    <w:basedOn w:val="1026"/>
    <w:pPr>
      <w:pBdr/>
      <w:spacing w:after="100" w:afterAutospacing="1" w:before="100" w:beforeAutospacing="1"/>
      <w:ind/>
      <w:jc w:val="center"/>
    </w:pPr>
  </w:style>
  <w:style w:type="paragraph" w:styleId="1063" w:customStyle="1">
    <w:name w:val="xl235"/>
    <w:basedOn w:val="1026"/>
    <w:pPr>
      <w:pBdr/>
      <w:spacing w:after="100" w:afterAutospacing="1" w:before="100" w:beforeAutospacing="1"/>
      <w:ind/>
      <w:jc w:val="center"/>
    </w:pPr>
    <w:rPr>
      <w:b/>
      <w:bCs/>
    </w:rPr>
  </w:style>
  <w:style w:type="paragraph" w:styleId="1064" w:customStyle="1">
    <w:name w:val="xl236"/>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5" w:customStyle="1">
    <w:name w:val="xl237"/>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6" w:customStyle="1">
    <w:name w:val="xl238"/>
    <w:basedOn w:val="102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7" w:customStyle="1">
    <w:name w:val="xl239"/>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8" w:customStyle="1">
    <w:name w:val="xl240"/>
    <w:basedOn w:val="1026"/>
    <w:pPr>
      <w:pBdr/>
      <w:spacing w:after="100" w:afterAutospacing="1" w:before="100" w:beforeAutospacing="1"/>
      <w:ind/>
    </w:pPr>
  </w:style>
  <w:style w:type="paragraph" w:styleId="1069" w:customStyle="1">
    <w:name w:val="xl241"/>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42"/>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43"/>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44"/>
    <w:basedOn w:val="1026"/>
    <w:pPr>
      <w:pBdr/>
      <w:spacing w:after="100" w:afterAutospacing="1" w:before="100" w:beforeAutospacing="1"/>
      <w:ind/>
    </w:pPr>
    <w:rPr>
      <w:b/>
      <w:bCs/>
    </w:rPr>
  </w:style>
  <w:style w:type="paragraph" w:styleId="1073" w:customStyle="1">
    <w:name w:val="xl245"/>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46"/>
    <w:basedOn w:val="102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47"/>
    <w:basedOn w:val="102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6" w:customStyle="1">
    <w:name w:val="xl248"/>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7" w:customStyle="1">
    <w:name w:val="xl249"/>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8" w:customStyle="1">
    <w:name w:val="xl250"/>
    <w:basedOn w:val="102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51"/>
    <w:basedOn w:val="102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52"/>
    <w:basedOn w:val="102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53"/>
    <w:basedOn w:val="102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54"/>
    <w:basedOn w:val="102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55"/>
    <w:basedOn w:val="102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56"/>
    <w:basedOn w:val="102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57"/>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58"/>
    <w:basedOn w:val="102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59"/>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60"/>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9" w:customStyle="1">
    <w:name w:val="xl261"/>
    <w:basedOn w:val="102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62"/>
    <w:basedOn w:val="102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63"/>
    <w:basedOn w:val="1026"/>
    <w:pPr>
      <w:pBdr/>
      <w:shd w:val="clear" w:color="000000" w:fill="ffffff"/>
      <w:spacing w:after="100" w:afterAutospacing="1" w:before="100" w:beforeAutospacing="1"/>
      <w:ind/>
    </w:pPr>
  </w:style>
  <w:style w:type="paragraph" w:styleId="1092" w:customStyle="1">
    <w:name w:val="xl264"/>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3" w:customStyle="1">
    <w:name w:val="xl265"/>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66"/>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5" w:customStyle="1">
    <w:name w:val="xl267"/>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6" w:customStyle="1">
    <w:name w:val="xl268"/>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7" w:customStyle="1">
    <w:name w:val="xl269"/>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8" w:customStyle="1">
    <w:name w:val="xl270"/>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71"/>
    <w:basedOn w:val="102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00" w:customStyle="1">
    <w:name w:val="xl272"/>
    <w:basedOn w:val="102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01" w:customStyle="1">
    <w:name w:val="xl273"/>
    <w:basedOn w:val="102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74"/>
    <w:basedOn w:val="102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75"/>
    <w:basedOn w:val="1026"/>
    <w:pPr>
      <w:pBdr/>
      <w:spacing w:after="100" w:afterAutospacing="1" w:before="100" w:beforeAutospacing="1"/>
      <w:ind/>
    </w:pPr>
  </w:style>
  <w:style w:type="paragraph" w:styleId="1104" w:customStyle="1">
    <w:name w:val="xl276"/>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77"/>
    <w:basedOn w:val="102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6" w:customStyle="1">
    <w:name w:val="xl278"/>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7" w:customStyle="1">
    <w:name w:val="xl279"/>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customStyle="1">
    <w:name w:val="xl280"/>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9" w:customStyle="1">
    <w:name w:val="xl281"/>
    <w:basedOn w:val="102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0" w:customStyle="1">
    <w:name w:val="xl282"/>
    <w:basedOn w:val="102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1" w:customStyle="1">
    <w:name w:val="xl283"/>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2" w:customStyle="1">
    <w:name w:val="xl284"/>
    <w:basedOn w:val="1026"/>
    <w:pPr>
      <w:pBdr>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85"/>
    <w:basedOn w:val="102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4" w:customStyle="1">
    <w:name w:val="xl286"/>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5" w:customStyle="1">
    <w:name w:val="xl287"/>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6" w:customStyle="1">
    <w:name w:val="xl288"/>
    <w:basedOn w:val="1026"/>
    <w:pPr>
      <w:pBdr>
        <w:top w:val="single" w:color="000000" w:sz="4" w:space="0"/>
        <w:left w:val="single" w:color="000000" w:sz="4" w:space="0"/>
        <w:right w:val="single" w:color="000000" w:sz="4" w:space="0"/>
      </w:pBdr>
      <w:spacing w:after="100" w:afterAutospacing="1" w:before="100" w:beforeAutospacing="1"/>
      <w:ind/>
    </w:pPr>
  </w:style>
  <w:style w:type="paragraph" w:styleId="1117" w:customStyle="1">
    <w:name w:val="xl289"/>
    <w:basedOn w:val="1026"/>
    <w:pPr>
      <w:pBdr>
        <w:left w:val="single" w:color="000000" w:sz="4" w:space="0"/>
        <w:right w:val="single" w:color="000000" w:sz="4" w:space="0"/>
      </w:pBdr>
      <w:spacing w:after="100" w:afterAutospacing="1" w:before="100" w:beforeAutospacing="1"/>
      <w:ind/>
    </w:pPr>
    <w:rPr>
      <w:b/>
      <w:bCs/>
    </w:rPr>
  </w:style>
  <w:style w:type="paragraph" w:styleId="1118" w:customStyle="1">
    <w:name w:val="xl290"/>
    <w:basedOn w:val="102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9" w:customStyle="1">
    <w:name w:val="xl291"/>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20" w:customStyle="1">
    <w:name w:val="xl292"/>
    <w:basedOn w:val="1026"/>
    <w:pPr>
      <w:pBdr>
        <w:top w:val="single" w:color="000000" w:sz="4" w:space="0"/>
        <w:left w:val="single" w:color="000000" w:sz="4" w:space="0"/>
        <w:right w:val="single" w:color="000000" w:sz="4" w:space="0"/>
      </w:pBdr>
      <w:spacing w:after="100" w:afterAutospacing="1" w:before="100" w:beforeAutospacing="1"/>
      <w:ind/>
    </w:pPr>
  </w:style>
  <w:style w:type="paragraph" w:styleId="1121" w:customStyle="1">
    <w:name w:val="xl293"/>
    <w:basedOn w:val="1026"/>
    <w:pPr>
      <w:pBdr>
        <w:left w:val="single" w:color="000000" w:sz="4" w:space="0"/>
        <w:bottom w:val="single" w:color="000000" w:sz="4" w:space="0"/>
        <w:right w:val="single" w:color="000000" w:sz="4" w:space="0"/>
      </w:pBdr>
      <w:spacing w:after="100" w:afterAutospacing="1" w:before="100" w:beforeAutospacing="1"/>
      <w:ind/>
    </w:pPr>
  </w:style>
  <w:style w:type="paragraph" w:styleId="1122" w:customStyle="1">
    <w:name w:val="xl294"/>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3">
    <w:name w:val="Title"/>
    <w:basedOn w:val="1026"/>
    <w:link w:val="1124"/>
    <w:qFormat/>
    <w:pPr>
      <w:pBdr/>
      <w:spacing/>
      <w:ind/>
      <w:jc w:val="center"/>
    </w:pPr>
    <w:rPr>
      <w:b/>
      <w:bCs/>
      <w:sz w:val="32"/>
      <w:szCs w:val="26"/>
    </w:rPr>
  </w:style>
  <w:style w:type="character" w:styleId="1124" w:customStyle="1">
    <w:name w:val="Title Char"/>
    <w:basedOn w:val="1031"/>
    <w:link w:val="1123"/>
    <w:pPr>
      <w:pBdr/>
      <w:spacing/>
      <w:ind/>
    </w:pPr>
    <w:rPr>
      <w:rFonts w:ascii="Times New Roman" w:hAnsi="Times New Roman" w:eastAsia="Times New Roman" w:cs="Times New Roman"/>
      <w:b/>
      <w:bCs/>
      <w:sz w:val="32"/>
      <w:szCs w:val="26"/>
    </w:rPr>
  </w:style>
  <w:style w:type="character" w:styleId="1125" w:customStyle="1">
    <w:name w:val="Unresolved Mention1"/>
    <w:basedOn w:val="1031"/>
    <w:uiPriority w:val="99"/>
    <w:semiHidden/>
    <w:unhideWhenUsed/>
    <w:pPr>
      <w:pBdr/>
      <w:spacing/>
      <w:ind/>
    </w:pPr>
    <w:rPr>
      <w:color w:val="605e5c"/>
      <w:shd w:val="clear" w:color="auto" w:fill="e1dfdd"/>
    </w:rPr>
  </w:style>
  <w:style w:type="character" w:styleId="1126" w:customStyle="1">
    <w:name w:val="Body text (3)_"/>
    <w:link w:val="1127"/>
    <w:pPr>
      <w:pBdr/>
      <w:spacing/>
      <w:ind/>
    </w:pPr>
    <w:rPr>
      <w:rFonts w:ascii="Times New Roman" w:hAnsi="Times New Roman" w:cs="Times New Roman"/>
      <w:i/>
      <w:iCs/>
      <w:spacing w:val="4"/>
      <w:shd w:val="clear" w:color="auto" w:fill="ffffff"/>
    </w:rPr>
  </w:style>
  <w:style w:type="paragraph" w:styleId="1127" w:customStyle="1">
    <w:name w:val="Body text (3)1"/>
    <w:basedOn w:val="1026"/>
    <w:link w:val="112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8" w:customStyle="1">
    <w:name w:val="t-j"/>
    <w:basedOn w:val="1026"/>
    <w:pPr>
      <w:pBdr/>
      <w:spacing w:after="100" w:afterAutospacing="1" w:before="100" w:beforeAutospacing="1"/>
      <w:ind/>
    </w:pPr>
  </w:style>
  <w:style w:type="character" w:styleId="1129" w:customStyle="1">
    <w:name w:val="Unresolved Mention2"/>
    <w:basedOn w:val="1031"/>
    <w:uiPriority w:val="99"/>
    <w:semiHidden/>
    <w:unhideWhenUsed/>
    <w:pPr>
      <w:pBdr/>
      <w:spacing/>
      <w:ind/>
    </w:pPr>
    <w:rPr>
      <w:color w:val="605e5c"/>
      <w:shd w:val="clear" w:color="auto" w:fill="e1dfdd"/>
    </w:rPr>
  </w:style>
  <w:style w:type="character" w:styleId="1130">
    <w:name w:val="FollowedHyperlink"/>
    <w:basedOn w:val="1031"/>
    <w:uiPriority w:val="99"/>
    <w:semiHidden/>
    <w:unhideWhenUsed/>
    <w:pPr>
      <w:pBdr/>
      <w:spacing/>
      <w:ind/>
    </w:pPr>
    <w:rPr>
      <w:color w:val="800080" w:themeColor="followedHyperlink"/>
      <w:u w:val="single"/>
    </w:rPr>
  </w:style>
  <w:style w:type="character" w:styleId="1131" w:customStyle="1">
    <w:name w:val="text"/>
    <w:basedOn w:val="1031"/>
    <w:pPr>
      <w:pBdr/>
      <w:spacing/>
      <w:ind/>
    </w:pPr>
  </w:style>
  <w:style w:type="character" w:styleId="1132" w:customStyle="1">
    <w:name w:val="card-send-time__sendtime"/>
    <w:basedOn w:val="1031"/>
    <w:pPr>
      <w:pBdr/>
      <w:spacing/>
      <w:ind/>
    </w:pPr>
  </w:style>
  <w:style w:type="character" w:styleId="1133" w:customStyle="1">
    <w:name w:val="Đề cập Chưa giải quyết1"/>
    <w:basedOn w:val="1031"/>
    <w:uiPriority w:val="99"/>
    <w:semiHidden/>
    <w:unhideWhenUsed/>
    <w:pPr>
      <w:pBdr/>
      <w:spacing/>
      <w:ind/>
    </w:pPr>
    <w:rPr>
      <w:color w:val="605e5c"/>
      <w:shd w:val="clear" w:color="auto" w:fill="e1dfdd"/>
    </w:rPr>
  </w:style>
  <w:style w:type="paragraph" w:styleId="1134" w:customStyle="1">
    <w:name w:val="nqtitle"/>
    <w:basedOn w:val="1026"/>
    <w:pPr>
      <w:pBdr/>
      <w:spacing w:after="100" w:afterAutospacing="1" w:before="100" w:beforeAutospacing="1"/>
      <w:ind/>
    </w:pPr>
    <w:rPr>
      <w:lang w:val="vi-VN" w:eastAsia="vi-VN"/>
    </w:rPr>
  </w:style>
  <w:style w:type="character" w:styleId="1135" w:customStyle="1">
    <w:name w:val="List Paragraph Char"/>
    <w:link w:val="1048"/>
    <w:uiPriority w:val="34"/>
    <w:qFormat/>
    <w:pPr>
      <w:pBdr/>
      <w:spacing/>
      <w:ind/>
    </w:pPr>
    <w:rPr>
      <w:rFonts w:ascii="Times New Roman" w:hAnsi="Times New Roman" w:eastAsia="Times New Roman" w:cs="Times New Roman"/>
      <w:sz w:val="24"/>
      <w:szCs w:val="24"/>
    </w:rPr>
  </w:style>
  <w:style w:type="character" w:styleId="1136" w:customStyle="1">
    <w:name w:val="Đề cập Chưa giải quyết2"/>
    <w:basedOn w:val="1031"/>
    <w:uiPriority w:val="99"/>
    <w:semiHidden/>
    <w:unhideWhenUsed/>
    <w:pPr>
      <w:pBdr/>
      <w:spacing/>
      <w:ind/>
    </w:pPr>
    <w:rPr>
      <w:color w:val="605e5c"/>
      <w:shd w:val="clear" w:color="auto" w:fill="e1dfdd"/>
    </w:rPr>
  </w:style>
  <w:style w:type="character" w:styleId="1137" w:customStyle="1">
    <w:name w:val="Unresolved Mention3"/>
    <w:basedOn w:val="1031"/>
    <w:uiPriority w:val="99"/>
    <w:semiHidden/>
    <w:unhideWhenUsed/>
    <w:pPr>
      <w:pBdr/>
      <w:spacing/>
      <w:ind/>
    </w:pPr>
    <w:rPr>
      <w:color w:val="605e5c"/>
      <w:shd w:val="clear" w:color="auto" w:fill="e1dfdd"/>
    </w:rPr>
  </w:style>
  <w:style w:type="character" w:styleId="1138" w:customStyle="1">
    <w:name w:val="copy"/>
    <w:basedOn w:val="1031"/>
    <w:pPr>
      <w:pBdr/>
      <w:spacing/>
      <w:ind/>
    </w:pPr>
  </w:style>
  <w:style w:type="paragraph" w:styleId="1139" w:customStyle="1">
    <w:name w:val="align-justify"/>
    <w:basedOn w:val="1026"/>
    <w:pPr>
      <w:pBdr/>
      <w:spacing w:after="100" w:afterAutospacing="1" w:before="100" w:beforeAutospacing="1"/>
      <w:ind/>
    </w:pPr>
  </w:style>
  <w:style w:type="character" w:styleId="1140" w:customStyle="1">
    <w:name w:val="btn"/>
    <w:basedOn w:val="1031"/>
    <w:pPr>
      <w:pBdr/>
      <w:spacing/>
      <w:ind/>
    </w:pPr>
  </w:style>
  <w:style w:type="character" w:styleId="1141" w:customStyle="1">
    <w:name w:val="hide_mobile"/>
    <w:basedOn w:val="1031"/>
    <w:pPr>
      <w:pBdr/>
      <w:spacing/>
      <w:ind/>
    </w:pPr>
  </w:style>
  <w:style w:type="character" w:styleId="1142">
    <w:name w:val="Emphasis"/>
    <w:basedOn w:val="1031"/>
    <w:uiPriority w:val="20"/>
    <w:qFormat/>
    <w:pPr>
      <w:pBdr/>
      <w:spacing/>
      <w:ind/>
    </w:pPr>
    <w:rPr>
      <w:i/>
      <w:iCs/>
    </w:rPr>
  </w:style>
  <w:style w:type="character" w:styleId="1143" w:customStyle="1">
    <w:name w:val="t1"/>
    <w:basedOn w:val="1031"/>
    <w:pPr>
      <w:pBdr/>
      <w:spacing/>
      <w:ind/>
    </w:pPr>
  </w:style>
  <w:style w:type="character" w:styleId="1144" w:customStyle="1">
    <w:name w:val="Unresolved Mention4"/>
    <w:basedOn w:val="1031"/>
    <w:uiPriority w:val="99"/>
    <w:semiHidden/>
    <w:unhideWhenUsed/>
    <w:pPr>
      <w:pBdr/>
      <w:spacing/>
      <w:ind/>
    </w:pPr>
    <w:rPr>
      <w:color w:val="605e5c"/>
      <w:shd w:val="clear" w:color="auto" w:fill="e1dfdd"/>
    </w:rPr>
  </w:style>
  <w:style w:type="character" w:styleId="1145">
    <w:name w:val="Unresolved Mention"/>
    <w:basedOn w:val="103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513</cp:revision>
  <dcterms:created xsi:type="dcterms:W3CDTF">2025-09-15T02:01:00Z</dcterms:created>
  <dcterms:modified xsi:type="dcterms:W3CDTF">2026-05-16T09:22:52Z</dcterms:modified>
</cp:coreProperties>
</file>