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90221"/>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9022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275/2026/0495/VFI-CT.53.A</w:t>
                            </w:r>
                            <w:r>
                              <w:rPr>
                                <w:b/>
                              </w:rPr>
                            </w:r>
                            <w:r>
                              <w:rPr>
                                <w:b/>
                              </w:rPr>
                            </w:r>
                          </w:p>
                          <w:p>
                            <w:pPr>
                              <w:pBdr/>
                              <w:tabs>
                                <w:tab w:val="left" w:leader="none" w:pos="3002"/>
                              </w:tabs>
                              <w:spacing w:after="120" w:before="120" w:line="276" w:lineRule="auto"/>
                              <w:ind/>
                              <w:jc w:val="center"/>
                              <w:rPr>
                                <w:rFonts w:ascii="Times New Roman Bold" w:hAnsi="Times New Roman Bold"/>
                                <w:b/>
                                <w:highlight w:val="yellow"/>
                              </w:rPr>
                            </w:pPr>
                            <w:r>
                              <w:rPr>
                                <w:rFonts w:ascii="Times New Roman Bold" w:hAnsi="Times New Roman Bold"/>
                                <w:b/>
                                <w:lang w:val="pt-BR"/>
                              </w:rPr>
                              <w:t xml:space="preserve">Khách hàng yêu </w:t>
                            </w:r>
                            <w:r>
                              <w:rPr>
                                <w:rFonts w:ascii="Times New Roman Bold" w:hAnsi="Times New Roman Bold"/>
                                <w:b/>
                                <w:highlight w:val="white"/>
                                <w:lang w:val="pt-BR"/>
                              </w:rPr>
                              <w:t xml:space="preserve">cầ</w:t>
                            </w:r>
                            <w:r>
                              <w:rPr>
                                <w:rFonts w:ascii="Times New Roman Bold" w:hAnsi="Times New Roman Bold"/>
                                <w:b/>
                                <w:highlight w:val="white"/>
                                <w:lang w:val="pt-BR"/>
                              </w:rPr>
                              <w:t xml:space="preserve">u:</w:t>
                            </w:r>
                            <w:r>
                              <w:rPr>
                                <w:rFonts w:ascii="Times New Roman Bold" w:hAnsi="Times New Roman Bold"/>
                                <w:b/>
                                <w:highlight w:val="white"/>
                                <w:lang w:val="pt-BR"/>
                              </w:rPr>
                              <w:t xml:space="preserve">ÔNG DƯƠNG VĂN HOÀNG</w:t>
                            </w:r>
                            <w:r>
                              <w:rPr>
                                <w:rFonts w:ascii="Times New Roman Bold" w:hAnsi="Times New Roman Bold"/>
                                <w:b/>
                                <w:highlight w:val="yellow"/>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223, tờ bản đồ số 5 có địa chỉ: Xã Thanh Đa, huyện Phúc Th</w:t>
                            </w:r>
                            <w:r>
                              <w:rPr>
                                <w:color w:val="000000"/>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bCs/>
                                <w:i/>
                                <w:iCs/>
                              </w:rPr>
                              <w:t xml:space="preserve">.</w:t>
                            </w:r>
                            <w:r>
                              <w:rPr>
                                <w:bCs/>
                                <w:i/>
                                <w:iCs/>
                              </w:rPr>
                            </w:r>
                            <w:r>
                              <w:rPr>
                                <w:i/>
                                <w:iCs/>
                                <w:highlight w:val="none"/>
                              </w:rPr>
                            </w:r>
                          </w:p>
                          <w:p>
                            <w:pPr>
                              <w:pBdr/>
                              <w:spacing w:after="120" w:before="120" w:line="360" w:lineRule="auto"/>
                              <w:ind/>
                              <w:jc w:val="both"/>
                              <w:rPr>
                                <w:bCs/>
                                <w:i/>
                              </w:rPr>
                            </w:pPr>
                            <w:r>
                              <w:rPr>
                                <w:bCs/>
                                <w:i/>
                                <w:iCs/>
                                <w:highlight w:val="none"/>
                              </w:rPr>
                            </w:r>
                            <w:r>
                              <w:rPr>
                                <w:bCs/>
                                <w:i/>
                                <w:iCs/>
                                <w:highlight w:val="none"/>
                              </w:rPr>
                            </w:r>
                            <w:r>
                              <w:rPr>
                                <w:bCs/>
                                <w:i/>
                              </w:rPr>
                            </w:r>
                          </w:p>
                          <w:p>
                            <w:pPr>
                              <w:pBdr/>
                              <w:spacing w:after="120" w:before="120" w:line="360" w:lineRule="auto"/>
                              <w:ind/>
                              <w:jc w:val="center"/>
                              <w:rPr>
                                <w:bCs/>
                                <w:i/>
                                <w:iCs/>
                              </w:rPr>
                            </w:pPr>
                            <w:r>
                              <w:rPr>
                                <w:b/>
                                <w:bCs/>
                                <w:lang w:val="pt-BR"/>
                              </w:rPr>
                              <w:t xml:space="preserve">Thời điểm thẩm </w:t>
                            </w:r>
                            <w:r>
                              <w:rPr>
                                <w:color w:val="000000" w:themeColor="text1"/>
                                <w:lang w:val="pt-BR"/>
                              </w:rPr>
                            </w:r>
                            <w:r>
                              <w:rPr>
                                <w:b/>
                                <w:bCs/>
                                <w:lang w:val="pt-BR"/>
                              </w:rPr>
                              <w:t xml:space="preserve">định: </w:t>
                            </w:r>
                            <w:r>
                              <w:rPr>
                                <w:color w:val="000000" w:themeColor="text1"/>
                                <w:lang w:val="pt-BR"/>
                              </w:rPr>
                              <w:t xml:space="preserve">Tháng 03/</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0.5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275/2026/0495/VFI-CT.53.A</w:t>
                      </w:r>
                      <w:r>
                        <w:rPr>
                          <w:b/>
                        </w:rPr>
                      </w:r>
                      <w:r>
                        <w:rPr>
                          <w:b/>
                        </w:rPr>
                      </w:r>
                    </w:p>
                    <w:p>
                      <w:pPr>
                        <w:pBdr/>
                        <w:tabs>
                          <w:tab w:val="left" w:leader="none" w:pos="3002"/>
                        </w:tabs>
                        <w:spacing w:after="120" w:before="120" w:line="276" w:lineRule="auto"/>
                        <w:ind/>
                        <w:jc w:val="center"/>
                        <w:rPr>
                          <w:rFonts w:ascii="Times New Roman Bold" w:hAnsi="Times New Roman Bold"/>
                          <w:b/>
                          <w:highlight w:val="yellow"/>
                        </w:rPr>
                      </w:pPr>
                      <w:r>
                        <w:rPr>
                          <w:rFonts w:ascii="Times New Roman Bold" w:hAnsi="Times New Roman Bold"/>
                          <w:b/>
                          <w:lang w:val="pt-BR"/>
                        </w:rPr>
                        <w:t xml:space="preserve">Khách hàng yêu </w:t>
                      </w:r>
                      <w:r>
                        <w:rPr>
                          <w:rFonts w:ascii="Times New Roman Bold" w:hAnsi="Times New Roman Bold"/>
                          <w:b/>
                          <w:highlight w:val="white"/>
                          <w:lang w:val="pt-BR"/>
                        </w:rPr>
                        <w:t xml:space="preserve">cầ</w:t>
                      </w:r>
                      <w:r>
                        <w:rPr>
                          <w:rFonts w:ascii="Times New Roman Bold" w:hAnsi="Times New Roman Bold"/>
                          <w:b/>
                          <w:highlight w:val="white"/>
                          <w:lang w:val="pt-BR"/>
                        </w:rPr>
                        <w:t xml:space="preserve">u:</w:t>
                      </w:r>
                      <w:r>
                        <w:rPr>
                          <w:rFonts w:ascii="Times New Roman Bold" w:hAnsi="Times New Roman Bold"/>
                          <w:b/>
                          <w:highlight w:val="white"/>
                          <w:lang w:val="pt-BR"/>
                        </w:rPr>
                        <w:t xml:space="preserve">ÔNG DƯƠNG VĂN HOÀNG</w:t>
                      </w:r>
                      <w:r>
                        <w:rPr>
                          <w:rFonts w:ascii="Times New Roman Bold" w:hAnsi="Times New Roman Bold"/>
                          <w:b/>
                          <w:highlight w:val="yellow"/>
                          <w:lang w:val="pt-BR"/>
                        </w:rPr>
                      </w:r>
                    </w:p>
                    <w:p>
                      <w:pPr>
                        <w:pBdr/>
                        <w:spacing w:after="120" w:before="120" w:line="360" w:lineRule="auto"/>
                        <w:ind/>
                        <w:jc w:val="both"/>
                        <w:rPr>
                          <w:i/>
                          <w:iCs/>
                          <w:highlight w:val="none"/>
                        </w:rPr>
                      </w:pPr>
                      <w:r>
                        <w:rPr>
                          <w:b/>
                        </w:rPr>
                        <w:t xml:space="preserve">Tài sản thẩm </w:t>
                      </w:r>
                      <w:r>
                        <w:rPr>
                          <w:b/>
                        </w:rPr>
                        <w:t xml:space="preserve">định: </w:t>
                      </w:r>
                      <w:r>
                        <w:rPr>
                          <w:color w:val="000000"/>
                        </w:rPr>
                        <w:t xml:space="preserve">Quyền sử dụng đất tại thửa đất số: 223, tờ bản đồ số 5 có địa chỉ: Xã Thanh Đa, huyện Phúc Th</w:t>
                      </w:r>
                      <w:r>
                        <w:rPr>
                          <w:color w:val="000000"/>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bCs/>
                          <w:i/>
                          <w:iCs/>
                        </w:rPr>
                        <w:t xml:space="preserve">.</w:t>
                      </w:r>
                      <w:r>
                        <w:rPr>
                          <w:bCs/>
                          <w:i/>
                          <w:iCs/>
                        </w:rPr>
                      </w:r>
                      <w:r>
                        <w:rPr>
                          <w:i/>
                          <w:iCs/>
                          <w:highlight w:val="none"/>
                        </w:rPr>
                      </w:r>
                    </w:p>
                    <w:p>
                      <w:pPr>
                        <w:pBdr/>
                        <w:spacing w:after="120" w:before="120" w:line="360" w:lineRule="auto"/>
                        <w:ind/>
                        <w:jc w:val="both"/>
                        <w:rPr>
                          <w:bCs/>
                          <w:i/>
                        </w:rPr>
                      </w:pPr>
                      <w:r>
                        <w:rPr>
                          <w:bCs/>
                          <w:i/>
                          <w:iCs/>
                          <w:highlight w:val="none"/>
                        </w:rPr>
                      </w:r>
                      <w:r>
                        <w:rPr>
                          <w:bCs/>
                          <w:i/>
                          <w:iCs/>
                          <w:highlight w:val="none"/>
                        </w:rPr>
                      </w:r>
                      <w:r>
                        <w:rPr>
                          <w:bCs/>
                          <w:i/>
                        </w:rPr>
                      </w:r>
                    </w:p>
                    <w:p>
                      <w:pPr>
                        <w:pBdr/>
                        <w:spacing w:after="120" w:before="120" w:line="360" w:lineRule="auto"/>
                        <w:ind/>
                        <w:jc w:val="center"/>
                        <w:rPr>
                          <w:bCs/>
                          <w:i/>
                          <w:iCs/>
                        </w:rPr>
                      </w:pPr>
                      <w:r>
                        <w:rPr>
                          <w:b/>
                          <w:bCs/>
                          <w:lang w:val="pt-BR"/>
                        </w:rPr>
                        <w:t xml:space="preserve">Thời điểm thẩm </w:t>
                      </w:r>
                      <w:r>
                        <w:rPr>
                          <w:color w:val="000000" w:themeColor="text1"/>
                          <w:lang w:val="pt-BR"/>
                        </w:rPr>
                      </w:r>
                      <w:r>
                        <w:rPr>
                          <w:b/>
                          <w:bCs/>
                          <w:lang w:val="pt-BR"/>
                        </w:rPr>
                        <w:t xml:space="preserve">định: </w:t>
                      </w:r>
                      <w:r>
                        <w:rPr>
                          <w:color w:val="000000" w:themeColor="text1"/>
                          <w:lang w:val="pt-BR"/>
                        </w:rPr>
                        <w:t xml:space="preserve">Tháng 03/</w:t>
                      </w:r>
                      <w:r>
                        <w:rPr>
                          <w:color w:val="000000" w:themeColor="text1"/>
                          <w:lang w:val="pt-BR"/>
                        </w:rPr>
                        <w:t xml:space="preserve">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19-28</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441"/>
        <w:gridCol w:w="12118"/>
      </w:tblGrid>
      <w:tr>
        <w:trPr>
          <w:trHeight w:val="1152"/>
        </w:trPr>
        <w:tc>
          <w:tcPr>
            <w:gridSpan w:val="2"/>
            <w:tcBorders/>
            <w:tcW w:w="229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275/2026/0495/VFI-CT.53.A</w:t>
            </w:r>
            <w:r>
              <w:rPr>
                <w:color w:val="000000" w:themeColor="text1"/>
                <w:sz w:val="24"/>
                <w:szCs w:val="24"/>
              </w:rPr>
            </w:r>
            <w:r>
              <w:rPr>
                <w:color w:val="000000" w:themeColor="text1"/>
                <w:sz w:val="24"/>
                <w:szCs w:val="24"/>
              </w:rPr>
            </w:r>
          </w:p>
          <w:p>
            <w:pPr>
              <w:pStyle w:val="1023"/>
              <w:pBdr/>
              <w:spacing w:after="60"/>
              <w:ind w:right="-56"/>
              <w:jc w:val="center"/>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DƯƠNG VĂN HOÀNG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w:t>
      </w:r>
      <w:r>
        <w:rPr>
          <w:spacing w:val="-4"/>
          <w:highlight w:val="white"/>
          <w:lang w:val="vi-VN"/>
        </w:rPr>
        <w:t xml:space="preserve">ợp đồng</w:t>
      </w:r>
      <w:r>
        <w:rPr>
          <w:spacing w:val="-4"/>
          <w:highlight w:val="white"/>
        </w:rPr>
        <w:t xml:space="preserve"> dịch vụ</w:t>
      </w:r>
      <w:r>
        <w:rPr>
          <w:spacing w:val="-4"/>
          <w:highlight w:val="white"/>
          <w:lang w:val="vi-VN"/>
        </w:rPr>
        <w:t xml:space="preserve"> thẩm định giá số</w:t>
      </w:r>
      <w:r>
        <w:rPr>
          <w:spacing w:val="-4"/>
          <w:highlight w:val="white"/>
        </w:rPr>
        <w:t xml:space="preserve">:</w:t>
      </w:r>
      <w:r>
        <w:rPr>
          <w:spacing w:val="-4"/>
          <w:highlight w:val="white"/>
          <w:lang w:val="vi-VN"/>
        </w:rPr>
        <w:t xml:space="preserve"> </w:t>
      </w:r>
      <w:r>
        <w:rPr>
          <w:color w:val="000000" w:themeColor="text1"/>
          <w:spacing w:val="-4"/>
          <w:highlight w:val="white"/>
          <w:lang w:val="vi-VN"/>
        </w:rPr>
        <w:t xml:space="preserve">275/2026/0495/VFI-HĐTĐ.53.A</w:t>
      </w:r>
      <w:r>
        <w:rPr>
          <w:spacing w:val="-4"/>
          <w:highlight w:val="white"/>
          <w:lang w:val="vi-VN"/>
        </w:rPr>
        <w:t xml:space="preserve"> ký ngày </w:t>
      </w:r>
      <w:r>
        <w:rPr>
          <w:color w:val="000000" w:themeColor="text1"/>
          <w:spacing w:val="-4"/>
          <w:highlight w:val="white"/>
        </w:rPr>
        <w:t xml:space="preserve">19 tháng 3</w:t>
      </w:r>
      <w:r>
        <w:rPr>
          <w:color w:val="000000" w:themeColor="text1"/>
          <w:spacing w:val="-4"/>
          <w:highlight w:val="white"/>
        </w:rPr>
        <w:t xml:space="preserve"> năm 2026</w:t>
      </w:r>
      <w:r>
        <w:rPr>
          <w:spacing w:val="-4"/>
          <w:highlight w:val="white"/>
          <w:lang w:val="vi-VN"/>
        </w:rPr>
        <w:t xml:space="preserve"> </w:t>
      </w:r>
      <w:r>
        <w:rPr>
          <w:spacing w:val="-4"/>
          <w:highlight w:val="white"/>
          <w:lang w:val="vi-VN"/>
        </w:rPr>
        <w:t xml:space="preserve">giữ</w:t>
      </w:r>
      <w:r>
        <w:rPr>
          <w:spacing w:val="-4"/>
          <w:highlight w:val="white"/>
          <w:lang w:val="vi-VN"/>
        </w:rPr>
        <w:t xml:space="preserve">a </w:t>
      </w:r>
      <w:r>
        <w:rPr>
          <w:color w:val="000000" w:themeColor="text1"/>
          <w:spacing w:val="-4"/>
          <w:highlight w:val="white"/>
        </w:rPr>
        <w:t xml:space="preserve">Ông D</w:t>
      </w:r>
      <w:r>
        <w:rPr>
          <w:color w:val="000000" w:themeColor="text1"/>
          <w:spacing w:val="-4"/>
          <w:highlight w:val="white"/>
        </w:rPr>
        <w:t xml:space="preserve">ương Văn Hoàn</w:t>
      </w:r>
      <w:r>
        <w:rPr>
          <w:color w:val="000000" w:themeColor="text1"/>
          <w:spacing w:val="-4"/>
        </w:rPr>
        <w:t xml:space="preserve">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275/2026/0495/VFI-BC.53.A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highlight w:val="none"/>
              </w:rPr>
            </w:pPr>
            <w:r>
              <w:rPr>
                <w:b/>
                <w:bCs/>
              </w:rPr>
              <w:t xml:space="preserve">ÔNG DƯƠNG VĂN HOÀNG </w:t>
            </w:r>
            <w:r>
              <w:rPr>
                <w:b/>
                <w:bCs/>
                <w:highlight w:val="none"/>
              </w:rPr>
            </w:r>
            <w:r>
              <w:rPr>
                <w:b/>
                <w:bCs/>
                <w:highlight w:val="none"/>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Thôn Đường Hồng, xã Thanh Đa, huyện Phúc Thọ, thành phố Hà Nội(nay là xã Hát Môn, Thành phố Hà Nội)</w:t>
            </w:r>
            <w:r>
              <w:rPr>
                <w:color w:val="000000" w:themeColor="text1"/>
                <w:highlight w:val="none"/>
                <w:lang w:val="vi-VN"/>
              </w:rPr>
            </w:r>
            <w:r>
              <w:rPr>
                <w:color w:val="000000" w:themeColor="text1"/>
                <w:highlight w:val="none"/>
                <w:lang w:val="vi-VN"/>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223, tờ bản đồ số 5 có địa chỉ: Xã Thanh Đa, huyện Phúc Th</w:t>
      </w:r>
      <w:r>
        <w:rPr>
          <w:color w:val="000000" w:themeColor="text1"/>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761"/>
        <w:gridCol w:w="1843"/>
        <w:gridCol w:w="1805"/>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76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805"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223, tờ bản đồ số 5 có địa chỉ: Xã Thanh Đa, huyện Phúc Th</w:t>
            </w:r>
            <w:r>
              <w:rPr>
                <w:b/>
                <w:bCs/>
                <w:color w:val="000000"/>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2761" w:type="dxa"/>
            <w:vAlign w:val="center"/>
            <w:textDirection w:val="lrTb"/>
            <w:noWrap w:val="false"/>
          </w:tcPr>
          <w:p>
            <w:pPr>
              <w:pBdr/>
              <w:spacing w:after="40" w:before="40" w:line="288" w:lineRule="auto"/>
              <w:ind/>
              <w:rPr>
                <w:b w:val="0"/>
                <w:bCs w:val="0"/>
              </w:rPr>
            </w:pPr>
            <w:r>
              <w:rPr>
                <w:b w:val="0"/>
                <w:bCs w:val="0"/>
              </w:rPr>
              <w:t xml:space="preserve">Quyền sử dụng đất ở </w:t>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805"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6.000.000.000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6.000.000.000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866"/>
        <w:gridCol w:w="11696"/>
      </w:tblGrid>
      <w:tr>
        <w:trPr>
          <w:trHeight w:val="1843"/>
        </w:trPr>
        <w:tc>
          <w:tcPr>
            <w:gridSpan w:val="2"/>
            <w:tcBorders/>
            <w:tcW w:w="272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169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w:t>
            </w:r>
            <w:r>
              <w:rPr>
                <w:rStyle w:val="1022"/>
                <w:rFonts w:ascii="Times New Roman" w:hAnsi="Times New Roman"/>
                <w:color w:val="000000" w:themeColor="text1"/>
                <w:highlight w:val="white"/>
                <w:lang w:val="pt-BR"/>
              </w:rPr>
              <w:t xml:space="preserve">026/0495/VFI-</w:t>
            </w:r>
            <w:r>
              <w:rPr>
                <w:rStyle w:val="1022"/>
                <w:rFonts w:ascii="Times New Roman" w:hAnsi="Times New Roman"/>
                <w:color w:val="000000" w:themeColor="text1"/>
                <w:highlight w:val="white"/>
                <w:lang w:val="pt-BR"/>
              </w:rPr>
              <w:t xml:space="preserve">BC</w:t>
            </w:r>
            <w:r>
              <w:rPr>
                <w:rStyle w:val="1022"/>
                <w:rFonts w:ascii="Times New Roman" w:hAnsi="Times New Roman"/>
                <w:color w:val="000000" w:themeColor="text1"/>
                <w:highlight w:val="white"/>
                <w:lang w:val="pt-BR"/>
              </w:rPr>
              <w:t xml:space="preserve">.53.A</w:t>
            </w:r>
            <w:r>
              <w:rPr>
                <w:color w:val="000000" w:themeColor="text1"/>
                <w:sz w:val="24"/>
                <w:szCs w:val="24"/>
                <w:highlight w:val="white"/>
              </w:rPr>
            </w:r>
            <w:r>
              <w:rPr>
                <w:color w:val="000000" w:themeColor="text1"/>
                <w:sz w:val="24"/>
                <w:szCs w:val="24"/>
              </w:rPr>
            </w:r>
          </w:p>
          <w:p>
            <w:pPr>
              <w:pStyle w:val="1023"/>
              <w:pBdr/>
              <w:spacing w:after="60"/>
              <w:ind w:right="-56"/>
              <w:jc w:val="center"/>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30 tháng 3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866" w:type="dxa"/>
            <w:textDirection w:val="lrTb"/>
            <w:noWrap w:val="false"/>
          </w:tcPr>
          <w:p>
            <w:pPr>
              <w:pStyle w:val="1023"/>
              <w:pBdr/>
              <w:spacing w:after="60"/>
              <w:ind/>
              <w:rPr>
                <w:rStyle w:val="1022"/>
                <w:rFonts w:ascii="Times New Roman" w:hAnsi="Times New Roman"/>
                <w:color w:val="000000" w:themeColor="text1"/>
                <w:lang w:val="pt-BR"/>
              </w:rPr>
            </w:pPr>
            <w:r>
              <w:rPr>
                <w:rStyle w:val="1022"/>
                <w:rFonts w:ascii="Times New Roman" w:hAnsi="Times New Roman"/>
                <w:color w:val="000000" w:themeColor="text1"/>
                <w:lang w:val="pt-BR"/>
              </w:rPr>
            </w:r>
            <w:r>
              <w:rPr>
                <w:rStyle w:val="1022"/>
                <w:rFonts w:ascii="Times New Roman" w:hAnsi="Times New Roman"/>
                <w:color w:val="000000" w:themeColor="text1"/>
                <w:lang w:val="pt-BR"/>
              </w:rPr>
            </w:r>
            <w:r>
              <w:rPr>
                <w:rStyle w:val="1022"/>
                <w:rFonts w:ascii="Times New Roman" w:hAnsi="Times New Roman"/>
                <w:color w:val="000000" w:themeColor="text1"/>
                <w:lang w:val="pt-BR"/>
              </w:rPr>
            </w:r>
          </w:p>
        </w:tc>
        <w:tc>
          <w:tcPr>
            <w:shd w:val="clear" w:color="auto" w:fill="auto"/>
            <w:tcBorders/>
            <w:tcMar>
              <w:left w:w="108" w:type="dxa"/>
              <w:top w:w="0" w:type="dxa"/>
              <w:right w:w="108" w:type="dxa"/>
              <w:bottom w:w="0" w:type="dxa"/>
            </w:tcMar>
            <w:tcW w:w="11696" w:type="dxa"/>
            <w:textDirection w:val="lrTb"/>
            <w:noWrap w:val="false"/>
          </w:tcPr>
          <w:p>
            <w:pPr>
              <w:pStyle w:val="1023"/>
              <w:pBdr/>
              <w:spacing w:after="60"/>
              <w:ind w:right="-56"/>
              <w:rPr>
                <w:rStyle w:val="1022"/>
                <w:rFonts w:ascii="Times New Roman" w:hAnsi="Times New Roman"/>
                <w:i/>
                <w:color w:val="auto"/>
              </w:rPr>
            </w:pPr>
            <w:r>
              <w:rPr>
                <w:rFonts w:ascii="Times New Roman" w:hAnsi="Times New Roman"/>
                <w:i/>
                <w:color w:val="auto"/>
              </w:rPr>
            </w:r>
            <w:r>
              <w:rPr>
                <w:rStyle w:val="1022"/>
                <w:rFonts w:ascii="Times New Roman" w:hAnsi="Times New Roman"/>
                <w:i/>
                <w:color w:val="auto"/>
              </w:rPr>
            </w:r>
            <w:r>
              <w:rPr>
                <w:rStyle w:val="1022"/>
                <w:rFonts w:ascii="Times New Roman" w:hAnsi="Times New Roman"/>
                <w:i/>
                <w:color w:val="auto"/>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275/2026/0495/VFI-CT.53.A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bCs/>
                <w:highlight w:val="none"/>
              </w:rPr>
            </w:pPr>
            <w:r>
              <w:rPr>
                <w:b/>
                <w:bCs/>
              </w:rPr>
              <w:t xml:space="preserve">ÔNG DƯƠNG VĂN HOÀNG </w:t>
            </w:r>
            <w:r>
              <w:rPr>
                <w:b/>
                <w:bCs/>
                <w:highlight w:val="none"/>
              </w:rPr>
            </w:r>
            <w:r>
              <w:rPr>
                <w:b/>
                <w:bCs/>
                <w:highlight w:val="none"/>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000000" w:themeColor="text1"/>
                <w:highlight w:val="none"/>
                <w:lang w:val="vi-VN"/>
              </w:rPr>
            </w:pPr>
            <w:r>
              <w:rPr>
                <w:color w:val="000000" w:themeColor="text1"/>
                <w:lang w:val="vi-VN"/>
              </w:rPr>
              <w:t xml:space="preserve">Thôn Đường Hồng, xã Thanh Đa, huyện Phúc Thọ, thành phố Hà Nội(nay là xã Hát Môn, Thành phố Hà Nội)</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223, tờ bản đồ số 5 có địa chỉ: Xã Thanh Đa, huyện Phúc Th</w:t>
            </w:r>
            <w:r>
              <w:rPr>
                <w:bCs/>
                <w:color w:val="000000" w:themeColor="text1"/>
                <w:lang w:val="pt-BR"/>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Hát Môn,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21.106277777778, 105.6235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AQ 163976, số vào sổ cấp GCN: H 00380 do Uỷ ban Nhân dân Huyện Phúc Thọ cấp ngày 09/12/2009; Chủ sử dụng đất là Ông Dương Văn Hoàng và Bà Nguyễn Thị Xanh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275/2026/0495/VFI-HĐTĐ.53.A ngày 19/03/2026 giữa Ông Dương Văn Hoàng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lang w:val="pt-BR"/>
        </w:rPr>
        <w:tab/>
      </w:r>
      <w:r>
        <w:rPr>
          <w:rFonts w:ascii="Times New Roman" w:hAnsi="Times New Roman" w:eastAsia="Times New Roman" w:cs="Times New Roman"/>
          <w:color w:val="000000"/>
          <w:sz w:val="24"/>
        </w:rPr>
        <w:t xml:space="preserve">Huyện Phúc Thọ sở hữu vị trí địa lý đắc địa, vừa thuộc hữu ngạn sông Hồng - sông Đáy, vừa nằm cách trung tâm Thủ đô Hà Nội chỉ khoảng 35km.</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      Từ nay đến năm 2030, tầm nhìn đến 2050, huyện Phúc Thọ sẽ phát triển theo hướng đô thị sinh thái, thông minh và bền vững. Huyện sẽ tập trung phát triển thương mại dịch vụ và du lịch gắn với đô thị sinh thái làm ngành kinh tế mũi nhọn. Nông nghiệp côn</w:t>
      </w:r>
      <w:r>
        <w:rPr>
          <w:rFonts w:ascii="Times New Roman" w:hAnsi="Times New Roman" w:eastAsia="Times New Roman" w:cs="Times New Roman"/>
          <w:color w:val="000000"/>
          <w:sz w:val="24"/>
        </w:rPr>
        <w:t xml:space="preserve">g nghệ cao sẽ là nền tảng, trong khi công nghiệp và tiểu thủ công nghiệp sẽ là động lực thúc đẩy sự phát triển.Với lợi thế có vị trí tiếp giáp các xã Quảng Oai, Suối Hai, Yên Bài, phường Tùng Thiện là điểm giao thoa với vùng sinh thái bán sơn địa, tạo ra n</w:t>
      </w:r>
      <w:r>
        <w:rPr>
          <w:rFonts w:ascii="Times New Roman" w:hAnsi="Times New Roman" w:eastAsia="Times New Roman" w:cs="Times New Roman"/>
          <w:color w:val="000000"/>
          <w:sz w:val="24"/>
        </w:rPr>
        <w:t xml:space="preserve">hiều tiềm năng phát triển du lịch, nghỉ dưỡng, có thể quy hoạch làm farmstay, homestay… và bảo tồn rừng trong quy hoạch tổng thể khu vực phía Tây Hà Nội.</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Huyện Phúc Thọ xác định một trong ba vùng phát triển là khu đô thị sinh thái gắn liền với thương mại, dịch vụ và trung tâm hành chính, chính trị, văn hóa của huyện, bao gồm thị trấn Phúc Thọ và các xã như Sen Phương, Võng Xuyên, Long Xuyên và Phụng T</w:t>
      </w:r>
      <w:r>
        <w:rPr>
          <w:rFonts w:ascii="Times New Roman" w:hAnsi="Times New Roman" w:eastAsia="Times New Roman" w:cs="Times New Roman"/>
          <w:color w:val="000000"/>
          <w:sz w:val="24"/>
        </w:rPr>
        <w:t xml:space="preserve">hượng.</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Quy hoạch phát triển của huyện Phúc Thọ bao gồm nhiều dự án bất động sản quan trọng, đặc biệt là các khu đô thị sinh thái với tổng diện tích lên đến hơn 1.000 ha. Những khu đô thị này không chỉ tập trung ở thị trấn Phúc Thọ mà còn mở rộng ra các xã như</w:t>
      </w:r>
      <w:r>
        <w:rPr>
          <w:rFonts w:ascii="Times New Roman" w:hAnsi="Times New Roman" w:eastAsia="Times New Roman" w:cs="Times New Roman"/>
          <w:color w:val="000000"/>
          <w:sz w:val="24"/>
        </w:rPr>
        <w:t xml:space="preserve"> Hát Môn, Long Xuyên, Ngọc Tảo, Phúc Hòa, và Phụng Thượng. Sự ra đời của các khu đô thị sinh thái này đáp ứng nhu cầu nhà ở, tạo điều kiện thuận lợi cho phát triển thương mại, dịch vụ và du lịch. Ngoài ra, huyện cũng dành gần 437 ha đất cho phát triển công</w:t>
      </w:r>
      <w:r>
        <w:rPr>
          <w:rFonts w:ascii="Times New Roman" w:hAnsi="Times New Roman" w:eastAsia="Times New Roman" w:cs="Times New Roman"/>
          <w:color w:val="000000"/>
          <w:sz w:val="24"/>
        </w:rPr>
        <w:t xml:space="preserve"> nghiệp, đặc biệt ở các khu công nghiệp như Nam Phúc Thọ và các làng nghề.</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   Huyện Phúc Thọ đang dần khẳng định vị thế của mình nhờ vị trí chiến lược, quy hoạch bài bản và tiềm năng phát triển lớn. Nhìn chung, thị trường bất động sản huyện Phúc Thọ đang trên đà phát triển với tiềm năng tăng trưởng dài hạn. Sự gia tăng về hạ tầng</w:t>
      </w:r>
      <w:r>
        <w:rPr>
          <w:rFonts w:ascii="Times New Roman" w:hAnsi="Times New Roman" w:eastAsia="Times New Roman" w:cs="Times New Roman"/>
          <w:color w:val="000000"/>
          <w:sz w:val="24"/>
        </w:rPr>
        <w:t xml:space="preserve"> giao thông, khu đô thị sinh thái và nhu cầu mua bán nhà từ cư dân nội thành mở ra cơ hội đầu tư hấp dẫn. Nhà đầu tư nên xem xét kỹ các yếu tố pháp lý và lựa chọn vị trí phù hợp để tối ưu hóa lợi nhuận lâu dài.</w:t>
      </w:r>
      <w:r/>
    </w:p>
    <w:p>
      <w:pPr>
        <w:pBdr/>
        <w:tabs>
          <w:tab w:val="left" w:leader="none" w:pos="426"/>
        </w:tabs>
        <w:spacing w:after="120" w:before="120" w:line="276" w:lineRule="auto"/>
        <w:ind/>
        <w:rPr>
          <w:bCs/>
          <w:i/>
          <w:u w:val="single"/>
        </w:rPr>
      </w:pPr>
      <w:r>
        <w:rPr>
          <w:rFonts w:ascii="Times New Roman" w:hAnsi="Times New Roman" w:eastAsia="Times New Roman" w:cs="Times New Roman"/>
          <w:i/>
          <w:color w:val="000000"/>
          <w:sz w:val="24"/>
          <w:u w:val="single"/>
        </w:rPr>
        <w:t xml:space="preserve">( nguồn : </w:t>
      </w:r>
      <w:hyperlink r:id="rId17" w:tooltip="https://onehousing.vn/blog/bat-dong-san-huyen-phuc-tho-tiem-nang-va-vi-tri-dep-n17t" w:history="1">
        <w:r>
          <w:rPr>
            <w:rStyle w:val="1014"/>
            <w:rFonts w:ascii="Times New Roman" w:hAnsi="Times New Roman" w:eastAsia="Times New Roman" w:cs="Times New Roman"/>
            <w:i/>
            <w:color w:val="000000"/>
            <w:sz w:val="24"/>
            <w:u w:val="single"/>
          </w:rPr>
          <w:t xml:space="preserve">https://onehousing.vn/blog/bat-dong-san-huyen-phuc-tho-tiem-nang-va-vi-tri-dep-n17t</w:t>
        </w:r>
      </w:hyperlink>
      <w:r>
        <w:rPr>
          <w:i/>
          <w:iCs/>
          <w:u w:val="single"/>
          <w:lang w:val="pt-BR"/>
        </w:rPr>
        <w:t xml:space="preserve">)</w:t>
      </w:r>
      <w:r>
        <w:rPr>
          <w:u w:val="single"/>
        </w:rPr>
      </w:r>
      <w:r>
        <w:rPr>
          <w:bCs/>
          <w:i/>
          <w:u w:val="single"/>
        </w:rPr>
      </w:r>
    </w:p>
    <w:p>
      <w:pPr>
        <w:pStyle w:val="1024"/>
        <w:pBdr/>
        <w:tabs>
          <w:tab w:val="left" w:leader="none" w:pos="993"/>
        </w:tabs>
        <w:spacing w:after="120" w:before="120" w:line="276" w:lineRule="auto"/>
        <w:ind w:left="0"/>
        <w:jc w:val="both"/>
        <w:rPr>
          <w:b/>
          <w:bCs/>
          <w:highlight w:val="none"/>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highlight w:val="none"/>
          <w:lang w:val="pt-BR"/>
        </w:rPr>
      </w:r>
    </w:p>
    <w:tbl>
      <w:tblPr>
        <w:tblStyle w:val="102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24"/>
        <w:gridCol w:w="2043"/>
        <w:gridCol w:w="2443"/>
        <w:gridCol w:w="2398"/>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223, tờ bản đồ số 5 có địa chỉ: Xã Thanh Đa, huyện Phúc Thọ, thành phố Hà Nội (nay là xã Hát Môn, thành phố Hà Nôị) theo Giấy chứng nhận quyền sử dụng đất số: AQ 163976, số vào sổ cấp GCN: H 00380 do Uỷ ban Nhân dân Huyệ</w:t>
            </w:r>
            <w:r>
              <w:rPr>
                <w:rFonts w:ascii="Times New Roman" w:hAnsi="Times New Roman" w:eastAsia="Times New Roman" w:cs="Times New Roman"/>
                <w:b/>
                <w:color w:val="000000"/>
                <w:sz w:val="24"/>
              </w:rPr>
              <w:t xml:space="preserve">n Phúc Thọ cấp ngày 09/12/2009; Chủ sử dụng đất là Ông \Dương Văn Hoàng và Bà Nguyễn Thị Xanh </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223</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96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Thanh Đa, huyện Phúc Thọ, thành phố Hà Nội (nay là xã Hát Môn, thành phố Hà Nôị)</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Sử dụng riêng: 100m2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r>
            <w:r>
              <w:rPr>
                <w:rFonts w:ascii="Times New Roman" w:hAnsi="Times New Roman" w:eastAsia="Times New Roman" w:cs="Times New Roman"/>
                <w:color w:val="000000"/>
                <w:sz w:val="24"/>
                <w:highlight w:val="white"/>
              </w:rPr>
              <w:t xml:space="preserve">Nguồn</w:t>
            </w:r>
            <w:r>
              <w:rPr>
                <w:rFonts w:ascii="Times New Roman" w:hAnsi="Times New Roman" w:eastAsia="Times New Roman" w:cs="Times New Roman"/>
                <w:color w:val="000000"/>
                <w:sz w:val="24"/>
                <w:highlight w:val="white"/>
              </w:rPr>
              <w:t xml:space="preserve"> gốc sử dụng đất:</w:t>
            </w:r>
            <w:r>
              <w:rPr>
                <w:highlight w:val="white"/>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Nhà nước công nhận QSD đất</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vMerge w:val="restart"/>
            <w:textDirection w:val="lrTb"/>
            <w:noWrap w:val="false"/>
          </w:tcPr>
          <w:p>
            <w:pPr>
              <w:pBdr/>
              <w:spacing w:after="0" w:before="0" w:line="240" w:lineRule="auto"/>
              <w:ind/>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p>
        </w:tc>
        <w:tc>
          <w:tcPr>
            <w:tcBorders>
              <w:bottom w:val="single" w:color="000000" w:sz="5" w:space="0"/>
              <w:right w:val="single" w:color="000000" w:sz="5" w:space="0"/>
            </w:tcBorders>
            <w:tcMar>
              <w:left w:w="0" w:type="dxa"/>
              <w:top w:w="0" w:type="dxa"/>
              <w:right w:w="0" w:type="dxa"/>
              <w:bottom w:w="0" w:type="dxa"/>
            </w:tcMar>
            <w:tcW w:w="2324" w:type="dxa"/>
            <w:vAlign w:val="center"/>
            <w:vMerge w:val="restart"/>
            <w:textDirection w:val="lrTb"/>
            <w:noWrap w:val="false"/>
          </w:tcPr>
          <w:p>
            <w:pPr>
              <w:pBdr/>
              <w:spacing w:after="0" w:before="0" w:line="240" w:lineRule="auto"/>
              <w:ind/>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Thông tin quy hoạch</w:t>
            </w:r>
            <w:r>
              <w:rPr>
                <w:rFonts w:ascii="Times New Roman" w:hAnsi="Times New Roman" w:eastAsia="Times New Roman" w:cs="Times New Roman"/>
                <w:color w:val="000000"/>
                <w:sz w:val="24"/>
              </w:rP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vMerge w:val="restart"/>
            <w:textDirection w:val="lrTb"/>
            <w:noWrap w:val="false"/>
          </w:tcPr>
          <w:p>
            <w:pPr>
              <w:pBdr/>
              <w:spacing w:after="0" w:before="0" w:line="240"/>
              <w:ind/>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w:t>
            </w:r>
            <w:r/>
          </w:p>
        </w:tc>
      </w:tr>
      <w:tr>
        <w:trPr>
          <w:trHeight w:val="109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đường trục thôn Thanh Đa, cách sân bòng Thanh Đa khoảng 750m</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8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Tiếp giáp đường bê tông khoảng 7m+ 6m hàng lang</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Vị trí trên bản đồ vệ tinh: </w:t>
            </w:r>
            <w:r>
              <w:rPr>
                <w:rFonts w:ascii="Times New Roman" w:hAnsi="Times New Roman" w:eastAsia="Times New Roman" w:cs="Times New Roman"/>
                <w:color w:val="000000"/>
                <w:sz w:val="24"/>
                <w:highlight w:val="white"/>
              </w:rPr>
              <w:t xml:space="preserve">21.106580272154275, 105.62341916931231</w:t>
            </w:r>
            <w:r>
              <w:rPr>
                <w:rFonts w:ascii="Times New Roman" w:hAnsi="Times New Roman" w:eastAsia="Times New Roman" w:cs="Times New Roman"/>
                <w:color w:val="000000"/>
                <w:sz w:val="24"/>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w:t>
            </w:r>
            <w:r>
              <w:rPr>
                <w:highlight w:val="white"/>
              </w:rP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9208"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 </w:t>
            </w:r>
            <w:r>
              <w:rPr>
                <w:highlight w:val="white"/>
              </w:rPr>
              <mc:AlternateContent>
                <mc:Choice Requires="wpg">
                  <w:drawing>
                    <wp:inline xmlns:wp="http://schemas.openxmlformats.org/drawingml/2006/wordprocessingDrawing" distT="0" distB="0" distL="0" distR="0">
                      <wp:extent cx="5601851" cy="2770314"/>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7569" name=""/>
                              <pic:cNvPicPr>
                                <a:picLocks noChangeAspect="1"/>
                              </pic:cNvPicPr>
                              <pic:nvPr/>
                            </pic:nvPicPr>
                            <pic:blipFill rotWithShape="1">
                              <a:blip r:embed="rId18"/>
                              <a:stretch/>
                            </pic:blipFill>
                            <pic:spPr bwMode="auto">
                              <a:xfrm flipH="0" flipV="0">
                                <a:off x="0" y="0"/>
                                <a:ext cx="5601851" cy="2770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1.09pt;height:218.13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highlight w:val="white"/>
              </w:rPr>
            </w:r>
            <w:r>
              <w:rPr>
                <w:highlight w:val="whit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20,00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Hình chữ nhật</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4"/>
              </w:rPr>
              <w:t xml:space="preserve">Khu vực tập trung dân cư</w:t>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32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 và kinh doanh </w:t>
            </w:r>
            <w:r/>
          </w:p>
        </w:tc>
        <w:tc>
          <w:tcPr>
            <w:tcBorders>
              <w:bottom w:val="single" w:color="000000" w:sz="5" w:space="0"/>
              <w:right w:val="single" w:color="000000" w:sz="5" w:space="0"/>
            </w:tcBorders>
            <w:tcMar>
              <w:left w:w="0" w:type="dxa"/>
              <w:top w:w="0" w:type="dxa"/>
              <w:right w:w="0" w:type="dxa"/>
              <w:bottom w:w="0" w:type="dxa"/>
            </w:tcMar>
            <w:tcW w:w="2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9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9208"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Tài sản gắn liền với đất</w:t>
            </w:r>
            <w:r/>
          </w:p>
        </w:tc>
      </w:tr>
      <w:tr>
        <w:trPr>
          <w:trHeight w:val="854"/>
        </w:trPr>
        <w:tc>
          <w:tcPr>
            <w:tcBorders>
              <w:left w:val="single" w:color="000000" w:sz="5" w:space="0"/>
              <w:bottom w:val="single" w:color="000000" w:sz="5" w:space="0"/>
              <w:right w:val="single" w:color="000000" w:sz="5"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208" w:type="dxa"/>
            <w:vAlign w:val="top"/>
            <w:textDirection w:val="lrTb"/>
            <w:noWrap w:val="false"/>
          </w:tcPr>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01 nhà khung sắt lợp tôn xây dựng năm 2018, xây hết đất.</w:t>
              <w:br/>
              <w:t xml:space="preserve">+ Công trình chưa được chứng nhận trên GCN số </w:t>
            </w:r>
            <w:r>
              <w:rPr>
                <w:rFonts w:ascii="Times New Roman" w:hAnsi="Times New Roman" w:eastAsia="Times New Roman" w:cs="Times New Roman"/>
                <w:color w:val="000000"/>
                <w:sz w:val="24"/>
              </w:rPr>
              <w:t xml:space="preserve">AQ163976.</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lef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595"/>
        <w:gridCol w:w="1952"/>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2"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18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r>
      <w:tr>
        <w:trPr>
          <w:trHeight w:val="1220"/>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Facebook</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https://www.facebook.com/groups/272778741002112/posts/1589525495994090/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0982920858</w:t>
            </w:r>
            <w:r>
              <w:rPr>
                <w:sz w:val="22"/>
                <w:szCs w:val="22"/>
              </w:rPr>
              <w:t xml:space="preserve"> </w:t>
            </w:r>
            <w:r>
              <w:rPr>
                <w:sz w:val="22"/>
                <w:szCs w:val="22"/>
              </w:rPr>
              <w:br/>
              <w:t xml:space="preserve">(</w:t>
            </w:r>
            <w:r>
              <w:rPr>
                <w:sz w:val="22"/>
                <w:szCs w:val="22"/>
              </w:rPr>
              <w:t xml:space="preserve">Đức Lợi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0901076368</w:t>
            </w:r>
            <w:r>
              <w:rPr>
                <w:sz w:val="22"/>
                <w:szCs w:val="22"/>
              </w:rPr>
              <w:br/>
            </w:r>
            <w:r>
              <w:rPr>
                <w:sz w:val="22"/>
                <w:szCs w:val="22"/>
              </w:rPr>
              <w:t xml:space="preserve">(</w:t>
            </w:r>
            <w:r>
              <w:rPr>
                <w:sz w:val="22"/>
                <w:szCs w:val="22"/>
              </w:rPr>
              <w:t xml:space="preserve">Thọ</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0974934884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w:t>
            </w:r>
            <w:r>
              <w:rPr>
                <w:color w:val="000000" w:themeColor="text1"/>
                <w:sz w:val="22"/>
                <w:szCs w:val="22"/>
              </w:rPr>
              <w:t xml:space="preserve">Tháng 03/2026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Tài sản nằm đường trục thôn Thanh Đa, cách sân bòng Thanh Đa khoảng 750m</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w:t>
            </w:r>
            <w:r>
              <w:rPr>
                <w:color w:val="000000" w:themeColor="text1"/>
                <w:sz w:val="22"/>
                <w:szCs w:val="22"/>
              </w:rPr>
              <w:t xml:space="preserve"> cách trục chính , cách trục chính Thanh Đa khoảng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trục chính Thanh Đa khoảng 300m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Đa, Huyện Phúc Thọ, Thành phố Hà Nội, Cách đường trục chính liên xã khoảng 400m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Hạ tầng khu dân cư thông thường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themeColor="text1"/>
                <w:sz w:val="22"/>
                <w:szCs w:val="22"/>
                <w:highlight w:val="none"/>
              </w:rPr>
            </w:pPr>
            <w:r>
              <w:rPr>
                <w:color w:val="000000" w:themeColor="text1"/>
                <w:sz w:val="22"/>
                <w:szCs w:val="22"/>
              </w:rPr>
              <w:t xml:space="preserve">16</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Tốt</w:t>
            </w:r>
            <w:r>
              <w:rPr>
                <w:color w:val="000000"/>
                <w:sz w:val="22"/>
                <w:szCs w:val="22"/>
              </w:rPr>
            </w: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Tốt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6.346.800.000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5.712.120.000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highlight w:val="white"/>
              </w:rPr>
            </w:pPr>
            <w:r>
              <w:rPr>
                <w:color w:val="000000"/>
                <w:sz w:val="22"/>
                <w:szCs w:val="22"/>
                <w:highlight w:val="white"/>
              </w:rPr>
              <w:t xml:space="preserve">-</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highlight w:val="white"/>
              </w:rPr>
            </w:pPr>
            <w:r>
              <w:rPr>
                <w:color w:val="000000"/>
                <w:sz w:val="22"/>
                <w:szCs w:val="22"/>
                <w:highlight w:val="white"/>
              </w:rPr>
              <w:t xml:space="preserve">Tài sản trên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Nhà xưởng sắt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315"/>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5.712.120.000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5.324.400.000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5.712.120.000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r>
              <w:rPr>
                <w:b/>
                <w:bCs/>
                <w:color w:val="000000"/>
                <w:sz w:val="22"/>
                <w:szCs w:val="22"/>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52.200.000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66.420.000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54.000.000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Đất ở nông thôn</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w:t>
            </w:r>
            <w:r>
              <w:rPr>
                <w:color w:val="000000" w:themeColor="text1"/>
                <w:sz w:val="22"/>
                <w:szCs w:val="22"/>
              </w:rPr>
              <w:t xml:space="preserve"> cách trục chính , cách trục chính Thanh Đa khoảng 750m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w:t>
            </w:r>
            <w:r>
              <w:rPr>
                <w:color w:val="000000" w:themeColor="text1"/>
                <w:sz w:val="22"/>
                <w:szCs w:val="22"/>
              </w:rPr>
              <w:t xml:space="preserve"> cách trục chính , cách trục chính Thanh Đa khoảng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trục chính Thanh Đa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trục chính liên xã khoảng 400m</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54.810.000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54.810.000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66.420.000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63.099.000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Hạ tầng khu dân cư thông thường</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63.099.000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63.099.000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-3.321.000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59.778.000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3.985.200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Tốt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Tốt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63.763.200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60.030.000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63.763.200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56.700.000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60.164.400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5,98%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7.830.000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10.627.200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2.700.000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7.830.000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2.656.800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2.700.000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-5,76</w:t>
      </w:r>
      <w:r>
        <w:t xml:space="preserve">% đến</w:t>
      </w:r>
      <w:r>
        <w:t xml:space="preserve"> </w:t>
      </w:r>
      <w:r>
        <w:t xml:space="preserve"> </w:t>
      </w:r>
      <w:r>
        <w:t xml:space="preserve">5,98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60.030.000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20.014.002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63.763.200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21.252.275</w:t>
            </w:r>
            <w:r>
              <w:rPr>
                <w:color w:val="000000"/>
              </w:rPr>
            </w:r>
            <w:r>
              <w:rPr>
                <w:color w:val="000000"/>
              </w:rPr>
            </w:r>
          </w:p>
        </w:tc>
      </w:tr>
      <w:tr>
        <w:trPr>
          <w:trHeight w:val="0"/>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rPr>
            </w:pPr>
            <w:r>
              <w:rPr>
                <w:color w:val="000000"/>
                <w:highlight w:val="white"/>
              </w:rPr>
              <w:t xml:space="preserve">56.700.000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18.898.110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60.164.387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60.000.000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60.000.000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03/2026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3022"/>
        <w:gridCol w:w="1843"/>
        <w:gridCol w:w="1741"/>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3022"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74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223, tờ bản đồ số 5 có địa chỉ: Xã Thanh Đa, huyện Phúc Th</w:t>
            </w:r>
            <w:r>
              <w:rPr>
                <w:b/>
                <w:bCs/>
                <w:color w:val="000000"/>
              </w:rPr>
              <w:t xml:space="preserve">ọ, thành phố Hà Nội (nay là xã Hát Môn, thành phố Hà Nôị) theo Giấy chứng nhận quyền sử dụng đất số: AQ 163976, số vào sổ cấp GCN: H 00380 do Uỷ ban Nhân dân Huyện Phúc Thọ cấp ngày 09/12/2009; Chủ sử dụng đất là Ông Dương Văn Hoàng và Bà Nguyễn Thị Xanh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p>
        </w:tc>
        <w:tc>
          <w:tcPr>
            <w:shd w:val="clear" w:color="000000" w:fill="ffffff"/>
            <w:tcBorders/>
            <w:tcW w:w="3022" w:type="dxa"/>
            <w:vAlign w:val="center"/>
            <w:textDirection w:val="lrTb"/>
            <w:noWrap w:val="false"/>
          </w:tcPr>
          <w:p>
            <w:pPr>
              <w:pBdr/>
              <w:spacing w:after="40" w:before="40" w:line="288" w:lineRule="auto"/>
              <w:ind/>
              <w:rPr>
                <w:b w:val="0"/>
                <w:bCs w:val="0"/>
              </w:rPr>
            </w:pPr>
            <w:r>
              <w:rPr>
                <w:b w:val="0"/>
                <w:bCs w:val="0"/>
              </w:rPr>
              <w:t xml:space="preserve">Quyền sử dụng đất ở</w:t>
            </w:r>
            <w:r>
              <w:rPr>
                <w:b w:val="0"/>
                <w:bCs w:val="0"/>
              </w:rPr>
            </w:r>
          </w:p>
        </w:tc>
        <w:tc>
          <w:tcPr>
            <w:tcBorders/>
            <w:tcW w:w="1843" w:type="dxa"/>
            <w:vAlign w:val="center"/>
            <w:textDirection w:val="lrTb"/>
            <w:noWrap/>
          </w:tcPr>
          <w:p>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741" w:type="dxa"/>
            <w:vAlign w:val="center"/>
            <w:textDirection w:val="lrTb"/>
            <w:noWrap w:val="false"/>
          </w:tcPr>
          <w:p>
            <w:pPr>
              <w:pBdr/>
              <w:spacing w:after="40" w:before="40" w:line="288" w:lineRule="auto"/>
              <w:ind/>
              <w:jc w:val="center"/>
              <w:rPr/>
            </w:pPr>
            <w:r>
              <w:rPr>
                <w:color w:val="000000" w:themeColor="text1"/>
              </w:rPr>
              <w:t xml:space="preserve">60.000.000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6.000.000.000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6.000.000.000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đồng chẵn</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Bdr>
          <w:top w:val="none" w:color="000000" w:sz="4" w:space="0"/>
          <w:left w:val="none" w:color="000000" w:sz="4" w:space="0"/>
          <w:bottom w:val="none" w:color="000000" w:sz="4" w:space="0"/>
          <w:right w:val="none" w:color="000000" w:sz="4" w:space="0"/>
        </w:pBdr>
        <w:spacing w:line="324" w:lineRule="auto"/>
        <w:ind w:right="0" w:firstLine="0" w:left="360"/>
        <w:jc w:val="both"/>
        <w:rPr/>
      </w:pPr>
      <w:r>
        <w:rPr>
          <w:rFonts w:ascii="Times New Roman" w:hAnsi="Times New Roman" w:eastAsia="Times New Roman" w:cs="Times New Roman"/>
          <w:color w:val="000000"/>
          <w:sz w:val="24"/>
          <w:highlight w:val="white"/>
        </w:rPr>
        <w:t xml:space="preserve">Tại thời điểm thẩm định giá, trên đất có công trình xây dựng là: +01 nhà khung sắt xây hết đất, xây dựng năm 2018 . Hiện các công  trình trên ch</w:t>
      </w:r>
      <w:r>
        <w:rPr>
          <w:rFonts w:ascii="Times New Roman" w:hAnsi="Times New Roman" w:eastAsia="Times New Roman" w:cs="Times New Roman"/>
          <w:color w:val="000000"/>
          <w:sz w:val="24"/>
          <w:highlight w:val="white"/>
        </w:rPr>
        <w:t xml:space="preserve">ưa được chứng nhận trên GCN số AQ 163976.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w:t>
      </w:r>
      <w:r>
        <w:rPr>
          <w:rFonts w:ascii="Times New Roman" w:hAnsi="Times New Roman" w:eastAsia="Times New Roman" w:cs="Times New Roman"/>
          <w:color w:val="000000"/>
          <w:sz w:val="24"/>
          <w:highlight w:val="white"/>
        </w:rPr>
        <w:t xml:space="preserve"> dụng kết quả lưu ý. </w:t>
      </w:r>
      <w:r/>
      <w:r>
        <w:rPr>
          <w:highlight w:val="none"/>
          <w:lang w:val="vi-VN" w:bidi="vi-VN"/>
        </w:rPr>
      </w:r>
      <w:r>
        <w:rPr>
          <w:highlight w:val="none"/>
          <w:lang w:val="vi-VN"/>
        </w:rPr>
      </w:r>
      <w:r>
        <w:rPr>
          <w:lang w:val="vi-VN"/>
        </w:rPr>
      </w:r>
      <w:r/>
    </w:p>
    <w:p>
      <w:pPr>
        <w:pStyle w:val="102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4"/>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275/2026/0495/VFI-CT.53.A</w:t>
      </w:r>
      <w:r>
        <w:rPr>
          <w:color w:val="ff0000"/>
          <w:lang w:val="vi-VN"/>
        </w:rPr>
        <w:t xml:space="preserve"> </w:t>
      </w:r>
      <w:r>
        <w:rPr>
          <w:color w:val="000000" w:themeColor="text1"/>
        </w:rPr>
        <w:t xml:space="preserve">ngày 30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r>
        <w:rPr>
          <w:lang w:val="pt-BR"/>
        </w:rPr>
      </w:r>
      <w:r>
        <w:rPr>
          <w:lang w:val="pt-BR"/>
        </w:rPr>
      </w:r>
      <w:r>
        <w:rPr>
          <w:lang w:val="pt-BR"/>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275/2026/0495/VFI-BC.53.A</w:t>
      </w:r>
      <w:r>
        <w:rPr>
          <w:i/>
          <w:lang w:val="pt-BR"/>
        </w:rPr>
        <w:t xml:space="preserve"> ngày </w:t>
      </w:r>
      <w:r>
        <w:rPr>
          <w:i/>
          <w:lang w:val="pt-BR"/>
        </w:rPr>
        <w:t xml:space="preserve">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67143" cy="20805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12913" name=""/>
                              <pic:cNvPicPr>
                                <a:picLocks noChangeAspect="1"/>
                              </pic:cNvPicPr>
                              <pic:nvPr/>
                            </pic:nvPicPr>
                            <pic:blipFill rotWithShape="1">
                              <a:blip r:embed="rId19"/>
                              <a:stretch/>
                            </pic:blipFill>
                            <pic:spPr bwMode="auto">
                              <a:xfrm flipH="0" flipV="0">
                                <a:off x="0" y="0"/>
                                <a:ext cx="1967142" cy="20805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54.89pt;height:163.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2387" cy="21842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429808" name=""/>
                              <pic:cNvPicPr>
                                <a:picLocks noChangeAspect="1"/>
                              </pic:cNvPicPr>
                              <pic:nvPr/>
                            </pic:nvPicPr>
                            <pic:blipFill rotWithShape="1">
                              <a:blip r:embed="rId20"/>
                              <a:stretch/>
                            </pic:blipFill>
                            <pic:spPr bwMode="auto">
                              <a:xfrm flipH="0" flipV="0">
                                <a:off x="0" y="0"/>
                                <a:ext cx="2912386" cy="21842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9.32pt;height:171.9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9235" cy="194192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1594" name=""/>
                              <pic:cNvPicPr>
                                <a:picLocks noChangeAspect="1"/>
                              </pic:cNvPicPr>
                              <pic:nvPr/>
                            </pic:nvPicPr>
                            <pic:blipFill rotWithShape="1">
                              <a:blip r:embed="rId21"/>
                              <a:stretch/>
                            </pic:blipFill>
                            <pic:spPr bwMode="auto">
                              <a:xfrm flipH="0" flipV="0">
                                <a:off x="0" y="0"/>
                                <a:ext cx="2589233" cy="1941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3.88pt;height:152.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6777" cy="221758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38841" name=""/>
                              <pic:cNvPicPr>
                                <a:picLocks noChangeAspect="1"/>
                              </pic:cNvPicPr>
                              <pic:nvPr/>
                            </pic:nvPicPr>
                            <pic:blipFill rotWithShape="1">
                              <a:blip r:embed="rId22"/>
                              <a:stretch/>
                            </pic:blipFill>
                            <pic:spPr bwMode="auto">
                              <a:xfrm flipH="0" flipV="0">
                                <a:off x="0" y="0"/>
                                <a:ext cx="2956776" cy="22175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82pt;height:174.6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97215" cy="247291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05340" name=""/>
                              <pic:cNvPicPr>
                                <a:picLocks noChangeAspect="1"/>
                              </pic:cNvPicPr>
                              <pic:nvPr/>
                            </pic:nvPicPr>
                            <pic:blipFill rotWithShape="1">
                              <a:blip r:embed="rId23"/>
                              <a:stretch/>
                            </pic:blipFill>
                            <pic:spPr bwMode="auto">
                              <a:xfrm flipH="0" flipV="0">
                                <a:off x="0" y="0"/>
                                <a:ext cx="3297214" cy="24729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59.62pt;height:194.7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65028" cy="229877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588056" name=""/>
                              <pic:cNvPicPr>
                                <a:picLocks noChangeAspect="1"/>
                              </pic:cNvPicPr>
                              <pic:nvPr/>
                            </pic:nvPicPr>
                            <pic:blipFill rotWithShape="1">
                              <a:blip r:embed="rId24"/>
                              <a:stretch/>
                            </pic:blipFill>
                            <pic:spPr bwMode="auto">
                              <a:xfrm flipH="0" flipV="0">
                                <a:off x="0" y="0"/>
                                <a:ext cx="3065028" cy="22987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1.34pt;height:181.0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275/2026/0495/VFI-BC.53.A</w:t>
      </w:r>
      <w:r>
        <w:rPr>
          <w:i/>
          <w:lang w:val="pt-BR"/>
        </w:rPr>
        <w:t xml:space="preserve"> </w:t>
      </w:r>
      <w:r>
        <w:rPr>
          <w:i/>
          <w:lang w:val="pt-BR"/>
        </w:rPr>
        <w:t xml:space="preserve">ngày 30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0982920858</w:t>
            </w:r>
            <w:r>
              <w:rPr>
                <w:sz w:val="22"/>
                <w:szCs w:val="22"/>
              </w:rPr>
              <w:t xml:space="preserve"> </w:t>
            </w:r>
            <w:r>
              <w:rPr>
                <w:sz w:val="22"/>
                <w:szCs w:val="22"/>
              </w:rPr>
              <w:br/>
              <w:t xml:space="preserve">(Đức Lợi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w:t>
            </w:r>
            <w:r>
              <w:rPr>
                <w:color w:val="000000" w:themeColor="text1"/>
                <w:sz w:val="22"/>
                <w:szCs w:val="22"/>
              </w:rPr>
              <w:t xml:space="preserve"> cách trục chính , cách trục chính Thanh Đa khoảng 200m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02292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02292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16.7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29953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62995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96.0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21527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621527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89.3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770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077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9.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0901076368</w:t>
            </w:r>
            <w:r>
              <w:rPr>
                <w:sz w:val="22"/>
                <w:szCs w:val="22"/>
              </w:rPr>
              <w:t xml:space="preserve"> </w:t>
            </w:r>
            <w:r>
              <w:rPr>
                <w:sz w:val="22"/>
                <w:szCs w:val="22"/>
              </w:rPr>
              <w:br/>
              <w:t xml:space="preserve">(Thọ</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6.346.800.000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5.712.120.000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trục chính Thanh Đa khoảng 300m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45226"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63452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99.6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854439"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85443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539.7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184309"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61843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86.95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https://www.facebook.com/groups/272778741002112/posts/1589525495994090/</w:t>
            </w:r>
            <w:r>
              <w:rPr>
                <w:color w:val="000000" w:themeColor="text1"/>
                <w:sz w:val="22"/>
                <w:szCs w:val="22"/>
              </w:rPr>
              <w:br/>
            </w:r>
            <w:r>
              <w:rPr>
                <w:sz w:val="22"/>
                <w:szCs w:val="22"/>
              </w:rPr>
              <w:t xml:space="preserve">SĐT: </w:t>
            </w:r>
            <w:r>
              <w:rPr>
                <w:color w:val="000000" w:themeColor="text1"/>
                <w:sz w:val="22"/>
                <w:szCs w:val="22"/>
              </w:rPr>
              <w:t xml:space="preserve">0974934884</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(100m²)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nằm tiếp giáp đường nội xóm, cách đường trục chính liên xã khoảng 400m</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1211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421211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31.66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w:t>
            </w:r>
            <w:r/>
          </w:p>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rPr>
          <w:lang w:val="pt-BR"/>
        </w:rPr>
      </w:pPr>
      <w:r>
        <w:rPr>
          <w:iCs/>
          <w:lang w:val="pt-BR"/>
        </w:rPr>
      </w:r>
      <w:r>
        <w:rPr>
          <w:iCs/>
          <w:lang w:val="pt-BR"/>
        </w:rPr>
      </w:r>
      <w:r>
        <w:rPr>
          <w:lang w:val="pt-BR"/>
        </w:rPr>
      </w:r>
    </w:p>
    <w:p>
      <w:pPr>
        <w:pBdr/>
        <w:spacing w:after="200" w:line="276" w:lineRule="auto"/>
        <w:ind/>
        <w:jc w:val="center"/>
        <w:rPr>
          <w:b/>
          <w:bCs/>
          <w:iCs/>
          <w:highlight w:val="none"/>
          <w:lang w:val="pt-BR"/>
        </w:rPr>
      </w:pPr>
      <w:r>
        <w:rPr>
          <w:b/>
          <w:bCs/>
          <w:iCs/>
          <w:lang w:val="pt-BR"/>
        </w:rPr>
        <w:t xml:space="preserve">HỒ SƠ PHÁP LÝ</w:t>
      </w:r>
      <w:r>
        <w:rPr>
          <w:b/>
          <w:bCs/>
          <w:iCs/>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8491078" cy="636830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155171" name=""/>
                        <pic:cNvPicPr>
                          <a:picLocks noChangeAspect="1"/>
                        </pic:cNvPicPr>
                        <pic:nvPr/>
                      </pic:nvPicPr>
                      <pic:blipFill rotWithShape="1">
                        <a:blip r:embed="rId37"/>
                        <a:stretch/>
                      </pic:blipFill>
                      <pic:spPr bwMode="auto">
                        <a:xfrm rot="5399977" flipH="0" flipV="0">
                          <a:off x="0" y="0"/>
                          <a:ext cx="8491078" cy="6368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668.59pt;height:501.44pt;mso-wrap-distance-left:0.00pt;mso-wrap-distance-top:0.00pt;mso-wrap-distance-right:0.00pt;mso-wrap-distance-bottom:0.00pt;rotation:89;z-index:1;" stroked="false">
                <v:imagedata r:id="rId37" o:title=""/>
                <o:lock v:ext="edit" rotation="t"/>
              </v:shape>
            </w:pict>
          </mc:Fallback>
        </mc:AlternateContent>
      </w:r>
      <w:r>
        <w:rPr>
          <w:b/>
          <w:bCs/>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8981535" cy="6450401"/>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079655" name=""/>
                        <pic:cNvPicPr>
                          <a:picLocks noChangeAspect="1"/>
                        </pic:cNvPicPr>
                        <pic:nvPr/>
                      </pic:nvPicPr>
                      <pic:blipFill rotWithShape="1">
                        <a:blip r:embed="rId38"/>
                        <a:stretch/>
                      </pic:blipFill>
                      <pic:spPr bwMode="auto">
                        <a:xfrm rot="5399977" flipH="0" flipV="0">
                          <a:off x="0" y="0"/>
                          <a:ext cx="8981534" cy="64504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707.21pt;height:507.91pt;mso-wrap-distance-left:0.00pt;mso-wrap-distance-top:0.00pt;mso-wrap-distance-right:0.00pt;mso-wrap-distance-bottom:0.00pt;rotation:89;z-index:1;" stroked="false">
                <v:imagedata r:id="rId38" o:title=""/>
                <o:lock v:ext="edit" rotation="t"/>
              </v:shape>
            </w:pict>
          </mc:Fallback>
        </mc:AlternateContent>
      </w:r>
      <w:r>
        <w:rPr>
          <w:b/>
          <w:bCs/>
        </w:rPr>
      </w:r>
      <w:r>
        <w:rPr>
          <w:highlight w:val="none"/>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836725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55131" name=""/>
                        <pic:cNvPicPr>
                          <a:picLocks noChangeAspect="1"/>
                        </pic:cNvPicPr>
                        <pic:nvPr/>
                      </pic:nvPicPr>
                      <pic:blipFill rotWithShape="1">
                        <a:blip r:embed="rId39"/>
                        <a:stretch/>
                      </pic:blipFill>
                      <pic:spPr bwMode="auto">
                        <a:xfrm flipH="0" flipV="0">
                          <a:off x="0" y="0"/>
                          <a:ext cx="6048374" cy="8367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76.25pt;height:658.84pt;mso-wrap-distance-left:0.00pt;mso-wrap-distance-top:0.00pt;mso-wrap-distance-right:0.00pt;mso-wrap-distance-bottom:0.00pt;z-index:1;" stroked="false">
                <v:imagedata r:id="rId39"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highlight w:val="none"/>
        </w:rPr>
      </w:r>
      <w:r>
        <w:rPr>
          <w:b/>
          <w:bCs/>
          <w:highlight w:val="none"/>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uyen-phuc-tho-tiem-nang-va-vi-tri-dep-n17t"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280</cp:revision>
  <dcterms:created xsi:type="dcterms:W3CDTF">2025-09-15T09:58:00Z</dcterms:created>
  <dcterms:modified xsi:type="dcterms:W3CDTF">2026-03-31T07:32:18Z</dcterms:modified>
</cp:coreProperties>
</file>