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9826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9826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w:t>
                            </w:r>
                            <w:r>
                              <w:rPr>
                                <w:rFonts w:ascii="Times New Roman" w:hAnsi="Times New Roman" w:eastAsia="Times New Roman" w:cs="Times New Roman"/>
                                <w:b/>
                                <w:color w:val="000000"/>
                                <w:spacing w:val="3"/>
                                <w:sz w:val="24"/>
                              </w:rPr>
                              <w:t xml:space="preserve">275/2026/0641/VFI-CT.53.A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CÔNG TY CỔ PHẦN HỢP TÁC HƯNG THỊNH</w:t>
                            </w:r>
                            <w:r/>
                          </w:p>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rPr>
                              <w:t xml:space="preserve">Tài sản thẩm định:</w:t>
                            </w:r>
                            <w:r>
                              <w:rPr>
                                <w:rFonts w:ascii="Times New Roman" w:hAnsi="Times New Roman" w:eastAsia="Times New Roman" w:cs="Times New Roman"/>
                                <w:color w:val="000000"/>
                                <w:sz w:val="24"/>
                              </w:rPr>
                              <w:t xml:space="preserve"> Lợi thế quyền thuê đất trả tiền hàng năm đã có hạ tầng nội bộ và tài sản gắn liền với đất tại thửa đất số: 6, tờ bản đồ số: 41 có địa chỉ: KCN Bình Xuyên, xã Bình Nguyên, tỉnh Phú Thọ theo Giấy chứng nhận quyền sử dụng đất, quyền sở hữu tài sản gắn liền v</w:t>
                            </w:r>
                            <w:r>
                              <w:rPr>
                                <w:rFonts w:ascii="Times New Roman" w:hAnsi="Times New Roman" w:eastAsia="Times New Roman" w:cs="Times New Roman"/>
                                <w:color w:val="000000"/>
                                <w:sz w:val="24"/>
                              </w:rPr>
                              <w:t xml:space="preserve">ới đất số: AA 05002921, số vào sổ cấp GCN: VP 1609 do Văn Phòng Đăng ký Đất đai Tỉnh Phú Thọ cấp ngày 05/02/2026 cho Công ty TNHH Công nghiệp HAHUCO VIỆT NAM</w:t>
                            </w:r>
                            <w:r/>
                          </w:p>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04/2026.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13.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w:t>
                      </w:r>
                      <w:r>
                        <w:rPr>
                          <w:rFonts w:ascii="Times New Roman" w:hAnsi="Times New Roman" w:eastAsia="Times New Roman" w:cs="Times New Roman"/>
                          <w:b/>
                          <w:color w:val="000000"/>
                          <w:spacing w:val="3"/>
                          <w:sz w:val="24"/>
                        </w:rPr>
                        <w:t xml:space="preserve">275/2026/0641/VFI-CT.53.A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CÔNG TY CỔ PHẦN HỢP TÁC HƯNG THỊNH</w:t>
                      </w:r>
                      <w:r/>
                    </w:p>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rPr>
                        <w:t xml:space="preserve">Tài sản thẩm định:</w:t>
                      </w:r>
                      <w:r>
                        <w:rPr>
                          <w:rFonts w:ascii="Times New Roman" w:hAnsi="Times New Roman" w:eastAsia="Times New Roman" w:cs="Times New Roman"/>
                          <w:color w:val="000000"/>
                          <w:sz w:val="24"/>
                        </w:rPr>
                        <w:t xml:space="preserve"> Lợi thế quyền thuê đất trả tiền hàng năm đã có hạ tầng nội bộ và tài sản gắn liền với đất tại thửa đất số: 6, tờ bản đồ số: 41 có địa chỉ: KCN Bình Xuyên, xã Bình Nguyên, tỉnh Phú Thọ theo Giấy chứng nhận quyền sử dụng đất, quyền sở hữu tài sản gắn liền v</w:t>
                      </w:r>
                      <w:r>
                        <w:rPr>
                          <w:rFonts w:ascii="Times New Roman" w:hAnsi="Times New Roman" w:eastAsia="Times New Roman" w:cs="Times New Roman"/>
                          <w:color w:val="000000"/>
                          <w:sz w:val="24"/>
                        </w:rPr>
                        <w:t xml:space="preserve">ới đất số: AA 05002921, số vào sổ cấp GCN: VP 1609 do Văn Phòng Đăng ký Đất đai Tỉnh Phú Thọ cấp ngày 05/02/2026 cho Công ty TNHH Công nghiệp HAHUCO VIỆT NAM</w:t>
                      </w:r>
                      <w:r/>
                    </w:p>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04/2026.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5"/>
              <w:pBdr/>
              <w:spacing w:after="60"/>
              <w:ind/>
              <w:rPr>
                <w:color w:val="000000" w:themeColor="text1"/>
                <w:sz w:val="24"/>
                <w:szCs w:val="24"/>
              </w:rPr>
            </w:pPr>
            <w:r>
              <w:rPr>
                <w:rStyle w:val="1034"/>
                <w:rFonts w:ascii="Times New Roman" w:hAnsi="Times New Roman"/>
                <w:color w:val="000000" w:themeColor="text1"/>
                <w:lang w:val="pt-BR"/>
              </w:rPr>
              <w:t xml:space="preserve">S</w:t>
            </w:r>
            <w:r>
              <w:rPr>
                <w:rStyle w:val="1034"/>
                <w:rFonts w:ascii="Times New Roman" w:hAnsi="Times New Roman" w:eastAsia="Times New Roman" w:cs="Times New Roman"/>
                <w:color w:val="000000" w:themeColor="text1"/>
                <w:lang w:val="pt-BR"/>
              </w:rPr>
              <w:t xml:space="preserve">ố: </w:t>
            </w:r>
            <w:r>
              <w:rPr>
                <w:rFonts w:ascii="Times New Roman" w:hAnsi="Times New Roman" w:eastAsia="Times New Roman" w:cs="Times New Roman"/>
                <w:color w:val="000000"/>
                <w:sz w:val="24"/>
              </w:rPr>
              <w:t xml:space="preserve">275/2026/0641/VFI-CT.53.A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5"/>
              <w:pBdr/>
              <w:spacing w:after="60"/>
              <w:ind w:right="-56"/>
              <w:jc w:val="right"/>
              <w:rPr>
                <w:rFonts w:ascii="Times New Roman" w:hAnsi="Times New Roman" w:cs="Times New Roman"/>
                <w:color w:val="000000" w:themeColor="text1"/>
                <w:sz w:val="24"/>
                <w:szCs w:val="24"/>
              </w:rPr>
            </w:pPr>
            <w:r>
              <w:rPr>
                <w:rStyle w:val="1034"/>
                <w:rFonts w:ascii="Times New Roman" w:hAnsi="Times New Roman"/>
                <w:i/>
                <w:color w:val="auto"/>
              </w:rPr>
            </w:r>
            <w:r>
              <w:rPr>
                <w:rFonts w:ascii="Times New Roman" w:hAnsi="Times New Roman" w:eastAsia="Times New Roman" w:cs="Times New Roman"/>
                <w:i/>
                <w:color w:val="000000"/>
                <w:sz w:val="24"/>
              </w:rPr>
              <w:t xml:space="preserve"> TP. Hà Nội, ngày 24 tháng 4 năm 2026</w:t>
            </w:r>
            <w:r>
              <w:rPr>
                <w:rFonts w:ascii="Times New Roman" w:hAnsi="Times New Roman" w:eastAsia="Times New Roman" w:cs="Times New Roman"/>
                <w:color w:val="000000" w:themeColor="text1"/>
                <w:sz w:val="24"/>
                <w:szCs w:val="24"/>
                <w:lang w:val="vi-VN"/>
              </w:rPr>
            </w:r>
            <w:r>
              <w:rPr>
                <w:rFonts w:ascii="Times New Roman" w:hAnsi="Times New Roman" w:cs="Times New Roman"/>
                <w:color w:val="000000" w:themeColor="text1"/>
                <w:sz w:val="24"/>
                <w:szCs w:val="24"/>
              </w:rP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pPr>
      <w:r>
        <w:rPr>
          <w:rFonts w:ascii="Arial" w:hAnsi="Arial" w:eastAsia="Arial" w:cs="Arial"/>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CÔNG TY CỔ PHẦN HỢP TÁC HƯNG THỊNH</w:t>
      </w: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rFonts w:ascii="Times New Roman" w:hAnsi="Times New Roman" w:eastAsia="Times New Roman" w:cs="Times New Roman"/>
          <w:color w:val="000000"/>
          <w:spacing w:val="-4"/>
          <w:sz w:val="24"/>
        </w:rPr>
        <w:tab/>
        <w:t xml:space="preserve">Căn cứ Hợp đồngdịch vụ thẩm định giá số: </w:t>
      </w:r>
      <w:r>
        <w:rPr>
          <w:rFonts w:ascii="Times New Roman" w:hAnsi="Times New Roman" w:eastAsia="Times New Roman" w:cs="Times New Roman"/>
          <w:color w:val="000000"/>
          <w:spacing w:val="3"/>
          <w:sz w:val="24"/>
          <w:highlight w:val="white"/>
        </w:rPr>
        <w:t xml:space="preserve">275/2026/0641/VFI-HĐTĐ.53.A</w:t>
      </w:r>
      <w:r>
        <w:rPr>
          <w:rFonts w:ascii="Times New Roman" w:hAnsi="Times New Roman" w:eastAsia="Times New Roman" w:cs="Times New Roman"/>
          <w:color w:val="000000"/>
          <w:spacing w:val="-4"/>
          <w:sz w:val="24"/>
        </w:rPr>
        <w:t xml:space="preserve"> ký ngày 01 tháng 4 năm 2026 giữa Công Ty Cổ Phần Hợp Tác Hưng Thịnh</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w:t>
      </w:r>
      <w:r>
        <w:rPr>
          <w:rFonts w:ascii="Times New Roman" w:hAnsi="Times New Roman" w:eastAsia="Times New Roman" w:cs="Times New Roman"/>
          <w:color w:val="000000"/>
          <w:spacing w:val="3"/>
          <w:sz w:val="24"/>
          <w:highlight w:val="white"/>
        </w:rPr>
        <w:t xml:space="preserve">275/2026/0641/VFI-BC.53.A</w:t>
      </w:r>
      <w:r>
        <w:rPr>
          <w:rFonts w:ascii="Times New Roman" w:hAnsi="Times New Roman" w:eastAsia="Times New Roman" w:cs="Times New Roman"/>
          <w:color w:val="000000"/>
          <w:spacing w:val="-2"/>
          <w:sz w:val="24"/>
        </w:rPr>
        <w:t xml:space="preserve"> ngày 24 tháng 4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88" w:lineRule="auto"/>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1040"/>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154"/>
        <w:gridCol w:w="283"/>
        <w:gridCol w:w="7087"/>
      </w:tblGrid>
      <w:tr>
        <w:trPr>
          <w:trHeight w:val="20"/>
        </w:trPr>
        <w:tc>
          <w:tcPr>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HỢP TÁC HƯNG THỊNH</w:t>
            </w:r>
            <w:r/>
          </w:p>
        </w:tc>
      </w:tr>
      <w:tr>
        <w:trPr>
          <w:trHeight w:val="20"/>
        </w:trPr>
        <w:tc>
          <w:tcPr>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MST/CMTND/CCCD:</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highlight w:val="white"/>
              </w:rPr>
              <w:t xml:space="preserve">0107501312</w:t>
            </w:r>
            <w:r/>
          </w:p>
        </w:tc>
      </w:tr>
      <w:tr>
        <w:trPr>
          <w:trHeight w:val="20"/>
        </w:trPr>
        <w:tc>
          <w:tcPr>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Tân An, Xã Nội Bài, Thành phố Hà Nội, Việt Nam</w:t>
            </w:r>
            <w:r/>
          </w:p>
        </w:tc>
      </w:tr>
      <w:tr>
        <w:trPr>
          <w:trHeight w:val="20"/>
        </w:trPr>
        <w:tc>
          <w:tcPr>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Lê Ngọc Lam </w:t>
            </w:r>
            <w:r/>
          </w:p>
        </w:tc>
      </w:tr>
      <w:tr>
        <w:trPr>
          <w:trHeight w:val="20"/>
        </w:trPr>
        <w:tc>
          <w:tcPr>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điện thoại</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0435824195</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1040"/>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127"/>
        <w:gridCol w:w="270"/>
        <w:gridCol w:w="6629"/>
      </w:tblGrid>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629"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1294/TB-BTC ngày 25/12/2025</w:t>
            </w:r>
            <w:r>
              <w:rPr>
                <w:rFonts w:ascii="Segoe UI" w:hAnsi="Segoe UI" w:eastAsia="Segoe UI" w:cs="Segoe UI"/>
                <w:color w:val="000000"/>
                <w:sz w:val="21"/>
              </w:rPr>
              <w:t xml:space="preserve"> </w:t>
            </w:r>
            <w:r>
              <w:rPr>
                <w:rFonts w:ascii="Times New Roman" w:hAnsi="Times New Roman" w:eastAsia="Times New Roman" w:cs="Times New Roman"/>
                <w:color w:val="000000"/>
                <w:sz w:val="24"/>
              </w:rPr>
              <w:t xml:space="preserve">về việc doanh nghiệp đủ điều kiện kinh doanh Dịch vụ thẩm định giá.</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Vũ Văn Quân</w:t>
              <w:tab/>
              <w:t xml:space="preserve">        Chức vụ: Chủ tịch HĐQT kiêm Tổng Giám Đốc</w:t>
            </w: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pacing w:val="3"/>
          <w:sz w:val="24"/>
        </w:rPr>
        <w:t xml:space="preserve">Lợi thế quyền thuê đất trả tiền hàng năm đã có hạ tầng nội bộ và tài sản gắn liền với đất tại thửa đất số: 6, tờ bản đồ số: 41 có địa chỉ: KCN Bình Xuyên, xã Bình Nguyên, tỉnh Phú Thọ theo Giấy chứng nhận quyền sử dụng đất, quyền sở hữu tài sản gắn liền vớ</w:t>
      </w:r>
      <w:r>
        <w:rPr>
          <w:rFonts w:ascii="Times New Roman" w:hAnsi="Times New Roman" w:eastAsia="Times New Roman" w:cs="Times New Roman"/>
          <w:color w:val="000000"/>
          <w:spacing w:val="3"/>
          <w:sz w:val="24"/>
        </w:rPr>
        <w:t xml:space="preserve">i đất số: AA 05002921, số vào sổ cấp GCN: VP 1609 do Văn Phòng Đăng ký Đất đai Tỉnh Phú Thọ cấp ngày 05/02/2026 cho Công ty TNHH Công nghiệp HAHUCO VIỆT NAM</w:t>
      </w:r>
      <w:r>
        <w:rPr>
          <w:rFonts w:ascii="Times New Roman" w:hAnsi="Times New Roman" w:eastAsia="Times New Roman" w:cs="Times New Roman"/>
          <w:sz w:val="24"/>
        </w:rPr>
      </w: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04/2026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04/2026</w:t>
      </w:r>
      <w:r>
        <w:rPr>
          <w:lang w:val="vi-VN"/>
        </w:rPr>
        <w:t xml:space="preserve"> ước tính</w:t>
      </w:r>
      <w:r>
        <w:t xml:space="preserve"> </w:t>
      </w:r>
      <w:r>
        <w:rPr>
          <w:lang w:val="vi-VN"/>
        </w:rPr>
        <w:t xml:space="preserve">như sau:</w:t>
      </w:r>
      <w:r/>
    </w:p>
    <w:tbl>
      <w:tblPr>
        <w:tblStyle w:val="1040"/>
        <w:tblInd w:w="0" w:type="dxa"/>
        <w:tblW w:w="500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409"/>
        <w:gridCol w:w="1984"/>
        <w:gridCol w:w="1276"/>
        <w:gridCol w:w="1417"/>
        <w:gridCol w:w="1843"/>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Diện tích (m²)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Hệ số/</w:t>
              <w:br/>
              <w:t xml:space="preserve"> CLCL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198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70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Lợi thế quyền thuê đất trả tiền hàng năm đã có hạ tầng nội bộ và tài sản gắn liền với đất tại thửa đất số: 6, tờ bản đồ số: 41 có địa chỉ: KCN Bình Xuyên, xã Bình Nguyên, tỉnh Phú Thọ  theo Giấy chứng nhận quyền sử dụng đất, quyền sở hữu tài sản gắn liền v</w:t>
            </w:r>
            <w:r>
              <w:rPr>
                <w:rFonts w:ascii="Times New Roman" w:hAnsi="Times New Roman" w:eastAsia="Times New Roman" w:cs="Times New Roman"/>
                <w:b/>
                <w:color w:val="000000"/>
                <w:sz w:val="24"/>
              </w:rPr>
              <w:t xml:space="preserve">ới đất  số: AA 05002921, số vào sổ cấp GCN: VP 1609 do Văn Phòng Đăng ký Đất đai Tỉnh Phú Thọ cấp ngày 05/02/2026 cho Công ty TNHH Công nghiệp HAHUCO VIỆT NAM</w:t>
            </w:r>
            <w:r/>
          </w:p>
        </w:tc>
        <w:tc>
          <w:tcPr>
            <w:shd w:val="clear" w:color="ffffff" w:fill="ffffff"/>
            <w:tcBorders>
              <w:bottom w:val="single" w:color="000000" w:sz="8" w:space="0"/>
              <w:right w:val="single" w:color="000000" w:sz="8"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w:t>
            </w:r>
            <w:r/>
          </w:p>
        </w:tc>
      </w:tr>
      <w:tr>
        <w:trPr>
          <w:trHeight w:val="624"/>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Lợi thế quyền thuê đất trả tiền hàng năm đã có hạ tầng nội bộ</w:t>
            </w:r>
            <w:r/>
          </w:p>
        </w:tc>
        <w:tc>
          <w:tcPr>
            <w:tcBorders>
              <w:bottom w:val="single" w:color="000000" w:sz="8" w:space="0"/>
              <w:right w:val="single" w:color="000000" w:sz="8" w:space="0"/>
            </w:tcBorders>
            <w:tcMar>
              <w:left w:w="0" w:type="dxa"/>
              <w:top w:w="0" w:type="dxa"/>
              <w:right w:w="0"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10.000</w:t>
            </w:r>
            <w:r/>
          </w:p>
        </w:tc>
        <w:tc>
          <w:tcPr>
            <w:shd w:val="clear" w:color="ffffff" w:fill="ffffff"/>
            <w:tcBorders>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4.400.000</w:t>
            </w:r>
            <w:r/>
          </w:p>
        </w:tc>
        <w:tc>
          <w:tcPr>
            <w:shd w:val="clear" w:color="ffffff" w:fill="ffffff"/>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44.000.000.000</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điều hành </w:t>
            </w:r>
            <w:r/>
          </w:p>
        </w:tc>
        <w:tc>
          <w:tcPr>
            <w:tcBorders>
              <w:bottom w:val="single" w:color="000000" w:sz="8" w:space="0"/>
              <w:right w:val="single" w:color="000000" w:sz="8" w:space="0"/>
            </w:tcBorders>
            <w:tcMar>
              <w:left w:w="0" w:type="dxa"/>
              <w:top w:w="0" w:type="dxa"/>
              <w:right w:w="0"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894</w:t>
            </w:r>
            <w:r/>
          </w:p>
        </w:tc>
        <w:tc>
          <w:tcPr>
            <w:shd w:val="clear" w:color="ffffff" w:fill="ffffff"/>
            <w:tcBorders>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9.503.816</w:t>
            </w:r>
            <w:r/>
          </w:p>
        </w:tc>
        <w:tc>
          <w:tcPr>
            <w:shd w:val="clear" w:color="ffffff" w:fill="ffffff"/>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8.496.411.504</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xưởng số 1</w:t>
            </w:r>
            <w:r/>
          </w:p>
        </w:tc>
        <w:tc>
          <w:tcPr>
            <w:tcBorders>
              <w:bottom w:val="single" w:color="000000" w:sz="8" w:space="0"/>
              <w:right w:val="single" w:color="000000" w:sz="8" w:space="0"/>
            </w:tcBorders>
            <w:tcMar>
              <w:left w:w="0" w:type="dxa"/>
              <w:top w:w="0" w:type="dxa"/>
              <w:right w:w="0"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10.640</w:t>
            </w:r>
            <w:r/>
          </w:p>
        </w:tc>
        <w:tc>
          <w:tcPr>
            <w:shd w:val="clear" w:color="ffffff" w:fill="ffffff"/>
            <w:tcBorders>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4.839.338</w:t>
            </w:r>
            <w:r/>
          </w:p>
        </w:tc>
        <w:tc>
          <w:tcPr>
            <w:shd w:val="clear" w:color="ffffff" w:fill="ffffff"/>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51.490.556.320</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bảo vệ 1</w:t>
            </w:r>
            <w:r/>
          </w:p>
        </w:tc>
        <w:tc>
          <w:tcPr>
            <w:tcBorders>
              <w:bottom w:val="single" w:color="000000" w:sz="8" w:space="0"/>
              <w:right w:val="single" w:color="000000" w:sz="8" w:space="0"/>
            </w:tcBorders>
            <w:tcMar>
              <w:left w:w="0" w:type="dxa"/>
              <w:top w:w="0" w:type="dxa"/>
              <w:right w:w="0"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shd w:val="clear" w:color="ffffff" w:fill="ffffff"/>
            <w:tcBorders>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5.922.156</w:t>
            </w:r>
            <w:r/>
          </w:p>
        </w:tc>
        <w:tc>
          <w:tcPr>
            <w:shd w:val="clear" w:color="ffffff" w:fill="ffffff"/>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53.299.404</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Tổng cộng</w:t>
            </w:r>
            <w:r/>
          </w:p>
        </w:tc>
        <w:tc>
          <w:tcPr>
            <w:shd w:val="clear" w:color="ffffff" w:fill="ffffff"/>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104.040.267.228</w:t>
            </w:r>
            <w:r/>
          </w:p>
        </w:tc>
      </w:tr>
      <w:tr>
        <w:trPr>
          <w:trHeight w:val="339"/>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Làm tròn </w:t>
            </w:r>
            <w:r/>
          </w:p>
        </w:tc>
        <w:tc>
          <w:tcPr>
            <w:shd w:val="clear" w:color="ffffff" w:fill="ffffff"/>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104.040.000.000</w:t>
            </w:r>
            <w:r/>
          </w:p>
        </w:tc>
      </w:tr>
      <w:tr>
        <w:trPr>
          <w:trHeight w:val="309"/>
        </w:trPr>
        <w:tc>
          <w:tcPr>
            <w:gridSpan w:val="6"/>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9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i/>
                <w:color w:val="000000"/>
                <w:sz w:val="24"/>
              </w:rPr>
              <w:t xml:space="preserve">Bằng chữ: Một trăm linh bốn tỷ, bốn mươi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5"/>
              <w:pBdr/>
              <w:spacing w:after="60"/>
              <w:ind/>
              <w:rPr>
                <w:color w:val="000000" w:themeColor="text1"/>
                <w:sz w:val="24"/>
                <w:szCs w:val="24"/>
              </w:rPr>
            </w:pPr>
            <w:r>
              <w:rPr>
                <w:rStyle w:val="1034"/>
                <w:rFonts w:ascii="Times New Roman" w:hAnsi="Times New Roman"/>
                <w:color w:val="000000" w:themeColor="text1"/>
                <w:lang w:val="pt-BR"/>
              </w:rPr>
              <w:t xml:space="preserve">Số: </w:t>
            </w:r>
            <w:r>
              <w:rPr>
                <w:rFonts w:ascii="Times New Roman" w:hAnsi="Times New Roman" w:eastAsia="Times New Roman" w:cs="Times New Roman"/>
                <w:color w:val="000000"/>
                <w:spacing w:val="3"/>
                <w:sz w:val="24"/>
                <w:highlight w:val="white"/>
              </w:rPr>
              <w:t xml:space="preserve">275/2026/0641/VFI-BC.53.A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5"/>
              <w:pBdr/>
              <w:spacing w:after="60"/>
              <w:ind w:right="-56"/>
              <w:jc w:val="right"/>
              <w:rPr>
                <w:color w:val="000000" w:themeColor="text1"/>
                <w:sz w:val="24"/>
                <w:szCs w:val="24"/>
                <w:lang w:val="vi-VN"/>
              </w:rPr>
            </w:pPr>
            <w:r>
              <w:rPr>
                <w:rStyle w:val="1034"/>
                <w:rFonts w:ascii="Times New Roman" w:hAnsi="Times New Roman"/>
                <w:i/>
                <w:color w:val="auto"/>
              </w:rPr>
              <w:t xml:space="preserve">TP. Hà Nội</w:t>
            </w:r>
            <w:r>
              <w:rPr>
                <w:rStyle w:val="1034"/>
                <w:rFonts w:ascii="Times New Roman" w:hAnsi="Times New Roman"/>
                <w:i/>
                <w:color w:val="auto"/>
                <w:lang w:val="vi-VN"/>
              </w:rPr>
              <w:t xml:space="preserve">, </w:t>
            </w:r>
            <w:r>
              <w:rPr>
                <w:rStyle w:val="1034"/>
                <w:rFonts w:ascii="Times New Roman" w:hAnsi="Times New Roman"/>
                <w:i/>
                <w:color w:val="000000" w:themeColor="text1"/>
                <w:lang w:val="vi-VN"/>
              </w:rPr>
              <w:t xml:space="preserve">ngày 24 tháng 4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5"/>
              <w:pBdr/>
              <w:spacing w:after="60"/>
              <w:ind/>
              <w:rPr>
                <w:rStyle w:val="1034"/>
                <w:rFonts w:ascii="Times New Roman" w:hAnsi="Times New Roman"/>
                <w:color w:val="000000" w:themeColor="text1"/>
                <w:lang w:val="pt-BR"/>
              </w:rPr>
            </w:pPr>
            <w:r>
              <w:rPr>
                <w:rStyle w:val="1034"/>
                <w:rFonts w:ascii="Times New Roman" w:hAnsi="Times New Roman"/>
                <w:color w:val="000000" w:themeColor="text1"/>
                <w:lang w:val="pt-BR"/>
              </w:rPr>
            </w:r>
            <w:r>
              <w:rPr>
                <w:rStyle w:val="1034"/>
                <w:rFonts w:ascii="Times New Roman" w:hAnsi="Times New Roman"/>
                <w:color w:val="000000" w:themeColor="text1"/>
                <w:lang w:val="pt-BR"/>
              </w:rPr>
            </w:r>
            <w:r>
              <w:rPr>
                <w:rStyle w:val="1034"/>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5"/>
              <w:pBdr/>
              <w:spacing w:after="60"/>
              <w:ind w:right="-56"/>
              <w:rPr>
                <w:rStyle w:val="1034"/>
                <w:rFonts w:ascii="Times New Roman" w:hAnsi="Times New Roman"/>
                <w:i/>
                <w:color w:val="auto"/>
              </w:rPr>
            </w:pPr>
            <w:r>
              <w:rPr>
                <w:rFonts w:ascii="Times New Roman" w:hAnsi="Times New Roman"/>
                <w:i/>
                <w:color w:val="auto"/>
              </w:rPr>
            </w:r>
            <w:r>
              <w:rPr>
                <w:rStyle w:val="1034"/>
                <w:rFonts w:ascii="Times New Roman" w:hAnsi="Times New Roman"/>
                <w:i/>
                <w:color w:val="auto"/>
              </w:rPr>
            </w:r>
            <w:r>
              <w:rPr>
                <w:rStyle w:val="1034"/>
                <w:rFonts w:ascii="Times New Roman" w:hAnsi="Times New Roman"/>
                <w:i/>
                <w:color w:val="auto"/>
              </w:rPr>
            </w:r>
          </w:p>
        </w:tc>
      </w:tr>
    </w:tbl>
    <w:p>
      <w:pPr>
        <w:pStyle w:val="103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rFonts w:ascii="Times New Roman" w:hAnsi="Times New Roman" w:eastAsia="Times New Roman" w:cs="Times New Roman"/>
          <w:b w:val="0"/>
          <w:bCs w:val="0"/>
          <w:i/>
          <w:color w:val="000000"/>
          <w:spacing w:val="-6"/>
          <w:sz w:val="24"/>
        </w:rPr>
        <w:t xml:space="preserve">275/2026/0641/VFI-CT.53.A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24 tháng 4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438"/>
        <w:gridCol w:w="283"/>
        <w:gridCol w:w="6404"/>
      </w:tblGrid>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b/>
                <w:color w:val="000000"/>
                <w:spacing w:val="3"/>
                <w:sz w:val="24"/>
                <w:highlight w:val="white"/>
              </w:rPr>
              <w:t xml:space="preserve">CÔNG TY CỔ PHẦN HỢP TÁC HƯNG THỊNH</w:t>
            </w:r>
            <w:r/>
          </w:p>
        </w:tc>
      </w:tr>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MST/CMTND/CCCD</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pacing w:val="3"/>
                <w:sz w:val="24"/>
                <w:highlight w:val="white"/>
              </w:rPr>
              <w:t xml:space="preserve">0107501312</w:t>
            </w:r>
            <w:r/>
          </w:p>
        </w:tc>
      </w:tr>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pacing w:val="3"/>
                <w:sz w:val="24"/>
                <w:highlight w:val="white"/>
              </w:rPr>
              <w:t xml:space="preserve">Thôn Tân An, Xã Nội Bài, Thành phố Hà Nội, Việt Nam</w:t>
            </w:r>
            <w:r/>
          </w:p>
        </w:tc>
      </w:tr>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777" w:left="-777"/>
              <w:jc w:val="both"/>
              <w:rPr/>
            </w:pPr>
            <w:r>
              <w:rPr>
                <w:rFonts w:ascii="Times New Roman" w:hAnsi="Times New Roman" w:eastAsia="Times New Roman" w:cs="Times New Roman"/>
                <w:b/>
                <w:color w:val="000000"/>
                <w:spacing w:val="3"/>
                <w:sz w:val="24"/>
                <w:highlight w:val="white"/>
              </w:rPr>
              <w:t xml:space="preserve">Ông Lê Ngọc Lam         Chức vụ: Giám đốc</w:t>
            </w:r>
            <w:r/>
          </w:p>
        </w:tc>
      </w:tr>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Số điện thoại</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pacing w:val="3"/>
                <w:sz w:val="24"/>
                <w:highlight w:val="white"/>
              </w:rPr>
              <w:t xml:space="preserve">0435824195</w:t>
            </w:r>
            <w:r/>
          </w:p>
        </w:tc>
      </w:tr>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pacing w:val="3"/>
                <w:sz w:val="24"/>
              </w:rPr>
              <w:t xml:space="preserve">Lợi thế quyền thuê đất trả tiền hàng năm đã có hạ tầng nội bộ và tài sản gắn liền với đất tại thửa đất số: 6, tờ bản đồ số: 41 có địa chỉ: KCN Bình Xuyên, xã Bình Nguyên, tỉnh Phú Thọ  theo Giấy chứng nhận quyền sử dụng đất, quyền sở hữu tài sản gắn liền v</w:t>
            </w:r>
            <w:r>
              <w:rPr>
                <w:rFonts w:ascii="Times New Roman" w:hAnsi="Times New Roman" w:eastAsia="Times New Roman" w:cs="Times New Roman"/>
                <w:color w:val="000000"/>
                <w:spacing w:val="3"/>
                <w:sz w:val="24"/>
              </w:rPr>
              <w:t xml:space="preserve">ới đất  số: AA 05002921, số vào sổ cấp GCN: VP 1609 do Văn Phòng Đăng ký Đất đai Tỉnh Phú Thọ cấp ngày 05/02/2026 cho Công ty TNHH Công nghiệp HAHUCO VIỆT NAM</w:t>
            </w:r>
            <w:r/>
          </w:p>
        </w:tc>
      </w:tr>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p>
        </w:tc>
      </w:tr>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04/2026.</w:t>
            </w:r>
            <w:r/>
          </w:p>
        </w:tc>
      </w:tr>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KCN Bình Xuyên, xã Bình Nguyên, tỉnh Phú Thọ</w:t>
            </w:r>
            <w:r/>
          </w:p>
        </w:tc>
      </w:tr>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Vị trí tài sản thẩm định </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(21.264678162527193, 105.6741562)</w:t>
            </w:r>
            <w:r/>
          </w:p>
        </w:tc>
      </w:tr>
      <w:tr>
        <w:trPr>
          <w:trHeight w:val="20"/>
        </w:trPr>
        <w:tc>
          <w:tcPr>
            <w:tcBorders/>
            <w:tcMar>
              <w:left w:w="108" w:type="dxa"/>
              <w:top w:w="0" w:type="dxa"/>
              <w:right w:w="108" w:type="dxa"/>
              <w:bottom w:w="0" w:type="dxa"/>
            </w:tcMar>
            <w:tcW w:w="24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04/2026.</w:t>
            </w: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tài sản gắn liền với đất số: AA 05002921, số vào sổ cấp GCN: VP 1609 do Văn Phòng Đăng ký Đất đai Tỉnh Phú Thọ cấp ngày 05/02/2026 cho Công ty TNHH Công nghiệp HAHUCO VIỆT NAM</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mua bán tài sản gắn liền với đất cho thuê đất thu tiền thuê đất hàng năm giữa Công ty TNHH CÔNG NGHIỆP HAHUCO VIỆT NAM với CÔNG TY CỔ PHẦN HỢP TÁC HƯNG THỊNH. Trong đỏ có:</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 Giấy phép xây dựng số 16/GPXD do Ban quản lý các khu công nghiệp tỉnh Vĩnh Phúc cấp ngày 25/6/2024.</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 Hợp đồng thuê lại đất số 332/HĐTLĐ-ANTVP ngày 04/12/2023 ký kết giữa Công ty TNHH đầu tư xây dựng An Thịnh Vĩnh Phúc và Công ty TNHH Công nghiệp HAHUCO Việt Nam.</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     Thỏa thuận 3 bên số 1202/2026/TTBB về việc chuyển giao quyền và nghĩa vụ của Bên thuê theo Hợp đồng thuê lại đất số 332/HĐTLĐ-ATTVP ký ngày 04/12/2023 giữa Công ty TNHH Đầu tư Xây dựng An Thịnh Vĩnh Phúc và Công ty TNHH Công nghiệp Hahuco Việt Nam  c</w:t>
      </w:r>
      <w:r>
        <w:rPr>
          <w:rFonts w:ascii="Times New Roman" w:hAnsi="Times New Roman" w:eastAsia="Times New Roman" w:cs="Times New Roman"/>
          <w:color w:val="000000"/>
          <w:sz w:val="24"/>
        </w:rPr>
        <w:t xml:space="preserve">ủa 3 công ty là Công ty TNHH Đầu tư xây dựng An Thịnh Vĩnh Phúc; Công ty TNHH Công nghiệp HAHUCO VIỆT NAM; Công ty Cổ phần Hợp tác Hưng Thịnh.</w:t>
      </w: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số </w:t>
      </w:r>
      <w:r>
        <w:rPr>
          <w:rFonts w:ascii="Times New Roman" w:hAnsi="Times New Roman" w:eastAsia="Times New Roman" w:cs="Times New Roman"/>
          <w:color w:val="000000"/>
          <w:spacing w:val="3"/>
          <w:sz w:val="24"/>
          <w:highlight w:val="white"/>
        </w:rPr>
        <w:t xml:space="preserve">275/2026/0641/VFI-HĐTĐ.53.A</w:t>
      </w:r>
      <w:r>
        <w:rPr>
          <w:rFonts w:ascii="Times New Roman" w:hAnsi="Times New Roman" w:eastAsia="Times New Roman" w:cs="Times New Roman"/>
          <w:color w:val="000000"/>
          <w:sz w:val="24"/>
        </w:rPr>
        <w:t xml:space="preserve"> ngày 01/4/2026 giữa Công Ty Cổ Phần Hợp Tác Hưng Thịnh với Công ty Cổ phần Thẩm định và Đầu tư Tài chính Hoa Sen.</w:t>
      </w: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rPr>
          <w:rFonts w:ascii="Times New Roman" w:hAnsi="Times New Roman" w:eastAsia="Times New Roman" w:cs="Times New Roman"/>
          <w:sz w:val="24"/>
        </w:rPr>
      </w: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single" w:color="e5e5ea" w:sz="2" w:space="0"/>
          <w:left w:val="single" w:color="e5e5ea" w:sz="2" w:space="0"/>
          <w:bottom w:val="single" w:color="e5e5ea" w:sz="2" w:space="0"/>
          <w:right w:val="single" w:color="e5e5ea" w:sz="2" w:space="0"/>
        </w:pBdr>
        <w:spacing w:after="299" w:before="299"/>
        <w:ind w:right="0" w:firstLine="0" w:left="0"/>
        <w:rPr/>
      </w:pPr>
      <w:r>
        <w:rPr>
          <w:lang w:val="pt-BR"/>
        </w:rPr>
        <w:tab/>
      </w:r>
      <w:r>
        <w:rPr>
          <w:rFonts w:ascii="Times New Roman" w:hAnsi="Times New Roman" w:eastAsia="Times New Roman" w:cs="Times New Roman"/>
          <w:color w:val="000000"/>
          <w:sz w:val="24"/>
        </w:rPr>
        <w:t xml:space="preserve">Ngày 21/4, Ban Thường vụ Tỉnh ủy Phú Thọ tổ chức Hội nghị Ban chấp hành Đảng bộ tỉnh, thông qua hai đề án lớn: sáp nhập Phú Thọ - Vĩnh Phúc - Hòa Bình và sắp xếp lại các đơn vị hành chính cấp xã trên địa bàn. Theo đó, tỉnh Phú Thọ mới sẽ được thành lập trê</w:t>
      </w:r>
      <w:r>
        <w:rPr>
          <w:rFonts w:ascii="Times New Roman" w:hAnsi="Times New Roman" w:eastAsia="Times New Roman" w:cs="Times New Roman"/>
          <w:color w:val="000000"/>
          <w:sz w:val="24"/>
        </w:rPr>
        <w:t xml:space="preserve">n cơ sở hợp nhất toàn bộ diện tích, dân số và hệ thống hành chính cấp xã của ba tỉnh, trở thành đơn vị hành chính cấp tỉnh trực thuộc Trung ương.</w:t>
      </w:r>
      <w:r/>
    </w:p>
    <w:p>
      <w:pPr>
        <w:pBdr>
          <w:top w:val="single" w:color="e5e5ea" w:sz="2" w:space="0"/>
          <w:left w:val="single" w:color="e5e5ea" w:sz="2" w:space="0"/>
          <w:bottom w:val="single" w:color="e5e5ea" w:sz="2" w:space="0"/>
          <w:right w:val="single" w:color="e5e5ea" w:sz="2" w:space="0"/>
        </w:pBdr>
        <w:spacing w:after="299" w:before="299"/>
        <w:ind w:right="0" w:firstLine="0" w:left="0"/>
        <w:rPr/>
      </w:pPr>
      <w:r>
        <w:rPr>
          <w:rFonts w:ascii="Times New Roman" w:hAnsi="Times New Roman" w:eastAsia="Times New Roman" w:cs="Times New Roman"/>
          <w:color w:val="000000"/>
          <w:sz w:val="24"/>
        </w:rPr>
        <w:t xml:space="preserve">Tỉnh mới sẽ có diện tích 9.361,38 km2, đạt 117,02% tiêu chuẩn diện tích hành chính và dân số lên tới 4.022.611 người, vượt 446,96% tiêu chuẩn. Sự hợp nhất trên mang tính chiến lược, hướng tới nâng cao hiệu quả quản trị, tinh gọn bộ máy, phát huy lợi thế li</w:t>
      </w:r>
      <w:r>
        <w:rPr>
          <w:rFonts w:ascii="Times New Roman" w:hAnsi="Times New Roman" w:eastAsia="Times New Roman" w:cs="Times New Roman"/>
          <w:color w:val="000000"/>
          <w:sz w:val="24"/>
        </w:rPr>
        <w:t xml:space="preserve">ên kết vùng.</w:t>
      </w:r>
      <w:r/>
    </w:p>
    <w:p>
      <w:pPr>
        <w:pBdr>
          <w:top w:val="single" w:color="e5e5ea" w:sz="2" w:space="0"/>
          <w:left w:val="single" w:color="e5e5ea" w:sz="2" w:space="0"/>
          <w:bottom w:val="single" w:color="e5e5ea" w:sz="2" w:space="0"/>
          <w:right w:val="single" w:color="e5e5ea" w:sz="2" w:space="0"/>
        </w:pBdr>
        <w:spacing w:after="299" w:before="299"/>
        <w:ind w:right="0" w:firstLine="0" w:left="0"/>
        <w:rPr/>
      </w:pPr>
      <w:r>
        <w:rPr>
          <w:rFonts w:ascii="Times New Roman" w:hAnsi="Times New Roman" w:eastAsia="Times New Roman" w:cs="Times New Roman"/>
          <w:color w:val="000000"/>
          <w:sz w:val="24"/>
        </w:rPr>
        <w:t xml:space="preserve">Theo Đề án sắp xếp đơn vị hành chính cấp xã năm 2025, tỉnh Phú Thọ hiện có 180 xã, 15 phường và 12 thị trấn, sau sáp nhập sẽ giảm xuống còn 59 xã và 7 phường, tương đương giảm 68,12%. Một số xã giữ nguyên hiện trạng do đã đạt chuẩn, như Thu Cúc (Tân Sơn) v</w:t>
      </w:r>
      <w:r>
        <w:rPr>
          <w:rFonts w:ascii="Times New Roman" w:hAnsi="Times New Roman" w:eastAsia="Times New Roman" w:cs="Times New Roman"/>
          <w:color w:val="000000"/>
          <w:sz w:val="24"/>
        </w:rPr>
        <w:t xml:space="preserve">à Trung Sơn (Yên Lập). Các huyện, thị xã và TP sẽ có lộ trình sắp xếp cụ thể. Ví dụ, TP. Việt Trì từ 20 xã/phường sẽ còn lại 4 phường và 1 xã; huyện Thanh Sơn sáp nhập 23 xã thành 7 xã; huyện Tân Sơn từ 17 xã còn 6 xã...</w:t>
      </w:r>
      <w:r/>
    </w:p>
    <w:p>
      <w:pPr>
        <w:pBdr>
          <w:top w:val="single" w:color="e5e5ea" w:sz="2" w:space="0"/>
          <w:left w:val="single" w:color="e5e5ea" w:sz="2" w:space="0"/>
          <w:bottom w:val="single" w:color="e5e5ea" w:sz="2" w:space="0"/>
          <w:right w:val="single" w:color="e5e5ea" w:sz="2" w:space="0"/>
        </w:pBdr>
        <w:spacing w:after="299" w:before="299"/>
        <w:ind w:right="0" w:firstLine="0" w:left="0"/>
        <w:rPr/>
      </w:pPr>
      <w:r>
        <w:rPr>
          <w:rFonts w:ascii="Times New Roman" w:hAnsi="Times New Roman" w:eastAsia="Times New Roman" w:cs="Times New Roman"/>
          <w:color w:val="000000"/>
          <w:sz w:val="24"/>
        </w:rPr>
        <w:t xml:space="preserve">Sau khi sáp nhập Phú Thọ - Vĩnh Phúc - Hòa Bình, TP. Việt Trì sẽ trở thành trung tâm hành chính - chính trị của tỉnh mới. Đây sẽ là hạt nhân cho quá trình điều hành, quản lý, kết nối giữa các khu vực, giữ vai trò đầu tàu trong phát triển kinh tế - xã hội t</w:t>
      </w:r>
      <w:r>
        <w:rPr>
          <w:rFonts w:ascii="Times New Roman" w:hAnsi="Times New Roman" w:eastAsia="Times New Roman" w:cs="Times New Roman"/>
          <w:color w:val="000000"/>
          <w:sz w:val="24"/>
        </w:rPr>
        <w:t xml:space="preserve">oàn vùng Tây Bắc.</w:t>
      </w:r>
      <w:r/>
    </w:p>
    <w:p>
      <w:pPr>
        <w:pBdr>
          <w:top w:val="single" w:color="e5e5ea" w:sz="2" w:space="0"/>
          <w:left w:val="single" w:color="e5e5ea" w:sz="2" w:space="0"/>
          <w:bottom w:val="single" w:color="e5e5ea" w:sz="2" w:space="0"/>
          <w:right w:val="single" w:color="e5e5ea" w:sz="2" w:space="0"/>
        </w:pBdr>
        <w:spacing w:after="299" w:before="299"/>
        <w:ind w:right="0" w:firstLine="0" w:left="0"/>
        <w:rPr/>
      </w:pPr>
      <w:r>
        <w:rPr>
          <w:rFonts w:ascii="Times New Roman" w:hAnsi="Times New Roman" w:eastAsia="Times New Roman" w:cs="Times New Roman"/>
          <w:color w:val="000000"/>
          <w:sz w:val="24"/>
        </w:rPr>
        <w:t xml:space="preserve">Quá trình sắp xếp gắn với cải cách hành chính, đi đôi với quy hoạch lại mạng lưới hạ tầng. Các trụ sở mới của chính quyền địa phương sẽ được đặt ở vị trí thuận lợi, đảm bảo giao thông kết nối liên vùng, phát triển cân đối giữa đô thị - nông thôn.</w:t>
      </w:r>
      <w:r/>
    </w:p>
    <w:p>
      <w:pPr>
        <w:pBdr>
          <w:top w:val="single" w:color="e5e5ea" w:sz="2" w:space="0"/>
          <w:left w:val="single" w:color="e5e5ea" w:sz="2" w:space="0"/>
          <w:bottom w:val="single" w:color="e5e5ea" w:sz="2" w:space="0"/>
          <w:right w:val="single" w:color="e5e5ea" w:sz="2" w:space="0"/>
        </w:pBdr>
        <w:spacing w:after="299" w:before="299"/>
        <w:ind w:right="0" w:firstLine="0" w:left="0"/>
        <w:rPr/>
      </w:pPr>
      <w:r>
        <w:rPr>
          <w:rFonts w:ascii="Times New Roman" w:hAnsi="Times New Roman" w:eastAsia="Times New Roman" w:cs="Times New Roman"/>
          <w:color w:val="000000"/>
          <w:sz w:val="24"/>
        </w:rPr>
        <w:t xml:space="preserve">Ngoài ra, quá trình tinh giản đơn vị hành chính sẽ giải phóng đáng kể nguồn quỹ đất công và tạo điều kiện thuận lợi để xây dựng các khu đô thị mới, khu công nghiệp tập trung. Tiềm năng du lịch - nghỉ dưỡng cũng được kỳ vọng cao nhất là tại các vùng có lợi </w:t>
      </w:r>
      <w:r>
        <w:rPr>
          <w:rFonts w:ascii="Times New Roman" w:hAnsi="Times New Roman" w:eastAsia="Times New Roman" w:cs="Times New Roman"/>
          <w:color w:val="000000"/>
          <w:sz w:val="24"/>
        </w:rPr>
        <w:t xml:space="preserve">thế cảnh quan như Thanh Thủy, Tam Nông, Đoan Hùng…</w:t>
      </w:r>
      <w:r/>
    </w:p>
    <w:p>
      <w:pPr>
        <w:pBdr>
          <w:top w:val="single" w:color="e5e5ea" w:sz="2" w:space="0"/>
          <w:left w:val="single" w:color="e5e5ea" w:sz="2" w:space="0"/>
          <w:bottom w:val="single" w:color="e5e5ea" w:sz="2" w:space="0"/>
          <w:right w:val="single" w:color="e5e5ea" w:sz="2" w:space="0"/>
        </w:pBdr>
        <w:spacing w:after="299" w:before="299"/>
        <w:ind w:right="0" w:firstLine="0" w:left="0"/>
        <w:rPr/>
      </w:pPr>
      <w:r>
        <w:rPr>
          <w:rFonts w:ascii="Times New Roman" w:hAnsi="Times New Roman" w:eastAsia="Times New Roman" w:cs="Times New Roman"/>
          <w:color w:val="000000"/>
          <w:sz w:val="24"/>
        </w:rPr>
        <w:t xml:space="preserve">Sự kiện Sáp nhập Phú Thọ - Vĩnh Phúc - Hòa Bình được đánh giá là cú hích mạnh mẽ với thị trường bất động sản khu vực. Nhiều nhà đầu tư đã bắt đầu dồn lực vào các khu vực ven TP. Việt Trì, các huyện đang được sáp nhập mạnh như Tam Nông, Thanh Sơn... kỳ vọng</w:t>
      </w:r>
      <w:r>
        <w:rPr>
          <w:rFonts w:ascii="Times New Roman" w:hAnsi="Times New Roman" w:eastAsia="Times New Roman" w:cs="Times New Roman"/>
          <w:color w:val="000000"/>
          <w:sz w:val="24"/>
        </w:rPr>
        <w:t xml:space="preserve"> vào sự tăng trưởng về giá trị và tiềm năng sinh lời từ đất nền, nhà ở thương mại.</w:t>
      </w:r>
      <w:r/>
    </w:p>
    <w:p>
      <w:pPr>
        <w:pBdr>
          <w:top w:val="single" w:color="e5e5ea" w:sz="2" w:space="0"/>
          <w:left w:val="single" w:color="e5e5ea" w:sz="2" w:space="0"/>
          <w:bottom w:val="single" w:color="e5e5ea" w:sz="2" w:space="0"/>
          <w:right w:val="single" w:color="e5e5ea" w:sz="2" w:space="0"/>
        </w:pBdr>
        <w:spacing w:after="299" w:before="299"/>
        <w:ind w:right="0" w:firstLine="0" w:left="0"/>
        <w:rPr/>
      </w:pPr>
      <w:r>
        <w:rPr>
          <w:rFonts w:ascii="Times New Roman" w:hAnsi="Times New Roman" w:eastAsia="Times New Roman" w:cs="Times New Roman"/>
          <w:color w:val="000000"/>
          <w:sz w:val="24"/>
        </w:rPr>
        <w:t xml:space="preserve">Cải thiện và nâng cấp hạ tầng được tiến hành đồng bộ, định hướng phát triển đô thị vệ tinh và quỹ đất mở rộng. Các phân khúc như bất động sản nghỉ dưỡng, khu đô thị mới, đất nền vùng ven được dự báo sẽ bùng nổ từ 2025 - 2027.</w:t>
      </w:r>
      <w:r/>
    </w:p>
    <w:p>
      <w:pPr>
        <w:pBdr>
          <w:top w:val="single" w:color="e5e5ea" w:sz="2" w:space="0"/>
          <w:left w:val="single" w:color="e5e5ea" w:sz="2" w:space="0"/>
          <w:bottom w:val="single" w:color="e5e5ea" w:sz="2" w:space="0"/>
          <w:right w:val="single" w:color="e5e5ea" w:sz="2" w:space="0"/>
        </w:pBdr>
        <w:spacing w:after="299" w:before="299"/>
        <w:ind w:right="0" w:firstLine="0" w:left="0"/>
        <w:rPr/>
      </w:pPr>
      <w:r>
        <w:rPr>
          <w:rFonts w:ascii="Times New Roman" w:hAnsi="Times New Roman" w:eastAsia="Times New Roman" w:cs="Times New Roman"/>
          <w:color w:val="000000"/>
          <w:sz w:val="24"/>
        </w:rPr>
        <w:t xml:space="preserve">Việc sắp xếp cán bộ, công chức sau sáp nhập sẽ theo nguyên tắc không vượt quá tổng số hiện tại, phù hợp với vị trí việc làm. Nhà đầu tư cần lưu ý quá trình chuyển đổi, quy hoạch lại hạ tầng hành chính và dân cư sẽ dẫn tới thay đổi mặt bằng dân cư, cơ cấu t</w:t>
      </w:r>
      <w:r>
        <w:rPr>
          <w:rFonts w:ascii="Times New Roman" w:hAnsi="Times New Roman" w:eastAsia="Times New Roman" w:cs="Times New Roman"/>
          <w:color w:val="000000"/>
          <w:sz w:val="24"/>
        </w:rPr>
        <w:t xml:space="preserve">hị trường địa phương.</w:t>
      </w:r>
      <w:r/>
    </w:p>
    <w:p>
      <w:pPr>
        <w:pBdr>
          <w:top w:val="single" w:color="e5e5ea" w:sz="2" w:space="0"/>
          <w:left w:val="single" w:color="e5e5ea" w:sz="2" w:space="0"/>
          <w:bottom w:val="single" w:color="e5e5ea" w:sz="2" w:space="0"/>
          <w:right w:val="single" w:color="e5e5ea" w:sz="2" w:space="0"/>
        </w:pBdr>
        <w:spacing w:after="299" w:before="299"/>
        <w:ind w:right="0" w:firstLine="0" w:left="0"/>
        <w:rPr/>
      </w:pPr>
      <w:r>
        <w:rPr>
          <w:rFonts w:ascii="Times New Roman" w:hAnsi="Times New Roman" w:eastAsia="Times New Roman" w:cs="Times New Roman"/>
          <w:color w:val="000000"/>
          <w:sz w:val="24"/>
        </w:rPr>
        <w:t xml:space="preserve">Trong ngắn hạn, một số khu vực có thể gặp khó khăn về thủ tục và tính ổn định của quy hoạch. Tuy nhiên, trong dài hạn đây là cơ hội vàng để đón đầu một chu kỳ tăng trưởng mới tại một trong những cực tăng trưởng quan trọng bậc nhất vùng Trung du và miền núi</w:t>
      </w:r>
      <w:r>
        <w:rPr>
          <w:rFonts w:ascii="Times New Roman" w:hAnsi="Times New Roman" w:eastAsia="Times New Roman" w:cs="Times New Roman"/>
          <w:color w:val="000000"/>
          <w:sz w:val="24"/>
        </w:rPr>
        <w:t xml:space="preserve"> Bắc Bộ.</w:t>
      </w:r>
      <w:r/>
    </w:p>
    <w:p>
      <w:pPr>
        <w:pBdr>
          <w:top w:val="single" w:color="e5e5ea" w:sz="2" w:space="0"/>
          <w:left w:val="single" w:color="e5e5ea" w:sz="2" w:space="0"/>
          <w:bottom w:val="single" w:color="e5e5ea" w:sz="2" w:space="0"/>
          <w:right w:val="single" w:color="e5e5ea" w:sz="2" w:space="0"/>
        </w:pBdr>
        <w:spacing w:after="299" w:before="299"/>
        <w:ind w:right="0" w:firstLine="0" w:left="0"/>
        <w:rPr/>
      </w:pPr>
      <w:r>
        <w:rPr>
          <w:rFonts w:ascii="Times New Roman" w:hAnsi="Times New Roman" w:eastAsia="Times New Roman" w:cs="Times New Roman"/>
          <w:i/>
          <w:color w:val="000000"/>
          <w:sz w:val="24"/>
          <w:u w:val="single"/>
        </w:rPr>
        <w:t xml:space="preserve"> (Nguồn:</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u w:val="single"/>
        </w:rPr>
        <w:t xml:space="preserve">https://onehousing.vn/blog/sap-nhap-phu-tho-vinh-phuc-hoa-binh-n17t)</w:t>
      </w:r>
      <w:r>
        <w:rPr>
          <w:rFonts w:ascii="Times New Roman" w:hAnsi="Times New Roman" w:eastAsia="Times New Roman" w:cs="Times New Roman"/>
          <w:sz w:val="24"/>
        </w:rPr>
      </w:r>
      <w:r/>
    </w:p>
    <w:p>
      <w:pPr>
        <w:pStyle w:val="103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7"/>
        <w:gridCol w:w="1857"/>
        <w:gridCol w:w="1924"/>
        <w:gridCol w:w="2385"/>
        <w:gridCol w:w="2622"/>
      </w:tblGrid>
      <w:tr>
        <w:trPr>
          <w:trHeight w:val="169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0" w:type="dxa"/>
              <w:top w:w="0" w:type="dxa"/>
              <w:right w:w="0"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rPr>
              <w:t xml:space="preserve">Lợi thế quyền thuê đất trả tiền hàng năm đã có hạ tầng nội bộ và tài sản gắn liền với đất tại thửa đất số: 6, tờ bản đồ số: 41 có địa chỉ: KCN Bình Xuyên, xã Bình Nguyên, tỉnh Phú Thọ theo Giấy chứng nhận quyền sử dụng đất, quyền sở hữu tài sản gắn liền vớ</w:t>
            </w:r>
            <w:r>
              <w:rPr>
                <w:rFonts w:ascii="Times New Roman" w:hAnsi="Times New Roman" w:eastAsia="Times New Roman" w:cs="Times New Roman"/>
                <w:b/>
                <w:color w:val="000000"/>
                <w:sz w:val="24"/>
              </w:rPr>
              <w:t xml:space="preserve">i đất số: AA 05002921, số vào sổ cấp GCN: VP 1609 do Văn Phòng Đăng ký Đất đai Tỉnh Phú Thọ cấp ngày 05/02/2026 cho Công ty TNHH Công nghiệp HAHUCO VIỆT NAM</w:t>
            </w: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0" w:type="dxa"/>
              <w:top w:w="0" w:type="dxa"/>
              <w:right w:w="0"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0" w:type="dxa"/>
              <w:top w:w="0" w:type="dxa"/>
              <w:right w:w="0"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19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0" w:type="dxa"/>
              <w:top w:w="0" w:type="dxa"/>
              <w:right w:w="0"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6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41</w:t>
            </w:r>
            <w:r/>
          </w:p>
        </w:tc>
      </w:tr>
      <w:tr>
        <w:trPr>
          <w:trHeight w:val="528"/>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0" w:type="dxa"/>
              <w:top w:w="0" w:type="dxa"/>
              <w:right w:w="0" w:type="dxa"/>
              <w:bottom w:w="0" w:type="dxa"/>
            </w:tcMar>
            <w:tcW w:w="6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KCN Bình Xuyên, xã Bình Nguyên, tỉnh Phú Thọ</w:t>
            </w:r>
            <w:r/>
          </w:p>
        </w:tc>
      </w:tr>
      <w:tr>
        <w:trPr>
          <w:trHeight w:val="624"/>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19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10.000 </w:t>
            </w:r>
            <w:r/>
          </w:p>
        </w:tc>
        <w:tc>
          <w:tcPr>
            <w:tcBorders>
              <w:bottom w:val="single" w:color="000000" w:sz="8" w:space="0"/>
              <w:right w:val="single" w:color="000000" w:sz="8" w:space="0"/>
            </w:tcBorders>
            <w:tcMar>
              <w:left w:w="0" w:type="dxa"/>
              <w:top w:w="0" w:type="dxa"/>
              <w:right w:w="0"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0" w:type="dxa"/>
              <w:top w:w="0" w:type="dxa"/>
              <w:right w:w="0" w:type="dxa"/>
              <w:bottom w:w="0" w:type="dxa"/>
            </w:tcMar>
            <w:tcW w:w="26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19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khu công nghiệp (SKK)</w:t>
            </w:r>
            <w:r/>
          </w:p>
        </w:tc>
        <w:tc>
          <w:tcPr>
            <w:tcBorders>
              <w:bottom w:val="single" w:color="000000" w:sz="8" w:space="0"/>
              <w:right w:val="single" w:color="000000" w:sz="8" w:space="0"/>
            </w:tcBorders>
            <w:tcMar>
              <w:left w:w="0" w:type="dxa"/>
              <w:top w:w="0" w:type="dxa"/>
              <w:right w:w="0"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0" w:type="dxa"/>
              <w:top w:w="0" w:type="dxa"/>
              <w:right w:w="0" w:type="dxa"/>
              <w:bottom w:w="0" w:type="dxa"/>
            </w:tcMar>
            <w:tcW w:w="26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Đến ngày 30/6/2057 </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w:t>
            </w:r>
            <w:r/>
          </w:p>
        </w:tc>
        <w:tc>
          <w:tcPr>
            <w:gridSpan w:val="3"/>
            <w:tcBorders>
              <w:bottom w:val="single" w:color="000000" w:sz="8" w:space="0"/>
              <w:right w:val="single" w:color="000000" w:sz="8" w:space="0"/>
            </w:tcBorders>
            <w:tcMar>
              <w:left w:w="0" w:type="dxa"/>
              <w:top w:w="0" w:type="dxa"/>
              <w:right w:w="0" w:type="dxa"/>
              <w:bottom w:w="0" w:type="dxa"/>
            </w:tcMar>
            <w:tcW w:w="6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Thuê đất trả tiền hàng năm của doamnh nghiệp đầu tư hạ tầng khu công nghiệp, khu kinh tế, khu công nghệ cao.</w:t>
            </w:r>
            <w:r/>
          </w:p>
        </w:tc>
      </w:tr>
      <w:tr>
        <w:trPr>
          <w:trHeight w:val="55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0" w:type="dxa"/>
              <w:top w:w="0" w:type="dxa"/>
              <w:right w:w="0"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0" w:type="dxa"/>
              <w:top w:w="0" w:type="dxa"/>
              <w:right w:w="0"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0" w:type="dxa"/>
              <w:top w:w="0" w:type="dxa"/>
              <w:right w:w="0" w:type="dxa"/>
              <w:bottom w:w="0" w:type="dxa"/>
            </w:tcMar>
            <w:tcW w:w="6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KCN Bình Xuyên, xã Bình Nguyên, tỉnh Phú Thọ</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0" w:type="dxa"/>
              <w:top w:w="0" w:type="dxa"/>
              <w:right w:w="0" w:type="dxa"/>
              <w:bottom w:w="0" w:type="dxa"/>
            </w:tcMar>
            <w:tcW w:w="19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nhựa chưa hoàn thiện</w:t>
            </w:r>
            <w:r/>
          </w:p>
        </w:tc>
        <w:tc>
          <w:tcPr>
            <w:tcBorders>
              <w:bottom w:val="single" w:color="000000" w:sz="8" w:space="0"/>
              <w:right w:val="single" w:color="000000" w:sz="8" w:space="0"/>
            </w:tcBorders>
            <w:tcMar>
              <w:left w:w="0" w:type="dxa"/>
              <w:top w:w="0" w:type="dxa"/>
              <w:right w:w="0"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0" w:type="dxa"/>
              <w:top w:w="0" w:type="dxa"/>
              <w:right w:w="0" w:type="dxa"/>
              <w:bottom w:w="0" w:type="dxa"/>
            </w:tcMar>
            <w:tcW w:w="26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  mặt tiền</w:t>
            </w:r>
            <w:r/>
          </w:p>
        </w:tc>
      </w:tr>
      <w:tr>
        <w:trPr>
          <w:trHeight w:val="1470"/>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0" w:type="dxa"/>
              <w:top w:w="0" w:type="dxa"/>
              <w:right w:w="0" w:type="dxa"/>
              <w:bottom w:w="0" w:type="dxa"/>
            </w:tcMar>
            <w:tcW w:w="19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0" w:type="dxa"/>
              <w:top w:w="0" w:type="dxa"/>
              <w:right w:w="0"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0" w:type="dxa"/>
              <w:top w:w="0" w:type="dxa"/>
              <w:right w:w="0" w:type="dxa"/>
              <w:bottom w:w="0" w:type="dxa"/>
            </w:tcMar>
            <w:tcW w:w="2622"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553"/>
              </w:tabs>
              <w:spacing/>
              <w:ind w:right="0" w:firstLine="0" w:left="0"/>
              <w:jc w:val="center"/>
              <w:rPr/>
            </w:pPr>
            <w:r>
              <w:rPr>
                <w:rFonts w:ascii="Times New Roman" w:hAnsi="Times New Roman" w:eastAsia="Times New Roman" w:cs="Times New Roman"/>
                <w:color w:val="000000"/>
                <w:sz w:val="24"/>
              </w:rPr>
              <w:t xml:space="preserve">10</w:t>
            </w:r>
            <w:r/>
          </w:p>
        </w:tc>
      </w:tr>
      <w:tr>
        <w:trPr>
          <w:trHeight w:val="97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gridSpan w:val="3"/>
            <w:tcBorders>
              <w:bottom w:val="single" w:color="000000" w:sz="8" w:space="0"/>
              <w:right w:val="single" w:color="000000" w:sz="8" w:space="0"/>
            </w:tcBorders>
            <w:tcMar>
              <w:left w:w="0" w:type="dxa"/>
              <w:top w:w="0" w:type="dxa"/>
              <w:right w:w="0" w:type="dxa"/>
              <w:bottom w:w="0" w:type="dxa"/>
            </w:tcMar>
            <w:tcW w:w="6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nằm tiếp giáp nhựa chưa hoàn thiện rộng khoảng 10m</w:t>
            </w:r>
            <w:r/>
          </w:p>
        </w:tc>
      </w:tr>
      <w:tr>
        <w:trPr>
          <w:trHeight w:val="660"/>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gridSpan w:val="3"/>
            <w:tcBorders>
              <w:bottom w:val="single" w:color="000000" w:sz="8" w:space="0"/>
              <w:right w:val="single" w:color="000000" w:sz="8" w:space="0"/>
            </w:tcBorders>
            <w:tcMar>
              <w:left w:w="0" w:type="dxa"/>
              <w:top w:w="0" w:type="dxa"/>
              <w:right w:w="0" w:type="dxa"/>
              <w:bottom w:w="0" w:type="dxa"/>
            </w:tcMar>
            <w:tcW w:w="6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nằm trong KCN Bình Xuyên, xã Bình Nguyên, tỉnh Phú Thọ</w:t>
            </w:r>
            <w:r/>
          </w:p>
        </w:tc>
      </w:tr>
      <w:tr>
        <w:trPr>
          <w:trHeight w:val="864"/>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0" w:type="dxa"/>
              <w:top w:w="0" w:type="dxa"/>
              <w:right w:w="0" w:type="dxa"/>
              <w:bottom w:w="0" w:type="dxa"/>
            </w:tcMar>
            <w:tcW w:w="6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Hướng Đông Nam: Tiếp giáp mặt đường nhựa chưa hoàn thiện rộng khoảng 10m</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Hướng Bắc: Tiếp đường nhựa chưa hoàn thiện rộng khoảng 10m</w:t>
              <w:br/>
              <w:t xml:space="preserve"> - Các hướng khác: Tiếp giáp thửa đất khác</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0" w:type="dxa"/>
              <w:top w:w="0" w:type="dxa"/>
              <w:right w:w="0"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(21.264678162527193, 105.6741562)</w:t>
            </w:r>
            <w:r/>
          </w:p>
        </w:tc>
      </w:tr>
      <w:tr>
        <w:trPr>
          <w:trHeight w:val="2688"/>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0" w:type="dxa"/>
              <w:top w:w="0" w:type="dxa"/>
              <w:right w:w="0"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086350" cy="254317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95502" name=""/>
                              <pic:cNvPicPr>
                                <a:picLocks noChangeAspect="1"/>
                              </pic:cNvPicPr>
                              <pic:nvPr/>
                            </pic:nvPicPr>
                            <pic:blipFill rotWithShape="1">
                              <a:blip r:embed="rId17"/>
                              <a:stretch/>
                            </pic:blipFill>
                            <pic:spPr bwMode="auto">
                              <a:xfrm>
                                <a:off x="0" y="0"/>
                                <a:ext cx="5086350" cy="2543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00.50pt;height:200.25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0" w:type="dxa"/>
              <w:top w:w="0" w:type="dxa"/>
              <w:right w:w="0"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780"/>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0" w:type="dxa"/>
              <w:top w:w="0" w:type="dxa"/>
              <w:right w:w="0" w:type="dxa"/>
              <w:bottom w:w="0" w:type="dxa"/>
            </w:tcMar>
            <w:tcW w:w="19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10.000</w:t>
            </w:r>
            <w:r/>
          </w:p>
        </w:tc>
        <w:tc>
          <w:tcPr>
            <w:tcBorders>
              <w:bottom w:val="single" w:color="000000" w:sz="8" w:space="0"/>
              <w:right w:val="single" w:color="000000" w:sz="8" w:space="0"/>
            </w:tcBorders>
            <w:tcMar>
              <w:left w:w="0" w:type="dxa"/>
              <w:top w:w="0" w:type="dxa"/>
              <w:right w:w="0"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0" w:type="dxa"/>
              <w:top w:w="0" w:type="dxa"/>
              <w:right w:w="0" w:type="dxa"/>
              <w:bottom w:w="0" w:type="dxa"/>
            </w:tcMar>
            <w:tcW w:w="26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r>
      <w:tr>
        <w:trPr>
          <w:trHeight w:val="444"/>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KT mặt tiền (m):</w:t>
            </w:r>
            <w:r/>
          </w:p>
        </w:tc>
        <w:tc>
          <w:tcPr>
            <w:tcBorders>
              <w:bottom w:val="single" w:color="000000" w:sz="8" w:space="0"/>
              <w:right w:val="single" w:color="000000" w:sz="8" w:space="0"/>
            </w:tcBorders>
            <w:tcMar>
              <w:left w:w="0" w:type="dxa"/>
              <w:top w:w="0" w:type="dxa"/>
              <w:right w:w="0" w:type="dxa"/>
              <w:bottom w:w="0" w:type="dxa"/>
            </w:tcMar>
            <w:tcW w:w="19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53,46 và 186,86</w:t>
            </w:r>
            <w:r/>
          </w:p>
        </w:tc>
        <w:tc>
          <w:tcPr>
            <w:tcBorders>
              <w:bottom w:val="single" w:color="000000" w:sz="8" w:space="0"/>
              <w:right w:val="single" w:color="000000" w:sz="8" w:space="0"/>
            </w:tcBorders>
            <w:tcMar>
              <w:left w:w="0" w:type="dxa"/>
              <w:top w:w="0" w:type="dxa"/>
              <w:right w:w="0"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w:t>
            </w:r>
            <w:r/>
          </w:p>
        </w:tc>
        <w:tc>
          <w:tcPr>
            <w:tcBorders>
              <w:bottom w:val="single" w:color="000000" w:sz="8" w:space="0"/>
              <w:right w:val="single" w:color="000000" w:sz="8" w:space="0"/>
            </w:tcBorders>
            <w:tcMar>
              <w:left w:w="0" w:type="dxa"/>
              <w:top w:w="0" w:type="dxa"/>
              <w:right w:w="0" w:type="dxa"/>
              <w:bottom w:w="0" w:type="dxa"/>
            </w:tcMar>
            <w:tcW w:w="26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194,67</w:t>
            </w:r>
            <w:r/>
          </w:p>
        </w:tc>
      </w:tr>
      <w:tr>
        <w:trPr>
          <w:trHeight w:val="444"/>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KT mặt hậu (m):</w:t>
            </w:r>
            <w:r/>
          </w:p>
        </w:tc>
        <w:tc>
          <w:tcPr>
            <w:tcBorders>
              <w:bottom w:val="single" w:color="000000" w:sz="8" w:space="0"/>
              <w:right w:val="single" w:color="000000" w:sz="8" w:space="0"/>
            </w:tcBorders>
            <w:tcMar>
              <w:left w:w="0" w:type="dxa"/>
              <w:top w:w="0" w:type="dxa"/>
              <w:right w:w="0" w:type="dxa"/>
              <w:bottom w:w="0" w:type="dxa"/>
            </w:tcMar>
            <w:tcW w:w="19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51,41</w:t>
            </w:r>
            <w:r/>
          </w:p>
        </w:tc>
        <w:tc>
          <w:tcPr>
            <w:tcBorders>
              <w:bottom w:val="single" w:color="000000" w:sz="8" w:space="0"/>
              <w:right w:val="single" w:color="000000" w:sz="8" w:space="0"/>
            </w:tcBorders>
            <w:tcMar>
              <w:left w:w="0" w:type="dxa"/>
              <w:top w:w="0" w:type="dxa"/>
              <w:right w:w="0"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0" w:type="dxa"/>
              <w:top w:w="0" w:type="dxa"/>
              <w:right w:w="0" w:type="dxa"/>
              <w:bottom w:w="0" w:type="dxa"/>
            </w:tcMar>
            <w:tcW w:w="26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Tương đối vuông vức</w:t>
            </w:r>
            <w:r/>
          </w:p>
        </w:tc>
      </w:tr>
      <w:tr>
        <w:trPr>
          <w:trHeight w:val="49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mặt tiền chính: </w:t>
            </w:r>
            <w:r/>
          </w:p>
        </w:tc>
        <w:tc>
          <w:tcPr>
            <w:gridSpan w:val="3"/>
            <w:tcBorders>
              <w:bottom w:val="single" w:color="000000" w:sz="8" w:space="0"/>
              <w:right w:val="single" w:color="000000" w:sz="8" w:space="0"/>
            </w:tcBorders>
            <w:tcMar>
              <w:left w:w="0" w:type="dxa"/>
              <w:top w:w="0" w:type="dxa"/>
              <w:right w:w="0" w:type="dxa"/>
              <w:bottom w:w="0" w:type="dxa"/>
            </w:tcMar>
            <w:tcW w:w="6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Đông Nam</w:t>
            </w:r>
            <w:r/>
          </w:p>
        </w:tc>
      </w:tr>
      <w:tr>
        <w:trPr>
          <w:trHeight w:val="444"/>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0" w:type="dxa"/>
              <w:top w:w="0" w:type="dxa"/>
              <w:right w:w="0"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16"/>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0" w:type="dxa"/>
              <w:top w:w="0" w:type="dxa"/>
              <w:right w:w="0" w:type="dxa"/>
              <w:bottom w:w="0" w:type="dxa"/>
            </w:tcMar>
            <w:tcW w:w="6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444"/>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0" w:type="dxa"/>
              <w:top w:w="0" w:type="dxa"/>
              <w:right w:w="0" w:type="dxa"/>
              <w:bottom w:w="0" w:type="dxa"/>
            </w:tcMar>
            <w:tcW w:w="6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498"/>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0" w:type="dxa"/>
              <w:top w:w="0" w:type="dxa"/>
              <w:right w:w="0" w:type="dxa"/>
              <w:bottom w:w="0" w:type="dxa"/>
            </w:tcMar>
            <w:tcW w:w="19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Thưa thớt</w:t>
            </w:r>
            <w:r/>
          </w:p>
        </w:tc>
        <w:tc>
          <w:tcPr>
            <w:tcBorders>
              <w:bottom w:val="single" w:color="000000" w:sz="8" w:space="0"/>
              <w:right w:val="single" w:color="000000" w:sz="8" w:space="0"/>
            </w:tcBorders>
            <w:tcMar>
              <w:left w:w="0" w:type="dxa"/>
              <w:top w:w="0" w:type="dxa"/>
              <w:right w:w="0"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0" w:type="dxa"/>
              <w:top w:w="0" w:type="dxa"/>
              <w:right w:w="0" w:type="dxa"/>
              <w:bottom w:w="0" w:type="dxa"/>
            </w:tcMar>
            <w:tcW w:w="26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Ổn định</w:t>
            </w:r>
            <w:r/>
          </w:p>
        </w:tc>
      </w:tr>
      <w:tr>
        <w:trPr>
          <w:trHeight w:val="444"/>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8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0" w:type="dxa"/>
              <w:top w:w="0" w:type="dxa"/>
              <w:right w:w="0" w:type="dxa"/>
              <w:bottom w:w="0" w:type="dxa"/>
            </w:tcMar>
            <w:tcW w:w="19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Thích hợp để sản xuất kinh doanh</w:t>
            </w:r>
            <w:r/>
          </w:p>
        </w:tc>
        <w:tc>
          <w:tcPr>
            <w:tcBorders>
              <w:bottom w:val="single" w:color="000000" w:sz="8" w:space="0"/>
              <w:right w:val="single" w:color="000000" w:sz="8" w:space="0"/>
            </w:tcBorders>
            <w:tcMar>
              <w:left w:w="0" w:type="dxa"/>
              <w:top w:w="0" w:type="dxa"/>
              <w:right w:w="0"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0" w:type="dxa"/>
              <w:top w:w="0" w:type="dxa"/>
              <w:right w:w="0" w:type="dxa"/>
              <w:bottom w:w="0" w:type="dxa"/>
            </w:tcMar>
            <w:tcW w:w="26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43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0" w:type="dxa"/>
              <w:top w:w="0" w:type="dxa"/>
              <w:right w:w="0"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 Trên đất có các công trình như:</w:t>
            </w:r>
            <w:r/>
          </w:p>
        </w:tc>
      </w:tr>
    </w:tbl>
    <w:tbl>
      <w:tblPr>
        <w:tblStyle w:val="1040"/>
        <w:tblInd w:w="-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0"/>
        <w:gridCol w:w="956"/>
        <w:gridCol w:w="3888"/>
        <w:gridCol w:w="1276"/>
        <w:gridCol w:w="1176"/>
        <w:gridCol w:w="1563"/>
      </w:tblGrid>
      <w:tr>
        <w:trPr>
          <w:trHeight w:val="129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95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Hạng mục công trình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8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Hiện trạng, kết cấu</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Diện tích xây dựng (m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b/>
                <w:color w:val="000000"/>
                <w:sz w:val="24"/>
              </w:rPr>
              <w:t xml:space="preserve">)</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Diện tích sàn xây dựng (m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b/>
                <w:color w:val="000000"/>
                <w:sz w:val="24"/>
              </w:rPr>
              <w:t xml:space="preserve">)</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Pháp lý </w:t>
            </w:r>
            <w:r/>
          </w:p>
        </w:tc>
      </w:tr>
      <w:tr>
        <w:trPr>
          <w:trHeight w:val="936"/>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95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điều hành </w:t>
            </w:r>
            <w:r/>
          </w:p>
        </w:tc>
        <w:tc>
          <w:tcPr>
            <w:tcBorders>
              <w:bottom w:val="single" w:color="000000" w:sz="8" w:space="0"/>
              <w:right w:val="single" w:color="000000" w:sz="8" w:space="0"/>
            </w:tcBorders>
            <w:tcMar>
              <w:left w:w="108" w:type="dxa"/>
              <w:top w:w="0" w:type="dxa"/>
              <w:right w:w="108" w:type="dxa"/>
              <w:bottom w:w="0" w:type="dxa"/>
            </w:tcMar>
            <w:tcW w:w="38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Kết cấu bê tông cốt thép, chịu lực                         - Hiện trạng: Nhà mới xây, đang hoàn thiện lắp rắp các thiết bị, chưa đưa vào sử dụng </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298</w:t>
            </w:r>
            <w:r/>
          </w:p>
        </w:tc>
        <w:tc>
          <w:tcPr>
            <w:tcBorders>
              <w:bottom w:val="single" w:color="000000" w:sz="8" w:space="0"/>
              <w:right w:val="single" w:color="000000" w:sz="8" w:space="0"/>
            </w:tcBorders>
            <w:tcMar>
              <w:left w:w="108" w:type="dxa"/>
              <w:top w:w="0" w:type="dxa"/>
              <w:right w:w="108" w:type="dxa"/>
              <w:bottom w:w="0" w:type="dxa"/>
            </w:tcMar>
            <w:tcW w:w="11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894</w:t>
            </w:r>
            <w:r/>
          </w:p>
        </w:tc>
        <w:tc>
          <w:tcPr>
            <w:tcBorders>
              <w:bottom w:val="single" w:color="000000" w:sz="8" w:space="0"/>
              <w:right w:val="single" w:color="000000" w:sz="8" w:space="0"/>
            </w:tcBorders>
            <w:tcMar>
              <w:left w:w="108" w:type="dxa"/>
              <w:top w:w="0" w:type="dxa"/>
              <w:right w:w="108" w:type="dxa"/>
              <w:bottom w:w="0" w:type="dxa"/>
            </w:tcMar>
            <w:tcW w:w="156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Đã được chứng nhận trên GCN số AA 05002921</w:t>
            </w:r>
            <w:r/>
          </w:p>
        </w:tc>
      </w:tr>
      <w:tr>
        <w:trPr>
          <w:trHeight w:val="1872"/>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95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xưởng số 1</w:t>
            </w:r>
            <w:r/>
          </w:p>
        </w:tc>
        <w:tc>
          <w:tcPr>
            <w:tcBorders>
              <w:bottom w:val="single" w:color="000000" w:sz="8" w:space="0"/>
              <w:right w:val="single" w:color="000000" w:sz="8" w:space="0"/>
            </w:tcBorders>
            <w:tcMar>
              <w:left w:w="108" w:type="dxa"/>
              <w:top w:w="0" w:type="dxa"/>
              <w:right w:w="108" w:type="dxa"/>
              <w:bottom w:w="0" w:type="dxa"/>
            </w:tcMar>
            <w:tcW w:w="38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Kết cấu: Nhà xưởng 2 tầng, cột kèo thép tường bao che tôn cao 7,5m, chiều cao đỉnh mái 1m, mái tôn, khẩu độ 35m, không có cẩu trục. Công trình hoàn thiện đưa vào sử dụng đầu năm 2026</w:t>
              <w:br/>
              <w:t xml:space="preserve"> - Hiện trạng: Nhà mới xây, chưa đưa vào sử dụng </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5320</w:t>
            </w:r>
            <w:r/>
          </w:p>
        </w:tc>
        <w:tc>
          <w:tcPr>
            <w:tcBorders>
              <w:bottom w:val="single" w:color="000000" w:sz="8" w:space="0"/>
              <w:right w:val="single" w:color="000000" w:sz="8" w:space="0"/>
            </w:tcBorders>
            <w:tcMar>
              <w:left w:w="108" w:type="dxa"/>
              <w:top w:w="0" w:type="dxa"/>
              <w:right w:w="108" w:type="dxa"/>
              <w:bottom w:w="0" w:type="dxa"/>
            </w:tcMar>
            <w:tcW w:w="11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10.640,00</w:t>
            </w:r>
            <w:r/>
          </w:p>
        </w:tc>
        <w:tc>
          <w:tcPr>
            <w:tcBorders>
              <w:bottom w:val="single" w:color="000000" w:sz="8" w:space="0"/>
              <w:right w:val="single" w:color="000000" w:sz="8" w:space="0"/>
            </w:tcBorders>
            <w:vMerge w:val="continue"/>
            <w:textDirection w:val="lrTb"/>
            <w:noWrap w:val="false"/>
          </w:tcPr>
          <w:p>
            <w:pPr>
              <w:pBdr/>
              <w:spacing/>
              <w:ind/>
              <w:rPr/>
            </w:pPr>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95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bảo vệ 1</w:t>
            </w:r>
            <w:r/>
          </w:p>
        </w:tc>
        <w:tc>
          <w:tcPr>
            <w:tcBorders>
              <w:bottom w:val="single" w:color="000000" w:sz="8" w:space="0"/>
              <w:right w:val="single" w:color="000000" w:sz="8" w:space="0"/>
            </w:tcBorders>
            <w:tcMar>
              <w:left w:w="108" w:type="dxa"/>
              <w:top w:w="0" w:type="dxa"/>
              <w:right w:w="108" w:type="dxa"/>
              <w:bottom w:w="0" w:type="dxa"/>
            </w:tcMar>
            <w:tcW w:w="38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Kết cấu bê tông cốt thép, chịu lực </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9,00</w:t>
            </w:r>
            <w:r/>
          </w:p>
        </w:tc>
        <w:tc>
          <w:tcPr>
            <w:tcBorders>
              <w:bottom w:val="single" w:color="000000" w:sz="8" w:space="0"/>
              <w:right w:val="single" w:color="000000" w:sz="8" w:space="0"/>
            </w:tcBorders>
            <w:tcMar>
              <w:left w:w="108" w:type="dxa"/>
              <w:top w:w="0" w:type="dxa"/>
              <w:right w:w="108" w:type="dxa"/>
              <w:bottom w:w="0" w:type="dxa"/>
            </w:tcMar>
            <w:tcW w:w="11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9,00</w:t>
            </w:r>
            <w:r/>
          </w:p>
        </w:tc>
        <w:tc>
          <w:tcPr>
            <w:tcBorders>
              <w:bottom w:val="single" w:color="000000" w:sz="8" w:space="0"/>
              <w:right w:val="single" w:color="000000" w:sz="8" w:space="0"/>
            </w:tcBorders>
            <w:vMerge w:val="continue"/>
            <w:textDirection w:val="lrTb"/>
            <w:noWrap w:val="false"/>
          </w:tcPr>
          <w:p>
            <w:pPr>
              <w:pBdr/>
              <w:spacing/>
              <w:ind/>
              <w:rPr/>
            </w:pPr>
            <w:r/>
            <w:r/>
          </w:p>
        </w:tc>
      </w:tr>
      <w:tr>
        <w:trPr>
          <w:trHeight w:val="1872"/>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95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 sân đường nội bộ, hệ thống thoát nước, xử lý nước, hệ thống chiếu sáng,…</w:t>
            </w:r>
            <w:r/>
          </w:p>
        </w:tc>
        <w:tc>
          <w:tcPr>
            <w:tcBorders>
              <w:bottom w:val="single" w:color="000000" w:sz="8" w:space="0"/>
              <w:right w:val="single" w:color="000000" w:sz="8" w:space="0"/>
            </w:tcBorders>
            <w:tcMar>
              <w:left w:w="108" w:type="dxa"/>
              <w:top w:w="0" w:type="dxa"/>
              <w:right w:w="108" w:type="dxa"/>
              <w:bottom w:w="0" w:type="dxa"/>
            </w:tcMar>
            <w:tcW w:w="388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176"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Chưa được chứng nhận trên GCN số AA 05002921</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left"/>
              <w:rPr>
                <w:lang w:eastAsia="ko-KR"/>
              </w:rPr>
            </w:pPr>
            <w:r>
              <w:t xml:space="preserve">        Có</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t xml:space="preserve">Đất gần nghĩa trang</w:t>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Công ty Cổ phần Thẩm định và Đầu tư Tài chính Hoa Sen thẩm định giá trị thị trường của tài sản căn cứ vào những giả định quan trọng sau đây:</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00" w:before="100" w:line="276"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00" w:before="100" w:line="276" w:lineRule="auto"/>
        <w:ind/>
        <w:jc w:val="both"/>
        <w:rPr/>
      </w:pPr>
      <w:r>
        <w:rPr>
          <w:rFonts w:ascii="Times New Roman" w:hAnsi="Times New Roman" w:eastAsia="Times New Roman" w:cs="Times New Roman"/>
          <w:color w:val="000000"/>
          <w:sz w:val="24"/>
        </w:rPr>
        <w:t xml:space="preserve">Báo cáo thẩm định giá này dựa vào các giả định đặc biệt tối quan trọng. Những giả định này bao gồm các chỉ tiêu cụ thể của khách hàng để sử dụng những thông số nhất định được trình bày và được nhấn mạnh trong báo cáo thẩm định giá. Công ty Cổ phần Thẩm địn</w:t>
      </w:r>
      <w:r>
        <w:rPr>
          <w:rFonts w:ascii="Times New Roman" w:hAnsi="Times New Roman" w:eastAsia="Times New Roman" w:cs="Times New Roman"/>
          <w:color w:val="000000"/>
          <w:sz w:val="24"/>
        </w:rPr>
        <w:t xml:space="preserve">h và Đầu tư Tài chính Hoa Sen lưu ý rằng những chỉ tiêu này có thể phản ánh hoặc không phản ánh kỳ vọng thị trường hiện tại cho những dữ liệu đặc biệt chưa rõ ràng.</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00" w:before="100" w:line="276" w:lineRule="auto"/>
        <w:ind/>
        <w:jc w:val="both"/>
        <w:rPr/>
      </w:pPr>
      <w:r>
        <w:rPr>
          <w:rFonts w:ascii="Times New Roman" w:hAnsi="Times New Roman" w:eastAsia="Times New Roman" w:cs="Times New Roman"/>
          <w:color w:val="000000"/>
          <w:sz w:val="24"/>
        </w:rPr>
        <w:t xml:space="preserve">Giá trị trên xác định trong điều kiện TSTĐ hoạt động liên tục trong khoảng thời gian trích khấu hao, được duy tu, bảo dưỡng định kỳ.... Sau thời điểm phát hành chứng thư các điều kiện trên không xảy ra dẫn đến giá trị tài sản thẩm định bị thay đổi, chúng t</w:t>
      </w:r>
      <w:r>
        <w:rPr>
          <w:rFonts w:ascii="Times New Roman" w:hAnsi="Times New Roman" w:eastAsia="Times New Roman" w:cs="Times New Roman"/>
          <w:color w:val="000000"/>
          <w:sz w:val="24"/>
        </w:rPr>
        <w:t xml:space="preserve">ôi xem xét lại báo cáo định giá và tiến hành thẩm định giá theo các điều kiện phát sinh mới. </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00" w:before="100" w:line="276" w:lineRule="auto"/>
        <w:ind/>
        <w:jc w:val="both"/>
        <w:rPr/>
      </w:pPr>
      <w:r>
        <w:rPr>
          <w:rFonts w:ascii="Times New Roman" w:hAnsi="Times New Roman" w:eastAsia="Times New Roman" w:cs="Times New Roman"/>
          <w:color w:val="000000"/>
          <w:sz w:val="24"/>
        </w:rPr>
        <w:t xml:space="preserve">Giá trị tài sản thẩm định được xác định trong điều kiện công ty hoạt động với đầy đủ các hệ thống xử lý nước thải, khí thải, phòng cháy chữa cháy phù hợp với điều kiện khu vực. Sau ngày phát hành chứng thư nếu vì bất kỳ lý do gì dẫn đến nhà máy dừng ho</w:t>
      </w:r>
      <w:r>
        <w:rPr>
          <w:rFonts w:ascii="Times New Roman" w:hAnsi="Times New Roman" w:eastAsia="Times New Roman" w:cs="Times New Roman"/>
          <w:color w:val="000000"/>
          <w:sz w:val="24"/>
        </w:rPr>
        <w:t xml:space="preserve">ạt động sẽ nằm ngoài phạm vi, trách nhiệm của Công ty Cổ phần Thẩm định và Đầu tư Tài chính Hoa Sen.</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00" w:before="100" w:line="276"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VI. CƠ SỞ GIÁ TRỊ THẨM ĐỊNH GIÁ</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rPr>
          <w:rFonts w:ascii="Times New Roman" w:hAnsi="Times New Roman" w:eastAsia="Times New Roman" w:cs="Times New Roman"/>
          <w:color w:val="000000"/>
          <w:sz w:val="24"/>
        </w:rPr>
        <w:t xml:space="preserve">. </w:t>
      </w: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4"/>
        <w:gridCol w:w="1763"/>
        <w:gridCol w:w="1772"/>
        <w:gridCol w:w="1772"/>
        <w:gridCol w:w="1772"/>
        <w:gridCol w:w="1772"/>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6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76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363"/>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KCN Bình Xuyên, xã Bình Nguyên, tỉnh Phú Thọ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KCN Bình Xuyên, xã Bình Nguyên, tỉnh Phú Thọ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KCN  Nam Bình Xuyên, xã Bình Nguyên, tỉnh Phú Thọ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KCN Bình Xuyên, xã Bình Nguyên, tỉnh Phú Thọ </w:t>
            </w:r>
            <w:r/>
          </w:p>
        </w:tc>
      </w:tr>
      <w:tr>
        <w:trPr>
          <w:trHeight w:val="2961"/>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Liên hệ trực tiếp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https://batdongsan.com.vn/ban-kho-nha-xuong-xa-dao-duc-1/dien-tich-san-xuat-tu-0-5-50-ha-tro-len-khu-cong-nghiep-binh-xuyen-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SDT: 0966566546</w:t>
              <w:br/>
              <w:t xml:space="preserve"> (Sale Lưu Tư)</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SDT: 0989657091</w:t>
              <w:br/>
              <w:t xml:space="preserve"> (Sale Dũng VP)</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SDT: 0966566546</w:t>
              <w:br/>
              <w:t xml:space="preserve"> (Sale Lưu Tư)</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04/2026</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04/2026</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04/2026</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Tính chất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r>
      <w:tr>
        <w:trPr>
          <w:trHeight w:val="118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khu công nghiệp trả tiền hàng năm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khu công nghiệp trả tiền hàng năm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khu công nghiệp trả tiền hàng năm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khu công nghiệp trả tiền hàng năm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Đến ngày 29/06/2057</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Đến ngày 22/07/2053</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Đến năm 2071</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Đến ngày 03/12/2054</w:t>
            </w:r>
            <w:r/>
          </w:p>
        </w:tc>
      </w:tr>
      <w:tr>
        <w:trPr>
          <w:trHeight w:val="11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KCN Bình Xuyên, xã Bình Nguyên, tỉnh Phú Thọ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KCN Bình Xuyên, xã Bình Nguyên, tỉnh Phú Thọ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KCN Nam Bình Xuyên, xã Xuân Lãng, tỉnh Phú Thọ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KCN Bình Xuyên, xã Bình Nguyên, tỉnh Phú Thọ </w:t>
            </w:r>
            <w:r/>
          </w:p>
        </w:tc>
      </w:tr>
      <w:tr>
        <w:trPr>
          <w:trHeight w:val="62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chưa hoàn thiện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Độ rộng đường(m)</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56305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5800</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186,86 + vạt 7,05 + 46,41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227,93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234</w:t>
            </w:r>
            <w:r/>
          </w:p>
        </w:tc>
      </w:tr>
      <w:tr>
        <w:trPr>
          <w:trHeight w:val="62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2 mặt tiền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 </w:t>
            </w:r>
            <w:r/>
          </w:p>
        </w:tc>
      </w:tr>
      <w:tr>
        <w:trPr>
          <w:trHeight w:val="519"/>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gần khu nghĩa trang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 </w:t>
            </w:r>
            <w:r/>
          </w:p>
        </w:tc>
      </w:tr>
      <w:tr>
        <w:trPr>
          <w:trHeight w:val="1068"/>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có đã có hạ tầng nội bộ: sân đường, cây xanh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chưa có hạ tầng nội bộ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chưa có hạ tầng nội bộ</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chưa có hạ tầng nội bộ</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828"/>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259.413.762.500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26.037.000.000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26.694.500.000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233.472.386.250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23.433.300.000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24.291.995.000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233.472.386.250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23.433.300.000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24.291.995.000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4.146.566</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4.260.600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4.188.275</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324"/>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72"/>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đường(m)</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r>
      <w:tr>
        <w:trPr>
          <w:trHeight w:val="492"/>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 </w:t>
            </w:r>
            <w:r/>
          </w:p>
        </w:tc>
      </w:tr>
      <w:tr>
        <w:trPr>
          <w:trHeight w:val="492"/>
        </w:trPr>
        <w:tc>
          <w:tcPr>
            <w:tcBorders>
              <w:left w:val="single" w:color="000000" w:sz="8" w:space="0"/>
              <w:bottom w:val="single" w:color="000000" w:sz="8" w:space="0"/>
              <w:right w:val="single" w:color="000000" w:sz="8" w:space="0"/>
            </w:tcBorders>
            <w:tcMar>
              <w:left w:w="108" w:type="dxa"/>
              <w:top w:w="0" w:type="dxa"/>
              <w:right w:w="108" w:type="dxa"/>
              <w:bottom w:w="0" w:type="dxa"/>
            </w:tcMar>
            <w:tcW w:w="6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3"/>
        <w:gridCol w:w="1804"/>
        <w:gridCol w:w="1033"/>
        <w:gridCol w:w="1511"/>
        <w:gridCol w:w="1511"/>
        <w:gridCol w:w="1511"/>
        <w:gridCol w:w="1512"/>
      </w:tblGrid>
      <w:tr>
        <w:trPr>
          <w:trHeight w:val="63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233.472.386.250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23.433.300.000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24.291.995.000</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4.146.566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4.260.600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4.188.275</w:t>
            </w:r>
            <w:r/>
          </w:p>
        </w:tc>
      </w:tr>
      <w:tr>
        <w:trPr>
          <w:trHeight w:val="52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51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r>
      <w:tr>
        <w:trPr>
          <w:trHeight w:val="39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39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4.146.566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4.260.600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4.188.275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2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39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4.146.566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4.260.600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4.188.275 </w:t>
            </w:r>
            <w:r/>
          </w:p>
        </w:tc>
      </w:tr>
      <w:tr>
        <w:trPr>
          <w:trHeight w:val="122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 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khu công nghiệp trả tiền hàng năm -  Đến ngày 29/06/2057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khu công nghiệp trả tiền hàng năm -  Đến ngày 22/07/2053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khu công nghiệp trả tiền hàng năm - Sử dụng đến 2071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khu công nghiệp trả tiền hàng năm - Đến ngày 03/12/2054</w:t>
            </w:r>
            <w:r/>
          </w:p>
        </w:tc>
      </w:tr>
      <w:tr>
        <w:trPr>
          <w:trHeight w:val="4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4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-213.030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56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4.146.566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4.047.570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4.188.275 </w:t>
            </w:r>
            <w:r/>
          </w:p>
        </w:tc>
      </w:tr>
      <w:tr>
        <w:trPr>
          <w:trHeight w:val="5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 chưa hoàn thiện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 </w:t>
            </w:r>
            <w:r/>
          </w:p>
        </w:tc>
      </w:tr>
      <w:tr>
        <w:trPr>
          <w:trHeight w:val="51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r>
      <w:tr>
        <w:trPr>
          <w:trHeight w:val="58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-207.328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-213.030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-209.414 </w:t>
            </w:r>
            <w:r/>
          </w:p>
        </w:tc>
      </w:tr>
      <w:tr>
        <w:trPr>
          <w:trHeight w:val="105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3.939.237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3.834.540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3.978.861 </w:t>
            </w:r>
            <w:r/>
          </w:p>
        </w:tc>
      </w:tr>
      <w:tr>
        <w:trPr>
          <w:trHeight w:val="153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KCN Bình Xuyên, xã Bình Nguyên, tỉnh Phú Thọ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KCN Bình Xuyên, xã Bình Nguyên, tỉnh Phú Thọ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KCN Nam Bình Xuyên, xã Xuân Lãng, tỉnh Phú Thọ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KCN Bình Xuyên, xã Bình Nguyên, tỉnh Phú Thọ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3.939.237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3.834.540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3.978.861 </w:t>
            </w:r>
            <w:r/>
          </w:p>
        </w:tc>
      </w:tr>
      <w:tr>
        <w:trPr>
          <w:trHeight w:val="66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3.939.237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3.834.540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3.978.861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56305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5800</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393.924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-191.727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-198.943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4.333.161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3.642.813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3.779.918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186,86 + vạt 7,05 + 46,41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227,93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234</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383.454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4.333.161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4.026.267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3.779.918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Tiếp giáp 2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Tiếp giáp 1 mặt tiền</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196.962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191.727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198.943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4.530.123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4.217.994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3.978.861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Tương đối vuông vức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4.530.123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4.217.994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3.978.861 </w:t>
            </w:r>
            <w:r/>
          </w:p>
        </w:tc>
      </w:tr>
      <w:tr>
        <w:trPr>
          <w:trHeight w:val="69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Bất lợi thương mại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gần khu nghĩa trang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 có bất lợi thương mại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 có bất lợi thương mại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 có bất lợi thương mại </w:t>
            </w:r>
            <w:r/>
          </w:p>
        </w:tc>
      </w:tr>
      <w:tr>
        <w:trPr>
          <w:trHeight w:val="4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r>
      <w:tr>
        <w:trPr>
          <w:trHeight w:val="37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-196.962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-191.727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-198.943 </w:t>
            </w:r>
            <w:r/>
          </w:p>
        </w:tc>
      </w:tr>
      <w:tr>
        <w:trPr>
          <w:trHeight w:val="49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4.333.161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4.026.267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3.779.918 </w:t>
            </w:r>
            <w:r/>
          </w:p>
        </w:tc>
      </w:tr>
      <w:tr>
        <w:trPr>
          <w:trHeight w:val="10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Yếu tố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có đã có hạ tầng nội bộ: sân đường, cây xanh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chưa có hạ tầng nội bộ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chưa có hạ tầng nội bộ</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chưa có hạ tầng nội bộ</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w:t>
            </w:r>
            <w:r/>
          </w:p>
        </w:tc>
      </w:tr>
      <w:tr>
        <w:trPr>
          <w:trHeight w:val="37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393.924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383.454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397.886 </w:t>
            </w:r>
            <w:r/>
          </w:p>
        </w:tc>
      </w:tr>
      <w:tr>
        <w:trPr>
          <w:trHeight w:val="62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4.727.085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4.409.721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4.177.804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4.727.085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4.409.721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4.177.804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04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4.438.203</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1.389.100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1.768.149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1.204.129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- 10%</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580.519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149.121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10.471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0,6 đến 6,5%,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8"/>
        <w:gridCol w:w="2009"/>
        <w:gridCol w:w="1843"/>
        <w:gridCol w:w="1886"/>
        <w:gridCol w:w="3239"/>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2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Tài sản so sánh 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4.727.085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1.575.695</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Tài sản so sánh 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4.409.721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1.469.907</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Tài sản so sánh 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4.177.804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1.392.601</w:t>
            </w:r>
            <w:r/>
          </w:p>
        </w:tc>
      </w:tr>
      <w:tr>
        <w:trPr>
          <w:trHeight w:val="312"/>
        </w:trPr>
        <w:tc>
          <w:tcPr>
            <w:gridSpan w:val="4"/>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4.438.203</w:t>
            </w:r>
            <w:r/>
          </w:p>
        </w:tc>
      </w:tr>
      <w:tr>
        <w:trPr>
          <w:trHeight w:val="312"/>
        </w:trPr>
        <w:tc>
          <w:tcPr>
            <w:gridSpan w:val="4"/>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Làm tròn: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4.400.000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4.400.000 đồng/m².</w:t>
      </w:r>
      <w:r/>
    </w:p>
    <w:p>
      <w:pPr>
        <w:pStyle w:val="103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     2.1. Xác định đơn giá xây mới của công trình xây dựng trên đất: (Nhà xưởng số 1, 2 tầng)</w:t>
      </w: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xưởng số 1, cân nhắc và xem xét với mức độ hoàn thiện của công trình xây dựng hiện có, Tổ thẩm định nhận thấy đơn giá vận dụng theo Quyết định số 425/QĐ-BXD ngày 30/3/2026 của Bộ Xây d</w:t>
      </w:r>
      <w:r>
        <w:rPr>
          <w:rFonts w:ascii="Times New Roman" w:hAnsi="Times New Roman" w:eastAsia="Times New Roman" w:cs="Times New Roman"/>
          <w:color w:val="000000"/>
          <w:sz w:val="24"/>
        </w:rPr>
        <w:t xml:space="preserve">ựng về việc Công bố suất vốn đầu tư xây dựng công trình và giá xây dựng tổng hợp bộ phận kết cấu công trình năm 2025 là khá phù hợp với thị trường, theo đó</w:t>
      </w:r>
      <w:r>
        <w:rPr>
          <w:rFonts w:ascii="Times New Roman" w:hAnsi="Times New Roman" w:eastAsia="Times New Roman" w:cs="Times New Roman"/>
          <w:color w:val="000000"/>
          <w:spacing w:val="-4"/>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highlight w:val="white"/>
        </w:rPr>
        <w:t xml:space="preserve">“Suất vốn đầu tư xây dựng nhà xưởng, nhà sản xuất:</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pacing w:val="3"/>
          <w:sz w:val="24"/>
        </w:rPr>
        <w:t xml:space="preserve">Nhà 1 tầng khẩu độ 30m, cao 7,5m, không có có cầu trục</w:t>
      </w:r>
      <w:r>
        <w:rPr>
          <w:rFonts w:ascii="Times New Roman" w:hAnsi="Times New Roman" w:eastAsia="Times New Roman" w:cs="Times New Roman"/>
          <w:i/>
          <w:color w:val="000000"/>
          <w:spacing w:val="3"/>
          <w:sz w:val="24"/>
          <w:highlight w:val="white"/>
        </w:rPr>
        <w:t xml:space="preserve">, có đơn giá đã bao gồm VAT là: </w:t>
      </w:r>
      <w:r>
        <w:rPr>
          <w:rFonts w:ascii="Times New Roman" w:hAnsi="Times New Roman" w:eastAsia="Times New Roman" w:cs="Times New Roman"/>
          <w:b/>
          <w:i/>
          <w:color w:val="000000"/>
          <w:sz w:val="24"/>
          <w:highlight w:val="white"/>
        </w:rPr>
        <w:t xml:space="preserve">5.198.000 </w:t>
      </w:r>
      <w:r>
        <w:rPr>
          <w:rFonts w:ascii="Times New Roman" w:hAnsi="Times New Roman" w:eastAsia="Times New Roman" w:cs="Times New Roman"/>
          <w:i/>
          <w:color w:val="000000"/>
          <w:spacing w:val="3"/>
          <w:sz w:val="24"/>
          <w:highlight w:val="white"/>
        </w:rPr>
        <w:t xml:space="preserve">đồng/m².</w:t>
      </w: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i/>
          <w:color w:val="000000"/>
          <w:sz w:val="24"/>
          <w:highlight w:val="white"/>
        </w:rPr>
        <w:t xml:space="preserve">Hệ số điều chỉnh vùng cho Suất vốn đầu tư: Tỉnh Vĩnh Phúc thuộc vùng 2 có hệ số điều chỉnh là 0,931.”</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highlight w:val="white"/>
        </w:rPr>
        <w:t xml:space="preserve">Do đó, Tổ thẩm định xác định đơn giá xây mới của công trình xây dựng là: (Suất vốn đầu tư) x (Hệ số vùng) = </w:t>
      </w:r>
      <w:r>
        <w:rPr>
          <w:rFonts w:ascii="Times New Roman" w:hAnsi="Times New Roman" w:eastAsia="Times New Roman" w:cs="Times New Roman"/>
          <w:b/>
          <w:i/>
          <w:color w:val="000000"/>
          <w:sz w:val="24"/>
        </w:rPr>
        <w:t xml:space="preserve">5.198.000 </w:t>
      </w:r>
      <w:r>
        <w:rPr>
          <w:rFonts w:ascii="Times New Roman" w:hAnsi="Times New Roman" w:eastAsia="Times New Roman" w:cs="Times New Roman"/>
          <w:b/>
          <w:i/>
          <w:color w:val="000000"/>
          <w:spacing w:val="3"/>
          <w:sz w:val="24"/>
          <w:highlight w:val="white"/>
        </w:rPr>
        <w:t xml:space="preserve">x0,931 </w:t>
      </w:r>
      <w:r>
        <w:rPr>
          <w:rFonts w:ascii="Times New Roman" w:hAnsi="Times New Roman" w:eastAsia="Times New Roman" w:cs="Times New Roman"/>
          <w:i/>
          <w:color w:val="000000"/>
          <w:spacing w:val="3"/>
          <w:sz w:val="24"/>
          <w:highlight w:val="white"/>
        </w:rPr>
        <w:t xml:space="preserve">=</w:t>
      </w:r>
      <w:r>
        <w:rPr>
          <w:rFonts w:ascii="Times New Roman" w:hAnsi="Times New Roman" w:eastAsia="Times New Roman" w:cs="Times New Roman"/>
          <w:b/>
          <w:i/>
          <w:color w:val="000000"/>
          <w:spacing w:val="3"/>
          <w:sz w:val="24"/>
          <w:highlight w:val="white"/>
        </w:rPr>
        <w:t xml:space="preserve"> 4.839.338 đồng/m².</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b/>
          <w:i/>
          <w:color w:val="000000"/>
          <w:spacing w:val="3"/>
          <w:sz w:val="24"/>
        </w:rPr>
        <w:t xml:space="preserve">Tại thời điểm thẩm định, công trình xây dựng vừa hoàn thiện xong, tổ xác định công trình xây dựng đang ở trạng thái mới hoàn toàn. Tỉ lệ hao mòn là 0%, tỷ lệ chất lượng còn lại là 100%.</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40"/>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729"/>
        <w:gridCol w:w="1134"/>
        <w:gridCol w:w="1134"/>
        <w:gridCol w:w="1559"/>
        <w:gridCol w:w="855"/>
        <w:gridCol w:w="1412"/>
        <w:gridCol w:w="1702"/>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Diện tích sàn</w:t>
              <w:br/>
              <w:t xml:space="preserve">   (m²)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Đơn giá xây dựng mới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Chi phí thay thế (đồng)</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8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Tỷ lệ hao mòn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4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Gía trị hao mòn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Giá trị thẩm định tại thời điểm thẩm định giá (đồng)</w:t>
            </w:r>
            <w:r/>
          </w:p>
        </w:tc>
      </w:tr>
      <w:tr>
        <w:trPr>
          <w:trHeight w:val="331"/>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(A)</w:t>
            </w:r>
            <w:r/>
          </w:p>
        </w:tc>
        <w:tc>
          <w:tcPr>
            <w:shd w:val="clear" w:color="ffffff" w:fill="ffffff"/>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 = (2) * (1)</w:t>
            </w:r>
            <w:r/>
          </w:p>
        </w:tc>
        <w:tc>
          <w:tcPr>
            <w:shd w:val="clear" w:color="ffffff" w:fill="ffffff"/>
            <w:tcBorders>
              <w:bottom w:val="single" w:color="000000" w:sz="8" w:space="0"/>
              <w:right w:val="single" w:color="000000" w:sz="8" w:space="0"/>
            </w:tcBorders>
            <w:tcMar>
              <w:left w:w="0" w:type="dxa"/>
              <w:top w:w="0" w:type="dxa"/>
              <w:right w:w="0" w:type="dxa"/>
              <w:bottom w:w="0" w:type="dxa"/>
            </w:tcMar>
            <w:tcW w:w="8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0" w:type="dxa"/>
              <w:top w:w="0" w:type="dxa"/>
              <w:right w:w="0" w:type="dxa"/>
              <w:bottom w:w="0" w:type="dxa"/>
            </w:tcMar>
            <w:tcW w:w="14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(3)*(4)</w:t>
            </w:r>
            <w:r/>
          </w:p>
        </w:tc>
        <w:tc>
          <w:tcPr>
            <w:shd w:val="clear" w:color="ffffff" w:fill="ffffff"/>
            <w:tcBorders>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 = (3) - (5)</w:t>
            </w:r>
            <w:r/>
          </w:p>
        </w:tc>
      </w:tr>
      <w:tr>
        <w:trPr>
          <w:trHeight w:val="300"/>
        </w:trPr>
        <w:tc>
          <w:tcPr>
            <w:tcBorders>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xưởng số 1 </w:t>
            </w:r>
            <w:r/>
          </w:p>
        </w:tc>
        <w:tc>
          <w:tcPr>
            <w:tcBorders>
              <w:bottom w:val="single" w:color="000000" w:sz="8" w:space="0"/>
              <w:right w:val="single" w:color="000000" w:sz="8" w:space="0"/>
            </w:tcBorders>
            <w:tcMar>
              <w:left w:w="0" w:type="dxa"/>
              <w:top w:w="0" w:type="dxa"/>
              <w:right w:w="0"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10.640</w:t>
            </w:r>
            <w:r/>
          </w:p>
        </w:tc>
        <w:tc>
          <w:tcPr>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pacing w:val="3"/>
                <w:sz w:val="22"/>
              </w:rPr>
              <w:t xml:space="preserve">4.839.338</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51.490.556.320</w:t>
            </w:r>
            <w:r/>
          </w:p>
        </w:tc>
        <w:tc>
          <w:tcPr>
            <w:tcBorders>
              <w:bottom w:val="single" w:color="000000" w:sz="8" w:space="0"/>
              <w:right w:val="single" w:color="000000" w:sz="8" w:space="0"/>
            </w:tcBorders>
            <w:tcMar>
              <w:left w:w="0" w:type="dxa"/>
              <w:top w:w="0" w:type="dxa"/>
              <w:right w:w="0" w:type="dxa"/>
              <w:bottom w:w="0" w:type="dxa"/>
            </w:tcMar>
            <w:tcW w:w="85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0" w:type="dxa"/>
              <w:top w:w="0" w:type="dxa"/>
              <w:right w:w="0" w:type="dxa"/>
              <w:bottom w:w="0" w:type="dxa"/>
            </w:tcMar>
            <w:tcW w:w="141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51.490.556.320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2.2 Nhà điều hành (3 tầng)</w:t>
      </w: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điều hành 3 tầng, cân nhắc và xem xét với mức độ hoàn thiện của công trình xây dựng hiện có, Tổ thẩm định nhận thấy đơn giá Vận dụng theo Quyết định số 425/QĐ-BXD ngày30/3/2026 của Bộ </w:t>
      </w:r>
      <w:r>
        <w:rPr>
          <w:rFonts w:ascii="Times New Roman" w:hAnsi="Times New Roman" w:eastAsia="Times New Roman" w:cs="Times New Roman"/>
          <w:color w:val="000000"/>
          <w:sz w:val="24"/>
        </w:rPr>
        <w:t xml:space="preserve">Xây dựng về việc Công bố suất vốn đầu tư xây dựng công trình và giá xây dựng tổng hợp bộ phận kết cấu công trình năm 2025 là khá phù hợp với thị trường, theo đó</w:t>
      </w:r>
      <w:r>
        <w:rPr>
          <w:rFonts w:ascii="Times New Roman" w:hAnsi="Times New Roman" w:eastAsia="Times New Roman" w:cs="Times New Roman"/>
          <w:color w:val="000000"/>
          <w:spacing w:val="-4"/>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rPr>
        <w:t xml:space="preserve">“Suất vốn đầu tư xây dựng Trụ sở, văn phòng làm việc:</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pacing w:val="3"/>
          <w:sz w:val="24"/>
        </w:rPr>
        <w:t xml:space="preserve">Số tầng ≤ 5 không có tầng hầm, có đơn giá đã bao gồm VAT là:</w:t>
      </w:r>
      <w:r>
        <w:rPr>
          <w:rFonts w:ascii="Times New Roman" w:hAnsi="Times New Roman" w:eastAsia="Times New Roman" w:cs="Times New Roman"/>
          <w:b/>
          <w:i/>
          <w:color w:val="000000"/>
          <w:sz w:val="24"/>
        </w:rPr>
        <w:t xml:space="preserve">10.132.000 </w:t>
      </w:r>
      <w:r>
        <w:rPr>
          <w:rFonts w:ascii="Times New Roman" w:hAnsi="Times New Roman" w:eastAsia="Times New Roman" w:cs="Times New Roman"/>
          <w:i/>
          <w:color w:val="000000"/>
          <w:spacing w:val="3"/>
          <w:sz w:val="24"/>
        </w:rPr>
        <w:t xml:space="preserve">đồng/m².</w:t>
      </w: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i/>
          <w:color w:val="000000"/>
          <w:sz w:val="24"/>
        </w:rPr>
        <w:t xml:space="preserve">Hệ số điều chỉnh vùng cho Suất vốn đầu tư: Tỉnh Vĩnh Phúc thuộc vùng 2 có hệ số điều chỉnh là 0,938.”</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highlight w:val="white"/>
        </w:rPr>
        <w:t xml:space="preserve">Do đó, Tổ thẩm định xác định đơn giá xây mới của công trình xây dựng là: (Suất vốn đầu tư) x (Hệ số vùng) = </w:t>
      </w:r>
      <w:r>
        <w:rPr>
          <w:rFonts w:ascii="Times New Roman" w:hAnsi="Times New Roman" w:eastAsia="Times New Roman" w:cs="Times New Roman"/>
          <w:b/>
          <w:i/>
          <w:color w:val="000000"/>
          <w:sz w:val="24"/>
        </w:rPr>
        <w:t xml:space="preserve">10.132.000 </w:t>
      </w:r>
      <w:r>
        <w:rPr>
          <w:rFonts w:ascii="Times New Roman" w:hAnsi="Times New Roman" w:eastAsia="Times New Roman" w:cs="Times New Roman"/>
          <w:b/>
          <w:i/>
          <w:color w:val="000000"/>
          <w:spacing w:val="3"/>
          <w:sz w:val="24"/>
          <w:highlight w:val="white"/>
        </w:rPr>
        <w:t xml:space="preserve">x 0,938 </w:t>
      </w:r>
      <w:r>
        <w:rPr>
          <w:rFonts w:ascii="Times New Roman" w:hAnsi="Times New Roman" w:eastAsia="Times New Roman" w:cs="Times New Roman"/>
          <w:i/>
          <w:color w:val="000000"/>
          <w:spacing w:val="3"/>
          <w:sz w:val="24"/>
          <w:highlight w:val="white"/>
        </w:rPr>
        <w:t xml:space="preserve">=</w:t>
      </w:r>
      <w:r>
        <w:rPr>
          <w:rFonts w:ascii="Times New Roman" w:hAnsi="Times New Roman" w:eastAsia="Times New Roman" w:cs="Times New Roman"/>
          <w:b/>
          <w:i/>
          <w:color w:val="000000"/>
          <w:spacing w:val="3"/>
          <w:sz w:val="24"/>
          <w:highlight w:val="white"/>
        </w:rPr>
        <w:t xml:space="preserve">9.503.816 đồng/m².</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b/>
          <w:i/>
          <w:color w:val="000000"/>
          <w:spacing w:val="3"/>
          <w:sz w:val="24"/>
        </w:rPr>
        <w:t xml:space="preserve">Tại thời điểm thẩm định, công trình xây dựng vừa hoàn thiện xong, tổ xác định công trình xây dựng đang ở trạng thái mới hoàn toàn. Tỉ lệ hao mòn là 0%, tỷ lệ chất lượng còn lại là 100%.</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40"/>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729"/>
        <w:gridCol w:w="1134"/>
        <w:gridCol w:w="1134"/>
        <w:gridCol w:w="1559"/>
        <w:gridCol w:w="855"/>
        <w:gridCol w:w="1412"/>
        <w:gridCol w:w="1702"/>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Diện tích sàn</w:t>
              <w:br/>
              <w:t xml:space="preserve">   (m²)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Đơn giá xây dựng mới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Chi phí thay thế (đồng)</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8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Tỷ lệ hao mòn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4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Gía trị hao mòn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Giá trị thẩm định tại thời điểm thẩm định giá (đồng)</w:t>
            </w:r>
            <w:r/>
          </w:p>
        </w:tc>
      </w:tr>
      <w:tr>
        <w:trPr>
          <w:trHeight w:val="331"/>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(A)</w:t>
            </w:r>
            <w:r/>
          </w:p>
        </w:tc>
        <w:tc>
          <w:tcPr>
            <w:shd w:val="clear" w:color="ffffff" w:fill="ffffff"/>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 = (2) * (1)</w:t>
            </w:r>
            <w:r/>
          </w:p>
        </w:tc>
        <w:tc>
          <w:tcPr>
            <w:shd w:val="clear" w:color="ffffff" w:fill="ffffff"/>
            <w:tcBorders>
              <w:bottom w:val="single" w:color="000000" w:sz="8" w:space="0"/>
              <w:right w:val="single" w:color="000000" w:sz="8" w:space="0"/>
            </w:tcBorders>
            <w:tcMar>
              <w:left w:w="0" w:type="dxa"/>
              <w:top w:w="0" w:type="dxa"/>
              <w:right w:w="0" w:type="dxa"/>
              <w:bottom w:w="0" w:type="dxa"/>
            </w:tcMar>
            <w:tcW w:w="8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0" w:type="dxa"/>
              <w:top w:w="0" w:type="dxa"/>
              <w:right w:w="0" w:type="dxa"/>
              <w:bottom w:w="0" w:type="dxa"/>
            </w:tcMar>
            <w:tcW w:w="14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(3)*(4)</w:t>
            </w:r>
            <w:r/>
          </w:p>
        </w:tc>
        <w:tc>
          <w:tcPr>
            <w:shd w:val="clear" w:color="ffffff" w:fill="ffffff"/>
            <w:tcBorders>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 = (3) - (5)</w:t>
            </w:r>
            <w:r/>
          </w:p>
        </w:tc>
      </w:tr>
      <w:tr>
        <w:trPr>
          <w:trHeight w:val="300"/>
        </w:trPr>
        <w:tc>
          <w:tcPr>
            <w:tcBorders>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điều hành</w:t>
            </w:r>
            <w:r/>
          </w:p>
        </w:tc>
        <w:tc>
          <w:tcPr>
            <w:tcBorders>
              <w:bottom w:val="single" w:color="000000" w:sz="8" w:space="0"/>
              <w:right w:val="single" w:color="000000" w:sz="8" w:space="0"/>
            </w:tcBorders>
            <w:tcMar>
              <w:left w:w="0" w:type="dxa"/>
              <w:top w:w="0" w:type="dxa"/>
              <w:right w:w="0"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894</w:t>
            </w:r>
            <w:r/>
          </w:p>
        </w:tc>
        <w:tc>
          <w:tcPr>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pacing w:val="3"/>
                <w:sz w:val="22"/>
              </w:rPr>
              <w:t xml:space="preserve">9.503.816</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8.496.411.504</w:t>
            </w:r>
            <w:r/>
          </w:p>
        </w:tc>
        <w:tc>
          <w:tcPr>
            <w:tcBorders>
              <w:bottom w:val="single" w:color="000000" w:sz="8" w:space="0"/>
              <w:right w:val="single" w:color="000000" w:sz="8" w:space="0"/>
            </w:tcBorders>
            <w:tcMar>
              <w:left w:w="0" w:type="dxa"/>
              <w:top w:w="0" w:type="dxa"/>
              <w:right w:w="0" w:type="dxa"/>
              <w:bottom w:w="0" w:type="dxa"/>
            </w:tcMar>
            <w:tcW w:w="85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0" w:type="dxa"/>
              <w:top w:w="0" w:type="dxa"/>
              <w:right w:w="0" w:type="dxa"/>
              <w:bottom w:w="0" w:type="dxa"/>
            </w:tcMar>
            <w:tcW w:w="141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8.496.411.504</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2.3. Nhà bảo vệ </w:t>
      </w: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1 tầng cấp 4, cân nhắc và xem xét với mức độ hoàn thiện của công trình xây dựng hiện có, Tổ thẩm định nhận thấy đơn giá vận dụng theo Quyết định số 425/QĐ-BXD ngày30/3/2026 của Bộ Xây </w:t>
      </w:r>
      <w:r>
        <w:rPr>
          <w:rFonts w:ascii="Times New Roman" w:hAnsi="Times New Roman" w:eastAsia="Times New Roman" w:cs="Times New Roman"/>
          <w:color w:val="000000"/>
          <w:sz w:val="24"/>
        </w:rPr>
        <w:t xml:space="preserve">dựng về việc Công bố suất vốn đầu tư xây dựng công trình và giá xây dựng tổng hợp bộ phận kết cấu công trình năm 2025 là khá phù hợp với thị trường, theo đó</w:t>
      </w:r>
      <w:r>
        <w:rPr>
          <w:rFonts w:ascii="Times New Roman" w:hAnsi="Times New Roman" w:eastAsia="Times New Roman" w:cs="Times New Roman"/>
          <w:color w:val="000000"/>
          <w:spacing w:val="-4"/>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rPr>
        <w:t xml:space="preserve">“ Suất vốn đầu tư xây dựng Nhà 1 tầng, căn hộ khép kín, kết cấu tường gạch chịu lực, mái tôn</w:t>
      </w:r>
      <w:r>
        <w:rPr>
          <w:rFonts w:ascii="Times New Roman" w:hAnsi="Times New Roman" w:eastAsia="Times New Roman" w:cs="Times New Roman"/>
          <w:i/>
          <w:color w:val="000000"/>
          <w:spacing w:val="3"/>
          <w:sz w:val="24"/>
          <w:highlight w:val="white"/>
        </w:rPr>
        <w:t xml:space="preserve">, có đơn giá đã bao gồm VAT là: </w:t>
      </w:r>
      <w:r>
        <w:rPr>
          <w:rFonts w:ascii="Times New Roman" w:hAnsi="Times New Roman" w:eastAsia="Times New Roman" w:cs="Times New Roman"/>
          <w:b/>
          <w:i/>
          <w:color w:val="000000"/>
          <w:sz w:val="24"/>
          <w:highlight w:val="white"/>
        </w:rPr>
        <w:t xml:space="preserve">6.247.000 </w:t>
      </w:r>
      <w:r>
        <w:rPr>
          <w:rFonts w:ascii="Times New Roman" w:hAnsi="Times New Roman" w:eastAsia="Times New Roman" w:cs="Times New Roman"/>
          <w:i/>
          <w:color w:val="000000"/>
          <w:spacing w:val="3"/>
          <w:sz w:val="24"/>
          <w:highlight w:val="white"/>
        </w:rPr>
        <w:t xml:space="preserve">đồng/m².</w:t>
      </w: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i/>
          <w:color w:val="000000"/>
          <w:sz w:val="24"/>
          <w:highlight w:val="white"/>
        </w:rPr>
        <w:t xml:space="preserve">Hệ số điều chỉnh vùng cho Suất vốn đầu tư: Tỉnh Vĩnh Phúc thuộc vùng 2 có hệ số điều chỉnh là 0,948.”</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highlight w:val="white"/>
        </w:rPr>
        <w:t xml:space="preserve">Do đó, Tổ thẩm định xác định đơn giá xây mới của công trình xây dựng là: (Suất vốn đầu tư) x (Hệ số vùng) = </w:t>
      </w:r>
      <w:r>
        <w:rPr>
          <w:rFonts w:ascii="Times New Roman" w:hAnsi="Times New Roman" w:eastAsia="Times New Roman" w:cs="Times New Roman"/>
          <w:b/>
          <w:i/>
          <w:color w:val="000000"/>
          <w:sz w:val="24"/>
        </w:rPr>
        <w:t xml:space="preserve">6.247.000 </w:t>
      </w:r>
      <w:r>
        <w:rPr>
          <w:rFonts w:ascii="Times New Roman" w:hAnsi="Times New Roman" w:eastAsia="Times New Roman" w:cs="Times New Roman"/>
          <w:b/>
          <w:i/>
          <w:color w:val="000000"/>
          <w:spacing w:val="3"/>
          <w:sz w:val="24"/>
          <w:highlight w:val="white"/>
        </w:rPr>
        <w:t xml:space="preserve">x 0,948 </w:t>
      </w:r>
      <w:r>
        <w:rPr>
          <w:rFonts w:ascii="Times New Roman" w:hAnsi="Times New Roman" w:eastAsia="Times New Roman" w:cs="Times New Roman"/>
          <w:i/>
          <w:color w:val="000000"/>
          <w:spacing w:val="3"/>
          <w:sz w:val="24"/>
          <w:highlight w:val="white"/>
        </w:rPr>
        <w:t xml:space="preserve">=</w:t>
      </w:r>
      <w:r>
        <w:rPr>
          <w:rFonts w:ascii="Times New Roman" w:hAnsi="Times New Roman" w:eastAsia="Times New Roman" w:cs="Times New Roman"/>
          <w:b/>
          <w:i/>
          <w:color w:val="000000"/>
          <w:spacing w:val="3"/>
          <w:sz w:val="24"/>
          <w:highlight w:val="white"/>
        </w:rPr>
        <w:t xml:space="preserve">5.922.156 đồng/m².</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b/>
          <w:i/>
          <w:color w:val="000000"/>
          <w:spacing w:val="3"/>
          <w:sz w:val="24"/>
        </w:rPr>
        <w:t xml:space="preserve">Tại thời điểm thẩm định, công trình xây dựng vừa hoàn thiện xong, tổ xác định công trình xây dựng đang ở trạng thái mới hoàn toàn. Tỉ lệ hao mòn là 0%, tỷ lệ chất lượng còn lại là 100%.</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40"/>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729"/>
        <w:gridCol w:w="1134"/>
        <w:gridCol w:w="1134"/>
        <w:gridCol w:w="1559"/>
        <w:gridCol w:w="855"/>
        <w:gridCol w:w="1412"/>
        <w:gridCol w:w="1702"/>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Diện tích sàn</w:t>
              <w:br/>
              <w:t xml:space="preserve">   (m²)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Đơn giá xây dựng mới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Chi phí thay thế (đồng)</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8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Tỷ lệ hao mòn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4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Gía trị hao mòn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Giá trị thẩm định tại thời điểm thẩm định giá (đồng)</w:t>
            </w:r>
            <w:r/>
          </w:p>
        </w:tc>
      </w:tr>
      <w:tr>
        <w:trPr>
          <w:trHeight w:val="331"/>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(A)</w:t>
            </w:r>
            <w:r/>
          </w:p>
        </w:tc>
        <w:tc>
          <w:tcPr>
            <w:shd w:val="clear" w:color="ffffff" w:fill="ffffff"/>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 = (2) * (1)</w:t>
            </w:r>
            <w:r/>
          </w:p>
        </w:tc>
        <w:tc>
          <w:tcPr>
            <w:shd w:val="clear" w:color="ffffff" w:fill="ffffff"/>
            <w:tcBorders>
              <w:bottom w:val="single" w:color="000000" w:sz="8" w:space="0"/>
              <w:right w:val="single" w:color="000000" w:sz="8" w:space="0"/>
            </w:tcBorders>
            <w:tcMar>
              <w:left w:w="0" w:type="dxa"/>
              <w:top w:w="0" w:type="dxa"/>
              <w:right w:w="0" w:type="dxa"/>
              <w:bottom w:w="0" w:type="dxa"/>
            </w:tcMar>
            <w:tcW w:w="8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0" w:type="dxa"/>
              <w:top w:w="0" w:type="dxa"/>
              <w:right w:w="0" w:type="dxa"/>
              <w:bottom w:w="0" w:type="dxa"/>
            </w:tcMar>
            <w:tcW w:w="14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(3)*(4)</w:t>
            </w:r>
            <w:r/>
          </w:p>
        </w:tc>
        <w:tc>
          <w:tcPr>
            <w:shd w:val="clear" w:color="ffffff" w:fill="ffffff"/>
            <w:tcBorders>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 = (3) - (5)</w:t>
            </w:r>
            <w:r/>
          </w:p>
        </w:tc>
      </w:tr>
      <w:tr>
        <w:trPr>
          <w:trHeight w:val="300"/>
        </w:trPr>
        <w:tc>
          <w:tcPr>
            <w:tcBorders>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bảo vệ 1 </w:t>
            </w:r>
            <w:r/>
          </w:p>
        </w:tc>
        <w:tc>
          <w:tcPr>
            <w:tcBorders>
              <w:bottom w:val="single" w:color="000000" w:sz="8" w:space="0"/>
              <w:right w:val="single" w:color="000000" w:sz="8" w:space="0"/>
            </w:tcBorders>
            <w:tcMar>
              <w:left w:w="0" w:type="dxa"/>
              <w:top w:w="0" w:type="dxa"/>
              <w:right w:w="0"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9</w:t>
            </w:r>
            <w:r/>
          </w:p>
        </w:tc>
        <w:tc>
          <w:tcPr>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pacing w:val="3"/>
                <w:sz w:val="22"/>
              </w:rPr>
              <w:t xml:space="preserve">5.922.156</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53.299.404</w:t>
            </w:r>
            <w:r/>
          </w:p>
        </w:tc>
        <w:tc>
          <w:tcPr>
            <w:tcBorders>
              <w:bottom w:val="single" w:color="000000" w:sz="8" w:space="0"/>
              <w:right w:val="single" w:color="000000" w:sz="8" w:space="0"/>
            </w:tcBorders>
            <w:tcMar>
              <w:left w:w="0" w:type="dxa"/>
              <w:top w:w="0" w:type="dxa"/>
              <w:right w:w="0" w:type="dxa"/>
              <w:bottom w:w="0" w:type="dxa"/>
            </w:tcMar>
            <w:tcW w:w="85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0" w:type="dxa"/>
              <w:top w:w="0" w:type="dxa"/>
              <w:right w:w="0" w:type="dxa"/>
              <w:bottom w:w="0" w:type="dxa"/>
            </w:tcMar>
            <w:tcW w:w="141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53.299.404</w:t>
            </w:r>
            <w:r/>
          </w:p>
        </w:tc>
      </w:tr>
    </w:tbl>
    <w:p>
      <w:pPr>
        <w:pStyle w:val="1036"/>
        <w:pBdr/>
        <w:spacing w:after="120" w:before="120" w:line="276" w:lineRule="auto"/>
        <w:ind w:left="0"/>
        <w:jc w:val="both"/>
        <w:rPr>
          <w:b/>
          <w:lang w:val="pt-BR"/>
        </w:rPr>
      </w:pPr>
      <w:r>
        <w:rPr>
          <w:b/>
          <w:lang w:val="pt-BR"/>
        </w:rPr>
      </w:r>
      <w:r>
        <w:rPr>
          <w:b/>
          <w:lang w:val="pt-BR"/>
        </w:rPr>
      </w:r>
      <w:r>
        <w:rPr>
          <w:b/>
          <w:lang w:val="pt-BR"/>
        </w:rPr>
      </w:r>
    </w:p>
    <w:p>
      <w:pPr>
        <w:pStyle w:val="103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04/2026</w:t>
      </w:r>
      <w:r>
        <w:t xml:space="preserve"> </w:t>
      </w:r>
      <w:r>
        <w:t xml:space="preserve">ước tính </w:t>
      </w:r>
      <w:r>
        <w:t xml:space="preserve">như sau</w:t>
      </w:r>
      <w:r>
        <w:t xml:space="preserve">:</w:t>
      </w:r>
      <w:r/>
    </w:p>
    <w:tbl>
      <w:tblPr>
        <w:tblStyle w:val="1040"/>
        <w:tblInd w:w="0" w:type="dxa"/>
        <w:tblW w:w="500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2409"/>
        <w:gridCol w:w="1559"/>
        <w:gridCol w:w="2126"/>
        <w:gridCol w:w="992"/>
        <w:gridCol w:w="1701"/>
        <w:gridCol w:w="1"/>
      </w:tblGrid>
      <w:tr>
        <w:trPr>
          <w:gridAfter w:val="1"/>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Diện tích (m²)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Hệ số/</w:t>
              <w:br/>
              <w:t xml:space="preserve"> CLCL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198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60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both"/>
              <w:rPr/>
            </w:pPr>
            <w:r>
              <w:rPr>
                <w:rFonts w:ascii="Times New Roman" w:hAnsi="Times New Roman" w:eastAsia="Times New Roman" w:cs="Times New Roman"/>
                <w:b/>
                <w:color w:val="000000"/>
                <w:sz w:val="24"/>
              </w:rPr>
              <w:t xml:space="preserve"> Lợi thế quyền thuê đất trả tiền hàng năm đã có hạ tầng nội bộ và tài sản gắn liền với đất tại thửa đất số: 6, tờ bản đồ số: 41 có địa chỉ: KCN Bình Xuyên, xã Bình Nguyên, tỉnh Phú Thọ  theo Giấy chứng nhận quyền sử dụng đất, quyền sở hữu tài sản gắn liền </w:t>
            </w:r>
            <w:r>
              <w:rPr>
                <w:rFonts w:ascii="Times New Roman" w:hAnsi="Times New Roman" w:eastAsia="Times New Roman" w:cs="Times New Roman"/>
                <w:b/>
                <w:color w:val="000000"/>
                <w:sz w:val="24"/>
              </w:rPr>
              <w:t xml:space="preserve">với đất  số: AA 05002921, số vào sổ cấp GCN: VP 1609 do Văn Phòng Đăng ký Đất đai Tỉnh Phú Thọ cấp ngày 05/02/2026 cho Công ty TNHH Công nghiệp HAHUCO VIỆT NAM</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26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w:t>
            </w:r>
            <w:r/>
          </w:p>
        </w:tc>
      </w:tr>
      <w:tr>
        <w:trPr>
          <w:gridAfter w:val="1"/>
          <w:trHeight w:val="624"/>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Lợi thế quyền thuê đất trả tiền hàng năm đã có hạ tầng nội bộ</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4.400.000</w:t>
            </w:r>
            <w:r/>
          </w:p>
        </w:tc>
        <w:tc>
          <w:tcPr>
            <w:shd w:val="clear" w:color="ffffff" w:fill="ffffff"/>
            <w:tcBorders>
              <w:bottom w:val="single" w:color="000000" w:sz="8" w:space="0"/>
              <w:right w:val="single" w:color="000000" w:sz="8" w:space="0"/>
            </w:tcBorders>
            <w:tcMar>
              <w:left w:w="0" w:type="dxa"/>
              <w:top w:w="0" w:type="dxa"/>
              <w:right w:w="0" w:type="dxa"/>
              <w:bottom w:w="0" w:type="dxa"/>
            </w:tcMar>
            <w:tcW w:w="992"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44.000.000.000</w:t>
            </w:r>
            <w:r/>
          </w:p>
        </w:tc>
      </w:tr>
      <w:tr>
        <w:trPr>
          <w:gridAfter w:val="1"/>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điều hành </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894</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9.503.816</w:t>
            </w:r>
            <w:r/>
          </w:p>
        </w:tc>
        <w:tc>
          <w:tcPr>
            <w:shd w:val="clear" w:color="ffffff" w:fill="ffffff"/>
            <w:tcBorders>
              <w:bottom w:val="single" w:color="000000" w:sz="8" w:space="0"/>
              <w:right w:val="single" w:color="000000" w:sz="8" w:space="0"/>
            </w:tcBorders>
            <w:tcMar>
              <w:left w:w="0" w:type="dxa"/>
              <w:top w:w="0" w:type="dxa"/>
              <w:right w:w="0"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8.496.411.504</w:t>
            </w:r>
            <w:r/>
          </w:p>
        </w:tc>
      </w:tr>
      <w:tr>
        <w:trPr>
          <w:gridAfter w:val="1"/>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xưởng số 1</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10.640</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4.839.338</w:t>
            </w:r>
            <w:r/>
          </w:p>
        </w:tc>
        <w:tc>
          <w:tcPr>
            <w:shd w:val="clear" w:color="ffffff" w:fill="ffffff"/>
            <w:tcBorders>
              <w:bottom w:val="single" w:color="000000" w:sz="8" w:space="0"/>
              <w:right w:val="single" w:color="000000" w:sz="8" w:space="0"/>
            </w:tcBorders>
            <w:tcMar>
              <w:left w:w="0" w:type="dxa"/>
              <w:top w:w="0" w:type="dxa"/>
              <w:right w:w="0"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51.490.556.320</w:t>
            </w:r>
            <w:r/>
          </w:p>
        </w:tc>
      </w:tr>
      <w:tr>
        <w:trPr>
          <w:gridAfter w:val="1"/>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bảo vệ 1</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5.922.156</w:t>
            </w:r>
            <w:r/>
          </w:p>
        </w:tc>
        <w:tc>
          <w:tcPr>
            <w:shd w:val="clear" w:color="ffffff" w:fill="ffffff"/>
            <w:tcBorders>
              <w:bottom w:val="single" w:color="000000" w:sz="8" w:space="0"/>
              <w:right w:val="single" w:color="000000" w:sz="8" w:space="0"/>
            </w:tcBorders>
            <w:tcMar>
              <w:left w:w="0" w:type="dxa"/>
              <w:top w:w="0" w:type="dxa"/>
              <w:right w:w="0"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53.299.404</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2"/>
            <w:shd w:val="clear" w:color="ffffff" w:fill="ffffff"/>
            <w:tcBorders>
              <w:bottom w:val="single" w:color="000000" w:sz="8" w:space="0"/>
              <w:right w:val="single" w:color="000000" w:sz="8" w:space="0"/>
            </w:tcBorders>
            <w:tcMar>
              <w:left w:w="0" w:type="dxa"/>
              <w:top w:w="0" w:type="dxa"/>
              <w:right w:w="0" w:type="dxa"/>
              <w:bottom w:w="0" w:type="dxa"/>
            </w:tcMar>
            <w:tcW w:w="39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Tổng cộng</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26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104.040.267.228</w:t>
            </w:r>
            <w:r/>
          </w:p>
        </w:tc>
      </w:tr>
      <w:tr>
        <w:trPr>
          <w:trHeight w:val="339"/>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2"/>
            <w:shd w:val="clear" w:color="ffffff" w:fill="ffffff"/>
            <w:tcBorders>
              <w:bottom w:val="single" w:color="000000" w:sz="8" w:space="0"/>
              <w:right w:val="single" w:color="000000" w:sz="8" w:space="0"/>
            </w:tcBorders>
            <w:tcMar>
              <w:left w:w="0" w:type="dxa"/>
              <w:top w:w="0" w:type="dxa"/>
              <w:right w:w="0" w:type="dxa"/>
              <w:bottom w:w="0" w:type="dxa"/>
            </w:tcMar>
            <w:tcW w:w="39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Làm tròn </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26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104.040.000.000</w:t>
            </w:r>
            <w:r/>
          </w:p>
        </w:tc>
      </w:tr>
      <w:tr>
        <w:trPr>
          <w:trHeight w:val="309"/>
        </w:trPr>
        <w:tc>
          <w:tcPr>
            <w:gridSpan w:val="7"/>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9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i/>
                <w:color w:val="000000"/>
                <w:sz w:val="24"/>
              </w:rPr>
              <w:t xml:space="preserve">Bằng chữ: Một trăm linh bốn tỷ, bốn mươi triệu đồng chẵn./.</w:t>
            </w:r>
            <w:r/>
          </w:p>
        </w:tc>
      </w:tr>
    </w:tbl>
    <w:p>
      <w:pPr>
        <w:pStyle w:val="1036"/>
        <w:pBdr/>
        <w:tabs>
          <w:tab w:val="left" w:leader="none" w:pos="993"/>
        </w:tabs>
        <w:spacing w:after="120" w:before="120" w:line="276" w:lineRule="auto"/>
        <w:ind w:left="0"/>
        <w:jc w:val="both"/>
        <w:rPr/>
      </w:pPr>
      <w:r/>
      <w:r/>
    </w:p>
    <w:p>
      <w:pPr>
        <w:pStyle w:val="1036"/>
        <w:pBdr/>
        <w:tabs>
          <w:tab w:val="left" w:leader="none" w:pos="993"/>
        </w:tabs>
        <w:spacing w:after="120" w:before="120" w:line="276" w:lineRule="auto"/>
        <w:ind w:left="0"/>
        <w:jc w:val="both"/>
        <w:rPr/>
      </w:pPr>
      <w:r/>
      <w:r/>
    </w:p>
    <w:p>
      <w:pPr>
        <w:pStyle w:val="103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rPr>
        <w:t xml:space="preserve">không được đề cập đến trong Hợp đồng (gọi tắt là “các bên liên quan”).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pPr>
        <w:numPr>
          <w:ilvl w:val="0"/>
          <w:numId w:val="43"/>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pPr>
        <w:numPr>
          <w:ilvl w:val="0"/>
          <w:numId w:val="43"/>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pPr>
        <w:numPr>
          <w:ilvl w:val="0"/>
          <w:numId w:val="43"/>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pPr>
        <w:numPr>
          <w:ilvl w:val="0"/>
          <w:numId w:val="42"/>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pPr>
        <w:numPr>
          <w:ilvl w:val="0"/>
          <w:numId w:val="42"/>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00" w:before="100" w:line="276" w:lineRule="auto"/>
        <w:ind/>
        <w:jc w:val="both"/>
        <w:rPr/>
      </w:pPr>
      <w:r>
        <w:rPr>
          <w:rFonts w:ascii="Times New Roman" w:hAnsi="Times New Roman" w:eastAsia="Times New Roman" w:cs="Times New Roman"/>
          <w:color w:val="000000"/>
          <w:sz w:val="24"/>
        </w:rPr>
        <w:t xml:space="preserve">Giá trị trên xác định trong điều kiện TSTĐ hoạt động liên tục trong khoảng thời gian sử dụng, bảo dưỡng định kỳ.... Sau thời điểm phát hành chứng thư các điều kiện trên không xảy ra dẫn đến giá trị tài sản thẩm định bị thay đổi, chúng tôi xem xét lại báo c</w:t>
      </w:r>
      <w:r>
        <w:rPr>
          <w:rFonts w:ascii="Times New Roman" w:hAnsi="Times New Roman" w:eastAsia="Times New Roman" w:cs="Times New Roman"/>
          <w:color w:val="000000"/>
          <w:sz w:val="24"/>
        </w:rPr>
        <w:t xml:space="preserve">áo định giá và tiến hành thẩm định giá theo các điều kiện phát sinh mới. </w:t>
      </w:r>
      <w:r/>
    </w:p>
    <w:p>
      <w:pPr>
        <w:numPr>
          <w:ilvl w:val="0"/>
          <w:numId w:val="42"/>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Giá trị tài sản thẩm định được xác định trong điều kiện công ty hoạt động với đầy đủ các hệ thống xử lý nước thải, khí thải, phòng cháy chữa cháy phù hợp với điều kiện khu vực. Sau ngày phát hành chứng thư nếu vì bất kỳ lý do gì dẫn đến nhà máy dừng ho</w:t>
      </w:r>
      <w:r>
        <w:rPr>
          <w:rFonts w:ascii="Times New Roman" w:hAnsi="Times New Roman" w:eastAsia="Times New Roman" w:cs="Times New Roman"/>
          <w:color w:val="000000"/>
          <w:sz w:val="24"/>
        </w:rPr>
        <w:t xml:space="preserve">ạt động sẽ nằm ngoài phạm vi, trách nhiệm của Công ty Cổ phần Thẩm định và Đầu tư Tài chính Hoa Sen.</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w:t>
      </w:r>
      <w:r>
        <w:rPr>
          <w:rFonts w:ascii="Times New Roman" w:hAnsi="Times New Roman" w:eastAsia="Times New Roman" w:cs="Times New Roman"/>
          <w:color w:val="000000"/>
          <w:sz w:val="24"/>
        </w:rPr>
        <w:t xml:space="preserve"> trường. Kết quả thẩm định giá có thể thay đổi khi các TSSS được giao dịch thành công. Khách hàng và các bên thứ ba khi sử dụng kết quả thẩm định giá cần lưu ý khi sử dụng Chứng thư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số275/2026/0641/VFI-CT.53.Angày 24 tháng 4 năm 2026 tại Công ty Cổ phần Thẩm định và Đầu tư Tài chính Hoa Sen.</w:t>
      </w:r>
      <w:r>
        <w:rPr>
          <w:rFonts w:ascii="Times New Roman" w:hAnsi="Times New Roman" w:eastAsia="Times New Roman" w:cs="Times New Roman"/>
          <w:sz w:val="24"/>
        </w:rPr>
      </w:r>
      <w:r/>
    </w:p>
    <w:p>
      <w:pPr>
        <w:pStyle w:val="1036"/>
        <w:pBdr/>
        <w:tabs>
          <w:tab w:val="left" w:leader="none" w:pos="993"/>
        </w:tabs>
        <w:spacing w:after="120" w:before="120" w:line="288" w:lineRule="auto"/>
        <w:ind w:left="0"/>
        <w:jc w:val="both"/>
        <w:rPr>
          <w:lang w:val="vi-VN"/>
        </w:rPr>
      </w:pPr>
      <w:r>
        <w:rPr>
          <w:highlight w:val="none"/>
          <w:lang w:val="vi-VN" w:bidi="vi-VN"/>
        </w:rPr>
      </w:r>
      <w:r>
        <w:rPr>
          <w:highlight w:val="none"/>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top w:val="none" w:color="000000" w:sz="4" w:space="0"/>
          <w:left w:val="none" w:color="000000" w:sz="4" w:space="0"/>
          <w:bottom w:val="none" w:color="000000" w:sz="4" w:space="0"/>
          <w:right w:val="none" w:color="000000" w:sz="4" w:space="0"/>
        </w:pBdr>
        <w:spacing/>
        <w:ind w:right="0" w:firstLine="0" w:left="0"/>
        <w:jc w:val="center"/>
        <w:rPr/>
      </w:pPr>
      <w:r>
        <w:rPr>
          <w:i/>
          <w:lang w:val="pt-BR"/>
        </w:rPr>
        <w:t xml:space="preserve">(</w:t>
      </w:r>
      <w:r>
        <w:rPr>
          <w:rFonts w:ascii="Times New Roman" w:hAnsi="Times New Roman" w:eastAsia="Times New Roman" w:cs="Times New Roman"/>
          <w:i/>
          <w:color w:val="000000"/>
          <w:sz w:val="24"/>
        </w:rPr>
        <w:t xml:space="preserve">Kèm theo Báo cáo thẩm định số </w:t>
      </w:r>
      <w:r>
        <w:rPr>
          <w:rFonts w:ascii="Times New Roman" w:hAnsi="Times New Roman" w:eastAsia="Times New Roman" w:cs="Times New Roman"/>
          <w:color w:val="000000"/>
          <w:spacing w:val="3"/>
          <w:sz w:val="24"/>
          <w:highlight w:val="white"/>
        </w:rPr>
        <w:t xml:space="preserve">275/2026/0641/VFI-BC.53.A</w:t>
      </w:r>
      <w:r>
        <w:rPr>
          <w:rFonts w:ascii="Times New Roman" w:hAnsi="Times New Roman" w:eastAsia="Times New Roman" w:cs="Times New Roman"/>
          <w:i/>
          <w:color w:val="000000"/>
          <w:sz w:val="24"/>
        </w:rPr>
        <w:t xml:space="preserve"> ngày 24 tháng 4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pPr>
        <w:pBdr/>
        <w:spacing/>
        <w:ind/>
        <w:jc w:val="center"/>
        <w:rPr>
          <w:bCs/>
          <w:i/>
          <w:lang w:val="pt-BR"/>
        </w:rPr>
      </w:pPr>
      <w:r>
        <w:rPr>
          <w:i/>
          <w:lang w:val="pt-BR"/>
        </w:rPr>
      </w:r>
      <w:r>
        <w:rPr>
          <w:i/>
          <w:lang w:val="pt-BR"/>
        </w:rPr>
      </w:r>
      <w:r>
        <w:rPr>
          <w:bCs/>
          <w:i/>
          <w:lang w:val="pt-BR"/>
        </w:rP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i/>
                <w:color w:val="000000"/>
                <w:sz w:val="24"/>
              </w:rPr>
              <w:t xml:space="preserve">                         Đường tiếp giáp </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103460" cy="2804613"/>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8745" name=""/>
                              <pic:cNvPicPr>
                                <a:picLocks noChangeAspect="1"/>
                              </pic:cNvPicPr>
                              <pic:nvPr/>
                            </pic:nvPicPr>
                            <pic:blipFill rotWithShape="1">
                              <a:blip r:embed="rId18"/>
                              <a:stretch/>
                            </pic:blipFill>
                            <pic:spPr bwMode="auto">
                              <a:xfrm flipH="0" flipV="0">
                                <a:off x="0" y="0"/>
                                <a:ext cx="2103459" cy="2804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65.63pt;height:220.84pt;mso-wrap-distance-left:0.00pt;mso-wrap-distance-top:0.00pt;mso-wrap-distance-right:0.00pt;mso-wrap-distance-bottom:0.00pt;z-index:1;" stroked="false">
                      <v:imagedata r:id="rId18"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905125" cy="218122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40790" name=""/>
                              <pic:cNvPicPr>
                                <a:picLocks noChangeAspect="1"/>
                              </pic:cNvPicPr>
                              <pic:nvPr/>
                            </pic:nvPicPr>
                            <pic:blipFill rotWithShape="1">
                              <a:blip r:embed="rId19"/>
                              <a:stretch/>
                            </pic:blipFill>
                            <pic:spPr bwMode="auto">
                              <a:xfrm>
                                <a:off x="0" y="0"/>
                                <a:ext cx="2905124" cy="2181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8.75pt;height:171.75pt;mso-wrap-distance-left:0.00pt;mso-wrap-distance-top:0.00pt;mso-wrap-distance-right:0.00pt;mso-wrap-distance-bottom:0.00pt;z-index:1;" stroked="false">
                      <v:imagedata r:id="rId19"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Khuôn viên </w:t>
            </w:r>
            <w:r/>
          </w:p>
        </w:tc>
      </w:tr>
      <w:tr>
        <w:trPr/>
        <w:tc>
          <w:tcPr>
            <w:tcBorders/>
            <w:tcMar>
              <w:left w:w="108" w:type="dxa"/>
              <w:top w:w="0" w:type="dxa"/>
              <w:right w:w="108" w:type="dxa"/>
              <w:bottom w:w="0" w:type="dxa"/>
            </w:tcMar>
            <w:tcW w:w="4758"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398735" cy="319831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55175" name=""/>
                              <pic:cNvPicPr>
                                <a:picLocks noChangeAspect="1"/>
                              </pic:cNvPicPr>
                              <pic:nvPr/>
                            </pic:nvPicPr>
                            <pic:blipFill rotWithShape="1">
                              <a:blip r:embed="rId20"/>
                              <a:stretch/>
                            </pic:blipFill>
                            <pic:spPr bwMode="auto">
                              <a:xfrm flipH="0" flipV="0">
                                <a:off x="0" y="0"/>
                                <a:ext cx="2398734" cy="31983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8.88pt;height:251.84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074684" cy="285567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818379" name=""/>
                              <pic:cNvPicPr>
                                <a:picLocks noChangeAspect="1"/>
                              </pic:cNvPicPr>
                              <pic:nvPr/>
                            </pic:nvPicPr>
                            <pic:blipFill rotWithShape="1">
                              <a:blip r:embed="rId21"/>
                              <a:stretch/>
                            </pic:blipFill>
                            <pic:spPr bwMode="auto">
                              <a:xfrm flipH="0" flipV="0">
                                <a:off x="0" y="0"/>
                                <a:ext cx="2074683" cy="28556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63.36pt;height:224.86pt;mso-wrap-distance-left:0.00pt;mso-wrap-distance-top:0.00pt;mso-wrap-distance-right:0.00pt;mso-wrap-distance-bottom:0.00pt;z-index:1;" stroked="false">
                      <v:imagedata r:id="rId21" o:title=""/>
                      <o:lock v:ext="edit" rotation="t"/>
                    </v:shape>
                  </w:pict>
                </mc:Fallback>
              </mc:AlternateContent>
            </w:r>
            <w:r/>
          </w:p>
        </w:tc>
      </w:tr>
    </w:tbl>
    <w:p>
      <w:pPr>
        <w:pBdr/>
        <w:spacing/>
        <w:ind/>
        <w:rPr>
          <w:b/>
          <w:bCs/>
        </w:rPr>
      </w:pPr>
      <w:r>
        <w:rPr>
          <w:b/>
          <w:bCs/>
        </w:rPr>
      </w:r>
      <w:r>
        <w:rPr>
          <w:b/>
          <w:bCs/>
        </w:rPr>
      </w:r>
      <w:r>
        <w:rPr>
          <w:b/>
          <w:bCs/>
        </w:rPr>
      </w:r>
    </w:p>
    <w:p>
      <w:pPr>
        <w:pBdr/>
        <w:spacing w:after="200" w:line="276" w:lineRule="auto"/>
        <w:ind/>
        <w:rPr>
          <w:highlight w:val="none"/>
        </w:rPr>
      </w:pPr>
      <w:r>
        <w:br w:type="page" w:clear="all"/>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Nhà điều hành</w:t>
      </w: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7"/>
        <w:gridCol w:w="4758"/>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757"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819400" cy="211455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81613" name=""/>
                              <pic:cNvPicPr>
                                <a:picLocks noChangeAspect="1"/>
                              </pic:cNvPicPr>
                              <pic:nvPr/>
                            </pic:nvPicPr>
                            <pic:blipFill rotWithShape="1">
                              <a:blip r:embed="rId22"/>
                              <a:stretch/>
                            </pic:blipFill>
                            <pic:spPr bwMode="auto">
                              <a:xfrm>
                                <a:off x="0" y="0"/>
                                <a:ext cx="2819399" cy="21145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2.00pt;height:166.50pt;mso-wrap-distance-left:0.00pt;mso-wrap-distance-top:0.00pt;mso-wrap-distance-right:0.00pt;mso-wrap-distance-bottom:0.00pt;z-index:1;" stroked="false">
                      <v:imagedata r:id="rId22" o:title=""/>
                      <o:lock v:ext="edit" rotation="t"/>
                    </v:shape>
                  </w:pict>
                </mc:Fallback>
              </mc:AlternateConten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758"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933700" cy="220027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36080" name=""/>
                              <pic:cNvPicPr>
                                <a:picLocks noChangeAspect="1"/>
                              </pic:cNvPicPr>
                              <pic:nvPr/>
                            </pic:nvPicPr>
                            <pic:blipFill rotWithShape="1">
                              <a:blip r:embed="rId23"/>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1.00pt;height:173.25pt;mso-wrap-distance-left:0.00pt;mso-wrap-distance-top:0.00pt;mso-wrap-distance-right:0.00pt;mso-wrap-distance-bottom:0.00pt;z-index:1;" stroked="false">
                      <v:imagedata r:id="rId23"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757"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543175" cy="26479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0772" name=""/>
                              <pic:cNvPicPr>
                                <a:picLocks noChangeAspect="1"/>
                              </pic:cNvPicPr>
                              <pic:nvPr/>
                            </pic:nvPicPr>
                            <pic:blipFill rotWithShape="1">
                              <a:blip r:embed="rId24"/>
                              <a:stretch/>
                            </pic:blipFill>
                            <pic:spPr bwMode="auto">
                              <a:xfrm>
                                <a:off x="0" y="0"/>
                                <a:ext cx="2543175" cy="26479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0.25pt;height:208.50pt;mso-wrap-distance-left:0.00pt;mso-wrap-distance-top:0.00pt;mso-wrap-distance-right:0.00pt;mso-wrap-distance-bottom:0.00pt;z-index:1;" stroked="false">
                      <v:imagedata r:id="rId24"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758"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181350" cy="23812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23519" name=""/>
                              <pic:cNvPicPr>
                                <a:picLocks noChangeAspect="1"/>
                              </pic:cNvPicPr>
                              <pic:nvPr/>
                            </pic:nvPicPr>
                            <pic:blipFill rotWithShape="1">
                              <a:blip r:embed="rId25"/>
                              <a:stretch/>
                            </pic:blipFill>
                            <pic:spPr bwMode="auto">
                              <a:xfrm>
                                <a:off x="0" y="0"/>
                                <a:ext cx="3181348" cy="23812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50.50pt;height:187.50pt;mso-wrap-distance-left:0.00pt;mso-wrap-distance-top:0.00pt;mso-wrap-distance-right:0.00pt;mso-wrap-distance-bottom:0.00pt;z-index:1;" stroked="false">
                      <v:imagedata r:id="rId25"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Nhà xưởng số 1</w:t>
      </w: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7"/>
        <w:gridCol w:w="4758"/>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757"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800350" cy="2095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480906" name=""/>
                              <pic:cNvPicPr>
                                <a:picLocks noChangeAspect="1"/>
                              </pic:cNvPicPr>
                              <pic:nvPr/>
                            </pic:nvPicPr>
                            <pic:blipFill rotWithShape="1">
                              <a:blip r:embed="rId26"/>
                              <a:stretch/>
                            </pic:blipFill>
                            <pic:spPr bwMode="auto">
                              <a:xfrm>
                                <a:off x="0" y="0"/>
                                <a:ext cx="2800349" cy="2095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0.50pt;height:165.00pt;mso-wrap-distance-left:0.00pt;mso-wrap-distance-top:0.00pt;mso-wrap-distance-right:0.00pt;mso-wrap-distance-bottom:0.00pt;z-index:1;" stroked="false">
                      <v:imagedata r:id="rId26" o:title=""/>
                      <o:lock v:ext="edit" rotation="t"/>
                    </v:shape>
                  </w:pict>
                </mc:Fallback>
              </mc:AlternateConten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758"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771775" cy="20764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91473" name=""/>
                              <pic:cNvPicPr>
                                <a:picLocks noChangeAspect="1"/>
                              </pic:cNvPicPr>
                              <pic:nvPr/>
                            </pic:nvPicPr>
                            <pic:blipFill rotWithShape="1">
                              <a:blip r:embed="rId27"/>
                              <a:stretch/>
                            </pic:blipFill>
                            <pic:spPr bwMode="auto">
                              <a:xfrm>
                                <a:off x="0" y="0"/>
                                <a:ext cx="2771775" cy="2076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8.25pt;height:163.50pt;mso-wrap-distance-left:0.00pt;mso-wrap-distance-top:0.00pt;mso-wrap-distance-right:0.00pt;mso-wrap-distance-bottom:0.00pt;z-index:1;" stroked="false">
                      <v:imagedata r:id="rId27"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757" w:type="dxa"/>
            <w:vAlign w:val="top"/>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4758" w:type="dxa"/>
            <w:vAlign w:val="top"/>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Nhà bảo vệ số 1</w:t>
      </w: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7"/>
        <w:gridCol w:w="4758"/>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757"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152775" cy="23622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249417" name=""/>
                              <pic:cNvPicPr>
                                <a:picLocks noChangeAspect="1"/>
                              </pic:cNvPicPr>
                              <pic:nvPr/>
                            </pic:nvPicPr>
                            <pic:blipFill rotWithShape="1">
                              <a:blip r:embed="rId28"/>
                              <a:stretch/>
                            </pic:blipFill>
                            <pic:spPr bwMode="auto">
                              <a:xfrm>
                                <a:off x="0" y="0"/>
                                <a:ext cx="3152774" cy="2362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48.25pt;height:186.00pt;mso-wrap-distance-left:0.00pt;mso-wrap-distance-top:0.00pt;mso-wrap-distance-right:0.00pt;mso-wrap-distance-bottom:0.00pt;z-index:1;" stroked="false">
                      <v:imagedata r:id="rId28" o:title=""/>
                      <o:lock v:ext="edit" rotation="t"/>
                    </v:shape>
                  </w:pict>
                </mc:Fallback>
              </mc:AlternateConten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758"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019425" cy="225742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822258" name=""/>
                              <pic:cNvPicPr>
                                <a:picLocks noChangeAspect="1"/>
                              </pic:cNvPicPr>
                              <pic:nvPr/>
                            </pic:nvPicPr>
                            <pic:blipFill rotWithShape="1">
                              <a:blip r:embed="rId29"/>
                              <a:stretch/>
                            </pic:blipFill>
                            <pic:spPr bwMode="auto">
                              <a:xfrm>
                                <a:off x="0" y="0"/>
                                <a:ext cx="3019424" cy="2257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37.75pt;height:177.75pt;mso-wrap-distance-left:0.00pt;mso-wrap-distance-top:0.00pt;mso-wrap-distance-right:0.00pt;mso-wrap-distance-bottom:0.00pt;z-index:1;" stroked="false">
                      <v:imagedata r:id="rId29"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Các hình ảnh công trình phụ trợ khác </w:t>
      </w: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226"/>
        <w:gridCol w:w="528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226"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828925" cy="212407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31074" name=""/>
                              <pic:cNvPicPr>
                                <a:picLocks noChangeAspect="1"/>
                              </pic:cNvPicPr>
                              <pic:nvPr/>
                            </pic:nvPicPr>
                            <pic:blipFill rotWithShape="1">
                              <a:blip r:embed="rId30"/>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2.75pt;height:167.25pt;mso-wrap-distance-left:0.00pt;mso-wrap-distance-top:0.00pt;mso-wrap-distance-right:0.00pt;mso-wrap-distance-bottom:0.00pt;z-index:1;" stroked="false">
                      <v:imagedata r:id="rId30" o:title=""/>
                      <o:lock v:ext="edit" rotation="t"/>
                    </v:shape>
                  </w:pict>
                </mc:Fallback>
              </mc:AlternateConten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5289"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828925" cy="212407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5852" name=""/>
                              <pic:cNvPicPr>
                                <a:picLocks noChangeAspect="1"/>
                              </pic:cNvPicPr>
                              <pic:nvPr/>
                            </pic:nvPicPr>
                            <pic:blipFill rotWithShape="1">
                              <a:blip r:embed="rId31"/>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2.75pt;height:167.25pt;mso-wrap-distance-left:0.00pt;mso-wrap-distance-top:0.00pt;mso-wrap-distance-right:0.00pt;mso-wrap-distance-bottom:0.00pt;z-index:1;" stroked="false">
                      <v:imagedata r:id="rId31"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226"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303485" cy="3063518"/>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03119" name=""/>
                              <pic:cNvPicPr>
                                <a:picLocks noChangeAspect="1"/>
                              </pic:cNvPicPr>
                              <pic:nvPr/>
                            </pic:nvPicPr>
                            <pic:blipFill rotWithShape="1">
                              <a:blip r:embed="rId32"/>
                              <a:stretch/>
                            </pic:blipFill>
                            <pic:spPr bwMode="auto">
                              <a:xfrm flipH="0" flipV="0">
                                <a:off x="0" y="0"/>
                                <a:ext cx="2303484" cy="30635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1.38pt;height:241.22pt;mso-wrap-distance-left:0.00pt;mso-wrap-distance-top:0.00pt;mso-wrap-distance-right:0.00pt;mso-wrap-distance-bottom:0.00pt;z-index:1;" stroked="false">
                      <v:imagedata r:id="rId32"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5289"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219450" cy="24098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31448" name=""/>
                              <pic:cNvPicPr>
                                <a:picLocks noChangeAspect="1"/>
                              </pic:cNvPicPr>
                              <pic:nvPr/>
                            </pic:nvPicPr>
                            <pic:blipFill rotWithShape="1">
                              <a:blip r:embed="rId33"/>
                              <a:stretch/>
                            </pic:blipFill>
                            <pic:spPr bwMode="auto">
                              <a:xfrm>
                                <a:off x="0" y="0"/>
                                <a:ext cx="3219449" cy="2409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53.50pt;height:189.75pt;mso-wrap-distance-left:0.00pt;mso-wrap-distance-top:0.00pt;mso-wrap-distance-right:0.00pt;mso-wrap-distance-bottom:0.00pt;z-index:1;" stroked="false">
                      <v:imagedata r:id="rId33"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spacing w:after="200" w:line="276" w:lineRule="auto"/>
        <w:ind/>
        <w:rPr/>
      </w:pPr>
      <w:r>
        <w:rPr>
          <w:highlight w:val="none"/>
        </w:rPr>
      </w:r>
      <w:r>
        <w:rPr>
          <w:highlight w:val="none"/>
        </w:r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top w:val="none" w:color="000000" w:sz="4" w:space="0"/>
          <w:left w:val="none" w:color="000000" w:sz="4" w:space="0"/>
          <w:bottom w:val="none" w:color="000000" w:sz="4" w:space="0"/>
          <w:right w:val="none" w:color="000000" w:sz="4" w:space="0"/>
        </w:pBdr>
        <w:spacing/>
        <w:ind w:right="0" w:firstLine="0" w:left="0"/>
        <w:jc w:val="center"/>
        <w:rPr/>
      </w:pPr>
      <w:r>
        <w:rPr>
          <w:i/>
          <w:lang w:val="pt-BR"/>
        </w:rPr>
        <w:t xml:space="preserve">(</w:t>
      </w:r>
      <w:r>
        <w:rPr>
          <w:rFonts w:ascii="Times New Roman" w:hAnsi="Times New Roman" w:eastAsia="Times New Roman" w:cs="Times New Roman"/>
          <w:i/>
          <w:color w:val="000000"/>
          <w:sz w:val="24"/>
        </w:rPr>
        <w:t xml:space="preserve">(Kèm theo Báo cáo thẩm định số </w:t>
      </w:r>
      <w:r>
        <w:rPr>
          <w:rFonts w:ascii="Times New Roman" w:hAnsi="Times New Roman" w:eastAsia="Times New Roman" w:cs="Times New Roman"/>
          <w:color w:val="000000"/>
          <w:spacing w:val="3"/>
          <w:sz w:val="24"/>
          <w:highlight w:val="white"/>
        </w:rPr>
        <w:t xml:space="preserve">275/2026/0641/VFI-BC.53.A</w:t>
      </w:r>
      <w:r>
        <w:rPr>
          <w:rFonts w:ascii="Times New Roman" w:hAnsi="Times New Roman" w:eastAsia="Times New Roman" w:cs="Times New Roman"/>
          <w:i/>
          <w:color w:val="000000"/>
          <w:sz w:val="24"/>
        </w:rPr>
        <w:t xml:space="preserve">  ngày 24 tháng 4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highlight w:val="none"/>
        </w:rPr>
      </w:pPr>
      <w:r>
        <w:rPr>
          <w:rFonts w:ascii="Times New Roman" w:hAnsi="Times New Roman" w:eastAsia="Times New Roman" w:cs="Times New Roman"/>
          <w:i/>
          <w:color w:val="000000"/>
          <w:sz w:val="24"/>
        </w:rPr>
        <w:t xml:space="preserve">Công ty Cổ phần Thẩm định và Đầu tư Tài chính Hoa Sen)</w:t>
      </w:r>
      <w:r>
        <w:rPr>
          <w:rFonts w:ascii="Times New Roman" w:hAnsi="Times New Roman" w:eastAsia="Times New Roman" w:cs="Times New Roman"/>
          <w:sz w:val="24"/>
        </w:rPr>
      </w:r>
      <w:r>
        <w:rPr>
          <w:highlight w:val="none"/>
        </w:rP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6"/>
        <w:gridCol w:w="4561"/>
        <w:gridCol w:w="4506"/>
      </w:tblGrid>
      <w:tr>
        <w:trPr>
          <w:trHeight w:val="276"/>
        </w:trPr>
        <w:tc>
          <w:tcPr>
            <w:gridSpan w:val="3"/>
            <w:tcBorders/>
            <w:tcMar>
              <w:left w:w="108" w:type="dxa"/>
              <w:top w:w="0" w:type="dxa"/>
              <w:right w:w="108" w:type="dxa"/>
              <w:bottom w:w="0" w:type="dxa"/>
            </w:tcMar>
            <w:tcW w:w="9503" w:type="dxa"/>
            <w:vAlign w:val="bottom"/>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PHIẾU ĐIỀU TRA, KHẢO SÁT TÀI SẢN SO SÁNH-TSSS1</w:t>
            </w:r>
            <w:r/>
          </w:p>
        </w:tc>
      </w:tr>
      <w:tr>
        <w:trPr>
          <w:trHeight w:val="276"/>
        </w:trPr>
        <w:tc>
          <w:tcPr>
            <w:tcBorders/>
            <w:tcMar>
              <w:left w:w="108" w:type="dxa"/>
              <w:top w:w="0" w:type="dxa"/>
              <w:right w:w="108" w:type="dxa"/>
              <w:bottom w:w="0" w:type="dxa"/>
            </w:tcMar>
            <w:tcW w:w="436" w:type="dxa"/>
            <w:vAlign w:val="bottom"/>
            <w:textDirection w:val="lrTb"/>
            <w:noWrap/>
          </w:tcPr>
          <w:p>
            <w:pPr>
              <w:pBdr/>
              <w:spacing w:after="0" w:before="0" w:line="240" w:lineRule="auto"/>
              <w:ind/>
              <w:rPr/>
            </w:pPr>
            <w:r/>
            <w:r/>
          </w:p>
        </w:tc>
        <w:tc>
          <w:tcPr>
            <w:tcBorders/>
            <w:tcMar>
              <w:left w:w="108" w:type="dxa"/>
              <w:top w:w="0" w:type="dxa"/>
              <w:right w:w="108" w:type="dxa"/>
              <w:bottom w:w="0" w:type="dxa"/>
            </w:tcMar>
            <w:tcW w:w="4561" w:type="dxa"/>
            <w:vAlign w:val="bottom"/>
            <w:textDirection w:val="lrTb"/>
            <w:noWrap w:val="false"/>
          </w:tcPr>
          <w:p>
            <w:pPr>
              <w:pBdr/>
              <w:spacing w:after="0" w:before="0" w:line="240" w:lineRule="auto"/>
              <w:ind/>
              <w:rPr/>
            </w:pPr>
            <w:r/>
            <w:r/>
          </w:p>
        </w:tc>
        <w:tc>
          <w:tcPr>
            <w:tcBorders/>
            <w:tcMar>
              <w:left w:w="108" w:type="dxa"/>
              <w:top w:w="0" w:type="dxa"/>
              <w:right w:w="108" w:type="dxa"/>
              <w:bottom w:w="0" w:type="dxa"/>
            </w:tcMar>
            <w:tcW w:w="4506" w:type="dxa"/>
            <w:vAlign w:val="bottom"/>
            <w:textDirection w:val="lrTb"/>
            <w:noWrap/>
          </w:tcPr>
          <w:p>
            <w:pPr>
              <w:pBdr/>
              <w:spacing w:after="0" w:before="0" w:line="240" w:lineRule="auto"/>
              <w:ind/>
              <w:rPr/>
            </w:pPr>
            <w:r/>
            <w:r/>
          </w:p>
        </w:tc>
      </w:tr>
      <w:tr>
        <w:trPr>
          <w:trHeight w:val="27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3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56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50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 - SDT: 0987418631</w:t>
              <w:br/>
              <w:t xml:space="preserve"> (Sale Hiếu)</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259.413.762.500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233.472.386.250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04/2026</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khu công nghiệp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Đến ngày 22/07/2053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KCN Bình Xuyên, xã Bình Nguyên, tỉnh Phú Thọ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56305</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227,93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sản xuất kinh doanh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 (Yếu tố phong thủy/Yếu tố tâm linh)</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Đất không có công trình phụ trợ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714625" cy="169545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24969" name=""/>
                              <pic:cNvPicPr>
                                <a:picLocks noChangeAspect="1"/>
                              </pic:cNvPicPr>
                              <pic:nvPr/>
                            </pic:nvPicPr>
                            <pic:blipFill rotWithShape="1">
                              <a:blip r:embed="rId34"/>
                              <a:stretch/>
                            </pic:blipFill>
                            <pic:spPr bwMode="auto">
                              <a:xfrm>
                                <a:off x="0" y="0"/>
                                <a:ext cx="2714625" cy="1695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3.75pt;height:133.50pt;mso-wrap-distance-left:0.00pt;mso-wrap-distance-top:0.00pt;mso-wrap-distance-right:0.00pt;mso-wrap-distance-bottom:0.00pt;z-index:1;" stroked="false">
                      <v:imagedata r:id="rId34"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724150" cy="267652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48728" name=""/>
                              <pic:cNvPicPr>
                                <a:picLocks noChangeAspect="1"/>
                              </pic:cNvPicPr>
                              <pic:nvPr/>
                            </pic:nvPicPr>
                            <pic:blipFill rotWithShape="1">
                              <a:blip r:embed="rId35"/>
                              <a:stretch/>
                            </pic:blipFill>
                            <pic:spPr bwMode="auto">
                              <a:xfrm>
                                <a:off x="0" y="0"/>
                                <a:ext cx="2724149" cy="2676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4.50pt;height:210.75pt;mso-wrap-distance-left:0.00pt;mso-wrap-distance-top:0.00pt;mso-wrap-distance-right:0.00pt;mso-wrap-distance-bottom:0.00pt;z-index:1;" stroked="false">
                      <v:imagedata r:id="rId35" o:title=""/>
                      <o:lock v:ext="edit" rotation="t"/>
                    </v:shape>
                  </w:pict>
                </mc:Fallback>
              </mc:AlternateConten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4561"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762250" cy="154305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548257" name=""/>
                              <pic:cNvPicPr>
                                <a:picLocks noChangeAspect="1"/>
                              </pic:cNvPicPr>
                              <pic:nvPr/>
                            </pic:nvPicPr>
                            <pic:blipFill rotWithShape="1">
                              <a:blip r:embed="rId36"/>
                              <a:stretch/>
                            </pic:blipFill>
                            <pic:spPr bwMode="auto">
                              <a:xfrm>
                                <a:off x="0" y="0"/>
                                <a:ext cx="2762249" cy="15430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17.50pt;height:121.50pt;mso-wrap-distance-left:0.00pt;mso-wrap-distance-top:0.00pt;mso-wrap-distance-right:0.00pt;mso-wrap-distance-bottom:0.00pt;z-index:1;" stroked="false">
                      <v:imagedata r:id="rId36"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506"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724150" cy="170497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50522" name=""/>
                              <pic:cNvPicPr>
                                <a:picLocks noChangeAspect="1"/>
                              </pic:cNvPicPr>
                              <pic:nvPr/>
                            </pic:nvPicPr>
                            <pic:blipFill rotWithShape="1">
                              <a:blip r:embed="rId37"/>
                              <a:stretch/>
                            </pic:blipFill>
                            <pic:spPr bwMode="auto">
                              <a:xfrm>
                                <a:off x="0" y="0"/>
                                <a:ext cx="2724149" cy="1704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14.50pt;height:134.25pt;mso-wrap-distance-left:0.00pt;mso-wrap-distance-top:0.00pt;mso-wrap-distance-right:0.00pt;mso-wrap-distance-bottom:0.00pt;z-index:1;" stroked="false">
                      <v:imagedata r:id="rId37"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i/>
          <w:color w:val="000000"/>
          <w:sz w:val="24"/>
        </w:rPr>
        <w:t xml:space="preserve"> </w:t>
      </w:r>
      <w:r/>
    </w:p>
    <w:tbl>
      <w:tblPr>
        <w:tblStyle w:val="1040"/>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4701"/>
      </w:tblGrid>
      <w:tr>
        <w:trPr>
          <w:trHeight w:val="29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Trần Thị Thanh Tâm</w:t>
            </w:r>
            <w:r/>
          </w:p>
        </w:tc>
      </w:tr>
      <w:tr>
        <w:trPr>
          <w:trHeight w:val="298"/>
        </w:trPr>
        <w:tc>
          <w:tcPr>
            <w:tcBorders/>
            <w:tcMar>
              <w:left w:w="108" w:type="dxa"/>
              <w:top w:w="0" w:type="dxa"/>
              <w:right w:w="108" w:type="dxa"/>
              <w:bottom w:w="0" w:type="dxa"/>
            </w:tcMar>
            <w:tcW w:w="4358"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tbl>
      <w:tblPr>
        <w:tblStyle w:val="1040"/>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3827"/>
        <w:gridCol w:w="4962"/>
      </w:tblGrid>
      <w:tr>
        <w:trPr>
          <w:trHeight w:val="276"/>
        </w:trPr>
        <w:tc>
          <w:tcPr>
            <w:gridSpan w:val="3"/>
            <w:tcBorders/>
            <w:tcMar>
              <w:left w:w="108" w:type="dxa"/>
              <w:top w:w="0" w:type="dxa"/>
              <w:right w:w="108" w:type="dxa"/>
              <w:bottom w:w="0" w:type="dxa"/>
            </w:tcMar>
            <w:tcW w:w="9525" w:type="dxa"/>
            <w:vAlign w:val="bottom"/>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PHIẾU ĐIỀU TRA, KHẢO SÁT TÀI SẢN SO SÁNH-TSSS2</w:t>
            </w:r>
            <w:r/>
          </w:p>
        </w:tc>
      </w:tr>
      <w:tr>
        <w:trPr>
          <w:trHeight w:val="276"/>
        </w:trPr>
        <w:tc>
          <w:tcPr>
            <w:tcBorders/>
            <w:tcMar>
              <w:left w:w="108" w:type="dxa"/>
              <w:top w:w="0" w:type="dxa"/>
              <w:right w:w="108" w:type="dxa"/>
              <w:bottom w:w="0" w:type="dxa"/>
            </w:tcMar>
            <w:tcW w:w="737" w:type="dxa"/>
            <w:vAlign w:val="bottom"/>
            <w:textDirection w:val="lrTb"/>
            <w:noWrap/>
          </w:tcPr>
          <w:p>
            <w:pPr>
              <w:pBdr/>
              <w:spacing w:after="0" w:before="0" w:line="240" w:lineRule="auto"/>
              <w:ind/>
              <w:rPr/>
            </w:pPr>
            <w:r/>
            <w:r/>
          </w:p>
        </w:tc>
        <w:tc>
          <w:tcPr>
            <w:tcBorders/>
            <w:tcMar>
              <w:left w:w="108" w:type="dxa"/>
              <w:top w:w="0" w:type="dxa"/>
              <w:right w:w="108" w:type="dxa"/>
              <w:bottom w:w="0" w:type="dxa"/>
            </w:tcMar>
            <w:tcW w:w="3827" w:type="dxa"/>
            <w:vAlign w:val="bottom"/>
            <w:textDirection w:val="lrTb"/>
            <w:noWrap w:val="false"/>
          </w:tcPr>
          <w:p>
            <w:pPr>
              <w:pBdr/>
              <w:spacing w:after="0" w:before="0" w:line="240" w:lineRule="auto"/>
              <w:ind/>
              <w:rPr/>
            </w:pPr>
            <w:r/>
            <w:r/>
          </w:p>
        </w:tc>
        <w:tc>
          <w:tcPr>
            <w:tcBorders/>
            <w:tcMar>
              <w:left w:w="108" w:type="dxa"/>
              <w:top w:w="0" w:type="dxa"/>
              <w:right w:w="108" w:type="dxa"/>
              <w:bottom w:w="0" w:type="dxa"/>
            </w:tcMar>
            <w:tcW w:w="4962" w:type="dxa"/>
            <w:vAlign w:val="bottom"/>
            <w:textDirection w:val="lrTb"/>
            <w:noWrap/>
          </w:tcPr>
          <w:p>
            <w:pPr>
              <w:pBdr/>
              <w:spacing w:after="0" w:before="0" w:line="240" w:lineRule="auto"/>
              <w:ind/>
              <w:rPr/>
            </w:pPr>
            <w:r/>
            <w:r/>
          </w:p>
        </w:tc>
      </w:tr>
      <w:tr>
        <w:trPr>
          <w:trHeight w:val="27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82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96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https://batdongsan.com.vn/ban-kho-nha-xuong-xa-dao-duc-1/dien-tich-san-xuat-tu-0-5-50-ha-tro-len-khu-cong-nghiep-binh-xuyen-pr44930113?gidzl=P3u-3UNpG49hA3uDw-X4HsifFmhowKbATdWpK_6-IKyYSpvMeEL767OaF0EavK0T9I4y0JItzKzuuVn8J0 - SDT: 0989657091</w:t>
              <w:br/>
              <w:t xml:space="preserve"> (Sale Dũng VP</w:t>
            </w:r>
            <w:r>
              <w:rPr>
                <w:rFonts w:ascii="Times New Roman" w:hAnsi="Times New Roman" w:eastAsia="Times New Roman" w:cs="Times New Roman"/>
                <w:color w:val="000000"/>
                <w:sz w:val="22"/>
              </w:rPr>
              <w:t xml:space="preserve">)</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26.037.000.000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23.433.300.000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04/2026</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khu công nghiệp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thời hạn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KCN Bình Xuyên, xã Bình Nguyên, tỉnh Phú Thọ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sản xuất kinh doanh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 (Yếu tố phong thủy/Yếu tố tâm linh)</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Đất không có công trình phụ trợ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 </w:t>
            </w:r>
            <w:r/>
          </w:p>
        </w:tc>
      </w:tr>
      <w:tr>
        <w:trPr>
          <w:trHeight w:val="319"/>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3827"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1171575" cy="202882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78866" name=""/>
                              <pic:cNvPicPr>
                                <a:picLocks noChangeAspect="1"/>
                              </pic:cNvPicPr>
                              <pic:nvPr/>
                            </pic:nvPicPr>
                            <pic:blipFill rotWithShape="1">
                              <a:blip r:embed="rId38"/>
                              <a:stretch/>
                            </pic:blipFill>
                            <pic:spPr bwMode="auto">
                              <a:xfrm>
                                <a:off x="0" y="0"/>
                                <a:ext cx="1171575" cy="2028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92.25pt;height:159.75pt;mso-wrap-distance-left:0.00pt;mso-wrap-distance-top:0.00pt;mso-wrap-distance-right:0.00pt;mso-wrap-distance-bottom:0.00pt;z-index:1;" stroked="false">
                      <v:imagedata r:id="rId38"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962"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752725" cy="147637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2250" name=""/>
                              <pic:cNvPicPr>
                                <a:picLocks noChangeAspect="1"/>
                              </pic:cNvPicPr>
                              <pic:nvPr/>
                            </pic:nvPicPr>
                            <pic:blipFill rotWithShape="1">
                              <a:blip r:embed="rId39"/>
                              <a:stretch/>
                            </pic:blipFill>
                            <pic:spPr bwMode="auto">
                              <a:xfrm>
                                <a:off x="0" y="0"/>
                                <a:ext cx="2752723" cy="14763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16.75pt;height:116.25pt;mso-wrap-distance-left:0.00pt;mso-wrap-distance-top:0.00pt;mso-wrap-distance-right:0.00pt;mso-wrap-distance-bottom:0.00pt;z-index:1;" stroked="false">
                      <v:imagedata r:id="rId39" o:title=""/>
                      <o:lock v:ext="edit" rotation="t"/>
                    </v:shape>
                  </w:pict>
                </mc:Fallback>
              </mc:AlternateConten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971925" cy="607695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498492" name=""/>
                              <pic:cNvPicPr>
                                <a:picLocks noChangeAspect="1"/>
                              </pic:cNvPicPr>
                              <pic:nvPr/>
                            </pic:nvPicPr>
                            <pic:blipFill rotWithShape="1">
                              <a:blip r:embed="rId40"/>
                              <a:stretch/>
                            </pic:blipFill>
                            <pic:spPr bwMode="auto">
                              <a:xfrm>
                                <a:off x="0" y="0"/>
                                <a:ext cx="3971925" cy="60769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12.75pt;height:478.50pt;mso-wrap-distance-left:0.00pt;mso-wrap-distance-top:0.00pt;mso-wrap-distance-right:0.00pt;mso-wrap-distance-bottom:0.00pt;z-index:1;" stroked="false">
                      <v:imagedata r:id="rId40"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1040"/>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Trần Thị Thanh Tâm</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tbl>
      <w:tblPr>
        <w:tblStyle w:val="104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53"/>
        <w:gridCol w:w="4934"/>
        <w:gridCol w:w="4138"/>
      </w:tblGrid>
      <w:tr>
        <w:trPr>
          <w:trHeight w:val="276"/>
        </w:trPr>
        <w:tc>
          <w:tcPr>
            <w:gridSpan w:val="3"/>
            <w:tcBorders/>
            <w:tcMar>
              <w:left w:w="108" w:type="dxa"/>
              <w:top w:w="0" w:type="dxa"/>
              <w:right w:w="108" w:type="dxa"/>
              <w:bottom w:w="0" w:type="dxa"/>
            </w:tcMar>
            <w:tcW w:w="9525" w:type="dxa"/>
            <w:vAlign w:val="bottom"/>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PHIẾU ĐIỀU TRA, KHẢO SÁT TÀI SẢN SO SÁNH-TSSS3</w:t>
            </w:r>
            <w:r/>
          </w:p>
        </w:tc>
      </w:tr>
      <w:tr>
        <w:trPr>
          <w:trHeight w:val="276"/>
        </w:trPr>
        <w:tc>
          <w:tcPr>
            <w:tcBorders/>
            <w:tcMar>
              <w:left w:w="108" w:type="dxa"/>
              <w:top w:w="0" w:type="dxa"/>
              <w:right w:w="108" w:type="dxa"/>
              <w:bottom w:w="0" w:type="dxa"/>
            </w:tcMar>
            <w:tcW w:w="453" w:type="dxa"/>
            <w:vAlign w:val="bottom"/>
            <w:textDirection w:val="lrTb"/>
            <w:noWrap/>
          </w:tcPr>
          <w:p>
            <w:pPr>
              <w:pBdr/>
              <w:spacing w:after="0" w:before="0" w:line="240" w:lineRule="auto"/>
              <w:ind/>
              <w:rPr/>
            </w:pPr>
            <w:r/>
            <w:r/>
          </w:p>
        </w:tc>
        <w:tc>
          <w:tcPr>
            <w:tcBorders/>
            <w:tcMar>
              <w:left w:w="108" w:type="dxa"/>
              <w:top w:w="0" w:type="dxa"/>
              <w:right w:w="108" w:type="dxa"/>
              <w:bottom w:w="0" w:type="dxa"/>
            </w:tcMar>
            <w:tcW w:w="4934" w:type="dxa"/>
            <w:vAlign w:val="bottom"/>
            <w:textDirection w:val="lrTb"/>
            <w:noWrap w:val="false"/>
          </w:tcPr>
          <w:p>
            <w:pPr>
              <w:pBdr/>
              <w:spacing w:after="0" w:before="0" w:line="240" w:lineRule="auto"/>
              <w:ind/>
              <w:rPr/>
            </w:pPr>
            <w:r/>
            <w:r/>
          </w:p>
        </w:tc>
        <w:tc>
          <w:tcPr>
            <w:tcBorders/>
            <w:tcMar>
              <w:left w:w="108" w:type="dxa"/>
              <w:top w:w="0" w:type="dxa"/>
              <w:right w:w="108" w:type="dxa"/>
              <w:bottom w:w="0" w:type="dxa"/>
            </w:tcMar>
            <w:tcW w:w="4138" w:type="dxa"/>
            <w:vAlign w:val="bottom"/>
            <w:textDirection w:val="lrTb"/>
            <w:noWrap/>
          </w:tcPr>
          <w:p>
            <w:pPr>
              <w:pBdr/>
              <w:spacing w:after="0" w:before="0" w:line="240" w:lineRule="auto"/>
              <w:ind/>
              <w:rPr/>
            </w:pPr>
            <w:r/>
            <w:r/>
          </w:p>
        </w:tc>
      </w:tr>
      <w:tr>
        <w:trPr>
          <w:trHeight w:val="27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5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93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13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 - SDT: 0966566546</w:t>
              <w:br/>
              <w:t xml:space="preserve"> (Sale Lưu Tư)</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26.694.500.000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24.025.050.000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04/2026</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khu công nghiệp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Đến ngày 03/12/2054</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KCN Bình Xuyên, xã Bình Nguyên, tỉnh Phú Thọ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5800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234</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sản xuất kinh doanh </w:t>
            </w:r>
            <w:r/>
          </w:p>
        </w:tc>
      </w:tr>
      <w:tr>
        <w:trPr>
          <w:trHeight w:val="479"/>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 (Yếu tố phong thủy/Yếu tố tâm linh)</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Đất không có công trình phụ trợ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right w:val="single" w:color="000000" w:sz="8" w:space="0"/>
            </w:tcBorders>
            <w:tcMar>
              <w:left w:w="108" w:type="dxa"/>
              <w:top w:w="0" w:type="dxa"/>
              <w:right w:w="108" w:type="dxa"/>
              <w:bottom w:w="0" w:type="dxa"/>
            </w:tcMar>
            <w:tcW w:w="4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Bằng chứng thu thập</w:t>
            </w:r>
            <w:r/>
          </w:p>
        </w:tc>
        <w:tc>
          <w:tcPr>
            <w:tcBorders>
              <w:right w:val="single" w:color="000000" w:sz="8" w:space="0"/>
            </w:tcBorders>
            <w:tcMar>
              <w:left w:w="108" w:type="dxa"/>
              <w:top w:w="0" w:type="dxa"/>
              <w:right w:w="108" w:type="dxa"/>
              <w:bottom w:w="0" w:type="dxa"/>
            </w:tcMar>
            <w:tcW w:w="4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4934"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819525" cy="2390775"/>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654240" name=""/>
                              <pic:cNvPicPr>
                                <a:picLocks noChangeAspect="1"/>
                              </pic:cNvPicPr>
                              <pic:nvPr/>
                            </pic:nvPicPr>
                            <pic:blipFill rotWithShape="1">
                              <a:blip r:embed="rId41"/>
                              <a:stretch/>
                            </pic:blipFill>
                            <pic:spPr bwMode="auto">
                              <a:xfrm>
                                <a:off x="0" y="0"/>
                                <a:ext cx="3819524" cy="23907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300.75pt;height:188.25pt;mso-wrap-distance-left:0.00pt;mso-wrap-distance-top:0.00pt;mso-wrap-distance-right:0.00pt;mso-wrap-distance-bottom:0.00pt;z-index:1;" stroked="false">
                      <v:imagedata r:id="rId41"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138"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133725" cy="195262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64874" name=""/>
                              <pic:cNvPicPr>
                                <a:picLocks noChangeAspect="1"/>
                              </pic:cNvPicPr>
                              <pic:nvPr/>
                            </pic:nvPicPr>
                            <pic:blipFill rotWithShape="1">
                              <a:blip r:embed="rId42"/>
                              <a:stretch/>
                            </pic:blipFill>
                            <pic:spPr bwMode="auto">
                              <a:xfrm>
                                <a:off x="0" y="0"/>
                                <a:ext cx="3133724" cy="1952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46.75pt;height:153.75pt;mso-wrap-distance-left:0.00pt;mso-wrap-distance-top:0.00pt;mso-wrap-distance-right:0.00pt;mso-wrap-distance-bottom:0.00pt;z-index:1;" stroked="false">
                      <v:imagedata r:id="rId42"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p>
    <w:tbl>
      <w:tblPr>
        <w:tblStyle w:val="1040"/>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Trần Thị Thanh Tâm</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highlight w:val="none"/>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z w:val="24"/>
        </w:rPr>
        <w:t xml:space="preserve">HỒ SƠ PHÁP LÝ</w:t>
      </w:r>
      <w:r>
        <w:rPr>
          <w:rFonts w:ascii="Times New Roman" w:hAnsi="Times New Roman" w:eastAsia="Times New Roman" w:cs="Times New Roman"/>
          <w:b/>
          <w:bCs/>
          <w:color w:val="000000"/>
          <w:sz w:val="24"/>
          <w:szCs w:val="24"/>
        </w:rPr>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rPr>
          <w:highlight w:val="none"/>
        </w:rPr>
      </w:pPr>
      <w:r>
        <w:rPr>
          <w:highlight w:val="none"/>
        </w:rPr>
      </w:r>
      <w:r>
        <mc:AlternateContent>
          <mc:Choice Requires="wpg">
            <w:drawing>
              <wp:inline xmlns:wp="http://schemas.openxmlformats.org/drawingml/2006/wordprocessingDrawing" distT="0" distB="0" distL="0" distR="0">
                <wp:extent cx="5604677" cy="8643478"/>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59318" name=""/>
                        <pic:cNvPicPr>
                          <a:picLocks noChangeAspect="1"/>
                        </pic:cNvPicPr>
                        <pic:nvPr/>
                      </pic:nvPicPr>
                      <pic:blipFill rotWithShape="1">
                        <a:blip r:embed="rId43"/>
                        <a:stretch/>
                      </pic:blipFill>
                      <pic:spPr bwMode="auto">
                        <a:xfrm flipH="0" flipV="0">
                          <a:off x="0" y="0"/>
                          <a:ext cx="5604676" cy="86434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41.31pt;height:680.59pt;mso-wrap-distance-left:0.00pt;mso-wrap-distance-top:0.00pt;mso-wrap-distance-right:0.00pt;mso-wrap-distance-bottom:0.00pt;z-index:1;" stroked="false">
                <v:imagedata r:id="rId43" o:title=""/>
                <o:lock v:ext="edit" rotation="t"/>
              </v:shape>
            </w:pict>
          </mc:Fallback>
        </mc:AlternateContent>
      </w:r>
      <w:r>
        <w:rPr>
          <w:rFonts w:ascii="Times New Roman" w:hAnsi="Times New Roman" w:eastAsia="Times New Roman" w:cs="Times New Roman"/>
          <w:b/>
          <w:bCs/>
          <w:color w:val="000000"/>
          <w:sz w:val="24"/>
          <w:szCs w:val="24"/>
        </w:rPr>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pBdr>
          <w:top w:val="none" w:color="000000" w:sz="4" w:space="0"/>
          <w:left w:val="none" w:color="000000" w:sz="4" w:space="0"/>
          <w:bottom w:val="none" w:color="000000" w:sz="4" w:space="0"/>
          <w:right w:val="none" w:color="000000" w:sz="4" w:space="0"/>
        </w:pBdr>
        <w:spacing w:after="200" w:line="276" w:lineRule="auto"/>
        <w:ind w:right="0" w:firstLine="0" w:left="0"/>
        <w:rPr>
          <w:highlight w:val="none"/>
        </w:rPr>
      </w:pPr>
      <w:r>
        <w:rPr>
          <w:highlight w:val="none"/>
        </w:rPr>
      </w:r>
      <w:r>
        <mc:AlternateContent>
          <mc:Choice Requires="wpg">
            <w:drawing>
              <wp:inline xmlns:wp="http://schemas.openxmlformats.org/drawingml/2006/wordprocessingDrawing" distT="0" distB="0" distL="0" distR="0">
                <wp:extent cx="6048375" cy="8067675"/>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29577" name=""/>
                        <pic:cNvPicPr>
                          <a:picLocks noChangeAspect="1"/>
                        </pic:cNvPicPr>
                        <pic:nvPr/>
                      </pic:nvPicPr>
                      <pic:blipFill rotWithShape="1">
                        <a:blip r:embed="rId44"/>
                        <a:stretch/>
                      </pic:blipFill>
                      <pic:spPr bwMode="auto">
                        <a:xfrm>
                          <a:off x="0" y="0"/>
                          <a:ext cx="6048374" cy="8067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476.25pt;height:635.25pt;mso-wrap-distance-left:0.00pt;mso-wrap-distance-top:0.00pt;mso-wrap-distance-right:0.00pt;mso-wrap-distance-bottom:0.00pt;z-index:1;" stroked="false">
                <v:imagedata r:id="rId44" o:title=""/>
                <o:lock v:ext="edit" rotation="t"/>
              </v:shape>
            </w:pict>
          </mc:Fallback>
        </mc:AlternateContent>
      </w:r>
      <w:r>
        <w:rPr>
          <w:rFonts w:ascii="Times New Roman" w:hAnsi="Times New Roman" w:eastAsia="Times New Roman" w:cs="Times New Roman"/>
          <w:b/>
          <w:bCs/>
          <w:color w:val="000000"/>
          <w:sz w:val="24"/>
          <w:szCs w:val="24"/>
        </w:rPr>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pBdr>
          <w:top w:val="none" w:color="000000" w:sz="4" w:space="0"/>
          <w:left w:val="none" w:color="000000" w:sz="4" w:space="0"/>
          <w:bottom w:val="none" w:color="000000" w:sz="4" w:space="0"/>
          <w:right w:val="none" w:color="000000" w:sz="4" w:space="0"/>
        </w:pBdr>
        <w:spacing w:after="200" w:line="276" w:lineRule="auto"/>
        <w:ind w:right="0" w:firstLine="0" w:left="0"/>
        <w:rPr>
          <w:highlight w:val="none"/>
        </w:rPr>
      </w:pPr>
      <w:r>
        <w:rPr>
          <w:highlight w:val="none"/>
        </w:rPr>
      </w:r>
      <w:r>
        <mc:AlternateContent>
          <mc:Choice Requires="wpg">
            <w:drawing>
              <wp:inline xmlns:wp="http://schemas.openxmlformats.org/drawingml/2006/wordprocessingDrawing" distT="0" distB="0" distL="0" distR="0">
                <wp:extent cx="6048375" cy="8819610"/>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579628" name=""/>
                        <pic:cNvPicPr>
                          <a:picLocks noChangeAspect="1"/>
                        </pic:cNvPicPr>
                        <pic:nvPr/>
                      </pic:nvPicPr>
                      <pic:blipFill rotWithShape="1">
                        <a:blip r:embed="rId45"/>
                        <a:stretch/>
                      </pic:blipFill>
                      <pic:spPr bwMode="auto">
                        <a:xfrm flipH="0" flipV="0">
                          <a:off x="0" y="0"/>
                          <a:ext cx="6048374" cy="88196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76.25pt;height:694.46pt;mso-wrap-distance-left:0.00pt;mso-wrap-distance-top:0.00pt;mso-wrap-distance-right:0.00pt;mso-wrap-distance-bottom:0.00pt;z-index:1;" stroked="false">
                <v:imagedata r:id="rId45" o:title=""/>
                <o:lock v:ext="edit" rotation="t"/>
              </v:shape>
            </w:pict>
          </mc:Fallback>
        </mc:AlternateContent>
      </w:r>
      <w:r>
        <w:rPr>
          <w:rFonts w:ascii="Times New Roman" w:hAnsi="Times New Roman" w:eastAsia="Times New Roman" w:cs="Times New Roman"/>
          <w:b/>
          <w:bCs/>
          <w:color w:val="000000"/>
          <w:sz w:val="24"/>
          <w:szCs w:val="24"/>
        </w:rPr>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b/>
          <w:bCs/>
          <w:highlight w:val="none"/>
        </w:rPr>
      </w:pPr>
      <w:r>
        <w:rPr>
          <w:b/>
          <w:bCs/>
          <w:highlight w:val="none"/>
        </w:rPr>
        <w:t xml:space="preserve">BIÊN BẢN KHẢO SÁT</w:t>
      </w:r>
      <w:r>
        <w:rPr>
          <w:rFonts w:ascii="Times New Roman" w:hAnsi="Times New Roman" w:eastAsia="Times New Roman" w:cs="Times New Roman"/>
          <w:b/>
          <w:bCs/>
          <w:color w:val="000000"/>
          <w:sz w:val="24"/>
          <w:szCs w:val="24"/>
        </w:rPr>
      </w:r>
      <w:r>
        <w:rPr>
          <w:b/>
          <w:bCs/>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b/>
          <w:bCs/>
          <w:color w:val="000000"/>
          <w:sz w:val="24"/>
          <w:szCs w:val="24"/>
        </w:rPr>
      </w:pPr>
      <w:r>
        <w:rPr>
          <w:b/>
          <w:bCs/>
          <w:highlight w:val="none"/>
        </w:rPr>
      </w:r>
      <w:r>
        <mc:AlternateContent>
          <mc:Choice Requires="wpg">
            <w:drawing>
              <wp:inline xmlns:wp="http://schemas.openxmlformats.org/drawingml/2006/wordprocessingDrawing" distT="0" distB="0" distL="0" distR="0">
                <wp:extent cx="6048375" cy="8481553"/>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264170" name=""/>
                        <pic:cNvPicPr>
                          <a:picLocks noChangeAspect="1"/>
                        </pic:cNvPicPr>
                        <pic:nvPr/>
                      </pic:nvPicPr>
                      <pic:blipFill rotWithShape="1">
                        <a:blip r:embed="rId46"/>
                        <a:stretch/>
                      </pic:blipFill>
                      <pic:spPr bwMode="auto">
                        <a:xfrm flipH="0" flipV="0">
                          <a:off x="0" y="0"/>
                          <a:ext cx="6048374" cy="84815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476.25pt;height:667.84pt;mso-wrap-distance-left:0.00pt;mso-wrap-distance-top:0.00pt;mso-wrap-distance-right:0.00pt;mso-wrap-distance-bottom:0.00pt;z-index:1;" stroked="false">
                <v:imagedata r:id="rId46" o:title=""/>
                <o:lock v:ext="edit" rotation="t"/>
              </v:shape>
            </w:pict>
          </mc:Fallback>
        </mc:AlternateContent>
      </w:r>
      <w:r>
        <w:rPr>
          <w:b/>
          <w:bCs/>
          <w:highlight w:val="none"/>
        </w:rPr>
      </w:r>
      <w:r>
        <w:rPr>
          <w:rFonts w:ascii="Times New Roman" w:hAnsi="Times New Roman" w:eastAsia="Times New Roman" w:cs="Times New Roman"/>
          <w:b/>
          <w:bCs/>
          <w:color w:val="000000"/>
          <w:sz w:val="24"/>
          <w:szCs w:val="24"/>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sz w:val="24"/>
          <w:szCs w:val="24"/>
        </w:rPr>
      </w:pPr>
      <w:r>
        <w:rPr>
          <w:highlight w:val="none"/>
        </w:rPr>
      </w:r>
      <w:r>
        <w:rPr>
          <w:highlight w:val="none"/>
        </w:rPr>
      </w:r>
      <w:r>
        <w:rPr>
          <w:rFonts w:ascii="Times New Roman" w:hAnsi="Times New Roman" w:eastAsia="Times New Roman" w:cs="Times New Roman"/>
          <w:sz w:val="24"/>
          <w:szCs w:val="24"/>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0E3D70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02F0E9F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0B280AA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28E0DB23"/>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73F68D33"/>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2">
    <w:nsid w:val="72C007C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8">
    <w:name w:val="Table Grid Light"/>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1"/>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2"/>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3"/>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4"/>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5"/>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w:basedOn w:val="102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1"/>
    <w:basedOn w:val="102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2"/>
    <w:basedOn w:val="102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3"/>
    <w:basedOn w:val="102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4"/>
    <w:basedOn w:val="102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5"/>
    <w:basedOn w:val="102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6"/>
    <w:basedOn w:val="102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w:basedOn w:val="102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1"/>
    <w:basedOn w:val="102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5"/>
    <w:basedOn w:val="102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6"/>
    <w:basedOn w:val="102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w:basedOn w:val="102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1"/>
    <w:basedOn w:val="102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5"/>
    <w:basedOn w:val="102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6"/>
    <w:basedOn w:val="102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w:basedOn w:val="102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1"/>
    <w:basedOn w:val="102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2"/>
    <w:basedOn w:val="102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3"/>
    <w:basedOn w:val="102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4"/>
    <w:basedOn w:val="102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5"/>
    <w:basedOn w:val="102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6"/>
    <w:basedOn w:val="102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1"/>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2"/>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3"/>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4"/>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5"/>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6"/>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6 Colorful"/>
    <w:basedOn w:val="102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0">
    <w:name w:val="Grid Table 6 Colorful - Accent 1"/>
    <w:basedOn w:val="102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1">
    <w:name w:val="Grid Table 6 Colorful - Accent 2"/>
    <w:basedOn w:val="102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2">
    <w:name w:val="Grid Table 6 Colorful - Accent 3"/>
    <w:basedOn w:val="102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3">
    <w:name w:val="Grid Table 6 Colorful - Accent 4"/>
    <w:basedOn w:val="102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4">
    <w:name w:val="Grid Table 6 Colorful - Accent 5"/>
    <w:basedOn w:val="102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6 Colorful - Accent 6"/>
    <w:basedOn w:val="102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7 Colorful"/>
    <w:basedOn w:val="102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1"/>
    <w:basedOn w:val="102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5"/>
    <w:basedOn w:val="102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6"/>
    <w:basedOn w:val="102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1"/>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2"/>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3"/>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4"/>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5"/>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6"/>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w:basedOn w:val="102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1"/>
    <w:basedOn w:val="102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2"/>
    <w:basedOn w:val="102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3"/>
    <w:basedOn w:val="102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4"/>
    <w:basedOn w:val="102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5"/>
    <w:basedOn w:val="102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6"/>
    <w:basedOn w:val="102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w:basedOn w:val="102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1"/>
    <w:basedOn w:val="102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2"/>
    <w:basedOn w:val="102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3"/>
    <w:basedOn w:val="102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4"/>
    <w:basedOn w:val="102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5"/>
    <w:basedOn w:val="102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6"/>
    <w:basedOn w:val="102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w:basedOn w:val="102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1"/>
    <w:basedOn w:val="102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2"/>
    <w:basedOn w:val="102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3"/>
    <w:basedOn w:val="102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4"/>
    <w:basedOn w:val="102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5"/>
    <w:basedOn w:val="102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6"/>
    <w:basedOn w:val="102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5 Dark"/>
    <w:basedOn w:val="102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1"/>
    <w:basedOn w:val="102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2"/>
    <w:basedOn w:val="102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3"/>
    <w:basedOn w:val="102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4"/>
    <w:basedOn w:val="102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5"/>
    <w:basedOn w:val="102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6"/>
    <w:basedOn w:val="102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6 Colorful"/>
    <w:basedOn w:val="102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1"/>
    <w:basedOn w:val="102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2"/>
    <w:basedOn w:val="102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3"/>
    <w:basedOn w:val="102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4"/>
    <w:basedOn w:val="102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5"/>
    <w:basedOn w:val="102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6"/>
    <w:basedOn w:val="102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7 Colorful"/>
    <w:basedOn w:val="102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6">
    <w:name w:val="List Table 7 Colorful - Accent 1"/>
    <w:basedOn w:val="102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7">
    <w:name w:val="List Table 7 Colorful - Accent 2"/>
    <w:basedOn w:val="102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8">
    <w:name w:val="List Table 7 Colorful - Accent 3"/>
    <w:basedOn w:val="102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9">
    <w:name w:val="List Table 7 Colorful - Accent 4"/>
    <w:basedOn w:val="102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0">
    <w:name w:val="List Table 7 Colorful - Accent 5"/>
    <w:basedOn w:val="102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1">
    <w:name w:val="List Table 7 Colorful - Accent 6"/>
    <w:basedOn w:val="102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2">
    <w:name w:val="Lined - Accent"/>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1"/>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2"/>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3"/>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4"/>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5"/>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6"/>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w:basedOn w:val="102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1"/>
    <w:basedOn w:val="102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2"/>
    <w:basedOn w:val="102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3"/>
    <w:basedOn w:val="102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4"/>
    <w:basedOn w:val="102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5"/>
    <w:basedOn w:val="102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6"/>
    <w:basedOn w:val="102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w:basedOn w:val="102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1"/>
    <w:basedOn w:val="102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2"/>
    <w:basedOn w:val="102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3"/>
    <w:basedOn w:val="102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4"/>
    <w:basedOn w:val="102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5"/>
    <w:basedOn w:val="102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6"/>
    <w:basedOn w:val="102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3">
    <w:name w:val="Heading 5"/>
    <w:basedOn w:val="1014"/>
    <w:next w:val="1014"/>
    <w:link w:val="9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4">
    <w:name w:val="Heading 6"/>
    <w:basedOn w:val="1014"/>
    <w:next w:val="1014"/>
    <w:link w:val="9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5">
    <w:name w:val="Heading 7"/>
    <w:basedOn w:val="1014"/>
    <w:next w:val="1014"/>
    <w:link w:val="9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6">
    <w:name w:val="Heading 8"/>
    <w:basedOn w:val="1014"/>
    <w:next w:val="1014"/>
    <w:link w:val="9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7">
    <w:name w:val="Heading 9"/>
    <w:basedOn w:val="1014"/>
    <w:next w:val="1014"/>
    <w:link w:val="9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8">
    <w:name w:val="Heading 5 Char"/>
    <w:basedOn w:val="1019"/>
    <w:link w:val="973"/>
    <w:uiPriority w:val="9"/>
    <w:pPr>
      <w:pBdr/>
      <w:spacing/>
      <w:ind/>
    </w:pPr>
    <w:rPr>
      <w:rFonts w:ascii="Arial" w:hAnsi="Arial" w:eastAsia="Arial" w:cs="Arial"/>
      <w:color w:val="0f4761" w:themeColor="accent1" w:themeShade="BF"/>
    </w:rPr>
  </w:style>
  <w:style w:type="character" w:styleId="979">
    <w:name w:val="Heading 6 Char"/>
    <w:basedOn w:val="1019"/>
    <w:link w:val="974"/>
    <w:uiPriority w:val="9"/>
    <w:pPr>
      <w:pBdr/>
      <w:spacing/>
      <w:ind/>
    </w:pPr>
    <w:rPr>
      <w:rFonts w:ascii="Arial" w:hAnsi="Arial" w:eastAsia="Arial" w:cs="Arial"/>
      <w:i/>
      <w:iCs/>
      <w:color w:val="595959" w:themeColor="text1" w:themeTint="A6"/>
    </w:rPr>
  </w:style>
  <w:style w:type="character" w:styleId="980">
    <w:name w:val="Heading 7 Char"/>
    <w:basedOn w:val="1019"/>
    <w:link w:val="975"/>
    <w:uiPriority w:val="9"/>
    <w:pPr>
      <w:pBdr/>
      <w:spacing/>
      <w:ind/>
    </w:pPr>
    <w:rPr>
      <w:rFonts w:ascii="Arial" w:hAnsi="Arial" w:eastAsia="Arial" w:cs="Arial"/>
      <w:color w:val="595959" w:themeColor="text1" w:themeTint="A6"/>
    </w:rPr>
  </w:style>
  <w:style w:type="character" w:styleId="981">
    <w:name w:val="Heading 8 Char"/>
    <w:basedOn w:val="1019"/>
    <w:link w:val="976"/>
    <w:uiPriority w:val="9"/>
    <w:pPr>
      <w:pBdr/>
      <w:spacing/>
      <w:ind/>
    </w:pPr>
    <w:rPr>
      <w:rFonts w:ascii="Arial" w:hAnsi="Arial" w:eastAsia="Arial" w:cs="Arial"/>
      <w:i/>
      <w:iCs/>
      <w:color w:val="272727" w:themeColor="text1" w:themeTint="D8"/>
    </w:rPr>
  </w:style>
  <w:style w:type="character" w:styleId="982">
    <w:name w:val="Heading 9 Char"/>
    <w:basedOn w:val="1019"/>
    <w:link w:val="977"/>
    <w:uiPriority w:val="9"/>
    <w:pPr>
      <w:pBdr/>
      <w:spacing/>
      <w:ind/>
    </w:pPr>
    <w:rPr>
      <w:rFonts w:ascii="Arial" w:hAnsi="Arial" w:eastAsia="Arial" w:cs="Arial"/>
      <w:i/>
      <w:iCs/>
      <w:color w:val="272727" w:themeColor="text1" w:themeTint="D8"/>
    </w:rPr>
  </w:style>
  <w:style w:type="paragraph" w:styleId="983">
    <w:name w:val="Subtitle"/>
    <w:basedOn w:val="1014"/>
    <w:next w:val="1014"/>
    <w:link w:val="984"/>
    <w:uiPriority w:val="11"/>
    <w:qFormat/>
    <w:pPr>
      <w:numPr>
        <w:ilvl w:val="1"/>
      </w:numPr>
      <w:pBdr/>
      <w:spacing/>
      <w:ind/>
    </w:pPr>
    <w:rPr>
      <w:color w:val="595959" w:themeColor="text1" w:themeTint="A6"/>
      <w:spacing w:val="15"/>
      <w:sz w:val="28"/>
      <w:szCs w:val="28"/>
    </w:rPr>
  </w:style>
  <w:style w:type="character" w:styleId="984">
    <w:name w:val="Subtitle Char"/>
    <w:basedOn w:val="1019"/>
    <w:link w:val="983"/>
    <w:uiPriority w:val="11"/>
    <w:pPr>
      <w:pBdr/>
      <w:spacing/>
      <w:ind/>
    </w:pPr>
    <w:rPr>
      <w:color w:val="595959" w:themeColor="text1" w:themeTint="A6"/>
      <w:spacing w:val="15"/>
      <w:sz w:val="28"/>
      <w:szCs w:val="28"/>
    </w:rPr>
  </w:style>
  <w:style w:type="paragraph" w:styleId="985">
    <w:name w:val="Quote"/>
    <w:basedOn w:val="1014"/>
    <w:next w:val="1014"/>
    <w:link w:val="986"/>
    <w:uiPriority w:val="29"/>
    <w:qFormat/>
    <w:pPr>
      <w:pBdr/>
      <w:spacing w:before="160"/>
      <w:ind/>
      <w:jc w:val="center"/>
    </w:pPr>
    <w:rPr>
      <w:i/>
      <w:iCs/>
      <w:color w:val="404040" w:themeColor="text1" w:themeTint="BF"/>
    </w:rPr>
  </w:style>
  <w:style w:type="character" w:styleId="986">
    <w:name w:val="Quote Char"/>
    <w:basedOn w:val="1019"/>
    <w:link w:val="985"/>
    <w:uiPriority w:val="29"/>
    <w:pPr>
      <w:pBdr/>
      <w:spacing/>
      <w:ind/>
    </w:pPr>
    <w:rPr>
      <w:i/>
      <w:iCs/>
      <w:color w:val="404040" w:themeColor="text1" w:themeTint="BF"/>
    </w:rPr>
  </w:style>
  <w:style w:type="character" w:styleId="987">
    <w:name w:val="Intense Emphasis"/>
    <w:basedOn w:val="1019"/>
    <w:uiPriority w:val="21"/>
    <w:qFormat/>
    <w:pPr>
      <w:pBdr/>
      <w:spacing/>
      <w:ind/>
    </w:pPr>
    <w:rPr>
      <w:i/>
      <w:iCs/>
      <w:color w:val="0f4761" w:themeColor="accent1" w:themeShade="BF"/>
    </w:rPr>
  </w:style>
  <w:style w:type="paragraph" w:styleId="988">
    <w:name w:val="Intense Quote"/>
    <w:basedOn w:val="1014"/>
    <w:next w:val="1014"/>
    <w:link w:val="98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9">
    <w:name w:val="Intense Quote Char"/>
    <w:basedOn w:val="1019"/>
    <w:link w:val="988"/>
    <w:uiPriority w:val="30"/>
    <w:pPr>
      <w:pBdr/>
      <w:spacing/>
      <w:ind/>
    </w:pPr>
    <w:rPr>
      <w:i/>
      <w:iCs/>
      <w:color w:val="0f4761" w:themeColor="accent1" w:themeShade="BF"/>
    </w:rPr>
  </w:style>
  <w:style w:type="character" w:styleId="990">
    <w:name w:val="Intense Reference"/>
    <w:basedOn w:val="1019"/>
    <w:uiPriority w:val="32"/>
    <w:qFormat/>
    <w:pPr>
      <w:pBdr/>
      <w:spacing/>
      <w:ind/>
    </w:pPr>
    <w:rPr>
      <w:b/>
      <w:bCs/>
      <w:smallCaps/>
      <w:color w:val="0f4761" w:themeColor="accent1" w:themeShade="BF"/>
      <w:spacing w:val="5"/>
    </w:rPr>
  </w:style>
  <w:style w:type="paragraph" w:styleId="991">
    <w:name w:val="No Spacing"/>
    <w:basedOn w:val="1014"/>
    <w:uiPriority w:val="1"/>
    <w:qFormat/>
    <w:pPr>
      <w:pBdr/>
      <w:spacing w:after="0" w:line="240" w:lineRule="auto"/>
      <w:ind/>
    </w:pPr>
  </w:style>
  <w:style w:type="character" w:styleId="992">
    <w:name w:val="Subtle Emphasis"/>
    <w:basedOn w:val="1019"/>
    <w:uiPriority w:val="19"/>
    <w:qFormat/>
    <w:pPr>
      <w:pBdr/>
      <w:spacing/>
      <w:ind/>
    </w:pPr>
    <w:rPr>
      <w:i/>
      <w:iCs/>
      <w:color w:val="404040" w:themeColor="text1" w:themeTint="BF"/>
    </w:rPr>
  </w:style>
  <w:style w:type="character" w:styleId="993">
    <w:name w:val="Subtle Reference"/>
    <w:basedOn w:val="1019"/>
    <w:uiPriority w:val="31"/>
    <w:qFormat/>
    <w:pPr>
      <w:pBdr/>
      <w:spacing/>
      <w:ind/>
    </w:pPr>
    <w:rPr>
      <w:smallCaps/>
      <w:color w:val="5a5a5a" w:themeColor="text1" w:themeTint="A5"/>
    </w:rPr>
  </w:style>
  <w:style w:type="character" w:styleId="994">
    <w:name w:val="Book Title"/>
    <w:basedOn w:val="1019"/>
    <w:uiPriority w:val="33"/>
    <w:qFormat/>
    <w:pPr>
      <w:pBdr/>
      <w:spacing/>
      <w:ind/>
    </w:pPr>
    <w:rPr>
      <w:b/>
      <w:bCs/>
      <w:i/>
      <w:iCs/>
      <w:spacing w:val="5"/>
    </w:rPr>
  </w:style>
  <w:style w:type="paragraph" w:styleId="995">
    <w:name w:val="Caption"/>
    <w:basedOn w:val="1014"/>
    <w:next w:val="1014"/>
    <w:uiPriority w:val="35"/>
    <w:unhideWhenUsed/>
    <w:qFormat/>
    <w:pPr>
      <w:pBdr/>
      <w:spacing w:after="200" w:line="240" w:lineRule="auto"/>
      <w:ind/>
    </w:pPr>
    <w:rPr>
      <w:i/>
      <w:iCs/>
      <w:color w:val="0e2841" w:themeColor="text2"/>
      <w:sz w:val="18"/>
      <w:szCs w:val="18"/>
    </w:rPr>
  </w:style>
  <w:style w:type="paragraph" w:styleId="996">
    <w:name w:val="footnote text"/>
    <w:basedOn w:val="1014"/>
    <w:link w:val="997"/>
    <w:uiPriority w:val="99"/>
    <w:semiHidden/>
    <w:unhideWhenUsed/>
    <w:pPr>
      <w:pBdr/>
      <w:spacing w:after="0" w:line="240" w:lineRule="auto"/>
      <w:ind/>
    </w:pPr>
    <w:rPr>
      <w:sz w:val="20"/>
      <w:szCs w:val="20"/>
    </w:rPr>
  </w:style>
  <w:style w:type="character" w:styleId="997">
    <w:name w:val="Footnote Text Char"/>
    <w:basedOn w:val="1019"/>
    <w:link w:val="996"/>
    <w:uiPriority w:val="99"/>
    <w:semiHidden/>
    <w:pPr>
      <w:pBdr/>
      <w:spacing/>
      <w:ind/>
    </w:pPr>
    <w:rPr>
      <w:sz w:val="20"/>
      <w:szCs w:val="20"/>
    </w:rPr>
  </w:style>
  <w:style w:type="character" w:styleId="998">
    <w:name w:val="footnote reference"/>
    <w:basedOn w:val="1019"/>
    <w:uiPriority w:val="99"/>
    <w:semiHidden/>
    <w:unhideWhenUsed/>
    <w:pPr>
      <w:pBdr/>
      <w:spacing/>
      <w:ind/>
    </w:pPr>
    <w:rPr>
      <w:vertAlign w:val="superscript"/>
    </w:rPr>
  </w:style>
  <w:style w:type="paragraph" w:styleId="999">
    <w:name w:val="endnote text"/>
    <w:basedOn w:val="1014"/>
    <w:link w:val="1000"/>
    <w:uiPriority w:val="99"/>
    <w:semiHidden/>
    <w:unhideWhenUsed/>
    <w:pPr>
      <w:pBdr/>
      <w:spacing w:after="0" w:line="240" w:lineRule="auto"/>
      <w:ind/>
    </w:pPr>
    <w:rPr>
      <w:sz w:val="20"/>
      <w:szCs w:val="20"/>
    </w:rPr>
  </w:style>
  <w:style w:type="character" w:styleId="1000">
    <w:name w:val="Endnote Text Char"/>
    <w:basedOn w:val="1019"/>
    <w:link w:val="999"/>
    <w:uiPriority w:val="99"/>
    <w:semiHidden/>
    <w:pPr>
      <w:pBdr/>
      <w:spacing/>
      <w:ind/>
    </w:pPr>
    <w:rPr>
      <w:sz w:val="20"/>
      <w:szCs w:val="20"/>
    </w:rPr>
  </w:style>
  <w:style w:type="character" w:styleId="1001">
    <w:name w:val="endnote reference"/>
    <w:basedOn w:val="1019"/>
    <w:uiPriority w:val="99"/>
    <w:semiHidden/>
    <w:unhideWhenUsed/>
    <w:pPr>
      <w:pBdr/>
      <w:spacing/>
      <w:ind/>
    </w:pPr>
    <w:rPr>
      <w:vertAlign w:val="superscript"/>
    </w:rPr>
  </w:style>
  <w:style w:type="paragraph" w:styleId="1002">
    <w:name w:val="toc 1"/>
    <w:basedOn w:val="1014"/>
    <w:next w:val="1014"/>
    <w:uiPriority w:val="39"/>
    <w:unhideWhenUsed/>
    <w:pPr>
      <w:pBdr/>
      <w:spacing w:after="100"/>
      <w:ind/>
    </w:pPr>
  </w:style>
  <w:style w:type="paragraph" w:styleId="1003">
    <w:name w:val="toc 2"/>
    <w:basedOn w:val="1014"/>
    <w:next w:val="1014"/>
    <w:uiPriority w:val="39"/>
    <w:unhideWhenUsed/>
    <w:pPr>
      <w:pBdr/>
      <w:spacing w:after="100"/>
      <w:ind w:left="220"/>
    </w:pPr>
  </w:style>
  <w:style w:type="paragraph" w:styleId="1004">
    <w:name w:val="toc 3"/>
    <w:basedOn w:val="1014"/>
    <w:next w:val="1014"/>
    <w:uiPriority w:val="39"/>
    <w:unhideWhenUsed/>
    <w:pPr>
      <w:pBdr/>
      <w:spacing w:after="100"/>
      <w:ind w:left="440"/>
    </w:pPr>
  </w:style>
  <w:style w:type="paragraph" w:styleId="1005">
    <w:name w:val="toc 4"/>
    <w:basedOn w:val="1014"/>
    <w:next w:val="1014"/>
    <w:uiPriority w:val="39"/>
    <w:unhideWhenUsed/>
    <w:pPr>
      <w:pBdr/>
      <w:spacing w:after="100"/>
      <w:ind w:left="660"/>
    </w:pPr>
  </w:style>
  <w:style w:type="paragraph" w:styleId="1006">
    <w:name w:val="toc 5"/>
    <w:basedOn w:val="1014"/>
    <w:next w:val="1014"/>
    <w:uiPriority w:val="39"/>
    <w:unhideWhenUsed/>
    <w:pPr>
      <w:pBdr/>
      <w:spacing w:after="100"/>
      <w:ind w:left="880"/>
    </w:pPr>
  </w:style>
  <w:style w:type="paragraph" w:styleId="1007">
    <w:name w:val="toc 6"/>
    <w:basedOn w:val="1014"/>
    <w:next w:val="1014"/>
    <w:uiPriority w:val="39"/>
    <w:unhideWhenUsed/>
    <w:pPr>
      <w:pBdr/>
      <w:spacing w:after="100"/>
      <w:ind w:left="1100"/>
    </w:pPr>
  </w:style>
  <w:style w:type="paragraph" w:styleId="1008">
    <w:name w:val="toc 7"/>
    <w:basedOn w:val="1014"/>
    <w:next w:val="1014"/>
    <w:uiPriority w:val="39"/>
    <w:unhideWhenUsed/>
    <w:pPr>
      <w:pBdr/>
      <w:spacing w:after="100"/>
      <w:ind w:left="1320"/>
    </w:pPr>
  </w:style>
  <w:style w:type="paragraph" w:styleId="1009">
    <w:name w:val="toc 8"/>
    <w:basedOn w:val="1014"/>
    <w:next w:val="1014"/>
    <w:uiPriority w:val="39"/>
    <w:unhideWhenUsed/>
    <w:pPr>
      <w:pBdr/>
      <w:spacing w:after="100"/>
      <w:ind w:left="1540"/>
    </w:pPr>
  </w:style>
  <w:style w:type="paragraph" w:styleId="1010">
    <w:name w:val="toc 9"/>
    <w:basedOn w:val="1014"/>
    <w:next w:val="1014"/>
    <w:uiPriority w:val="39"/>
    <w:unhideWhenUsed/>
    <w:pPr>
      <w:pBdr/>
      <w:spacing w:after="100"/>
      <w:ind w:left="1760"/>
    </w:pPr>
  </w:style>
  <w:style w:type="character" w:styleId="1011">
    <w:name w:val="Placeholder Text"/>
    <w:basedOn w:val="1019"/>
    <w:uiPriority w:val="99"/>
    <w:semiHidden/>
    <w:pPr>
      <w:pBdr/>
      <w:spacing/>
      <w:ind/>
    </w:pPr>
    <w:rPr>
      <w:color w:val="666666"/>
    </w:rPr>
  </w:style>
  <w:style w:type="paragraph" w:styleId="1012">
    <w:name w:val="TOC Heading"/>
    <w:uiPriority w:val="39"/>
    <w:unhideWhenUsed/>
    <w:pPr>
      <w:pBdr/>
      <w:spacing/>
      <w:ind/>
    </w:pPr>
  </w:style>
  <w:style w:type="paragraph" w:styleId="1013">
    <w:name w:val="table of figures"/>
    <w:basedOn w:val="1014"/>
    <w:next w:val="1014"/>
    <w:uiPriority w:val="99"/>
    <w:unhideWhenUsed/>
    <w:pPr>
      <w:pBdr/>
      <w:spacing w:after="0" w:afterAutospacing="0"/>
      <w:ind/>
    </w:pPr>
  </w:style>
  <w:style w:type="paragraph" w:styleId="1014" w:default="1">
    <w:name w:val="Normal"/>
    <w:qFormat/>
    <w:pPr>
      <w:pBdr/>
      <w:spacing w:after="0" w:line="240" w:lineRule="auto"/>
      <w:ind/>
    </w:pPr>
    <w:rPr>
      <w:rFonts w:ascii="Times New Roman" w:hAnsi="Times New Roman" w:eastAsia="Times New Roman" w:cs="Times New Roman"/>
      <w:sz w:val="24"/>
      <w:szCs w:val="24"/>
    </w:rPr>
  </w:style>
  <w:style w:type="paragraph" w:styleId="1015">
    <w:name w:val="Heading 1"/>
    <w:basedOn w:val="1014"/>
    <w:next w:val="1014"/>
    <w:link w:val="1022"/>
    <w:qFormat/>
    <w:pPr>
      <w:keepNext w:val="true"/>
      <w:pBdr/>
      <w:spacing w:after="120" w:before="120"/>
      <w:ind/>
      <w:jc w:val="center"/>
      <w:outlineLvl w:val="0"/>
    </w:pPr>
    <w:rPr>
      <w:b/>
      <w:bCs/>
      <w:sz w:val="27"/>
      <w:szCs w:val="27"/>
    </w:rPr>
  </w:style>
  <w:style w:type="paragraph" w:styleId="1016">
    <w:name w:val="Heading 2"/>
    <w:basedOn w:val="1014"/>
    <w:next w:val="1014"/>
    <w:link w:val="102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7">
    <w:name w:val="Heading 3"/>
    <w:basedOn w:val="1014"/>
    <w:next w:val="1014"/>
    <w:link w:val="1024"/>
    <w:qFormat/>
    <w:pPr>
      <w:keepNext w:val="true"/>
      <w:pBdr/>
      <w:spacing w:before="60"/>
      <w:ind/>
      <w:outlineLvl w:val="2"/>
    </w:pPr>
    <w:rPr>
      <w:sz w:val="28"/>
      <w:szCs w:val="28"/>
    </w:rPr>
  </w:style>
  <w:style w:type="paragraph" w:styleId="1018">
    <w:name w:val="Heading 4"/>
    <w:basedOn w:val="1014"/>
    <w:next w:val="1014"/>
    <w:link w:val="1025"/>
    <w:qFormat/>
    <w:pPr>
      <w:keepNext w:val="true"/>
      <w:pBdr/>
      <w:spacing/>
      <w:ind/>
      <w:jc w:val="center"/>
      <w:outlineLvl w:val="3"/>
    </w:pPr>
    <w:rPr>
      <w:b/>
      <w:bCs/>
    </w:rPr>
  </w:style>
  <w:style w:type="character" w:styleId="1019" w:default="1">
    <w:name w:val="Default Paragraph Font"/>
    <w:uiPriority w:val="1"/>
    <w:semiHidden/>
    <w:unhideWhenUsed/>
    <w:pPr>
      <w:pBdr/>
      <w:spacing/>
      <w:ind/>
    </w:pPr>
  </w:style>
  <w:style w:type="table" w:styleId="102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1" w:default="1">
    <w:name w:val="No List"/>
    <w:uiPriority w:val="99"/>
    <w:semiHidden/>
    <w:unhideWhenUsed/>
    <w:pPr>
      <w:pBdr/>
      <w:spacing/>
      <w:ind/>
    </w:pPr>
  </w:style>
  <w:style w:type="character" w:styleId="1022" w:customStyle="1">
    <w:name w:val="Heading 1 Char"/>
    <w:basedOn w:val="1019"/>
    <w:link w:val="1015"/>
    <w:pPr>
      <w:pBdr/>
      <w:spacing/>
      <w:ind/>
    </w:pPr>
    <w:rPr>
      <w:rFonts w:ascii="Times New Roman" w:hAnsi="Times New Roman" w:eastAsia="Times New Roman" w:cs="Times New Roman"/>
      <w:b/>
      <w:bCs/>
      <w:sz w:val="27"/>
      <w:szCs w:val="27"/>
    </w:rPr>
  </w:style>
  <w:style w:type="character" w:styleId="1023" w:customStyle="1">
    <w:name w:val="Heading 2 Char"/>
    <w:basedOn w:val="1019"/>
    <w:link w:val="1016"/>
    <w:uiPriority w:val="9"/>
    <w:pPr>
      <w:pBdr/>
      <w:spacing/>
      <w:ind/>
    </w:pPr>
    <w:rPr>
      <w:rFonts w:asciiTheme="majorHAnsi" w:hAnsiTheme="majorHAnsi" w:eastAsiaTheme="majorEastAsia" w:cstheme="majorBidi"/>
      <w:color w:val="365f91" w:themeColor="accent1" w:themeShade="BF"/>
      <w:sz w:val="26"/>
      <w:szCs w:val="26"/>
    </w:rPr>
  </w:style>
  <w:style w:type="character" w:styleId="1024" w:customStyle="1">
    <w:name w:val="Heading 3 Char"/>
    <w:basedOn w:val="1019"/>
    <w:link w:val="1017"/>
    <w:pPr>
      <w:pBdr/>
      <w:spacing/>
      <w:ind/>
    </w:pPr>
    <w:rPr>
      <w:rFonts w:ascii="Times New Roman" w:hAnsi="Times New Roman" w:eastAsia="Times New Roman" w:cs="Times New Roman"/>
      <w:sz w:val="28"/>
      <w:szCs w:val="28"/>
    </w:rPr>
  </w:style>
  <w:style w:type="character" w:styleId="1025" w:customStyle="1">
    <w:name w:val="Heading 4 Char"/>
    <w:basedOn w:val="1019"/>
    <w:link w:val="1018"/>
    <w:pPr>
      <w:pBdr/>
      <w:spacing/>
      <w:ind/>
    </w:pPr>
    <w:rPr>
      <w:rFonts w:ascii="Times New Roman" w:hAnsi="Times New Roman" w:eastAsia="Times New Roman" w:cs="Times New Roman"/>
      <w:b/>
      <w:bCs/>
      <w:sz w:val="24"/>
      <w:szCs w:val="24"/>
    </w:rPr>
  </w:style>
  <w:style w:type="character" w:styleId="1026">
    <w:name w:val="Hyperlink"/>
    <w:uiPriority w:val="99"/>
    <w:pPr>
      <w:pBdr/>
      <w:spacing/>
      <w:ind/>
    </w:pPr>
    <w:rPr>
      <w:color w:val="000000"/>
      <w:u w:val="single"/>
    </w:rPr>
  </w:style>
  <w:style w:type="character" w:styleId="1027">
    <w:name w:val="Strong"/>
    <w:uiPriority w:val="22"/>
    <w:qFormat/>
    <w:pPr>
      <w:pBdr/>
      <w:spacing/>
      <w:ind/>
    </w:pPr>
    <w:rPr>
      <w:b/>
      <w:bCs/>
    </w:rPr>
  </w:style>
  <w:style w:type="paragraph" w:styleId="1028">
    <w:name w:val="Balloon Text"/>
    <w:basedOn w:val="1014"/>
    <w:link w:val="1029"/>
    <w:uiPriority w:val="99"/>
    <w:semiHidden/>
    <w:unhideWhenUsed/>
    <w:pPr>
      <w:pBdr/>
      <w:spacing/>
      <w:ind/>
    </w:pPr>
    <w:rPr>
      <w:rFonts w:ascii="Tahoma" w:hAnsi="Tahoma" w:cs="Tahoma"/>
      <w:sz w:val="16"/>
      <w:szCs w:val="16"/>
    </w:rPr>
  </w:style>
  <w:style w:type="character" w:styleId="1029" w:customStyle="1">
    <w:name w:val="Balloon Text Char"/>
    <w:basedOn w:val="1019"/>
    <w:link w:val="1028"/>
    <w:uiPriority w:val="99"/>
    <w:semiHidden/>
    <w:pPr>
      <w:pBdr/>
      <w:spacing/>
      <w:ind/>
    </w:pPr>
    <w:rPr>
      <w:rFonts w:ascii="Tahoma" w:hAnsi="Tahoma" w:eastAsia="Times New Roman" w:cs="Tahoma"/>
      <w:sz w:val="16"/>
      <w:szCs w:val="16"/>
    </w:rPr>
  </w:style>
  <w:style w:type="paragraph" w:styleId="1030">
    <w:name w:val="Header"/>
    <w:basedOn w:val="1014"/>
    <w:link w:val="1031"/>
    <w:unhideWhenUsed/>
    <w:pPr>
      <w:pBdr/>
      <w:tabs>
        <w:tab w:val="center" w:leader="none" w:pos="4680"/>
        <w:tab w:val="right" w:leader="none" w:pos="9360"/>
      </w:tabs>
      <w:spacing/>
      <w:ind/>
    </w:pPr>
  </w:style>
  <w:style w:type="character" w:styleId="1031" w:customStyle="1">
    <w:name w:val="Header Char"/>
    <w:basedOn w:val="1019"/>
    <w:link w:val="1030"/>
    <w:pPr>
      <w:pBdr/>
      <w:spacing/>
      <w:ind/>
    </w:pPr>
    <w:rPr>
      <w:rFonts w:ascii="Times New Roman" w:hAnsi="Times New Roman" w:eastAsia="Times New Roman" w:cs="Times New Roman"/>
      <w:sz w:val="24"/>
      <w:szCs w:val="24"/>
    </w:rPr>
  </w:style>
  <w:style w:type="paragraph" w:styleId="1032">
    <w:name w:val="Footer"/>
    <w:basedOn w:val="1014"/>
    <w:link w:val="1033"/>
    <w:uiPriority w:val="99"/>
    <w:unhideWhenUsed/>
    <w:pPr>
      <w:pBdr/>
      <w:tabs>
        <w:tab w:val="center" w:leader="none" w:pos="4680"/>
        <w:tab w:val="right" w:leader="none" w:pos="9360"/>
      </w:tabs>
      <w:spacing/>
      <w:ind/>
    </w:pPr>
  </w:style>
  <w:style w:type="character" w:styleId="1033" w:customStyle="1">
    <w:name w:val="Footer Char"/>
    <w:basedOn w:val="1019"/>
    <w:link w:val="1032"/>
    <w:uiPriority w:val="99"/>
    <w:pPr>
      <w:pBdr/>
      <w:spacing/>
      <w:ind/>
    </w:pPr>
    <w:rPr>
      <w:rFonts w:ascii="Times New Roman" w:hAnsi="Times New Roman" w:eastAsia="Times New Roman" w:cs="Times New Roman"/>
      <w:sz w:val="24"/>
      <w:szCs w:val="24"/>
    </w:rPr>
  </w:style>
  <w:style w:type="character" w:styleId="1034" w:customStyle="1">
    <w:name w:val="normal-h1"/>
    <w:pPr>
      <w:pBdr/>
      <w:spacing/>
      <w:ind/>
    </w:pPr>
    <w:rPr>
      <w:rFonts w:hint="default" w:ascii=".VnTime" w:hAnsi=".VnTime"/>
      <w:color w:val="0000ff"/>
      <w:sz w:val="24"/>
      <w:szCs w:val="24"/>
    </w:rPr>
  </w:style>
  <w:style w:type="paragraph" w:styleId="1035" w:customStyle="1">
    <w:name w:val="normal-p"/>
    <w:basedOn w:val="1014"/>
    <w:pPr>
      <w:pBdr/>
      <w:spacing/>
      <w:ind/>
      <w:jc w:val="both"/>
    </w:pPr>
    <w:rPr>
      <w:sz w:val="20"/>
      <w:szCs w:val="20"/>
    </w:rPr>
  </w:style>
  <w:style w:type="paragraph" w:styleId="1036">
    <w:name w:val="List Paragraph"/>
    <w:basedOn w:val="1014"/>
    <w:link w:val="1123"/>
    <w:uiPriority w:val="34"/>
    <w:qFormat/>
    <w:pPr>
      <w:pBdr/>
      <w:spacing/>
      <w:ind w:left="720"/>
    </w:pPr>
  </w:style>
  <w:style w:type="paragraph" w:styleId="1037">
    <w:name w:val="Normal (Web)"/>
    <w:basedOn w:val="1014"/>
    <w:uiPriority w:val="99"/>
    <w:pPr>
      <w:pBdr/>
      <w:spacing w:after="100" w:afterAutospacing="1" w:before="100" w:beforeAutospacing="1"/>
      <w:ind/>
    </w:pPr>
  </w:style>
  <w:style w:type="paragraph" w:styleId="1038">
    <w:name w:val="Body Text"/>
    <w:basedOn w:val="1014"/>
    <w:link w:val="1039"/>
    <w:pPr>
      <w:pBdr/>
      <w:spacing w:after="120"/>
      <w:ind/>
      <w:jc w:val="both"/>
    </w:pPr>
  </w:style>
  <w:style w:type="character" w:styleId="1039" w:customStyle="1">
    <w:name w:val="Body Text Char"/>
    <w:basedOn w:val="1019"/>
    <w:link w:val="1038"/>
    <w:pPr>
      <w:pBdr/>
      <w:spacing/>
      <w:ind/>
    </w:pPr>
    <w:rPr>
      <w:rFonts w:ascii="Times New Roman" w:hAnsi="Times New Roman" w:eastAsia="Times New Roman" w:cs="Times New Roman"/>
      <w:sz w:val="24"/>
      <w:szCs w:val="24"/>
    </w:rPr>
  </w:style>
  <w:style w:type="table" w:styleId="1040">
    <w:name w:val="Table Grid"/>
    <w:basedOn w:val="102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2">
    <w:name w:val="annotation reference"/>
    <w:basedOn w:val="1019"/>
    <w:uiPriority w:val="99"/>
    <w:semiHidden/>
    <w:unhideWhenUsed/>
    <w:pPr>
      <w:pBdr/>
      <w:spacing/>
      <w:ind/>
    </w:pPr>
    <w:rPr>
      <w:sz w:val="16"/>
      <w:szCs w:val="16"/>
    </w:rPr>
  </w:style>
  <w:style w:type="paragraph" w:styleId="1043">
    <w:name w:val="annotation text"/>
    <w:basedOn w:val="1014"/>
    <w:link w:val="1044"/>
    <w:uiPriority w:val="99"/>
    <w:unhideWhenUsed/>
    <w:pPr>
      <w:pBdr/>
      <w:spacing/>
      <w:ind/>
    </w:pPr>
    <w:rPr>
      <w:sz w:val="20"/>
      <w:szCs w:val="20"/>
    </w:rPr>
  </w:style>
  <w:style w:type="character" w:styleId="1044" w:customStyle="1">
    <w:name w:val="Comment Text Char"/>
    <w:basedOn w:val="1019"/>
    <w:link w:val="1043"/>
    <w:uiPriority w:val="99"/>
    <w:pPr>
      <w:pBdr/>
      <w:spacing/>
      <w:ind/>
    </w:pPr>
    <w:rPr>
      <w:rFonts w:ascii="Times New Roman" w:hAnsi="Times New Roman" w:eastAsia="Times New Roman" w:cs="Times New Roman"/>
      <w:sz w:val="20"/>
      <w:szCs w:val="20"/>
    </w:rPr>
  </w:style>
  <w:style w:type="paragraph" w:styleId="1045">
    <w:name w:val="annotation subject"/>
    <w:basedOn w:val="1043"/>
    <w:next w:val="1043"/>
    <w:link w:val="1046"/>
    <w:uiPriority w:val="99"/>
    <w:semiHidden/>
    <w:unhideWhenUsed/>
    <w:pPr>
      <w:pBdr/>
      <w:spacing/>
      <w:ind/>
    </w:pPr>
    <w:rPr>
      <w:b/>
      <w:bCs/>
    </w:rPr>
  </w:style>
  <w:style w:type="character" w:styleId="1046" w:customStyle="1">
    <w:name w:val="Comment Subject Char"/>
    <w:basedOn w:val="1044"/>
    <w:link w:val="1045"/>
    <w:uiPriority w:val="99"/>
    <w:semiHidden/>
    <w:pPr>
      <w:pBdr/>
      <w:spacing/>
      <w:ind/>
    </w:pPr>
    <w:rPr>
      <w:rFonts w:ascii="Times New Roman" w:hAnsi="Times New Roman" w:eastAsia="Times New Roman" w:cs="Times New Roman"/>
      <w:b/>
      <w:bCs/>
      <w:sz w:val="20"/>
      <w:szCs w:val="20"/>
    </w:rPr>
  </w:style>
  <w:style w:type="paragraph" w:styleId="1047" w:customStyle="1">
    <w:name w:val="font5"/>
    <w:basedOn w:val="1014"/>
    <w:pPr>
      <w:pBdr/>
      <w:spacing w:after="100" w:afterAutospacing="1" w:before="100" w:beforeAutospacing="1"/>
      <w:ind/>
    </w:pPr>
    <w:rPr>
      <w:rFonts w:ascii="Tahoma" w:hAnsi="Tahoma" w:cs="Tahoma"/>
      <w:color w:val="000000"/>
      <w:sz w:val="18"/>
      <w:szCs w:val="18"/>
    </w:rPr>
  </w:style>
  <w:style w:type="paragraph" w:styleId="1048" w:customStyle="1">
    <w:name w:val="font6"/>
    <w:basedOn w:val="1014"/>
    <w:pPr>
      <w:pBdr/>
      <w:spacing w:after="100" w:afterAutospacing="1" w:before="100" w:beforeAutospacing="1"/>
      <w:ind/>
    </w:pPr>
    <w:rPr>
      <w:rFonts w:ascii="Tahoma" w:hAnsi="Tahoma" w:cs="Tahoma"/>
      <w:b/>
      <w:bCs/>
      <w:color w:val="000000"/>
      <w:sz w:val="18"/>
      <w:szCs w:val="18"/>
    </w:rPr>
  </w:style>
  <w:style w:type="paragraph" w:styleId="1049" w:customStyle="1">
    <w:name w:val="xl233"/>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0" w:customStyle="1">
    <w:name w:val="xl234"/>
    <w:basedOn w:val="1014"/>
    <w:pPr>
      <w:pBdr/>
      <w:spacing w:after="100" w:afterAutospacing="1" w:before="100" w:beforeAutospacing="1"/>
      <w:ind/>
      <w:jc w:val="center"/>
    </w:pPr>
  </w:style>
  <w:style w:type="paragraph" w:styleId="1051" w:customStyle="1">
    <w:name w:val="xl235"/>
    <w:basedOn w:val="1014"/>
    <w:pPr>
      <w:pBdr/>
      <w:spacing w:after="100" w:afterAutospacing="1" w:before="100" w:beforeAutospacing="1"/>
      <w:ind/>
      <w:jc w:val="center"/>
    </w:pPr>
    <w:rPr>
      <w:b/>
      <w:bCs/>
    </w:rPr>
  </w:style>
  <w:style w:type="paragraph" w:styleId="1052" w:customStyle="1">
    <w:name w:val="xl236"/>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3" w:customStyle="1">
    <w:name w:val="xl237"/>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4" w:customStyle="1">
    <w:name w:val="xl238"/>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3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6" w:customStyle="1">
    <w:name w:val="xl240"/>
    <w:basedOn w:val="1014"/>
    <w:pPr>
      <w:pBdr/>
      <w:spacing w:after="100" w:afterAutospacing="1" w:before="100" w:beforeAutospacing="1"/>
      <w:ind/>
    </w:pPr>
  </w:style>
  <w:style w:type="paragraph" w:styleId="1057" w:customStyle="1">
    <w:name w:val="xl241"/>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8" w:customStyle="1">
    <w:name w:val="xl242"/>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3"/>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44"/>
    <w:basedOn w:val="1014"/>
    <w:pPr>
      <w:pBdr/>
      <w:spacing w:after="100" w:afterAutospacing="1" w:before="100" w:beforeAutospacing="1"/>
      <w:ind/>
    </w:pPr>
    <w:rPr>
      <w:b/>
      <w:bCs/>
    </w:rPr>
  </w:style>
  <w:style w:type="paragraph" w:styleId="1061" w:customStyle="1">
    <w:name w:val="xl245"/>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6"/>
    <w:basedOn w:val="101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47"/>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4" w:customStyle="1">
    <w:name w:val="xl248"/>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5" w:customStyle="1">
    <w:name w:val="xl24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6" w:customStyle="1">
    <w:name w:val="xl250"/>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51"/>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2"/>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3"/>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4"/>
    <w:basedOn w:val="101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5"/>
    <w:basedOn w:val="101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6"/>
    <w:basedOn w:val="101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7"/>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8"/>
    <w:basedOn w:val="101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0"/>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1"/>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2"/>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63"/>
    <w:basedOn w:val="1014"/>
    <w:pPr>
      <w:pBdr/>
      <w:shd w:val="clear" w:color="000000" w:fill="ffffff"/>
      <w:spacing w:after="100" w:afterAutospacing="1" w:before="100" w:beforeAutospacing="1"/>
      <w:ind/>
    </w:pPr>
  </w:style>
  <w:style w:type="paragraph" w:styleId="1080" w:customStyle="1">
    <w:name w:val="xl264"/>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5"/>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2" w:customStyle="1">
    <w:name w:val="xl266"/>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3" w:customStyle="1">
    <w:name w:val="xl267"/>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4" w:customStyle="1">
    <w:name w:val="xl268"/>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69"/>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70"/>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71"/>
    <w:basedOn w:val="101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8" w:customStyle="1">
    <w:name w:val="xl272"/>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9" w:customStyle="1">
    <w:name w:val="xl273"/>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0" w:customStyle="1">
    <w:name w:val="xl274"/>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75"/>
    <w:basedOn w:val="1014"/>
    <w:pPr>
      <w:pBdr/>
      <w:spacing w:after="100" w:afterAutospacing="1" w:before="100" w:beforeAutospacing="1"/>
      <w:ind/>
    </w:pPr>
  </w:style>
  <w:style w:type="paragraph" w:styleId="1092" w:customStyle="1">
    <w:name w:val="xl276"/>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3" w:customStyle="1">
    <w:name w:val="xl277"/>
    <w:basedOn w:val="101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4" w:customStyle="1">
    <w:name w:val="xl278"/>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7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0"/>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7" w:customStyle="1">
    <w:name w:val="xl281"/>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8" w:customStyle="1">
    <w:name w:val="xl282"/>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3"/>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4"/>
    <w:basedOn w:val="1014"/>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5"/>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6"/>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customStyle="1">
    <w:name w:val="xl287"/>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8"/>
    <w:basedOn w:val="1014"/>
    <w:pPr>
      <w:pBdr>
        <w:top w:val="single" w:color="000000" w:sz="4" w:space="0"/>
        <w:left w:val="single" w:color="000000" w:sz="4" w:space="0"/>
        <w:right w:val="single" w:color="000000" w:sz="4" w:space="0"/>
      </w:pBdr>
      <w:spacing w:after="100" w:afterAutospacing="1" w:before="100" w:beforeAutospacing="1"/>
      <w:ind/>
    </w:pPr>
  </w:style>
  <w:style w:type="paragraph" w:styleId="1105" w:customStyle="1">
    <w:name w:val="xl289"/>
    <w:basedOn w:val="1014"/>
    <w:pPr>
      <w:pBdr>
        <w:left w:val="single" w:color="000000" w:sz="4" w:space="0"/>
        <w:right w:val="single" w:color="000000" w:sz="4" w:space="0"/>
      </w:pBdr>
      <w:spacing w:after="100" w:afterAutospacing="1" w:before="100" w:beforeAutospacing="1"/>
      <w:ind/>
    </w:pPr>
    <w:rPr>
      <w:b/>
      <w:bCs/>
    </w:rPr>
  </w:style>
  <w:style w:type="paragraph" w:styleId="1106" w:customStyle="1">
    <w:name w:val="xl290"/>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7" w:customStyle="1">
    <w:name w:val="xl291"/>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8" w:customStyle="1">
    <w:name w:val="xl292"/>
    <w:basedOn w:val="1014"/>
    <w:pPr>
      <w:pBdr>
        <w:top w:val="single" w:color="000000" w:sz="4" w:space="0"/>
        <w:left w:val="single" w:color="000000" w:sz="4" w:space="0"/>
        <w:right w:val="single" w:color="000000" w:sz="4" w:space="0"/>
      </w:pBdr>
      <w:spacing w:after="100" w:afterAutospacing="1" w:before="100" w:beforeAutospacing="1"/>
      <w:ind/>
    </w:pPr>
  </w:style>
  <w:style w:type="paragraph" w:styleId="1109" w:customStyle="1">
    <w:name w:val="xl293"/>
    <w:basedOn w:val="1014"/>
    <w:pPr>
      <w:pBdr>
        <w:left w:val="single" w:color="000000" w:sz="4" w:space="0"/>
        <w:bottom w:val="single" w:color="000000" w:sz="4" w:space="0"/>
        <w:right w:val="single" w:color="000000" w:sz="4" w:space="0"/>
      </w:pBdr>
      <w:spacing w:after="100" w:afterAutospacing="1" w:before="100" w:beforeAutospacing="1"/>
      <w:ind/>
    </w:pPr>
  </w:style>
  <w:style w:type="paragraph" w:styleId="1110" w:customStyle="1">
    <w:name w:val="xl294"/>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1">
    <w:name w:val="Title"/>
    <w:basedOn w:val="1014"/>
    <w:link w:val="1112"/>
    <w:qFormat/>
    <w:pPr>
      <w:pBdr/>
      <w:spacing/>
      <w:ind/>
      <w:jc w:val="center"/>
    </w:pPr>
    <w:rPr>
      <w:b/>
      <w:bCs/>
      <w:sz w:val="32"/>
      <w:szCs w:val="26"/>
    </w:rPr>
  </w:style>
  <w:style w:type="character" w:styleId="1112" w:customStyle="1">
    <w:name w:val="Title Char"/>
    <w:basedOn w:val="1019"/>
    <w:link w:val="1111"/>
    <w:pPr>
      <w:pBdr/>
      <w:spacing/>
      <w:ind/>
    </w:pPr>
    <w:rPr>
      <w:rFonts w:ascii="Times New Roman" w:hAnsi="Times New Roman" w:eastAsia="Times New Roman" w:cs="Times New Roman"/>
      <w:b/>
      <w:bCs/>
      <w:sz w:val="32"/>
      <w:szCs w:val="26"/>
    </w:rPr>
  </w:style>
  <w:style w:type="character" w:styleId="1113" w:customStyle="1">
    <w:name w:val="Unresolved Mention1"/>
    <w:basedOn w:val="1019"/>
    <w:uiPriority w:val="99"/>
    <w:semiHidden/>
    <w:unhideWhenUsed/>
    <w:pPr>
      <w:pBdr/>
      <w:spacing/>
      <w:ind/>
    </w:pPr>
    <w:rPr>
      <w:color w:val="605e5c"/>
      <w:shd w:val="clear" w:color="auto" w:fill="e1dfdd"/>
    </w:rPr>
  </w:style>
  <w:style w:type="character" w:styleId="1114" w:customStyle="1">
    <w:name w:val="Body text (3)_"/>
    <w:link w:val="1115"/>
    <w:pPr>
      <w:pBdr/>
      <w:spacing/>
      <w:ind/>
    </w:pPr>
    <w:rPr>
      <w:rFonts w:ascii="Times New Roman" w:hAnsi="Times New Roman" w:cs="Times New Roman"/>
      <w:i/>
      <w:iCs/>
      <w:spacing w:val="4"/>
      <w:shd w:val="clear" w:color="auto" w:fill="ffffff"/>
    </w:rPr>
  </w:style>
  <w:style w:type="paragraph" w:styleId="1115" w:customStyle="1">
    <w:name w:val="Body text (3)1"/>
    <w:basedOn w:val="1014"/>
    <w:link w:val="111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6" w:customStyle="1">
    <w:name w:val="t-j"/>
    <w:basedOn w:val="1014"/>
    <w:pPr>
      <w:pBdr/>
      <w:spacing w:after="100" w:afterAutospacing="1" w:before="100" w:beforeAutospacing="1"/>
      <w:ind/>
    </w:pPr>
  </w:style>
  <w:style w:type="character" w:styleId="1117" w:customStyle="1">
    <w:name w:val="Unresolved Mention2"/>
    <w:basedOn w:val="1019"/>
    <w:uiPriority w:val="99"/>
    <w:semiHidden/>
    <w:unhideWhenUsed/>
    <w:pPr>
      <w:pBdr/>
      <w:spacing/>
      <w:ind/>
    </w:pPr>
    <w:rPr>
      <w:color w:val="605e5c"/>
      <w:shd w:val="clear" w:color="auto" w:fill="e1dfdd"/>
    </w:rPr>
  </w:style>
  <w:style w:type="character" w:styleId="1118">
    <w:name w:val="FollowedHyperlink"/>
    <w:basedOn w:val="1019"/>
    <w:uiPriority w:val="99"/>
    <w:semiHidden/>
    <w:unhideWhenUsed/>
    <w:pPr>
      <w:pBdr/>
      <w:spacing/>
      <w:ind/>
    </w:pPr>
    <w:rPr>
      <w:color w:val="800080" w:themeColor="followedHyperlink"/>
      <w:u w:val="single"/>
    </w:rPr>
  </w:style>
  <w:style w:type="character" w:styleId="1119" w:customStyle="1">
    <w:name w:val="text"/>
    <w:basedOn w:val="1019"/>
    <w:pPr>
      <w:pBdr/>
      <w:spacing/>
      <w:ind/>
    </w:pPr>
  </w:style>
  <w:style w:type="character" w:styleId="1120" w:customStyle="1">
    <w:name w:val="card-send-time__sendtime"/>
    <w:basedOn w:val="1019"/>
    <w:pPr>
      <w:pBdr/>
      <w:spacing/>
      <w:ind/>
    </w:pPr>
  </w:style>
  <w:style w:type="character" w:styleId="1121" w:customStyle="1">
    <w:name w:val="Đề cập Chưa giải quyết1"/>
    <w:basedOn w:val="1019"/>
    <w:uiPriority w:val="99"/>
    <w:semiHidden/>
    <w:unhideWhenUsed/>
    <w:pPr>
      <w:pBdr/>
      <w:spacing/>
      <w:ind/>
    </w:pPr>
    <w:rPr>
      <w:color w:val="605e5c"/>
      <w:shd w:val="clear" w:color="auto" w:fill="e1dfdd"/>
    </w:rPr>
  </w:style>
  <w:style w:type="paragraph" w:styleId="1122" w:customStyle="1">
    <w:name w:val="nqtitle"/>
    <w:basedOn w:val="1014"/>
    <w:pPr>
      <w:pBdr/>
      <w:spacing w:after="100" w:afterAutospacing="1" w:before="100" w:beforeAutospacing="1"/>
      <w:ind/>
    </w:pPr>
    <w:rPr>
      <w:lang w:val="vi-VN" w:eastAsia="vi-VN"/>
    </w:rPr>
  </w:style>
  <w:style w:type="character" w:styleId="1123" w:customStyle="1">
    <w:name w:val="List Paragraph Char"/>
    <w:link w:val="1036"/>
    <w:uiPriority w:val="34"/>
    <w:qFormat/>
    <w:pPr>
      <w:pBdr/>
      <w:spacing/>
      <w:ind/>
    </w:pPr>
    <w:rPr>
      <w:rFonts w:ascii="Times New Roman" w:hAnsi="Times New Roman" w:eastAsia="Times New Roman" w:cs="Times New Roman"/>
      <w:sz w:val="24"/>
      <w:szCs w:val="24"/>
    </w:rPr>
  </w:style>
  <w:style w:type="character" w:styleId="1124" w:customStyle="1">
    <w:name w:val="Đề cập Chưa giải quyết2"/>
    <w:basedOn w:val="1019"/>
    <w:uiPriority w:val="99"/>
    <w:semiHidden/>
    <w:unhideWhenUsed/>
    <w:pPr>
      <w:pBdr/>
      <w:spacing/>
      <w:ind/>
    </w:pPr>
    <w:rPr>
      <w:color w:val="605e5c"/>
      <w:shd w:val="clear" w:color="auto" w:fill="e1dfdd"/>
    </w:rPr>
  </w:style>
  <w:style w:type="character" w:styleId="1125" w:customStyle="1">
    <w:name w:val="Unresolved Mention3"/>
    <w:basedOn w:val="1019"/>
    <w:uiPriority w:val="99"/>
    <w:semiHidden/>
    <w:unhideWhenUsed/>
    <w:pPr>
      <w:pBdr/>
      <w:spacing/>
      <w:ind/>
    </w:pPr>
    <w:rPr>
      <w:color w:val="605e5c"/>
      <w:shd w:val="clear" w:color="auto" w:fill="e1dfdd"/>
    </w:rPr>
  </w:style>
  <w:style w:type="character" w:styleId="1126" w:customStyle="1">
    <w:name w:val="copy"/>
    <w:basedOn w:val="1019"/>
    <w:pPr>
      <w:pBdr/>
      <w:spacing/>
      <w:ind/>
    </w:pPr>
  </w:style>
  <w:style w:type="paragraph" w:styleId="1127" w:customStyle="1">
    <w:name w:val="align-justify"/>
    <w:basedOn w:val="1014"/>
    <w:pPr>
      <w:pBdr/>
      <w:spacing w:after="100" w:afterAutospacing="1" w:before="100" w:beforeAutospacing="1"/>
      <w:ind/>
    </w:pPr>
  </w:style>
  <w:style w:type="character" w:styleId="1128" w:customStyle="1">
    <w:name w:val="btn"/>
    <w:basedOn w:val="1019"/>
    <w:pPr>
      <w:pBdr/>
      <w:spacing/>
      <w:ind/>
    </w:pPr>
  </w:style>
  <w:style w:type="character" w:styleId="1129" w:customStyle="1">
    <w:name w:val="hide_mobile"/>
    <w:basedOn w:val="1019"/>
    <w:pPr>
      <w:pBdr/>
      <w:spacing/>
      <w:ind/>
    </w:pPr>
  </w:style>
  <w:style w:type="character" w:styleId="1130">
    <w:name w:val="Emphasis"/>
    <w:basedOn w:val="1019"/>
    <w:uiPriority w:val="20"/>
    <w:qFormat/>
    <w:pPr>
      <w:pBdr/>
      <w:spacing/>
      <w:ind/>
    </w:pPr>
    <w:rPr>
      <w:i/>
      <w:iCs/>
    </w:rPr>
  </w:style>
  <w:style w:type="character" w:styleId="1131" w:customStyle="1">
    <w:name w:val="t1"/>
    <w:basedOn w:val="1019"/>
    <w:pPr>
      <w:pBdr/>
      <w:spacing/>
      <w:ind/>
    </w:pPr>
  </w:style>
  <w:style w:type="character" w:styleId="1132" w:customStyle="1">
    <w:name w:val="Unresolved Mention4"/>
    <w:basedOn w:val="1019"/>
    <w:uiPriority w:val="99"/>
    <w:semiHidden/>
    <w:unhideWhenUsed/>
    <w:pPr>
      <w:pBdr/>
      <w:spacing/>
      <w:ind/>
    </w:pPr>
    <w:rPr>
      <w:color w:val="605e5c"/>
      <w:shd w:val="clear" w:color="auto" w:fill="e1dfdd"/>
    </w:rPr>
  </w:style>
  <w:style w:type="character" w:styleId="1133">
    <w:name w:val="Unresolved Mention"/>
    <w:basedOn w:val="101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280</cp:revision>
  <dcterms:created xsi:type="dcterms:W3CDTF">2025-09-15T09:58:00Z</dcterms:created>
  <dcterms:modified xsi:type="dcterms:W3CDTF">2026-04-29T10:10:10Z</dcterms:modified>
</cp:coreProperties>
</file>