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731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731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CNCTECH HÀ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themeColor="text1"/>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themeColor="text1"/>
                                <w:sz w:val="24"/>
                              </w:rPr>
                              <w:t xml:space="preserve">Quyền sử dụng đất thuê trả tiền một lần và</w:t>
                            </w:r>
                            <w:r>
                              <w:rPr>
                                <w:rFonts w:ascii="Times New Roman" w:hAnsi="Times New Roman" w:eastAsia="Times New Roman" w:cs="Times New Roman"/>
                                <w:color w:val="000000" w:themeColor="text1"/>
                                <w:sz w:val="24"/>
                              </w:rPr>
                              <w:t xml:space="preserve"> tài sản gắn liền với đất tại thửa đất số: 66, tờ bản đồ số 6 có địa chỉ: Khu công nghiệp Thăng Long Vĩnh Phúc, xã Tam Hợp, huyện Bình Xuyên, tỉnh Vĩnh Phúc (Nay là xã Bình Nguyên, tỉnh Phú Thọ) theo Giấy chứng nhận quyền sử dụng đất quyền sở hữu nhà ở và </w:t>
                            </w:r>
                            <w:r>
                              <w:rPr>
                                <w:rFonts w:ascii="Times New Roman" w:hAnsi="Times New Roman" w:eastAsia="Times New Roman" w:cs="Times New Roman"/>
                                <w:color w:val="000000" w:themeColor="text1"/>
                                <w:sz w:val="24"/>
                              </w:rPr>
                              <w:t xml:space="preserve">tài sản khác gắn liền với đất số: DG 348254, số vào sổ cấp GCN: CT 25514 do Sở Tài Nguyên và Môi trường tỉnh Vĩnh Phúc cấp ngày 15/09/2022 cho Công ty Cổ phần CNCTECH Hà Nam</w:t>
                            </w:r>
                            <w:r>
                              <w:rPr>
                                <w:rFonts w:ascii="Times New Roman" w:hAnsi="Times New Roman" w:eastAsia="Times New Roman" w:cs="Times New Roman"/>
                                <w:color w:val="000000" w:themeColor="text1"/>
                                <w:sz w:val="24"/>
                              </w:rPr>
                              <w:t xml:space="preserve">.</w:t>
                            </w:r>
                            <w:r>
                              <w:rPr>
                                <w:iCs/>
                                <w:color w:val="000000" w:themeColor="text1"/>
                                <w:highlight w:val="none"/>
                              </w:rPr>
                            </w:r>
                            <w:r>
                              <w:rPr>
                                <w:iCs/>
                                <w:color w:val="000000" w:themeColor="text1"/>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7.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275/2026/0484/VFI-CT.51.A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CỔ PHẦN CNCTECH HÀ NAM</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Cs/>
                          <w:color w:val="000000" w:themeColor="text1"/>
                          <w:highlight w:val="none"/>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themeColor="text1"/>
                          <w:sz w:val="24"/>
                        </w:rPr>
                        <w:t xml:space="preserve">Quyền sử dụng đất thuê trả tiền một lần và</w:t>
                      </w:r>
                      <w:r>
                        <w:rPr>
                          <w:rFonts w:ascii="Times New Roman" w:hAnsi="Times New Roman" w:eastAsia="Times New Roman" w:cs="Times New Roman"/>
                          <w:color w:val="000000" w:themeColor="text1"/>
                          <w:sz w:val="24"/>
                        </w:rPr>
                        <w:t xml:space="preserve"> tài sản gắn liền với đất tại thửa đất số: 66, tờ bản đồ số 6 có địa chỉ: Khu công nghiệp Thăng Long Vĩnh Phúc, xã Tam Hợp, huyện Bình Xuyên, tỉnh Vĩnh Phúc (Nay là xã Bình Nguyên, tỉnh Phú Thọ) theo Giấy chứng nhận quyền sử dụng đất quyền sở hữu nhà ở và </w:t>
                      </w:r>
                      <w:r>
                        <w:rPr>
                          <w:rFonts w:ascii="Times New Roman" w:hAnsi="Times New Roman" w:eastAsia="Times New Roman" w:cs="Times New Roman"/>
                          <w:color w:val="000000" w:themeColor="text1"/>
                          <w:sz w:val="24"/>
                        </w:rPr>
                        <w:t xml:space="preserve">tài sản khác gắn liền với đất số: DG 348254, số vào sổ cấp GCN: CT 25514 do Sở Tài Nguyên và Môi trường tỉnh Vĩnh Phúc cấp ngày 15/09/2022 cho Công ty Cổ phần CNCTECH Hà Nam</w:t>
                      </w:r>
                      <w:r>
                        <w:rPr>
                          <w:rFonts w:ascii="Times New Roman" w:hAnsi="Times New Roman" w:eastAsia="Times New Roman" w:cs="Times New Roman"/>
                          <w:color w:val="000000" w:themeColor="text1"/>
                          <w:sz w:val="24"/>
                        </w:rPr>
                        <w:t xml:space="preserve">.</w:t>
                      </w:r>
                      <w:r>
                        <w:rPr>
                          <w:iCs/>
                          <w:color w:val="000000" w:themeColor="text1"/>
                          <w:highlight w:val="none"/>
                        </w:rPr>
                      </w:r>
                      <w:r>
                        <w:rPr>
                          <w:iCs/>
                          <w:color w:val="000000" w:themeColor="text1"/>
                          <w:highlight w:val="none"/>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4-29</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6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30-31</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6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none"/>
              </w:rPr>
              <w:t xml:space="preserve">21-36</w:t>
            </w:r>
            <w:r>
              <w:rPr>
                <w:b/>
                <w:bCs/>
                <w:highlight w:val="yellow"/>
              </w:rPr>
            </w:r>
            <w:r>
              <w:rPr>
                <w:b/>
                <w:bCs/>
                <w:highlight w:val="yellow"/>
              </w:rPr>
            </w:r>
          </w:p>
        </w:tc>
      </w:tr>
    </w:tbl>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62"/>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950" w:type="dxa"/>
        <w:tblBorders/>
        <w:tblLayout w:type="fixed"/>
        <w:tblLook w:val="04A0" w:firstRow="1" w:lastRow="0" w:firstColumn="1" w:lastColumn="0" w:noHBand="0" w:noVBand="1"/>
      </w:tblPr>
      <w:tblGrid>
        <w:gridCol w:w="1729"/>
        <w:gridCol w:w="3246"/>
        <w:gridCol w:w="4975"/>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5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4975" w:type="dxa"/>
            <w:textDirection w:val="lrTb"/>
            <w:noWrap w:val="false"/>
          </w:tcPr>
          <w:p>
            <w:pPr>
              <w:pStyle w:val="1062"/>
              <w:pBdr/>
              <w:spacing w:after="60"/>
              <w:ind/>
              <w:rPr>
                <w:color w:val="000000" w:themeColor="text1"/>
                <w:sz w:val="24"/>
                <w:szCs w:val="24"/>
              </w:rPr>
            </w:pPr>
            <w:r>
              <w:rPr>
                <w:rStyle w:val="1061"/>
                <w:rFonts w:ascii="Times New Roman" w:hAnsi="Times New Roman"/>
                <w:color w:val="000000" w:themeColor="text1"/>
                <w:lang w:val="pt-BR"/>
              </w:rPr>
              <w:t xml:space="preserve">Số</w:t>
            </w:r>
            <w:r>
              <w:rPr>
                <w:rStyle w:val="1061"/>
                <w:rFonts w:ascii="Times New Roman" w:hAnsi="Times New Roman"/>
                <w:color w:val="000000" w:themeColor="text1"/>
                <w:lang w:val="pt-BR"/>
              </w:rPr>
              <w:t xml:space="preserve">:</w:t>
            </w:r>
            <w:r>
              <w:rPr>
                <w:rStyle w:val="1061"/>
                <w:rFonts w:ascii="Times New Roman" w:hAnsi="Times New Roman"/>
                <w:color w:val="000000" w:themeColor="text1"/>
                <w:lang w:val="pt-BR"/>
              </w:rPr>
              <w:t xml:space="preserve">275/2026/0484/VFI-CT.51.A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975" w:type="dxa"/>
            <w:textDirection w:val="lrTb"/>
            <w:noWrap w:val="false"/>
          </w:tcPr>
          <w:p>
            <w:pPr>
              <w:pStyle w:val="1062"/>
              <w:pBdr/>
              <w:spacing w:after="60"/>
              <w:ind w:right="-56"/>
              <w:jc w:val="left"/>
              <w:rPr>
                <w:color w:val="000000" w:themeColor="text1"/>
                <w:sz w:val="24"/>
                <w:szCs w:val="24"/>
                <w:lang w:val="vi-VN"/>
              </w:rPr>
            </w:pPr>
            <w:r>
              <w:rPr>
                <w:rStyle w:val="1061"/>
                <w:rFonts w:ascii="Times New Roman" w:hAnsi="Times New Roman"/>
                <w:i/>
                <w:color w:val="auto"/>
              </w:rPr>
              <w:t xml:space="preserve">                 TP. </w:t>
            </w:r>
            <w:r>
              <w:rPr>
                <w:rStyle w:val="1061"/>
                <w:rFonts w:ascii="Times New Roman" w:hAnsi="Times New Roman"/>
                <w:i/>
                <w:color w:val="auto"/>
              </w:rPr>
              <w:t xml:space="preserve">Hà</w:t>
            </w:r>
            <w:r>
              <w:rPr>
                <w:rStyle w:val="1061"/>
                <w:rFonts w:ascii="Times New Roman" w:hAnsi="Times New Roman"/>
                <w:i/>
                <w:color w:val="auto"/>
              </w:rPr>
              <w:t xml:space="preserve"> </w:t>
            </w:r>
            <w:r>
              <w:rPr>
                <w:rStyle w:val="1061"/>
                <w:rFonts w:ascii="Times New Roman" w:hAnsi="Times New Roman"/>
                <w:i/>
                <w:color w:val="auto"/>
              </w:rPr>
              <w:t xml:space="preserve">Nội</w:t>
            </w:r>
            <w:r>
              <w:rPr>
                <w:rStyle w:val="1061"/>
                <w:rFonts w:ascii="Times New Roman" w:hAnsi="Times New Roman"/>
                <w:i/>
                <w:color w:val="auto"/>
                <w:lang w:val="vi-VN"/>
              </w:rPr>
              <w:t xml:space="preserve">, </w:t>
            </w:r>
            <w:r>
              <w:rPr>
                <w:rStyle w:val="1061"/>
                <w:rFonts w:ascii="Times New Roman" w:hAnsi="Times New Roman"/>
                <w:i/>
                <w:color w:val="000000" w:themeColor="text1"/>
                <w:lang w:val="vi-VN"/>
              </w:rPr>
              <w:t xml:space="preserve">ngày 27 tháng 3 năm 2026</w:t>
            </w:r>
            <w:r>
              <w:rPr>
                <w:color w:val="000000" w:themeColor="text1"/>
                <w:sz w:val="24"/>
                <w:szCs w:val="24"/>
                <w:lang w:val="vi-VN"/>
              </w:rPr>
            </w:r>
            <w:r>
              <w:rPr>
                <w:color w:val="000000" w:themeColor="text1"/>
                <w:sz w:val="24"/>
                <w:szCs w:val="24"/>
                <w:lang w:val="vi-VN"/>
              </w:rPr>
            </w:r>
          </w:p>
        </w:tc>
      </w:tr>
    </w:tbl>
    <w:p>
      <w:pPr>
        <w:pStyle w:val="1062"/>
        <w:pBdr/>
        <w:spacing w:after="120" w:before="200" w:line="288" w:lineRule="auto"/>
        <w:ind/>
        <w:jc w:val="center"/>
        <w:rPr>
          <w:rStyle w:val="1061"/>
          <w:rFonts w:ascii="Times New Roman" w:hAnsi="Times New Roman"/>
          <w:b/>
          <w:bCs/>
          <w:color w:val="auto"/>
          <w:sz w:val="30"/>
          <w:szCs w:val="30"/>
          <w:lang w:val="vi-VN"/>
        </w:rPr>
      </w:pPr>
      <w:r>
        <w:rPr>
          <w:rStyle w:val="1061"/>
          <w:rFonts w:ascii="Times New Roman" w:hAnsi="Times New Roman"/>
          <w:b/>
          <w:bCs/>
          <w:color w:val="auto"/>
          <w:sz w:val="30"/>
          <w:szCs w:val="30"/>
          <w:lang w:val="vi-VN"/>
        </w:rPr>
        <w:t xml:space="preserve">CHỨNG THƯ THẨM ĐỊNH GIÁ</w:t>
      </w:r>
      <w:r>
        <w:rPr>
          <w:rStyle w:val="1061"/>
          <w:rFonts w:ascii="Times New Roman" w:hAnsi="Times New Roman"/>
          <w:b/>
          <w:bCs/>
          <w:color w:val="auto"/>
          <w:sz w:val="30"/>
          <w:szCs w:val="30"/>
          <w:lang w:val="vi-VN"/>
        </w:rPr>
      </w:r>
      <w:r>
        <w:rPr>
          <w:rStyle w:val="1061"/>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CNCTECH HÀ NAM</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275/2026/0484/VFI-HĐTĐ.51.A</w:t>
      </w:r>
      <w:r>
        <w:rPr>
          <w:spacing w:val="-4"/>
          <w:lang w:val="vi-VN"/>
        </w:rPr>
        <w:t xml:space="preserve"> ký ngày </w:t>
      </w:r>
      <w:r>
        <w:rPr>
          <w:color w:val="000000" w:themeColor="text1"/>
          <w:spacing w:val="-4"/>
        </w:rPr>
        <w:t xml:space="preserve">26 tháng 3 năm 2026</w:t>
      </w:r>
      <w:r>
        <w:rPr>
          <w:spacing w:val="-4"/>
          <w:lang w:val="vi-VN"/>
        </w:rPr>
        <w:t xml:space="preserve"> </w:t>
      </w:r>
      <w:r>
        <w:rPr>
          <w:spacing w:val="-4"/>
          <w:lang w:val="vi-VN"/>
        </w:rPr>
        <w:t xml:space="preserve">giữa </w:t>
      </w:r>
      <w:r>
        <w:rPr>
          <w:rFonts w:ascii="Times New Roman" w:hAnsi="Times New Roman" w:eastAsia="Times New Roman" w:cs="Times New Roman"/>
          <w:b w:val="0"/>
          <w:bCs w:val="0"/>
          <w:color w:val="000000" w:themeColor="text1"/>
          <w:spacing w:val="-4"/>
        </w:rPr>
        <w:t xml:space="preserve">Công ty Cổ phần CNCTECH Hà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275/2026/0484/VFI-BC.51.A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27 tháng 3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ayout w:type="fixed"/>
        <w:tblLook w:val="04A0" w:firstRow="1" w:lastRow="0" w:firstColumn="1" w:lastColumn="0" w:noHBand="0" w:noVBand="1"/>
      </w:tblPr>
      <w:tblGrid>
        <w:gridCol w:w="2113"/>
        <w:gridCol w:w="472"/>
        <w:gridCol w:w="2829"/>
        <w:gridCol w:w="1797"/>
        <w:gridCol w:w="2315"/>
      </w:tblGrid>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1390" w:firstLine="0" w:left="0"/>
              <w:rPr>
                <w:b/>
                <w:bCs/>
                <w:color w:val="000000" w:themeColor="text1"/>
              </w:rPr>
            </w:pPr>
            <w:r>
              <w:rPr>
                <w:rFonts w:ascii="Times New Roman" w:hAnsi="Times New Roman" w:eastAsia="Times New Roman" w:cs="Times New Roman"/>
                <w:b/>
                <w:bCs/>
                <w:color w:val="000000" w:themeColor="text1"/>
                <w:sz w:val="24"/>
              </w:rPr>
              <w:t xml:space="preserve">CÔNG TY CỔ PHẦN CNCTECH HÀ NAM</w:t>
            </w:r>
            <w:r>
              <w:rPr>
                <w:b/>
                <w:bCs/>
                <w:color w:val="000000" w:themeColor="text1"/>
              </w:rPr>
            </w:r>
            <w:r>
              <w:rPr>
                <w:b/>
                <w:bCs/>
                <w:color w:val="000000" w:themeColor="text1"/>
              </w:rPr>
            </w:r>
          </w:p>
        </w:tc>
      </w:tr>
      <w:tr>
        <w:trPr>
          <w:trHeight w:val="316"/>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76" w:lineRule="auto"/>
              <w:ind w:right="-1390" w:firstLine="0" w:left="0"/>
              <w:jc w:val="both"/>
              <w:rPr/>
            </w:pPr>
            <w:r>
              <w:rPr>
                <w:rFonts w:ascii="Times New Roman" w:hAnsi="Times New Roman" w:eastAsia="Times New Roman" w:cs="Times New Roman"/>
                <w:color w:val="000000"/>
                <w:spacing w:val="-2"/>
                <w:sz w:val="22"/>
                <w:highlight w:val="white"/>
              </w:rPr>
              <w:t xml:space="preserve">0700847257</w:t>
            </w:r>
            <w:r/>
          </w:p>
        </w:tc>
      </w:tr>
      <w:tr>
        <w:trPr>
          <w:trHeight w:val="20"/>
        </w:trPr>
        <w:tc>
          <w:tcPr>
            <w:shd w:val="clear" w:color="auto" w:fill="auto"/>
            <w:tcBorders/>
            <w:tcW w:w="2113"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 </w:t>
            </w:r>
            <w:r>
              <w:rPr>
                <w:bCs/>
                <w:color w:val="000000" w:themeColor="text1"/>
                <w:lang w:val="pt-BR"/>
              </w:rPr>
            </w:r>
            <w:r>
              <w:rPr>
                <w:bCs/>
                <w:color w:val="000000" w:themeColor="text1"/>
                <w:lang w:val="pt-BR"/>
              </w:rPr>
            </w:r>
          </w:p>
        </w:tc>
        <w:tc>
          <w:tcPr>
            <w:shd w:val="clear" w:color="auto" w:fill="auto"/>
            <w:tcBorders/>
            <w:tcW w:w="472"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0"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76" w:lineRule="auto"/>
              <w:ind w:right="-1390" w:firstLine="0" w:left="0"/>
              <w:jc w:val="both"/>
              <w:rPr/>
            </w:pPr>
            <w:r>
              <w:rPr>
                <w:rFonts w:ascii="Times New Roman" w:hAnsi="Times New Roman" w:eastAsia="Times New Roman" w:cs="Times New Roman"/>
                <w:color w:val="000000"/>
                <w:sz w:val="24"/>
              </w:rPr>
              <w:t xml:space="preserve">Lô CN06, Khu công nghiệp hỗ trợ Đồng Văn III, Phường Duy Hà, Tỉnh Ninh Bình, Việt Nam</w:t>
            </w:r>
            <w:r/>
          </w:p>
        </w:tc>
      </w:tr>
      <w:tr>
        <w:trPr>
          <w:trHeight w:val="20"/>
        </w:trPr>
        <w:tc>
          <w:tcPr>
            <w:shd w:val="clear" w:color="ffffff" w:fill="ffffff"/>
            <w:tcBorders/>
            <w:tcW w:w="2113" w:type="dxa"/>
            <w:vAlign w:val="center"/>
            <w:vMerge w:val="restart"/>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đại diện</w:t>
            </w:r>
            <w:r>
              <w:rPr>
                <w:bCs/>
                <w:color w:val="000000" w:themeColor="text1"/>
                <w:lang w:val="pt-BR"/>
              </w:rPr>
            </w:r>
            <w:r>
              <w:rPr>
                <w:bCs/>
                <w:color w:val="000000" w:themeColor="text1"/>
                <w:lang w:val="pt-BR"/>
              </w:rPr>
            </w:r>
          </w:p>
        </w:tc>
        <w:tc>
          <w:tcPr>
            <w:shd w:val="clear" w:color="ffffff" w:fill="ffffff"/>
            <w:tcBorders/>
            <w:tcW w:w="472"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2829"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Ông Trần Ngọc Cường</w:t>
            </w:r>
            <w:r>
              <w:rPr>
                <w:color w:val="000000" w:themeColor="text1"/>
                <w:lang w:val="vi-VN"/>
              </w:rPr>
            </w:r>
            <w:r>
              <w:rPr>
                <w:color w:val="000000" w:themeColor="text1"/>
                <w:lang w:val="vi-VN"/>
              </w:rPr>
            </w:r>
          </w:p>
        </w:tc>
        <w:tc>
          <w:tcPr>
            <w:tcBorders/>
            <w:tcW w:w="1797" w:type="dxa"/>
            <w:vAlign w:val="center"/>
            <w:vMerge w:val="restart"/>
            <w:textDirection w:val="lrTb"/>
            <w:noWrap w:val="false"/>
          </w:tcPr>
          <w:p>
            <w:pPr>
              <w:pBdr/>
              <w:spacing w:after="40" w:before="40" w:line="276" w:lineRule="auto"/>
              <w:ind/>
              <w:jc w:val="right"/>
              <w:rPr>
                <w:color w:val="000000" w:themeColor="text1"/>
                <w:lang w:val="vi-VN"/>
              </w:rPr>
            </w:pPr>
            <w:r>
              <w:rPr>
                <w:color w:val="000000" w:themeColor="text1"/>
                <w:lang w:val="vi-VN"/>
              </w:rPr>
              <w:t xml:space="preserve">Chức danh:</w:t>
            </w:r>
            <w:r>
              <w:rPr>
                <w:color w:val="000000" w:themeColor="text1"/>
                <w:lang w:val="vi-VN"/>
              </w:rPr>
            </w:r>
            <w:r>
              <w:rPr>
                <w:color w:val="000000" w:themeColor="text1"/>
                <w:lang w:val="vi-VN"/>
              </w:rPr>
            </w:r>
          </w:p>
        </w:tc>
        <w:tc>
          <w:tcPr>
            <w:tcBorders/>
            <w:tcW w:w="2315" w:type="dxa"/>
            <w:vAlign w:val="center"/>
            <w:vMerge w:val="restart"/>
            <w:textDirection w:val="lrTb"/>
            <w:noWrap w:val="false"/>
          </w:tcPr>
          <w:p>
            <w:pPr>
              <w:pBdr/>
              <w:spacing w:after="40" w:before="40" w:line="276" w:lineRule="auto"/>
              <w:ind/>
              <w:jc w:val="both"/>
              <w:rPr>
                <w:color w:val="000000" w:themeColor="text1"/>
                <w:lang w:val="vi-VN"/>
              </w:rPr>
            </w:pPr>
            <w:r>
              <w:rPr>
                <w:color w:val="000000" w:themeColor="text1"/>
                <w:lang w:val="vi-VN"/>
              </w:rPr>
              <w:t xml:space="preserve">Tổng giám đốc</w:t>
            </w:r>
            <w:r>
              <w:rPr>
                <w:color w:val="000000" w:themeColor="text1"/>
                <w:lang w:val="vi-VN"/>
              </w:rPr>
            </w:r>
            <w:r>
              <w:rPr>
                <w:color w:val="000000" w:themeColor="text1"/>
                <w:lang w:val="vi-VN"/>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thuê trả tiền một lần và tài sản gắn liền với đất tại thửa đất số: 66, tờ bản đồ số 6 có địa chỉ: Khu công nghiệp Thăng Long Vĩnh Phúc, xã Tam Hợp, huyện Bình Xuyên, tỉnh Vĩnh Phúc (Nay là xã Bình Nguyên, tỉnh Phú Thọ) theo Giấy chứng nhậ</w:t>
      </w:r>
      <w:r>
        <w:rPr>
          <w:rFonts w:ascii="Times New Roman" w:hAnsi="Times New Roman" w:eastAsia="Times New Roman" w:cs="Times New Roman"/>
          <w:color w:val="000000"/>
          <w:sz w:val="24"/>
        </w:rPr>
        <w:t xml:space="preserve">n quyền sử dụng đất quyền sở hữu nhà ở và tài sản khác gắn liền với đất số: DG 348254, số vào sổ cấp GCN: CT 25514 do Sở Tài Nguyên và Môi trường tỉnh Vĩnh Phúc cấp ngày 15/09/2022 cho Công ty Cổ phần CNCTECH Hà Nam</w:t>
      </w:r>
      <w:r>
        <w:rPr>
          <w:rFonts w:ascii="Times New Roman" w:hAnsi="Times New Roman" w:eastAsia="Times New Roman" w:cs="Times New Roman"/>
          <w:color w:val="000000"/>
          <w:sz w:val="24"/>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Style w:val="106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888"/>
        <w:gridCol w:w="2541"/>
        <w:gridCol w:w="1594"/>
        <w:gridCol w:w="2251"/>
        <w:gridCol w:w="2251"/>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9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638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both"/>
              <w:rPr/>
            </w:pPr>
            <w:r>
              <w:rPr>
                <w:rFonts w:ascii="Times New Roman" w:hAnsi="Times New Roman" w:eastAsia="Times New Roman" w:cs="Times New Roman"/>
                <w:b/>
                <w:color w:val="000000"/>
                <w:sz w:val="24"/>
              </w:rPr>
              <w:t xml:space="preserve">Quyền sử dụng đất thuê trả tiền một lần và tài sản gắn liền với đất tại thửa đất số: 66, tờ bản đồ số 6 có địa chỉ: Khu công nghiệp Thăng Long Vĩnh Phúc, xã Tam Hợp, huyện Bình Xuyên, tỉnh Vĩnh Phúc (Nay là xã Bình Nguyên, tỉnh Phú Thọ) theo Giấy chứng nhậ</w:t>
            </w:r>
            <w:r>
              <w:rPr>
                <w:rFonts w:ascii="Times New Roman" w:hAnsi="Times New Roman" w:eastAsia="Times New Roman" w:cs="Times New Roman"/>
                <w:b/>
                <w:color w:val="000000"/>
                <w:sz w:val="24"/>
              </w:rPr>
              <w:t xml:space="preserve">n quyền sử dụng đất quyền sở hữu nhà ở và tài sản khác gắn liền với đất số: DG 348254, số vào sổ cấp GCN: CT 25514 do Sở Tài Nguyên và Môi trường tỉnh Vĩnh Phúc cấp ngày 15/09/2022 cho Công ty Cổ phần CNCTECH Hà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rPr/>
            </w:pPr>
            <w:r>
              <w:rPr>
                <w:rFonts w:ascii="Times New Roman" w:hAnsi="Times New Roman" w:eastAsia="Times New Roman" w:cs="Times New Roman"/>
                <w:b/>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1594"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color w:val="000000"/>
                <w:sz w:val="24"/>
              </w:rPr>
              <w:t xml:space="preserve">24561,6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98.246.400.000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88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5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rPr/>
            </w:pPr>
            <w:r>
              <w:rPr>
                <w:rFonts w:ascii="Times New Roman" w:hAnsi="Times New Roman" w:eastAsia="Times New Roman" w:cs="Times New Roman"/>
                <w:b/>
                <w:color w:val="000000"/>
                <w:sz w:val="24"/>
              </w:rPr>
              <w:t xml:space="preserve">Công trình xây dựng trên đất</w:t>
            </w:r>
            <w:r/>
          </w:p>
        </w:tc>
        <w:tc>
          <w:tcPr>
            <w:tcBorders>
              <w:bottom w:val="single" w:color="000000" w:sz="8" w:space="0"/>
              <w:right w:val="single" w:color="000000" w:sz="8" w:space="0"/>
            </w:tcBorders>
            <w:tcMar>
              <w:left w:w="108" w:type="dxa"/>
              <w:top w:w="0" w:type="dxa"/>
              <w:right w:w="108" w:type="dxa"/>
              <w:bottom w:w="0" w:type="dxa"/>
            </w:tcMar>
            <w:tcW w:w="1594"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209.193.143.639</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74"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color w:val="000000"/>
                <w:sz w:val="24"/>
              </w:rPr>
              <w:t xml:space="preserve">307.439.543.639</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7274"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2251"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color w:val="000000"/>
                <w:sz w:val="24"/>
              </w:rPr>
              <w:t xml:space="preserve">307.440.000.000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952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i/>
                <w:color w:val="000000"/>
                <w:sz w:val="24"/>
              </w:rPr>
              <w:t xml:space="preserve">(Bằng chữ: Ba trăm linh bảy tỷ, bốn trăm bốn mươi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871"/>
        <w:gridCol w:w="1701"/>
        <w:gridCol w:w="6520"/>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53"/>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trHeight w:val="482"/>
        </w:trPr>
        <w:tc>
          <w:tcPr>
            <w:gridSpan w:val="2"/>
            <w:shd w:val="clear" w:color="auto" w:fill="auto"/>
            <w:tcBorders/>
            <w:tcMar>
              <w:left w:w="108" w:type="dxa"/>
              <w:top w:w="0" w:type="dxa"/>
              <w:right w:w="108" w:type="dxa"/>
              <w:bottom w:w="0" w:type="dxa"/>
            </w:tcMar>
            <w:tcW w:w="3572" w:type="dxa"/>
            <w:textDirection w:val="lrTb"/>
            <w:noWrap w:val="false"/>
          </w:tcPr>
          <w:p>
            <w:pPr>
              <w:pStyle w:val="1062"/>
              <w:pBdr/>
              <w:spacing w:after="60"/>
              <w:ind/>
              <w:rPr>
                <w:color w:val="000000" w:themeColor="text1"/>
                <w:sz w:val="24"/>
                <w:szCs w:val="24"/>
              </w:rPr>
            </w:pPr>
            <w:r>
              <w:rPr>
                <w:rStyle w:val="1061"/>
                <w:rFonts w:ascii="Times New Roman" w:hAnsi="Times New Roman"/>
                <w:color w:val="000000" w:themeColor="text1"/>
                <w:lang w:val="pt-BR"/>
              </w:rPr>
              <w:t xml:space="preserve">Số</w:t>
            </w:r>
            <w:r>
              <w:rPr>
                <w:rStyle w:val="1061"/>
                <w:rFonts w:ascii="Times New Roman" w:hAnsi="Times New Roman"/>
                <w:color w:val="000000" w:themeColor="text1"/>
                <w:lang w:val="pt-BR"/>
              </w:rPr>
              <w:t xml:space="preserve">: </w:t>
            </w:r>
            <w:r>
              <w:rPr>
                <w:rStyle w:val="1061"/>
                <w:rFonts w:ascii="Times New Roman" w:hAnsi="Times New Roman"/>
                <w:color w:val="000000" w:themeColor="text1"/>
                <w:lang w:val="pt-BR"/>
              </w:rPr>
              <w:t xml:space="preserve">275/2026/0484/VFI-CT.51.A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520" w:type="dxa"/>
            <w:textDirection w:val="lrTb"/>
            <w:noWrap w:val="false"/>
          </w:tcPr>
          <w:p>
            <w:pPr>
              <w:pStyle w:val="1062"/>
              <w:pBdr/>
              <w:spacing w:after="60"/>
              <w:ind w:right="-56"/>
              <w:jc w:val="center"/>
              <w:rPr>
                <w:color w:val="000000" w:themeColor="text1"/>
                <w:sz w:val="24"/>
                <w:szCs w:val="24"/>
                <w:lang w:val="vi-VN"/>
              </w:rPr>
            </w:pPr>
            <w:r>
              <w:rPr>
                <w:rStyle w:val="1061"/>
                <w:rFonts w:ascii="Times New Roman" w:hAnsi="Times New Roman"/>
                <w:i/>
                <w:color w:val="auto"/>
              </w:rPr>
              <w:t xml:space="preserve">                                          TP. </w:t>
            </w:r>
            <w:r>
              <w:rPr>
                <w:rStyle w:val="1061"/>
                <w:rFonts w:ascii="Times New Roman" w:hAnsi="Times New Roman"/>
                <w:i/>
                <w:color w:val="auto"/>
              </w:rPr>
              <w:t xml:space="preserve">Hà</w:t>
            </w:r>
            <w:r>
              <w:rPr>
                <w:rStyle w:val="1061"/>
                <w:rFonts w:ascii="Times New Roman" w:hAnsi="Times New Roman"/>
                <w:i/>
                <w:color w:val="auto"/>
              </w:rPr>
              <w:t xml:space="preserve"> </w:t>
            </w:r>
            <w:r>
              <w:rPr>
                <w:rStyle w:val="1061"/>
                <w:rFonts w:ascii="Times New Roman" w:hAnsi="Times New Roman"/>
                <w:i/>
                <w:color w:val="auto"/>
              </w:rPr>
              <w:t xml:space="preserve">Nội</w:t>
            </w:r>
            <w:r>
              <w:rPr>
                <w:rStyle w:val="1061"/>
                <w:rFonts w:ascii="Times New Roman" w:hAnsi="Times New Roman"/>
                <w:i/>
                <w:color w:val="auto"/>
                <w:lang w:val="vi-VN"/>
              </w:rPr>
              <w:t xml:space="preserve">, </w:t>
            </w:r>
            <w:r>
              <w:rPr>
                <w:rStyle w:val="1061"/>
                <w:rFonts w:ascii="Times New Roman" w:hAnsi="Times New Roman"/>
                <w:i/>
                <w:color w:val="000000" w:themeColor="text1"/>
                <w:lang w:val="vi-VN"/>
              </w:rPr>
              <w:t xml:space="preserve">ngày 27 tháng 3 năm 2026</w:t>
            </w:r>
            <w:r>
              <w:rPr>
                <w:color w:val="000000" w:themeColor="text1"/>
                <w:sz w:val="24"/>
                <w:szCs w:val="24"/>
                <w:lang w:val="vi-VN"/>
              </w:rPr>
            </w:r>
            <w:r>
              <w:rPr>
                <w:color w:val="000000" w:themeColor="text1"/>
                <w:sz w:val="24"/>
                <w:szCs w:val="24"/>
                <w:lang w:val="vi-VN"/>
              </w:rPr>
            </w:r>
          </w:p>
        </w:tc>
      </w:tr>
    </w:tbl>
    <w:p>
      <w:pPr>
        <w:pStyle w:val="1062"/>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42"/>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275/2026/0484/VFI-CT.51.A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27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42"/>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63"/>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ayout w:type="fixed"/>
        <w:tblLook w:val="04A0" w:firstRow="1" w:lastRow="0" w:firstColumn="1" w:lastColumn="0" w:noHBand="0" w:noVBand="1"/>
      </w:tblPr>
      <w:tblGrid>
        <w:gridCol w:w="2518"/>
        <w:gridCol w:w="284"/>
        <w:gridCol w:w="2612"/>
        <w:gridCol w:w="2018"/>
        <w:gridCol w:w="231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1390" w:firstLine="0" w:left="0"/>
              <w:rPr>
                <w:b/>
                <w:bCs/>
              </w:rPr>
            </w:pPr>
            <w:r>
              <w:rPr>
                <w:rFonts w:ascii="Times New Roman" w:hAnsi="Times New Roman" w:eastAsia="Times New Roman" w:cs="Times New Roman"/>
                <w:b/>
                <w:bCs/>
                <w:color w:val="000000"/>
                <w:sz w:val="24"/>
              </w:rPr>
              <w:t xml:space="preserve">CÔNG TY CỔ PHẦN CNCTECH HÀ NAM</w:t>
            </w:r>
            <w:r>
              <w:rPr>
                <w:b/>
                <w:bCs/>
              </w:rPr>
            </w:r>
            <w:r>
              <w:rPr>
                <w:b/>
                <w:bCs/>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Mã số thuế</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76" w:lineRule="auto"/>
              <w:ind w:right="-1390" w:firstLine="0" w:left="0"/>
              <w:jc w:val="both"/>
              <w:rPr/>
            </w:pPr>
            <w:r>
              <w:rPr>
                <w:rFonts w:ascii="Times New Roman" w:hAnsi="Times New Roman" w:eastAsia="Times New Roman" w:cs="Times New Roman"/>
                <w:color w:val="000000"/>
                <w:spacing w:val="-2"/>
                <w:sz w:val="22"/>
                <w:highlight w:val="white"/>
              </w:rPr>
              <w:t xml:space="preserve">0700847257</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 trụ sở </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gridSpan w:val="3"/>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76" w:lineRule="auto"/>
              <w:ind w:right="-1390" w:firstLine="0" w:left="0"/>
              <w:jc w:val="both"/>
              <w:rPr/>
            </w:pPr>
            <w:r>
              <w:rPr>
                <w:rFonts w:ascii="Times New Roman" w:hAnsi="Times New Roman" w:eastAsia="Times New Roman" w:cs="Times New Roman"/>
                <w:color w:val="000000"/>
                <w:sz w:val="24"/>
              </w:rPr>
              <w:t xml:space="preserve">Lô CN06, Khu công nghiệp hỗ trợ Đồng Văn III, Phường Duy Hà, Tỉnh Ninh Bình, Việt Nam</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Người 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2612" w:type="dxa"/>
            <w:vAlign w:val="center"/>
            <w:textDirection w:val="lrTb"/>
            <w:noWrap w:val="false"/>
          </w:tcPr>
          <w:p>
            <w:pPr>
              <w:pBdr/>
              <w:spacing w:after="40" w:before="40" w:line="276" w:lineRule="auto"/>
              <w:ind/>
              <w:jc w:val="both"/>
              <w:rPr>
                <w:color w:val="000000" w:themeColor="text1"/>
                <w:lang w:val="vi-VN"/>
              </w:rPr>
            </w:pPr>
            <w:r>
              <w:rPr>
                <w:color w:val="000000" w:themeColor="text1"/>
                <w:lang w:val="vi-VN"/>
              </w:rPr>
              <w:t xml:space="preserve">Ông Trần Ngọc Cường</w:t>
            </w:r>
            <w:r>
              <w:rPr>
                <w:color w:val="000000" w:themeColor="text1"/>
                <w:lang w:val="vi-VN"/>
              </w:rPr>
            </w:r>
            <w:r>
              <w:rPr>
                <w:color w:val="000000" w:themeColor="text1"/>
                <w:lang w:val="vi-VN"/>
              </w:rPr>
            </w:r>
          </w:p>
        </w:tc>
        <w:tc>
          <w:tcPr>
            <w:tcBorders/>
            <w:tcW w:w="2018" w:type="dxa"/>
            <w:vAlign w:val="center"/>
            <w:textDirection w:val="lrTb"/>
            <w:noWrap w:val="false"/>
          </w:tcPr>
          <w:p>
            <w:pPr>
              <w:pBdr/>
              <w:spacing w:after="40" w:before="40" w:line="276" w:lineRule="auto"/>
              <w:ind/>
              <w:jc w:val="right"/>
              <w:rPr>
                <w:color w:val="000000" w:themeColor="text1"/>
                <w:lang w:val="vi-VN"/>
              </w:rPr>
            </w:pPr>
            <w:r>
              <w:rPr>
                <w:color w:val="000000" w:themeColor="text1"/>
                <w:lang w:val="vi-VN"/>
              </w:rPr>
              <w:t xml:space="preserve">Chức danh:</w:t>
            </w:r>
            <w:r>
              <w:rPr>
                <w:color w:val="000000" w:themeColor="text1"/>
                <w:lang w:val="vi-VN"/>
              </w:rPr>
            </w:r>
            <w:r>
              <w:rPr>
                <w:color w:val="000000" w:themeColor="text1"/>
                <w:lang w:val="vi-VN"/>
              </w:rPr>
            </w:r>
          </w:p>
        </w:tc>
        <w:tc>
          <w:tcPr>
            <w:tcBorders/>
            <w:tcW w:w="2315" w:type="dxa"/>
            <w:vAlign w:val="center"/>
            <w:textDirection w:val="lrTb"/>
            <w:noWrap w:val="false"/>
          </w:tcPr>
          <w:p>
            <w:pPr>
              <w:pBdr/>
              <w:spacing w:after="40" w:before="40" w:line="276" w:lineRule="auto"/>
              <w:ind/>
              <w:jc w:val="both"/>
              <w:rPr>
                <w:color w:val="000000" w:themeColor="text1"/>
                <w:lang w:val="vi-VN"/>
              </w:rPr>
            </w:pPr>
            <w:r>
              <w:rPr>
                <w:color w:val="000000" w:themeColor="text1"/>
                <w:lang w:val="vi-VN"/>
              </w:rPr>
              <w:t xml:space="preserve">Tổng giám đốc</w:t>
            </w:r>
            <w:r>
              <w:rPr>
                <w:color w:val="000000" w:themeColor="text1"/>
                <w:lang w:val="vi-VN"/>
              </w:rPr>
            </w:r>
            <w:r>
              <w:rPr>
                <w:color w:val="000000" w:themeColor="text1"/>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63"/>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thửa đất số: 66, tờ bản đồ số 6 có địa chỉ: Khu công nghiệp Thăng Long Vĩnh Phúc, xã Tam Hợp, huyện Bình Xuyên, tỉnh Vĩnh Phúc (Nay là xã Bình Nguyên, tỉnh Phú Thọ)</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DE 621347, số vào sổ cấp GCN: CT 23957 do Sở Tài Nguyên và Môi trường tỉnh Vĩnh Phúc cấp ngày 18/03/2022 cho Công ty Cổ phần CNCTECH Hà Nam.</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63"/>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63"/>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63"/>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63"/>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Bình Nguyên, tỉnh Phú Thọ</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63"/>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Style w:val="1043"/>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21.305166666667, 105.66138888889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63"/>
              <w:pBdr/>
              <w:spacing w:after="60" w:before="60" w:line="276" w:lineRule="auto"/>
              <w:ind w:left="0"/>
              <w:rPr>
                <w:bCs/>
                <w:lang w:val="pt-BR"/>
              </w:rPr>
            </w:pPr>
            <w:r>
              <w:rPr>
                <w:bCs/>
                <w:lang w:val="pt-BR"/>
              </w:rPr>
              <w:t xml:space="preserve">:</w:t>
            </w:r>
            <w:r>
              <w:rPr>
                <w:bCs/>
                <w:lang w:val="pt-BR"/>
              </w:rPr>
            </w:r>
            <w:r>
              <w:rPr>
                <w:bCs/>
                <w:lang w:val="pt-BR"/>
              </w:rPr>
            </w:r>
          </w:p>
        </w:tc>
        <w:tc>
          <w:tcPr>
            <w:gridSpan w:val="3"/>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63"/>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63"/>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63"/>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63"/>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63"/>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6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63"/>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63"/>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63"/>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63"/>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63"/>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63"/>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63"/>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0" w:line="276"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DG 348254, số vào sổ cấp GCN: CT 25514 do Sở Tài Nguyên và Môi trường tỉnh Vĩnh Phúc cấp ngày 15/09/2022 cho Công ty Cổ phần CNCTECH Hà Nam.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0" w:line="276" w:lineRule="auto"/>
        <w:ind/>
        <w:jc w:val="both"/>
        <w:rPr>
          <w:rFonts w:ascii="Times New Roman" w:hAnsi="Times New Roman" w:eastAsia="Times New Roman" w:cs="Times New Roman"/>
          <w:sz w:val="24"/>
          <w:szCs w:val="24"/>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Giấy phép xây dựng số 50/GPXD do Ủy ban nhân tỉnh Vĩnh Phúc-Ban quản lý các khu công nghiệp Vĩnh Phúc cấp ngày 13/10/2021.</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0" w:line="276" w:lineRule="auto"/>
        <w:ind/>
        <w:jc w:val="both"/>
        <w:rPr/>
      </w:pPr>
      <w:r>
        <w:rPr>
          <w:rFonts w:ascii="Times New Roman" w:hAnsi="Times New Roman" w:eastAsia="Times New Roman" w:cs="Times New Roman"/>
          <w:color w:val="000000"/>
          <w:sz w:val="24"/>
        </w:rPr>
        <w:t xml:space="preserve">Giấy chứng nhận thẩm quyền phê duyệt thiết kế về phòng cháy chữa cháy số 202/TD-PCCC do Công an tỉnh Vĩnh Phúc-Phòng cảnh sát PCCC và Cứu nạn cứu hộ cấp ngày 30/08/2021.</w:t>
      </w:r>
      <w:r/>
    </w:p>
    <w:p>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0" w:line="276" w:lineRule="auto"/>
        <w:ind/>
        <w:jc w:val="both"/>
        <w:rPr/>
      </w:pPr>
      <w:r>
        <w:rPr>
          <w:rFonts w:ascii="Times New Roman" w:hAnsi="Times New Roman" w:eastAsia="Times New Roman" w:cs="Times New Roman"/>
          <w:color w:val="000000"/>
          <w:sz w:val="24"/>
        </w:rPr>
        <w:t xml:space="preserve">Biên bản kiểm tra an toàn phòng cháy chữa cháy định kì ngày 23 tháng 11 năm 2022 giữa Phòng Cảnh sát PCCC&amp;CNCH - Công an tỉnh Hà Nam và Công ty Cổ phần CNCTECH Hà Nam tại địa chỉ Công ty Cổ phần CNCTECH Hà Nam tại địa chỉ KCN Đồng Văn III, thị xã Duy Tiên,</w:t>
      </w:r>
      <w:r>
        <w:rPr>
          <w:rFonts w:ascii="Times New Roman" w:hAnsi="Times New Roman" w:eastAsia="Times New Roman" w:cs="Times New Roman"/>
          <w:color w:val="000000"/>
          <w:sz w:val="24"/>
        </w:rPr>
        <w:t xml:space="preserve"> tỉnh Hà Nam.</w:t>
      </w:r>
      <w:r/>
    </w:p>
    <w:p>
      <w:pPr>
        <w:numPr>
          <w:ilvl w:val="0"/>
          <w:numId w:val="51"/>
        </w:numPr>
        <w:pBdr>
          <w:top w:val="none" w:color="000000" w:sz="4" w:space="0"/>
          <w:left w:val="none" w:color="000000" w:sz="4" w:space="0"/>
          <w:bottom w:val="none" w:color="000000" w:sz="4" w:space="0"/>
          <w:right w:val="none" w:color="000000" w:sz="4" w:space="0"/>
        </w:pBdr>
        <w:tabs>
          <w:tab w:val="left" w:leader="none" w:pos="993"/>
        </w:tabs>
        <w:spacing w:after="120" w:before="0" w:line="276" w:lineRule="auto"/>
        <w:ind/>
        <w:jc w:val="both"/>
        <w:rPr/>
      </w:pPr>
      <w:r>
        <w:rPr>
          <w:rFonts w:ascii="Times New Roman" w:hAnsi="Times New Roman" w:eastAsia="Times New Roman" w:cs="Times New Roman"/>
          <w:color w:val="000000"/>
          <w:sz w:val="24"/>
        </w:rPr>
        <w:t xml:space="preserve">Và các tài liệu khác liên quan đến công tác phòng cháy chữa cháy.</w:t>
      </w:r>
      <w:r/>
    </w:p>
    <w:p>
      <w:pPr>
        <w:pStyle w:val="1063"/>
        <w:numPr>
          <w:ilvl w:val="0"/>
          <w:numId w:val="2"/>
        </w:numPr>
        <w:pBdr/>
        <w:tabs>
          <w:tab w:val="left" w:leader="none" w:pos="993"/>
        </w:tabs>
        <w:spacing w:after="120" w:before="120" w:line="276" w:lineRule="auto"/>
        <w:ind/>
        <w:jc w:val="both"/>
        <w:rPr>
          <w:i/>
          <w:iCs/>
          <w:lang w:val="pt-BR"/>
        </w:rPr>
      </w:pPr>
      <w:r>
        <w:rPr>
          <w:rFonts w:ascii="Times New Roman" w:hAnsi="Times New Roman" w:eastAsia="Times New Roman" w:cs="Times New Roman"/>
          <w:color w:val="000000"/>
          <w:sz w:val="24"/>
        </w:rPr>
        <w:t xml:space="preserve">Hợp đồng, hồ sơ quyết toán và hóa đơn do công ty Công ty Cổ phần CNCTECH Hà Nam cung cấp cho công ty </w:t>
      </w:r>
      <w:r>
        <w:rPr>
          <w:rFonts w:ascii="Times New Roman" w:hAnsi="Times New Roman" w:eastAsia="Times New Roman" w:cs="Times New Roman"/>
          <w:color w:val="000000"/>
          <w:spacing w:val="-4"/>
          <w:sz w:val="24"/>
        </w:rPr>
        <w:t xml:space="preserve">Công ty Cổ phần Thẩm định và Đầu tư Tài chính Hoa Sen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0" w:line="276" w:lineRule="auto"/>
        <w:ind/>
        <w:jc w:val="both"/>
        <w:rPr>
          <w:rFonts w:ascii="Times New Roman" w:hAnsi="Times New Roman" w:eastAsia="Times New Roman" w:cs="Times New Roman"/>
          <w:b/>
          <w:bCs/>
          <w:color w:val="000000"/>
          <w:sz w:val="24"/>
          <w:szCs w:val="24"/>
        </w:rPr>
      </w:pPr>
      <w:r>
        <w:rPr>
          <w:rFonts w:ascii="Times New Roman" w:hAnsi="Times New Roman" w:eastAsia="Times New Roman" w:cs="Times New Roman"/>
          <w:color w:val="000000"/>
          <w:spacing w:val="-4"/>
          <w:sz w:val="24"/>
        </w:rPr>
        <w:t xml:space="preserve">Hợp đồng dịch vụ thẩm định giá số: 275/2026/0484/VFI-HĐTĐ.51.A ký ngày 26 tháng 3 năm 2026 giữa Công ty Cổ phần CNCTECH Hà Nam</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pacing w:val="-6"/>
          <w:sz w:val="24"/>
        </w:rPr>
        <w:t xml:space="preserve">với </w:t>
      </w:r>
      <w:r>
        <w:rPr>
          <w:rFonts w:ascii="Times New Roman" w:hAnsi="Times New Roman" w:eastAsia="Times New Roman" w:cs="Times New Roman"/>
          <w:color w:val="000000"/>
          <w:spacing w:val="-4"/>
          <w:sz w:val="24"/>
        </w:rPr>
        <w:t xml:space="preserve">Công ty Cổ phần Thẩm định và Đầu tư Tài chính Hoa Sen</w:t>
      </w:r>
      <w:r>
        <w:rPr>
          <w:rFonts w:ascii="Times New Roman" w:hAnsi="Times New Roman" w:eastAsia="Times New Roman" w:cs="Times New Roman"/>
          <w:b/>
          <w:color w:val="000000"/>
          <w:sz w:val="24"/>
        </w:rPr>
        <w:t xml:space="preserve">.</w:t>
      </w:r>
      <w:r>
        <w:rPr>
          <w:rFonts w:ascii="Times New Roman" w:hAnsi="Times New Roman" w:eastAsia="Times New Roman" w:cs="Times New Roman"/>
          <w:b/>
          <w:bCs/>
          <w:color w:val="000000"/>
          <w:sz w:val="24"/>
          <w:szCs w:val="24"/>
        </w:rPr>
      </w:r>
      <w:r>
        <w:rPr>
          <w:rFonts w:ascii="Times New Roman" w:hAnsi="Times New Roman" w:eastAsia="Times New Roman" w:cs="Times New Roman"/>
          <w:b/>
          <w:bCs/>
          <w:color w:val="000000"/>
          <w:sz w:val="24"/>
          <w:szCs w:val="24"/>
        </w:rPr>
      </w:r>
    </w:p>
    <w:p>
      <w:pPr>
        <w:numPr>
          <w:ilvl w:val="0"/>
          <w:numId w:val="49"/>
        </w:numPr>
        <w:pBdr>
          <w:top w:val="none" w:color="000000" w:sz="4" w:space="0"/>
          <w:left w:val="none" w:color="000000" w:sz="4" w:space="0"/>
          <w:bottom w:val="none" w:color="000000" w:sz="4" w:space="0"/>
          <w:right w:val="none" w:color="000000" w:sz="4" w:space="0"/>
        </w:pBdr>
        <w:tabs>
          <w:tab w:val="left" w:leader="none" w:pos="993"/>
        </w:tabs>
        <w:spacing w:after="120" w:before="0" w:line="276" w:lineRule="auto"/>
        <w:ind/>
        <w:jc w:val="both"/>
        <w:rPr>
          <w:rFonts w:ascii="Times New Roman" w:hAnsi="Times New Roman" w:eastAsia="Times New Roman" w:cs="Times New Roman"/>
          <w:sz w:val="24"/>
          <w:szCs w:val="24"/>
        </w:rPr>
      </w:pPr>
      <w:r>
        <w:rPr>
          <w:rFonts w:ascii="Times New Roman" w:hAnsi="Times New Roman" w:eastAsia="Times New Roman" w:cs="Times New Roman"/>
          <w:b/>
          <w:color w:val="000000"/>
          <w:sz w:val="24"/>
        </w:rPr>
      </w:r>
      <w:r>
        <w:rPr>
          <w:rFonts w:ascii="Times New Roman" w:hAnsi="Times New Roman" w:eastAsia="Times New Roman" w:cs="Times New Roman"/>
          <w:color w:val="000000"/>
          <w:sz w:val="24"/>
        </w:rPr>
        <w:t xml:space="preserve">Hồ sơ, tài liệu, chứng từ liên quan đến tài sản thẩm định giá</w:t>
      </w:r>
      <w:r>
        <w:rPr>
          <w:rFonts w:ascii="Times New Roman" w:hAnsi="Times New Roman" w:eastAsia="Times New Roman" w:cs="Times New Roman"/>
          <w:sz w:val="24"/>
          <w:szCs w:val="24"/>
        </w:rPr>
      </w:r>
      <w:r>
        <w:rPr>
          <w:rFonts w:ascii="Times New Roman" w:hAnsi="Times New Roman" w:eastAsia="Times New Roman" w:cs="Times New Roman"/>
          <w:sz w:val="24"/>
          <w:szCs w:val="24"/>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rPr>
      </w:pPr>
      <w:r>
        <w:rPr>
          <w:rFonts w:ascii="Times New Roman" w:hAnsi="Times New Roman" w:eastAsia="Times New Roman" w:cs="Times New Roman"/>
          <w:b/>
          <w:color w:val="000000"/>
          <w:sz w:val="24"/>
        </w:rPr>
        <w:t xml:space="preserve"> Tập trung gỡ “nút thắt” trong giải phóng mặt bằng</w:t>
      </w:r>
      <w:r>
        <w:rPr>
          <w:rFonts w:ascii="Times New Roman" w:hAnsi="Times New Roman" w:cs="Times New Roman"/>
          <w:sz w:val="24"/>
        </w:rPr>
      </w:r>
      <w:r>
        <w:rPr>
          <w:rFonts w:ascii="Times New Roman" w:hAnsi="Times New Roman" w:cs="Times New Roman"/>
          <w:sz w:val="24"/>
        </w:rPr>
      </w:r>
    </w:p>
    <w:p>
      <w:pPr>
        <w:pStyle w:val="1063"/>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450"/>
        </w:tabs>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Hiện nay, trên địa bàn tỉnh Vĩnh Phúc đang tập trung thực hiện bồi thường, giải phóng mặt bằng (GPMB) 10 dự án khu công nghiệp (KCN) lớn với tổng diện tích hơn 1.987,9ha. Xác định đây là nhiệm vụ khó khăn, là “nút thắt” trong thu hút đầu tư, phát triển côn</w:t>
      </w:r>
      <w:r>
        <w:rPr>
          <w:rFonts w:ascii="Times New Roman" w:hAnsi="Times New Roman" w:eastAsia="Times New Roman" w:cs="Times New Roman"/>
          <w:color w:val="000000"/>
          <w:sz w:val="24"/>
        </w:rPr>
        <w:t xml:space="preserve">g nghiệp, Tỉnh ủy, HĐND, UBND tỉnh Vĩnh Phúc đã ban hành nhiều văn bản chỉ đạo tăng cường công tác lãnh đạo, chỉ đạo, giao các Sở, ngành, UBND các huyện, thành phố nâng cao hiệu quả công tác quản lý Nhà nước đối với các KCN. Quyết liệt giải quyết các khó k</w:t>
      </w:r>
      <w:r>
        <w:rPr>
          <w:rFonts w:ascii="Times New Roman" w:hAnsi="Times New Roman" w:eastAsia="Times New Roman" w:cs="Times New Roman"/>
          <w:color w:val="000000"/>
          <w:sz w:val="24"/>
        </w:rPr>
        <w:t xml:space="preserve">hăn, vướng mắc về xác định giá đất, nguồn đất san nền; đẩy mạnh cải cách thủ tục hành chính liên quan đến đất đai, đầu tư, xây dựng, cấp phép xây dựng, nghiệm thu phòng cháy, chữa cháy. Đến nay, diện tích đã thực hiện bồi thường, GPMB được 1.292,71ha, đạt </w:t>
      </w:r>
      <w:r>
        <w:rPr>
          <w:rFonts w:ascii="Times New Roman" w:hAnsi="Times New Roman" w:eastAsia="Times New Roman" w:cs="Times New Roman"/>
          <w:color w:val="000000"/>
          <w:sz w:val="24"/>
        </w:rPr>
        <w:t xml:space="preserve">65% so với diện tích cần GPMB và còn chậm so với yêu cầu đề ra.</w:t>
      </w:r>
      <w:r>
        <w:rPr>
          <w:rFonts w:ascii="Times New Roman" w:hAnsi="Times New Roman" w:cs="Times New Roman"/>
          <w:sz w:val="24"/>
        </w:rPr>
      </w:r>
      <w:r>
        <w:rPr>
          <w:rFonts w:ascii="Times New Roman" w:hAnsi="Times New Roman" w:cs="Times New Roman"/>
          <w:sz w:val="24"/>
        </w:rPr>
      </w:r>
    </w:p>
    <w:p>
      <w:pPr>
        <w:pStyle w:val="1063"/>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450"/>
        </w:tabs>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Cùng với các KCN đã đi vào hoạt động, huyện Bình Xuyên đang phối hợp với các sở, ngành triển khai công tác xúc tiến, thu hút các nhà đầu tư có năng lực, kinh nghiệm trong phát triển hạ tầng công nghiệp; tiếp tục đẩy mạnh công tác GPMB đối với các khu, cụm </w:t>
      </w:r>
      <w:r>
        <w:rPr>
          <w:rFonts w:ascii="Times New Roman" w:hAnsi="Times New Roman" w:eastAsia="Times New Roman" w:cs="Times New Roman"/>
          <w:color w:val="000000"/>
          <w:sz w:val="24"/>
        </w:rPr>
        <w:t xml:space="preserve">công nghiệp đã được quy hoạch nhằm đảm bảo tiến độ bàn giao đất cho chủ đầu tư phục vụ xây dựng hạ tầng công nghiệp. Điển hình như dự án KCN Sơn Lôi có tổng diện tích được quy hoạch hơn 276ha, trong đó, đất KCN hơn 257ha. Đến nay, huyện Bình Xuyên đã tiến </w:t>
      </w:r>
      <w:r>
        <w:rPr>
          <w:rFonts w:ascii="Times New Roman" w:hAnsi="Times New Roman" w:eastAsia="Times New Roman" w:cs="Times New Roman"/>
          <w:color w:val="000000"/>
          <w:sz w:val="24"/>
        </w:rPr>
        <w:t xml:space="preserve">hành thu hồi, đền bù, GPMB được hơn 117ha. Đối với diện tích còn lại cần thu hồi, bồi thường, huyện tiếp tục thực hiện rà soát, kiểm đếm, hoàn thiện công tác GPMB và tính toán nhu cầu tái định cư với các hộ dân có đất thổ cư nằm trong quy hoạch KCN.</w:t>
      </w:r>
      <w:r>
        <w:rPr>
          <w:rFonts w:ascii="Times New Roman" w:hAnsi="Times New Roman" w:cs="Times New Roman"/>
          <w:sz w:val="24"/>
        </w:rPr>
      </w:r>
      <w:r>
        <w:rPr>
          <w:rFonts w:ascii="Times New Roman" w:hAnsi="Times New Roman" w:cs="Times New Roman"/>
          <w:sz w:val="24"/>
        </w:rPr>
      </w:r>
    </w:p>
    <w:p>
      <w:pPr>
        <w:pStyle w:val="1063"/>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450"/>
        </w:tabs>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Hiện thực hóa mục tiêu đến năm 2030, Tam Dương trở thành huyện công nghiệp của tỉnh, thời gian qua, huyện đã tập trung GPMB, phát triển hạ tầng, thu hút các nhà đầu tư. Trên địa bàn huyện Tam Dương đang thực hiện bồi thường, GPMB, tái định cư 2/3 KCN. Tại </w:t>
      </w:r>
      <w:r>
        <w:rPr>
          <w:rFonts w:ascii="Times New Roman" w:hAnsi="Times New Roman" w:eastAsia="Times New Roman" w:cs="Times New Roman"/>
          <w:color w:val="000000"/>
          <w:sz w:val="24"/>
        </w:rPr>
        <w:t xml:space="preserve">dự án KCN Tam Dương II khu A, tổng diện tích thuộc địa bàn huyện sau điều chỉnh quy hoạch lần 3 là 127,87ha; diện tích các hộ đã nhận tiền bồi thường, hỗ trợ là 103,247ha (đạt 80,74%); còn lại 24,623 ha chưa GPMB. Dự án KCN Tam Dương I khu vực 2 với tổng</w:t>
      </w:r>
      <w:r>
        <w:rPr>
          <w:rFonts w:ascii="Times New Roman" w:hAnsi="Times New Roman" w:eastAsia="Times New Roman" w:cs="Times New Roman"/>
          <w:color w:val="000000"/>
          <w:sz w:val="24"/>
        </w:rPr>
        <w:t xml:space="preserve"> diện tích quy hoạch 162,33ha, đã giải phóng mặt bằng được hơn 109ha; còn 1,2ha mặt bằng đang gặp vướng mắc. Khó khăn lớn nhất hiện nay là còn 71 hộ dân chưa nhận tiền bồi thường, GPMB dù phương án bồi thường, GPMB được phê duyệt từ giai đoạn 2014-2016. Hu</w:t>
      </w:r>
      <w:r>
        <w:rPr>
          <w:rFonts w:ascii="Times New Roman" w:hAnsi="Times New Roman" w:eastAsia="Times New Roman" w:cs="Times New Roman"/>
          <w:color w:val="000000"/>
          <w:sz w:val="24"/>
        </w:rPr>
        <w:t xml:space="preserve">yện đã phối hợp mời các hộ chưa nhận tiền theo phương án được duyệt để chi trả tiền theo quy định nhưng các hộ không nhất trí nhận tiền, đề nghị Nhà nước xem xét bồi thường, GPMB theo giá thời điểm hiện tại.</w:t>
      </w:r>
      <w:r>
        <w:rPr>
          <w:rFonts w:ascii="Times New Roman" w:hAnsi="Times New Roman" w:cs="Times New Roman"/>
          <w:sz w:val="24"/>
        </w:rPr>
      </w:r>
      <w:r>
        <w:rPr>
          <w:rFonts w:ascii="Times New Roman" w:hAnsi="Times New Roman" w:cs="Times New Roman"/>
          <w:sz w:val="24"/>
        </w:rPr>
      </w:r>
    </w:p>
    <w:p>
      <w:pPr>
        <w:pStyle w:val="1063"/>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450"/>
        </w:tabs>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Mặt khác, các hộ dân đã được UBND huyện Tam Dương thu hồi đất và UBND tỉnh phê duyệt phương án bồi thường, GPMB từ giai đoạn 2014-2016 nhưng đến năm 2024 mới xây dựng xong hạ tầng khu đất tái định cư, dẫn đến sự chênh lệch về giá đất giữa 2 thời</w:t>
      </w:r>
      <w:r>
        <w:rPr>
          <w:rFonts w:ascii="Times New Roman" w:hAnsi="Times New Roman" w:eastAsia="Times New Roman" w:cs="Times New Roman"/>
          <w:color w:val="000000"/>
          <w:sz w:val="24"/>
        </w:rPr>
        <w:t xml:space="preserve"> điểm (thời điểm thu hồi đất năm 2014-2016 và thời điểm tái định cư hiện nay) nên các hộ dân không đồng ý nộp chênh lệch giá giữa 2 thời điểm nêu trên.</w:t>
      </w:r>
      <w:r>
        <w:rPr>
          <w:rFonts w:ascii="Times New Roman" w:hAnsi="Times New Roman" w:cs="Times New Roman"/>
          <w:sz w:val="24"/>
        </w:rPr>
      </w:r>
      <w:r>
        <w:rPr>
          <w:rFonts w:ascii="Times New Roman" w:hAnsi="Times New Roman" w:cs="Times New Roman"/>
          <w:sz w:val="24"/>
        </w:rPr>
      </w:r>
    </w:p>
    <w:p>
      <w:pPr>
        <w:pStyle w:val="1063"/>
        <w:numPr>
          <w:ilvl w:val="0"/>
          <w:numId w:val="40"/>
        </w:numPr>
        <w:pBdr>
          <w:top w:val="none" w:color="000000" w:sz="4" w:space="0"/>
          <w:left w:val="none" w:color="000000" w:sz="4" w:space="0"/>
          <w:bottom w:val="none" w:color="000000" w:sz="4" w:space="0"/>
          <w:right w:val="none" w:color="000000" w:sz="4" w:space="0"/>
        </w:pBdr>
        <w:shd w:val="clear" w:color="ffffff" w:fill="ffffff"/>
        <w:tabs>
          <w:tab w:val="left" w:leader="none" w:pos="180"/>
          <w:tab w:val="left" w:leader="none" w:pos="360"/>
          <w:tab w:val="left" w:leader="none" w:pos="450"/>
        </w:tabs>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Nhằm chủ động tháo gỡ "nút thắt” mặt bằng các KCN, tại Hội nghị “Phát triển bền vững KCN tỉnh Vĩnh Phúc” tổ chức cuối tháng 9 vừa qua, Chủ tịch UBND tỉnh Vĩnh Phúc Trần Duy Đông giao các Sở, ngành và địa phương chậm nhất trong tháng 12/2024 phải hoàn thành</w:t>
      </w:r>
      <w:r>
        <w:rPr>
          <w:rFonts w:ascii="Times New Roman" w:hAnsi="Times New Roman" w:eastAsia="Times New Roman" w:cs="Times New Roman"/>
          <w:color w:val="000000"/>
          <w:sz w:val="24"/>
        </w:rPr>
        <w:t xml:space="preserve"> đấu giá mỏ đất phục vụ san lấp mặt bằng KCN. Sở Tài nguyên và Môi trường phối hợp với UBND các huyện hoàn thành việc xác định giá đất, hỗ trợ việc cấp Giấy chứng nhận quyền sử dụng đất. Sở Kế hoạch và Đầu tư cùng Sở Tài chính bố trí kinh phí thực hiện các</w:t>
      </w:r>
      <w:r>
        <w:rPr>
          <w:rFonts w:ascii="Times New Roman" w:hAnsi="Times New Roman" w:eastAsia="Times New Roman" w:cs="Times New Roman"/>
          <w:color w:val="000000"/>
          <w:sz w:val="24"/>
        </w:rPr>
        <w:t xml:space="preserve"> dự án tái định cư để hoàn thiện công tác GPMB cho các dự án; kết hợp tuyên truyền, vận động để người dân hiểu và ủng hộ công tác GPMB.</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rPr>
      </w:pPr>
      <w:r>
        <w:rPr>
          <w:rFonts w:ascii="Times New Roman" w:hAnsi="Times New Roman" w:eastAsia="Times New Roman" w:cs="Times New Roman"/>
          <w:b/>
          <w:color w:val="000000"/>
          <w:sz w:val="24"/>
        </w:rPr>
        <w:t xml:space="preserve">Đồng hành, hỗ trợ hiệu quả cho các nhà đầu tư</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Với các giải pháp đồng bộ, hiệu quả trong phát triển hạ tầng và thu hút đầu tư, từ năm 2021 đến tháng 10/2024, Vĩnh Phúc đã chấp thuận chủ trương đầu tư, thành lập mới 8 KCN với tổng diện tích quy hoạch hơn 1.300 ha, nâng tổng số KCN lên 17 khu; tổng vốn đ</w:t>
      </w:r>
      <w:r>
        <w:rPr>
          <w:rFonts w:ascii="Times New Roman" w:hAnsi="Times New Roman" w:eastAsia="Times New Roman" w:cs="Times New Roman"/>
          <w:color w:val="000000"/>
          <w:sz w:val="24"/>
        </w:rPr>
        <w:t xml:space="preserve">ầu tư đăng ký mới hơn 9.400 tỷ đồng và 129,4 triệu USD. Vốn đăng ký đầu tư của các dự án hạ tầng KCN giai đoạn 2021 - 2025 tăng 2,14 lần so với giai đoạn 2016 - 2020. Toàn tỉnh hiện có 9/17 KCN đã đi vào hoạt động.</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Theo đánh giá của Ban Quản lý các KCN tỉnh, các KCN được xây dựng trong giai đoạn 2021 - 2025 đã tạo ra quỹ đất sạch, có hạ tầng kỹ thuật và các công trình phụ trợ, công trình phúc lợi tương đối đồng bộ, đáp ứng các yêu cầu cơ bản phục vụ thu hút đầu tư. N</w:t>
      </w:r>
      <w:r>
        <w:rPr>
          <w:rFonts w:ascii="Times New Roman" w:hAnsi="Times New Roman" w:eastAsia="Times New Roman" w:cs="Times New Roman"/>
          <w:color w:val="000000"/>
          <w:sz w:val="24"/>
        </w:rPr>
        <w:t xml:space="preserve">hiều KCN đã chú trọng xây dựng hạ tầng kỹ thuật kết hợp với hạ tầng cây xanh và hệ thống xử lý nước thải, khí thải ứng dụng công nghệ tiên tiến. Cơ sở hạ tầng được đầu tư quy mô đã giúp các KCN thu hút nhiều dự án, sản xuất ra những sản phẩm công nghiệp ch</w:t>
      </w:r>
      <w:r>
        <w:rPr>
          <w:rFonts w:ascii="Times New Roman" w:hAnsi="Times New Roman" w:eastAsia="Times New Roman" w:cs="Times New Roman"/>
          <w:color w:val="000000"/>
          <w:sz w:val="24"/>
        </w:rPr>
        <w:t xml:space="preserve">ủ lực, giải quyết việc làm cho hơn 140 nghìn lao động, góp phần tăng thu ngân sách, đóng góp tích cực vào phát triển kinh tế - xã hội của tỉnh.</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Đẩy mạnh phát triển công nghiệp theo chiều sâu, tạo đột phá nâng cao năng suất, chất lượng gắn với tăng cường đầu tư xây dựng và phát triển hạ tầng KCN theo hướng tăng trưởng xanh và bền vững, giai đoạn tiếp theo, Vĩnh Phúc tiếp tục triển khai các giải phá</w:t>
      </w:r>
      <w:r>
        <w:rPr>
          <w:rFonts w:ascii="Times New Roman" w:hAnsi="Times New Roman" w:eastAsia="Times New Roman" w:cs="Times New Roman"/>
          <w:color w:val="000000"/>
          <w:sz w:val="24"/>
        </w:rPr>
        <w:t xml:space="preserve">p tháo gỡ khó khăn trong công tác bồi thường, GPMB, giải quyết tình trạng chậm tiến độ xây dựng; nâng cao chất lượng quy hoạch chi tiết các KCN; tăng cường thu hút nhà đầu tư thứ cấp, tăng tỷ lệ lấp đầy các KCN.</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Trong quá trình triển khai thực hiện nhiệm vụ quản lý Nhà nước về phát triển các KCN của tỉnh, Ban Quản lý các KCN Vĩnh Phúc đã không ngừng nâng cao vai trò, chức trách, nhiệm vụ được UBND tỉnh giao; nỗ lực đẩy mạnh xúc tiến, thu hút đầu tư và phát triển h</w:t>
      </w:r>
      <w:r>
        <w:rPr>
          <w:rFonts w:ascii="Times New Roman" w:hAnsi="Times New Roman" w:eastAsia="Times New Roman" w:cs="Times New Roman"/>
          <w:color w:val="000000"/>
          <w:sz w:val="24"/>
        </w:rPr>
        <w:t xml:space="preserve">ạ tầng các KCN; đồng thời đồng hành, sát cánh, hỗ trợ hiệu quả cho các nhà đầu tư và doanh nghiệp (từ khâu giải quyết các thủ tục hành chính, giải phóng mặt bằng, phối hợp cùng các cơ quan liên quan kịp thời giải quyết các khó khăn, vướng mắc cho các nhà đ</w:t>
      </w:r>
      <w:r>
        <w:rPr>
          <w:rFonts w:ascii="Times New Roman" w:hAnsi="Times New Roman" w:eastAsia="Times New Roman" w:cs="Times New Roman"/>
          <w:color w:val="000000"/>
          <w:sz w:val="24"/>
        </w:rPr>
        <w:t xml:space="preserve">ầu tư và doanh nghiệp…).</w:t>
      </w:r>
      <w:r>
        <w:rPr>
          <w:rFonts w:ascii="Times New Roman" w:hAnsi="Times New Roman" w:cs="Times New Roman"/>
          <w:sz w:val="24"/>
        </w:rPr>
      </w:r>
      <w:r>
        <w:rPr>
          <w:rFonts w:ascii="Times New Roman" w:hAnsi="Times New Roman" w:cs="Times New Roman"/>
          <w:sz w:val="24"/>
        </w:rPr>
      </w:r>
    </w:p>
    <w:p>
      <w:pPr>
        <w:pBdr>
          <w:top w:val="none" w:color="000000" w:sz="4" w:space="0"/>
          <w:left w:val="none" w:color="000000" w:sz="4" w:space="0"/>
          <w:bottom w:val="none" w:color="000000" w:sz="4" w:space="0"/>
          <w:right w:val="none" w:color="000000" w:sz="4" w:space="0"/>
        </w:pBdr>
        <w:shd w:val="clear" w:color="ffffff" w:fill="ffffff"/>
        <w:spacing w:after="150" w:before="0"/>
        <w:ind w:right="0" w:firstLine="0" w:left="0"/>
        <w:rPr>
          <w:rFonts w:ascii="Times New Roman" w:hAnsi="Times New Roman" w:cs="Times New Roman"/>
          <w:sz w:val="24"/>
        </w:rPr>
      </w:pPr>
      <w:r>
        <w:rPr>
          <w:rFonts w:ascii="Times New Roman" w:hAnsi="Times New Roman" w:eastAsia="Times New Roman" w:cs="Times New Roman"/>
          <w:color w:val="000000"/>
          <w:sz w:val="24"/>
        </w:rPr>
        <w:t xml:space="preserve">Có thể nói, với việc tận dụng thời cơ và nắm bắt cơ hội để đón các nhà đầu tư, nhất là khi Việt Nam đang là điểm đến an toàn, Vĩnh Phúc đã và đang đẩy mạnh các hoạt động cải thiện môi trường đầu tư, xúc tiến đầu tư, nâng cấp hạ tầng các khu, cụm công nghiệ</w:t>
      </w:r>
      <w:r>
        <w:rPr>
          <w:rFonts w:ascii="Times New Roman" w:hAnsi="Times New Roman" w:eastAsia="Times New Roman" w:cs="Times New Roman"/>
          <w:color w:val="000000"/>
          <w:sz w:val="24"/>
        </w:rPr>
        <w:t xml:space="preserve">p. Đặc biệt, với sự đầu tư bài bản, đồng bộ về hạ tầng kỹ thuật và có cách thức quản lý chuyên nghiệp, các công ty đầu tư phát triển hạ tầng KCN đã tạo được sự tin tưởng của các nhà đầu tư trong và ngoài nước, nhất là các nhà đầu tư chiến lược. Điều này đã</w:t>
      </w:r>
      <w:r>
        <w:rPr>
          <w:rFonts w:ascii="Times New Roman" w:hAnsi="Times New Roman" w:eastAsia="Times New Roman" w:cs="Times New Roman"/>
          <w:color w:val="000000"/>
          <w:sz w:val="24"/>
        </w:rPr>
        <w:t xml:space="preserve"> tạo nên sự khác biệt, sức hấp dẫn riêng cho các KCN trên địa bàn tỉnh Vĩnh Phúc.</w:t>
      </w:r>
      <w:r>
        <w:rPr>
          <w:rFonts w:ascii="Times New Roman" w:hAnsi="Times New Roman" w:cs="Times New Roman"/>
          <w:sz w:val="24"/>
        </w:rPr>
      </w:r>
      <w:r>
        <w:rPr>
          <w:rFonts w:ascii="Times New Roman" w:hAnsi="Times New Roman" w:cs="Times New Roman"/>
          <w:sz w:val="24"/>
        </w:rPr>
      </w:r>
    </w:p>
    <w:p>
      <w:pPr>
        <w:pBdr/>
        <w:tabs>
          <w:tab w:val="left" w:leader="none" w:pos="426"/>
        </w:tabs>
        <w:spacing w:after="120" w:before="120" w:line="276" w:lineRule="auto"/>
        <w:ind/>
        <w:jc w:val="center"/>
        <w:rPr>
          <w:i/>
          <w:iCs/>
        </w:rPr>
      </w:pPr>
      <w:r>
        <w:rPr>
          <w:i/>
          <w:iCs/>
          <w:lang w:val="pt-BR"/>
        </w:rPr>
        <w:t xml:space="preserve">(Nguồn: </w:t>
      </w:r>
      <w:r>
        <w:rPr>
          <w:i/>
          <w:iCs/>
          <w:lang w:val="pt-BR"/>
        </w:rPr>
        <w:t xml:space="preserve">https://vccinews.vn/prode/55706/vinh-phuc-day-manh-xay-dung-phat-trien-ha-tang-cac-khu-cong-nghiep.html</w:t>
      </w:r>
      <w:r>
        <w:rPr>
          <w:i/>
          <w:iCs/>
          <w:lang w:val="pt-BR"/>
        </w:rPr>
        <w:t xml:space="preserve">)</w:t>
        <w:tab/>
      </w:r>
      <w:r>
        <w:rPr>
          <w:i/>
          <w:iCs/>
        </w:rPr>
      </w:r>
      <w:r>
        <w:rPr>
          <w:i/>
          <w:iCs/>
        </w:rPr>
      </w:r>
    </w:p>
    <w:p>
      <w:pPr>
        <w:pStyle w:val="1063"/>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và tài sản gắn liền với đất tại thửa đất số: 66, tờ bản đồ số 6 có địa chỉ: Khu công nghiệp Thăng Long Vĩnh Phúc, xã Tam Hợp, huyện Bình Xuyên, tỉnh Vĩnh Phúc (Nay là xã Bình Nguyên, tỉnh Phú Thọ)</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DE 621347, số vào sổ cấp GCN: CT 23957 do Sở Tài Nguyên và Môi trường tỉnh Vĩnh Phúc cấp ngày 18/03/2022 cho Công ty Cổ phần CNCTECH Hà Nam</w:t>
            </w:r>
            <w:r>
              <w:rPr>
                <w:b/>
                <w:bCs/>
                <w:color w:val="000000"/>
              </w:rPr>
              <w:t xml:space="preserve">.</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rFonts w:ascii="Times New Roman" w:hAnsi="Times New Roman" w:eastAsia="Times New Roman" w:cs="Times New Roman"/>
                <w:b w:val="0"/>
                <w:bCs w:val="0"/>
                <w:color w:val="000000"/>
                <w:sz w:val="24"/>
              </w:rPr>
              <w:t xml:space="preserve">Khu công nghiệp Thăng Long Vĩnh Phúc, xã Tam Hợp, huyện Bình Xuyên, tỉnh Vĩnh Phúc (Nay là xã Bình Nguyên, tỉnh Phú Thọ)</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24516,6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khu công nghiệp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sz w:val="22"/>
                <w:szCs w:val="22"/>
              </w:rPr>
            </w:pPr>
            <w:r>
              <w:rPr>
                <w:color w:val="000000" w:themeColor="text1"/>
                <w:sz w:val="22"/>
                <w:szCs w:val="22"/>
              </w:rPr>
              <w:t xml:space="preserve">Có thời hạn (đến 13/10/2065)</w:t>
            </w:r>
            <w:r>
              <w:rPr>
                <w:color w:val="000000"/>
                <w:sz w:val="22"/>
                <w:szCs w:val="22"/>
              </w:rPr>
            </w:r>
            <w:r>
              <w:rPr>
                <w:color w:val="000000"/>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Thuê đất trả tiền một lần của doanh nghiệp đầu tư hạ tầng khu công nghiệp</w:t>
            </w:r>
            <w:r>
              <w:rPr>
                <w:color w:val="000000"/>
              </w:rPr>
            </w:r>
            <w:r>
              <w:rPr>
                <w:color w:val="000000"/>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w:t xml:space="preserve">Thuê lại đất của Công ty TNHH Khu công nghiệp Thăng Long Vĩnh Phúc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 có vỉa hè (đường nội bộ khu công nghiệp)</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2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Thửa đất cách DT30B khoảng 2800m</w:t>
            </w:r>
            <w:r>
              <w:rPr>
                <w:color w:val="000000"/>
              </w:rPr>
            </w:r>
            <w:r>
              <w:rPr>
                <w:color w:val="000000"/>
              </w:rPr>
            </w:r>
          </w:p>
        </w:tc>
      </w:tr>
      <w:tr>
        <w:trPr>
          <w:trHeight w:val="31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bookmarkStart w:id="3" w:name="OLE_LINK1"/>
            <w:r>
              <w:rPr>
                <w:color w:val="000000" w:themeColor="text1"/>
              </w:rPr>
            </w:r>
            <w:bookmarkEnd w:id="3"/>
            <w:r>
              <w:t xml:space="preserve">-</w:t>
            </w:r>
            <w:r>
              <w:rPr>
                <w:rFonts w:ascii="Times New Roman" w:hAnsi="Times New Roman" w:eastAsia="Times New Roman" w:cs="Times New Roman"/>
                <w:color w:val="000000"/>
                <w:sz w:val="24"/>
              </w:rPr>
              <w:t xml:space="preserve">Hướng Đông bắc: Tiếp giáp đường  nhựa rộng 20m</w:t>
            </w:r>
            <w:r/>
          </w:p>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-Hướng Đông nam: </w:t>
            </w:r>
            <w:r>
              <w:rPr>
                <w:rFonts w:ascii="Times New Roman" w:hAnsi="Times New Roman" w:eastAsia="Times New Roman" w:cs="Times New Roman"/>
                <w:color w:val="000000"/>
                <w:sz w:val="24"/>
              </w:rPr>
              <w:t xml:space="preserve">Tiếp giáp đường  nhựa rộng 15m</w:t>
            </w:r>
            <w:r>
              <w:rPr>
                <w:rFonts w:ascii="Times New Roman" w:hAnsi="Times New Roman" w:eastAsia="Times New Roman" w:cs="Times New Roman"/>
                <w:color w:val="000000"/>
                <w:sz w:val="24"/>
              </w:rPr>
              <w:t xml:space="preserve">.</w:t>
            </w:r>
            <w:r/>
          </w:p>
          <w:p>
            <w:pPr>
              <w:pBdr/>
              <w:spacing/>
              <w:ind/>
              <w:rPr>
                <w:color w:val="000000" w:themeColor="text1"/>
              </w:rPr>
            </w:pPr>
            <w:r>
              <w:rPr>
                <w:rFonts w:ascii="Times New Roman" w:hAnsi="Times New Roman" w:eastAsia="Times New Roman" w:cs="Times New Roman"/>
                <w:color w:val="000000"/>
                <w:sz w:val="24"/>
              </w:rPr>
              <w:t xml:space="preserve">Các hướng khác: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21.305166666667</w:t>
            </w:r>
            <w:r>
              <w:rPr>
                <w:color w:val="000000"/>
              </w:rPr>
              <w:t xml:space="preserve">, </w:t>
            </w:r>
            <w:r>
              <w:rPr>
                <w:color w:val="000000"/>
              </w:rPr>
              <w:t xml:space="preserve">105.66138888889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6.67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24516,6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142,8</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172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r>
            <w:r>
              <w:rPr>
                <w:rFonts w:ascii="Times New Roman" w:hAnsi="Times New Roman" w:eastAsia="Times New Roman" w:cs="Times New Roman"/>
                <w:color w:val="000000"/>
                <w:sz w:val="24"/>
              </w:rPr>
              <w:t xml:space="preserve">Phù hợp làm kho xưởng/nhà máy</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rFonts w:ascii="Times New Roman" w:hAnsi="Times New Roman" w:eastAsia="Times New Roman" w:cs="Times New Roman"/>
                <w:color w:val="000000"/>
                <w:sz w:val="24"/>
              </w:rPr>
              <w:t xml:space="preserve">Tốt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bl>
    <w:p>
      <w:pPr>
        <w:pBdr/>
        <w:spacing w:line="235" w:lineRule="auto"/>
        <w:ind w:left="646"/>
        <w:jc w:val="both"/>
        <w:rPr>
          <w:u w:val="single"/>
        </w:rPr>
      </w:pPr>
      <w:r>
        <w:rPr>
          <w:u w:val="single"/>
        </w:rPr>
      </w:r>
      <w:r>
        <w:rPr>
          <w:u w:val="single"/>
        </w:rPr>
      </w:r>
      <w:r>
        <w:rPr>
          <w:u w:val="single"/>
        </w:rPr>
      </w:r>
    </w:p>
    <w:tbl>
      <w:tblPr>
        <w:tblStyle w:val="106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734"/>
        <w:gridCol w:w="2522"/>
        <w:gridCol w:w="1134"/>
        <w:gridCol w:w="1134"/>
        <w:gridCol w:w="709"/>
        <w:gridCol w:w="4819"/>
        <w:gridCol w:w="1559"/>
        <w:gridCol w:w="1842"/>
      </w:tblGrid>
      <w:tr>
        <w:trPr>
          <w:trHeight w:val="2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TT</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Hạng mục</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 Diện tích XD (m²)</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 Diện tích sàn (m²)</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Số tầng</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48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Mô tả</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Thời gian hoàn thành xây dựng/ ngày quyết toán.</w:t>
            </w:r>
            <w:r>
              <w:rPr>
                <w:highlight w:val="white"/>
              </w:rPr>
            </w:r>
            <w:r>
              <w:rPr>
                <w:highlight w:val="white"/>
              </w:rP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2"/>
                <w:highlight w:val="white"/>
              </w:rPr>
              <w:t xml:space="preserve">Ghi chú</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4"/>
                <w:highlight w:val="white"/>
              </w:rPr>
              <w:t xml:space="preserve">1</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highlight w:val="white"/>
              </w:rPr>
            </w:pPr>
            <w:r>
              <w:rPr>
                <w:rFonts w:ascii="Times New Roman" w:hAnsi="Times New Roman" w:eastAsia="Times New Roman" w:cs="Times New Roman"/>
                <w:b/>
                <w:color w:val="000000"/>
                <w:sz w:val="24"/>
                <w:highlight w:val="white"/>
              </w:rPr>
              <w:t xml:space="preserve">Nhà xưởng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48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1.1</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highlight w:val="white"/>
              </w:rPr>
            </w:pPr>
            <w:r>
              <w:rPr>
                <w:rFonts w:ascii="Times New Roman" w:hAnsi="Times New Roman" w:eastAsia="Times New Roman" w:cs="Times New Roman"/>
                <w:color w:val="000000"/>
                <w:sz w:val="24"/>
                <w:highlight w:val="white"/>
              </w:rPr>
              <w:t xml:space="preserve">Nhà xưởng F4-B</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14.528</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29.890,2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02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48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Nhà xưởng có khẩu độ 128m, chiều dài khoảng 113,5m, chiều cao đỉnh khoảng 19,9m</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Kết cấu: sử dụng kết cấu móng cọc ly tâm, hệ cột dầm sàn cột bê tông đúc sẵn lắp ghép, tường gạch trên quây tôn; hệ mái kèo thép, mái tôn; không có cẩu trục. </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Hiện trạng đang sử dụng nhà xưởng kết hợp văn phòng, ngoại quan khá mới.</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27/02/2023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Công trình đã được chứng nhận trên GCN số DG 348254</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1.2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highlight w:val="white"/>
              </w:rPr>
            </w:pPr>
            <w:r>
              <w:rPr>
                <w:rFonts w:ascii="Times New Roman" w:hAnsi="Times New Roman" w:eastAsia="Times New Roman" w:cs="Times New Roman"/>
                <w:color w:val="000000"/>
                <w:sz w:val="24"/>
                <w:highlight w:val="white"/>
              </w:rPr>
              <w:t xml:space="preserve">Nâng cấp sàn bên trong nhà xưởng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48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Nâng cấp phần nền móng, nâng cấp phần bê tông bên trong nhà xưởng</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30/11/2023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highlight w:val="white"/>
              </w:rPr>
            </w:pPr>
            <w:r>
              <w:rPr>
                <w:rFonts w:ascii="Times New Roman" w:hAnsi="Times New Roman" w:eastAsia="Times New Roman" w:cs="Times New Roman"/>
                <w:color w:val="000000"/>
                <w:sz w:val="24"/>
                <w:highlight w:val="white"/>
              </w:rPr>
              <w:t xml:space="preserve">Hệ thống phòng cháy chữa cháy và hệ thống hút khói nhà xưởng F4B</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48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Gồm hệ thống chữa cháy bao gồm đường ống chữa cháy, thiết bị chữa cháy, hệ thống báo cháy, đèn sự cố và đèn thoát hiểm.Hệ thống hút khói bao gồm quạt hút, ống gió và phụ kiện, điện cho hệ thống quạt,… </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Hiện trạng sử dụng tốt</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21/12/2022</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highlight w:val="white"/>
              </w:rPr>
            </w:pPr>
            <w:r>
              <w:rPr>
                <w:rFonts w:ascii="Times New Roman" w:hAnsi="Times New Roman" w:eastAsia="Times New Roman" w:cs="Times New Roman"/>
                <w:color w:val="000000"/>
                <w:sz w:val="24"/>
                <w:highlight w:val="white"/>
              </w:rPr>
              <w:t xml:space="preserve">Các hạng mục phụ trợ:</w:t>
              <w:br/>
              <w:t xml:space="preserve"> Nhà bảo vệ,</w:t>
              <w:br/>
              <w:t xml:space="preserve"> Bể xử lý nước thải</w:t>
              <w:br/>
              <w:t xml:space="preserve"> Hạ tầng kỹ thuật bao gồm: hệ thống điện, đường giao thông, tường rào, cổng</w:t>
              <w:br/>
              <w:t xml:space="preserve"> Camera, thang máy,  hệ thống sàn nâng tự động, cửa cuốn</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0"/>
              <w:ind w:right="57" w:firstLine="0" w:left="57"/>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48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Các hạng mục phụ trợ bao gồm:</w:t>
            </w:r>
            <w:r>
              <w:rPr>
                <w:highlight w:val="white"/>
              </w:rPr>
            </w:r>
            <w:r>
              <w:rPr>
                <w:highlight w:val="white"/>
              </w:rPr>
            </w:r>
          </w:p>
          <w:p>
            <w:pPr>
              <w:numPr>
                <w:ilvl w:val="0"/>
                <w:numId w:val="53"/>
              </w:numPr>
              <w:pBdr>
                <w:top w:val="none" w:color="000000" w:sz="4" w:space="0"/>
                <w:left w:val="none" w:color="000000" w:sz="4" w:space="0"/>
                <w:bottom w:val="none" w:color="000000" w:sz="4" w:space="0"/>
                <w:right w:val="none" w:color="000000" w:sz="4" w:space="0"/>
              </w:pBdr>
              <w:spacing w:after="0" w:before="0"/>
              <w:ind/>
              <w:jc w:val="both"/>
              <w:rPr>
                <w:highlight w:val="white"/>
              </w:rPr>
            </w:pPr>
            <w:r>
              <w:rPr>
                <w:rFonts w:ascii="Times New Roman" w:hAnsi="Times New Roman" w:eastAsia="Times New Roman" w:cs="Times New Roman"/>
                <w:color w:val="000000"/>
                <w:sz w:val="24"/>
                <w:highlight w:val="white"/>
              </w:rPr>
              <w:t xml:space="preserve">Nhà bảo vệ: Diện tích 50m2, nhà 01 tầng, mái bằng, tường xây gạch, nền sàn lát gạch men. Hiện trạng đang sử dụng bình thường.</w:t>
            </w:r>
            <w:r>
              <w:rPr>
                <w:highlight w:val="white"/>
              </w:rPr>
            </w:r>
            <w:r>
              <w:rPr>
                <w:highlight w:val="white"/>
              </w:rPr>
            </w:r>
          </w:p>
          <w:p>
            <w:pPr>
              <w:numPr>
                <w:ilvl w:val="0"/>
                <w:numId w:val="53"/>
              </w:numPr>
              <w:pBdr>
                <w:top w:val="none" w:color="000000" w:sz="4" w:space="0"/>
                <w:left w:val="none" w:color="000000" w:sz="4" w:space="0"/>
                <w:bottom w:val="none" w:color="000000" w:sz="4" w:space="0"/>
                <w:right w:val="none" w:color="000000" w:sz="4" w:space="0"/>
              </w:pBdr>
              <w:spacing w:after="0" w:before="0"/>
              <w:ind/>
              <w:jc w:val="both"/>
              <w:rPr>
                <w:highlight w:val="white"/>
              </w:rPr>
            </w:pPr>
            <w:r>
              <w:rPr>
                <w:rFonts w:ascii="Times New Roman" w:hAnsi="Times New Roman" w:eastAsia="Times New Roman" w:cs="Times New Roman"/>
                <w:color w:val="000000"/>
                <w:sz w:val="24"/>
                <w:highlight w:val="white"/>
              </w:rPr>
              <w:t xml:space="preserve">Bể xử lý nước thải: kết cấu bê tông cốt thép</w:t>
            </w:r>
            <w:r>
              <w:rPr>
                <w:highlight w:val="white"/>
              </w:rPr>
            </w:r>
            <w:r>
              <w:rPr>
                <w:highlight w:val="white"/>
              </w:rPr>
            </w:r>
          </w:p>
          <w:p>
            <w:pPr>
              <w:numPr>
                <w:ilvl w:val="0"/>
                <w:numId w:val="53"/>
              </w:numPr>
              <w:pBdr>
                <w:top w:val="none" w:color="000000" w:sz="4" w:space="0"/>
                <w:left w:val="none" w:color="000000" w:sz="4" w:space="0"/>
                <w:bottom w:val="none" w:color="000000" w:sz="4" w:space="0"/>
                <w:right w:val="none" w:color="000000" w:sz="4" w:space="0"/>
              </w:pBdr>
              <w:spacing w:after="0" w:before="0"/>
              <w:ind/>
              <w:jc w:val="both"/>
              <w:rPr>
                <w:highlight w:val="white"/>
              </w:rPr>
            </w:pPr>
            <w:r>
              <w:rPr>
                <w:rFonts w:ascii="Times New Roman" w:hAnsi="Times New Roman" w:eastAsia="Times New Roman" w:cs="Times New Roman"/>
                <w:color w:val="000000"/>
                <w:sz w:val="24"/>
                <w:highlight w:val="white"/>
              </w:rPr>
              <w:t xml:space="preserve">Hạ tầng kỹ thuật bao gồm: hệ thống điện, đường giao thông, tường rào, cổng</w:t>
            </w:r>
            <w:r>
              <w:rPr>
                <w:highlight w:val="white"/>
              </w:rPr>
            </w:r>
            <w:r>
              <w:rPr>
                <w:highlight w:val="white"/>
              </w:rPr>
            </w:r>
          </w:p>
          <w:p>
            <w:pPr>
              <w:numPr>
                <w:ilvl w:val="0"/>
                <w:numId w:val="53"/>
              </w:numPr>
              <w:pBdr>
                <w:top w:val="none" w:color="000000" w:sz="4" w:space="0"/>
                <w:left w:val="none" w:color="000000" w:sz="4" w:space="0"/>
                <w:bottom w:val="none" w:color="000000" w:sz="4" w:space="0"/>
                <w:right w:val="none" w:color="000000" w:sz="4" w:space="0"/>
              </w:pBdr>
              <w:spacing w:after="0" w:before="0"/>
              <w:ind/>
              <w:jc w:val="both"/>
              <w:rPr>
                <w:highlight w:val="white"/>
              </w:rPr>
            </w:pPr>
            <w:r>
              <w:rPr>
                <w:rFonts w:ascii="Times New Roman" w:hAnsi="Times New Roman" w:eastAsia="Times New Roman" w:cs="Times New Roman"/>
                <w:color w:val="000000"/>
                <w:sz w:val="24"/>
                <w:highlight w:val="white"/>
              </w:rPr>
              <w:t xml:space="preserve">Camera hồng ngoại và hệ thống vận hành, thang máy, hệ thống sàn nâng tự động 2500x2000x600, hệ thống cửa cuốn</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27/02/2023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r>
        <w:trPr>
          <w:trHeight w:val="409"/>
        </w:trPr>
        <w:tc>
          <w:tcPr>
            <w:tcBorders>
              <w:left w:val="single" w:color="000000" w:sz="8" w:space="0"/>
              <w:bottom w:val="single" w:color="000000" w:sz="8" w:space="0"/>
              <w:right w:val="single" w:color="000000" w:sz="8" w:space="0"/>
            </w:tcBorders>
            <w:tcMar>
              <w:left w:w="108" w:type="dxa"/>
              <w:top w:w="0" w:type="dxa"/>
              <w:right w:w="108" w:type="dxa"/>
              <w:bottom w:w="0" w:type="dxa"/>
            </w:tcMar>
            <w:tcW w:w="7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4</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highlight w:val="white"/>
              </w:rPr>
            </w:pPr>
            <w:r>
              <w:rPr>
                <w:rFonts w:ascii="Times New Roman" w:hAnsi="Times New Roman" w:eastAsia="Times New Roman" w:cs="Times New Roman"/>
                <w:color w:val="000000"/>
                <w:sz w:val="24"/>
                <w:highlight w:val="white"/>
              </w:rPr>
              <w:t xml:space="preserve">Nhà để xe (cầu kết nối, nhà để xe, PCCC)</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13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70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48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 Nhà để xe 5 tầng kết cấu tường gạch mái bằng, đổ bê tông kích thước khoảng 7x25m/sàn. Hiện trạng sử dụng tốt</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 Hệ thống cầu kết nối. Kết cấu thép,sử dụng hệ thống tự động hóa. Hiện trạng sử dụng tốt</w:t>
            </w:r>
            <w:r>
              <w:rPr>
                <w:highlight w:val="white"/>
              </w:rPr>
            </w:r>
            <w:r>
              <w:rPr>
                <w:highlight w:val="white"/>
              </w:rPr>
            </w:r>
          </w:p>
          <w:p>
            <w:pPr>
              <w:pBdr>
                <w:top w:val="none" w:color="000000" w:sz="4" w:space="0"/>
                <w:left w:val="none" w:color="000000" w:sz="4" w:space="0"/>
                <w:bottom w:val="none" w:color="000000" w:sz="4" w:space="0"/>
                <w:right w:val="none" w:color="000000" w:sz="4" w:space="0"/>
              </w:pBdr>
              <w:spacing w:after="0" w:before="0"/>
              <w:ind w:right="57" w:firstLine="0" w:left="57"/>
              <w:jc w:val="both"/>
              <w:rPr>
                <w:highlight w:val="white"/>
              </w:rPr>
            </w:pPr>
            <w:r>
              <w:rPr>
                <w:rFonts w:ascii="Times New Roman" w:hAnsi="Times New Roman" w:eastAsia="Times New Roman" w:cs="Times New Roman"/>
                <w:color w:val="000000"/>
                <w:sz w:val="24"/>
                <w:highlight w:val="white"/>
              </w:rPr>
              <w:t xml:space="preserve">- Hệ thống phòng cháy chữa cháy, Hộp điều khiển bằng thép, ống dẫn nước bằng thép, sử dụng hệ thống tự động hóa. Hiện trạng đang sử dụng tốt</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23/11/2023</w:t>
            </w:r>
            <w:r>
              <w:rPr>
                <w:highlight w:val="white"/>
              </w:rPr>
            </w:r>
            <w:r>
              <w:rPr>
                <w:highlight w:val="white"/>
              </w:rPr>
            </w:r>
          </w:p>
        </w:tc>
        <w:tc>
          <w:tcPr>
            <w:tcBorders>
              <w:bottom w:val="single" w:color="000000" w:sz="8" w:space="0"/>
              <w:right w:val="single" w:color="000000" w:sz="8" w:space="0"/>
            </w:tcBorders>
            <w:tcMar>
              <w:left w:w="108" w:type="dxa"/>
              <w:top w:w="0" w:type="dxa"/>
              <w:right w:w="108" w:type="dxa"/>
              <w:bottom w:w="0" w:type="dxa"/>
            </w:tcMar>
            <w:tcW w:w="184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highlight w:val="white"/>
              </w:rPr>
            </w:pPr>
            <w:r>
              <w:rPr>
                <w:rFonts w:ascii="Times New Roman" w:hAnsi="Times New Roman" w:eastAsia="Times New Roman" w:cs="Times New Roman"/>
                <w:color w:val="000000"/>
                <w:sz w:val="24"/>
                <w:highlight w:val="white"/>
              </w:rPr>
              <w:t xml:space="preserve"> </w:t>
            </w:r>
            <w:r>
              <w:rPr>
                <w:highlight w:val="white"/>
              </w:rPr>
            </w:r>
            <w:r>
              <w:rPr>
                <w:highlight w:val="white"/>
              </w:rPr>
            </w:r>
          </w:p>
        </w:tc>
      </w:tr>
    </w:tbl>
    <w:p>
      <w:pPr>
        <w:pBdr/>
        <w:spacing w:line="235" w:lineRule="auto"/>
        <w:ind w:left="0"/>
        <w:jc w:val="both"/>
        <w:rPr>
          <w:u w:val="single"/>
        </w:rPr>
      </w:pPr>
      <w:r>
        <w:rPr>
          <w:u w:val="single"/>
        </w:rPr>
      </w: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tbl>
      <w:tblPr>
        <w:tblStyle w:val="106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60"/>
        <w:gridCol w:w="1361"/>
        <w:gridCol w:w="1880"/>
        <w:gridCol w:w="2143"/>
        <w:gridCol w:w="903"/>
        <w:gridCol w:w="1545"/>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Các yếu tố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Thông tin 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Thông tin khảo sát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Chênh lệch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Nguyên nhân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Xã Tam Hợp, Huyện Bình Xuyên, Tỉnh Vĩnh Phúc</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Xã Bình Nguyên, Tỉnh Phú Thọ</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Có</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Thay đổi địa giới hành chính sau sáp nhập tỉnh thành.</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Giấy chứng nhận quyền sử dụng đất, quyền sở hữu nhà ở và tài sản gắn liền với đất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Loại đất</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Đất khu công nghiệp</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Đất khu công nghiệp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Thời hạn sử dụng</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Có thời hạn (đến 13/10/2065)</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Có thời hạn (đến 13/10/2065)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Kết cấu mặt đường</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Đường nhựa có vỉa hè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Diện tích</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24561,6</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24516,6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Mặt tiền</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142,8</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142,8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0</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Mặt tiếp giáp</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Tiếp giáp 2 mặt tiền</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Tiếp giáp 2 mặt tiền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66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Hình dạng thửa đất</w:t>
            </w:r>
            <w:r/>
          </w:p>
        </w:tc>
        <w:tc>
          <w:tcPr>
            <w:tcBorders>
              <w:bottom w:val="single" w:color="000000" w:sz="8" w:space="0"/>
              <w:right w:val="single" w:color="000000" w:sz="8" w:space="0"/>
            </w:tcBorders>
            <w:tcMar>
              <w:left w:w="108" w:type="dxa"/>
              <w:top w:w="0" w:type="dxa"/>
              <w:right w:w="108" w:type="dxa"/>
              <w:bottom w:w="0" w:type="dxa"/>
            </w:tcMar>
            <w:tcW w:w="1880"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214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Hình chữ nhật</w:t>
            </w:r>
            <w:r>
              <w:rPr>
                <w:rFonts w:ascii="Segoe UI Symbol" w:hAnsi="Segoe UI Symbol" w:eastAsia="Segoe UI Symbol" w:cs="Segoe UI Symbol"/>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9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Không</w:t>
            </w:r>
            <w:r/>
          </w:p>
        </w:tc>
        <w:tc>
          <w:tcPr>
            <w:tcBorders>
              <w:bottom w:val="single" w:color="000000" w:sz="8" w:space="0"/>
              <w:right w:val="single" w:color="000000" w:sz="8" w:space="0"/>
            </w:tcBorders>
            <w:tcMar>
              <w:left w:w="108" w:type="dxa"/>
              <w:top w:w="0" w:type="dxa"/>
              <w:right w:w="108" w:type="dxa"/>
              <w:bottom w:w="0" w:type="dxa"/>
            </w:tcMar>
            <w:tcW w:w="15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63"/>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63"/>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63"/>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63"/>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63"/>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63"/>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63"/>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63"/>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63"/>
        <w:numPr>
          <w:ilvl w:val="0"/>
          <w:numId w:val="3"/>
        </w:numPr>
        <w:pBdr/>
        <w:tabs>
          <w:tab w:val="left" w:leader="none" w:pos="993"/>
        </w:tabs>
        <w:spacing w:after="120" w:before="120" w:line="264" w:lineRule="auto"/>
        <w:ind/>
        <w:jc w:val="both"/>
        <w:rPr>
          <w:spacing w:val="-2"/>
          <w:lang w:val="pt-BR"/>
        </w:rPr>
      </w:pPr>
      <w:r>
        <w:rPr>
          <w:i/>
          <w:iCs/>
          <w:lang w:val="vi-VN"/>
        </w:rPr>
      </w:r>
      <w:r>
        <w:rPr>
          <w:rFonts w:ascii="Times New Roman" w:hAnsi="Times New Roman" w:eastAsia="Times New Roman" w:cs="Times New Roman"/>
          <w:i/>
          <w:color w:val="000000"/>
          <w:sz w:val="24"/>
        </w:rPr>
        <w:t xml:space="preserve">Phương pháp chi phí tái tạo:</w:t>
      </w:r>
      <w:r>
        <w:rPr>
          <w:rFonts w:ascii="Times New Roman" w:hAnsi="Times New Roman" w:eastAsia="Times New Roman" w:cs="Times New Roman"/>
          <w:color w:val="000000"/>
          <w:sz w:val="24"/>
        </w:rPr>
        <w:t xml:space="preserve"> </w:t>
      </w:r>
      <w:r>
        <w:rPr>
          <w:rFonts w:ascii="Times New Roman" w:hAnsi="Times New Roman" w:eastAsia="Times New Roman" w:cs="Times New Roman"/>
          <w:i/>
          <w:color w:val="000000"/>
          <w:sz w:val="24"/>
        </w:rPr>
        <w:t xml:space="preserve">Phương pháp chi phí tái tạo xác định giá trị của một tài sản vô hình thông qua việc tính toán chi phí tạo ra một tài sản khác tương đồng với tài sản vô hình cần thẩm định giá theo giá thị trường hiện hành</w:t>
      </w:r>
      <w:r>
        <w:rPr>
          <w:spacing w:val="-2"/>
          <w:lang w:val="pt-BR"/>
        </w:rPr>
        <w:t xml:space="preserve">.</w:t>
      </w:r>
      <w:r>
        <w:rPr>
          <w:spacing w:val="-2"/>
          <w:lang w:val="pt-BR"/>
        </w:rPr>
      </w:r>
      <w:r>
        <w:rPr>
          <w:spacing w:val="-2"/>
          <w:lang w:val="pt-BR"/>
        </w:rPr>
      </w:r>
    </w:p>
    <w:p>
      <w:pPr>
        <w:pStyle w:val="1063"/>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63"/>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63"/>
        <w:numPr>
          <w:ilvl w:val="0"/>
          <w:numId w:val="3"/>
        </w:numPr>
        <w:pBdr/>
        <w:spacing w:after="120" w:before="120" w:line="276" w:lineRule="auto"/>
        <w:ind/>
        <w:jc w:val="both"/>
        <w:rPr>
          <w:lang w:val="de-DE"/>
        </w:rPr>
      </w:pPr>
      <w:r>
        <w:rPr>
          <w:spacing w:val="-4"/>
          <w:lang w:val="pt-BR"/>
        </w:rPr>
      </w:r>
      <w:r>
        <w:rPr>
          <w:rFonts w:ascii="Times New Roman" w:hAnsi="Times New Roman" w:eastAsia="Times New Roman" w:cs="Times New Roman"/>
          <w:color w:val="000000"/>
          <w:spacing w:val="-4"/>
          <w:sz w:val="24"/>
        </w:rPr>
        <w:t xml:space="preserve">Đối với công trình xây dựng gắn liền trên đất, tại thời điểm thẩm định giá, qua thu thập thông tin từ thị trường, Tổ thẩm định nhận thấy thị trường hầu như không phát sinh các giao dịch các công trình xây dựng tương tự tài sản thẩm định. Vì vậy, do hạn chế</w:t>
      </w:r>
      <w:r>
        <w:rPr>
          <w:rFonts w:ascii="Times New Roman" w:hAnsi="Times New Roman" w:eastAsia="Times New Roman" w:cs="Times New Roman"/>
          <w:color w:val="000000"/>
          <w:spacing w:val="-4"/>
          <w:sz w:val="24"/>
        </w:rPr>
        <w:t xml:space="preserve"> về mặt thu thập thông tin, Tổ thẩm định chưa có cơ sở tính toán giá trị các công trình xây dựng dựa trên phương pháp so sánh. Ngoài ra, tài sản thẩm định có tính đặc thù, kết hợp nhà xưởng và văn phòng, xây dưng theo thiết kế riêng, do vậy để xác định giá</w:t>
      </w:r>
      <w:r>
        <w:rPr>
          <w:rFonts w:ascii="Times New Roman" w:hAnsi="Times New Roman" w:eastAsia="Times New Roman" w:cs="Times New Roman"/>
          <w:color w:val="000000"/>
          <w:spacing w:val="-4"/>
          <w:sz w:val="24"/>
        </w:rPr>
        <w:t xml:space="preserve"> trị công trình gắn liền trên đất của tài sản thẩm định</w:t>
      </w:r>
      <w:r>
        <w:rPr>
          <w:rFonts w:ascii="Times New Roman" w:hAnsi="Times New Roman" w:eastAsia="Times New Roman" w:cs="Times New Roman"/>
          <w:color w:val="000000"/>
          <w:spacing w:val="-2"/>
          <w:sz w:val="24"/>
        </w:rPr>
        <w:t xml:space="preserve">, tổ thẩm định dựa trên chi phí thực tế phát sinh do khách hàng cung cấp có tính đến tỷ lệ hao mòn</w:t>
      </w:r>
      <w:r>
        <w:rPr>
          <w:spacing w:val="-2"/>
          <w:lang w:val="pt-BR"/>
        </w:rPr>
        <w:t xml:space="preserve">.</w:t>
      </w:r>
      <w:r>
        <w:rPr>
          <w:lang w:val="de-DE"/>
        </w:rPr>
      </w:r>
      <w:r>
        <w:rPr>
          <w:lang w:val="de-DE"/>
        </w:rPr>
      </w:r>
    </w:p>
    <w:p>
      <w:pPr>
        <w:pStyle w:val="1063"/>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63"/>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63"/>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63"/>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Style w:val="106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88"/>
        <w:gridCol w:w="1822"/>
        <w:gridCol w:w="1783"/>
        <w:gridCol w:w="1783"/>
        <w:gridCol w:w="1783"/>
        <w:gridCol w:w="1783"/>
      </w:tblGrid>
      <w:tr>
        <w:trPr>
          <w:trHeight w:val="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TSSS3</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A</w:t>
            </w:r>
            <w:r/>
          </w:p>
        </w:tc>
        <w:tc>
          <w:tcPr>
            <w:tcBorders>
              <w:bottom w:val="single" w:color="000000" w:sz="8" w:space="0"/>
              <w:right w:val="single" w:color="000000" w:sz="8" w:space="0"/>
            </w:tcBorders>
            <w:tcMar>
              <w:left w:w="108" w:type="dxa"/>
              <w:top w:w="0" w:type="dxa"/>
              <w:right w:w="108" w:type="dxa"/>
              <w:bottom w:w="0" w:type="dxa"/>
            </w:tcMar>
            <w:tcW w:w="1822" w:type="dxa"/>
            <w:vAlign w:val="top"/>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b/>
                <w:color w:val="000000"/>
                <w:sz w:val="24"/>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Địa chỉ</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Xã Bình Nguyên, Tỉnh Phú Thọ</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Xã Bình Nguyên, Tỉnh Phú Thọ</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Xã Bình Nguyên, Tỉnh Phú Thọ</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Xã Bình Nguyên, Tỉnh Phú Thọ</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https://batdongsan.com.vn/ban-kho-nha-xuong-thi-tran-huong-canh/chu-dau-tu-khu-cong-nghiep-nam-binh-xuyen-5000-met-8000-1ha-1ha-20-ha-ha-tang-dong-bo-pr44639115</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SDT: 038609133 </w:t>
              <w:br/>
              <w:t xml:space="preserve"> (Hồng Land)</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SDT: 038609133</w:t>
              <w:br/>
              <w:t xml:space="preserve"> (Hồng Land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0936298578</w:t>
              <w:br/>
              <w:t xml:space="preserve"> (Ngọc Thúy)</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Đang giao dịch</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Đang giao dịch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Đang giao dịch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Tháng 03/2026</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Tháng 03/2026</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Tháng 03/2026</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Giấy chứng nhận quyền sử dụng đất</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khu công nghiệp</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khu công nghiệp</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khu công nghiệp</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khu công nghiệp</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thuê trả tiền một lần có thời hạn (đến 13/10/2065)</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thuê trả tiền một lần có thời hạn (đến 13/10/2065)</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thuê trả tiền một lần có thời hạn (đến 11/10/2067)</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thuê trả tiền hàng năm có thời hạn (đến 29/12/2071)</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Tài sản cách DT30B khoảng 2800m</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Tài sản cách DT30B khoảng 2800m</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Tài sản cách DT30B khoảng 1000m</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Tài sản cách QL21A khoảng 1500m</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Đường nhựa có vỉa hè</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20</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24</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12</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24516,6</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55465,7</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20000</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142,8</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310,24</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80</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13</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Tiếp giáp 2 mặt tiền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Tiếp giáp 1 mặt tiền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Tiếp giáp 1 mặt tiền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14</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Hình chữ nhật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Đa giác khác</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đối vuông vức</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Hình vuông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15</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trống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Đất trống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16</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270.278.809.530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57" w:firstLine="0" w:left="57"/>
              <w:jc w:val="center"/>
              <w:rPr/>
            </w:pPr>
            <w:r>
              <w:rPr>
                <w:rFonts w:ascii="Times New Roman" w:hAnsi="Times New Roman" w:eastAsia="Times New Roman" w:cs="Times New Roman"/>
                <w:color w:val="000000"/>
                <w:sz w:val="24"/>
              </w:rPr>
              <w:t xml:space="preserve">88.502.400.000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line="276" w:lineRule="auto"/>
              <w:ind w:right="57" w:firstLine="0" w:left="57"/>
              <w:jc w:val="center"/>
              <w:rPr/>
            </w:pPr>
            <w:r>
              <w:rPr>
                <w:rFonts w:ascii="Times New Roman" w:hAnsi="Times New Roman" w:eastAsia="Times New Roman" w:cs="Times New Roman"/>
                <w:color w:val="000000"/>
                <w:sz w:val="24"/>
              </w:rPr>
              <w:t xml:space="preserve">94.813.200.000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17</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229.736.988.101</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75.227.040.000</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80.591.220.000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B</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b/>
                <w:color w:val="000000"/>
                <w:sz w:val="24"/>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b/>
                <w:color w:val="000000"/>
                <w:sz w:val="24"/>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b/>
                <w:color w:val="000000"/>
                <w:sz w:val="24"/>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229.736.988.101</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75.227.040.000</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80.591.220.000</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b/>
                <w:color w:val="000000"/>
                <w:sz w:val="24"/>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4.141.965</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3.761.352</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4.029.561</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b/>
                <w:color w:val="000000"/>
                <w:sz w:val="24"/>
              </w:rPr>
              <w:t xml:space="preserve">C</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b/>
                <w:color w:val="000000"/>
                <w:sz w:val="24"/>
              </w:rPr>
              <w:t xml:space="preserve">NHẬN XÉT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Pháp lý</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Vị trí</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5</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Giao thông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6</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Độ rộng đường trước tài sản (m)</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7</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8</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9</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r>
      <w:tr>
        <w:trPr>
          <w:trHeight w:val="0"/>
        </w:trPr>
        <w:tc>
          <w:tcPr>
            <w:tcBorders>
              <w:left w:val="single" w:color="000000" w:sz="8" w:space="0"/>
              <w:bottom w:val="single" w:color="000000" w:sz="8" w:space="0"/>
              <w:right w:val="single" w:color="000000" w:sz="8" w:space="0"/>
            </w:tcBorders>
            <w:tcMar>
              <w:left w:w="108" w:type="dxa"/>
              <w:top w:w="0" w:type="dxa"/>
              <w:right w:w="108" w:type="dxa"/>
              <w:bottom w:w="0" w:type="dxa"/>
            </w:tcMar>
            <w:tcW w:w="68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10</w:t>
            </w:r>
            <w:r/>
          </w:p>
        </w:tc>
        <w:tc>
          <w:tcPr>
            <w:tcBorders>
              <w:bottom w:val="single" w:color="000000" w:sz="8" w:space="0"/>
              <w:right w:val="single" w:color="000000" w:sz="8" w:space="0"/>
            </w:tcBorders>
            <w:tcMar>
              <w:left w:w="108" w:type="dxa"/>
              <w:top w:w="0" w:type="dxa"/>
              <w:right w:w="108" w:type="dxa"/>
              <w:bottom w:w="0" w:type="dxa"/>
            </w:tcMar>
            <w:tcW w:w="18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rPr/>
            </w:pPr>
            <w:r>
              <w:rPr>
                <w:rFonts w:ascii="Times New Roman" w:hAnsi="Times New Roman" w:eastAsia="Times New Roman" w:cs="Times New Roman"/>
                <w:color w:val="000000"/>
                <w:sz w:val="24"/>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line="276" w:lineRule="auto"/>
              <w:ind w:right="57" w:firstLine="0" w:left="57"/>
              <w:jc w:val="center"/>
              <w:rPr/>
            </w:pPr>
            <w:r>
              <w:rPr>
                <w:rFonts w:ascii="Times New Roman" w:hAnsi="Times New Roman" w:eastAsia="Times New Roman" w:cs="Times New Roman"/>
                <w:color w:val="000000"/>
                <w:sz w:val="24"/>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63"/>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46"/>
        <w:gridCol w:w="1765"/>
        <w:gridCol w:w="1030"/>
        <w:gridCol w:w="1522"/>
        <w:gridCol w:w="1522"/>
        <w:gridCol w:w="1522"/>
        <w:gridCol w:w="1522"/>
      </w:tblGrid>
      <w:tr>
        <w:trPr>
          <w:trHeight w:val="20"/>
          <w:tblHeader/>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229.736.988.101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75.227.040.000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80.591.220.000</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4.141.965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3.761.352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4.029.561</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Giấy chứng nhận quyền sử dụng đất</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4.141.965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3.761.352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4.029.561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Đất khu công nghiệp</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Đất khu công nghiệp</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Đất khu công nghiệp</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Đất khu công nghiệp</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4.141.965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3.761.352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4.029.561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Có thời hạn đến 13/10/2065)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 Có thời hạn đến 13/10/2065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 Có thời hạn đến 11/10/2067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 Có thời hạn đến 29/12/2071</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4.141.965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3.761.352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4.029.561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Tài sản cách DT30B khoảng 2800m</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Tài sản cách DT30B khoảng 2800m</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Tài sản cách DT30B khoảng 1000m</w:t>
            </w:r>
            <w:r>
              <w:rPr>
                <w:sz w:val="22"/>
                <w:szCs w:val="22"/>
              </w:rPr>
            </w:r>
            <w:r>
              <w:rPr>
                <w:sz w:val="22"/>
                <w:szCs w:val="22"/>
              </w:rPr>
            </w:r>
          </w:p>
        </w:tc>
        <w:tc>
          <w:tcPr>
            <w:shd w:val="clear" w:color="000000" w:fill="ffffff"/>
            <w:tcBorders/>
            <w:tcW w:w="1522" w:type="dxa"/>
            <w:vAlign w:val="center"/>
            <w:textDirection w:val="lrTb"/>
            <w:noWrap w:val="false"/>
          </w:tcPr>
          <w:p>
            <w:pPr>
              <w:pBdr/>
              <w:spacing w:line="276" w:lineRule="auto"/>
              <w:ind/>
              <w:jc w:val="center"/>
              <w:rPr>
                <w:sz w:val="22"/>
                <w:szCs w:val="22"/>
              </w:rPr>
            </w:pPr>
            <w:r>
              <w:rPr>
                <w:sz w:val="22"/>
                <w:szCs w:val="22"/>
              </w:rPr>
            </w:r>
            <w:r>
              <w:rPr>
                <w:color w:val="000000" w:themeColor="text1"/>
                <w:sz w:val="22"/>
                <w:szCs w:val="22"/>
              </w:rPr>
              <w:t xml:space="preserve">Tài sản cách QL21A khoảng 1500m</w:t>
            </w:r>
            <w:r>
              <w:rPr>
                <w:sz w:val="22"/>
                <w:szCs w:val="22"/>
              </w:rPr>
            </w:r>
            <w:r>
              <w:rPr>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-263.295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-201.478</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4.141.965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3.498.057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3.828.083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4.141.965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3.498.057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3.828.083</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12</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-188.068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201.478</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4.141.965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3.309.989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4.029.561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24561,6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55465,7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20000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20000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207.098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4.349.063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3.309.989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4.029.561</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142,8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310,24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80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100</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-621.295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112.841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120.887</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3.727.768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3.422.830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4.150.448</w:t>
            </w:r>
            <w:r>
              <w:rPr>
                <w:color w:val="000000"/>
                <w:sz w:val="22"/>
                <w:szCs w:val="22"/>
              </w:rPr>
            </w:r>
            <w:r>
              <w:rPr>
                <w:color w:val="000000"/>
                <w:sz w:val="22"/>
                <w:szCs w:val="22"/>
              </w:rPr>
            </w:r>
          </w:p>
        </w:tc>
      </w:tr>
      <w:tr>
        <w:trPr>
          <w:trHeight w:val="1021"/>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2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207.098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188.068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201.478</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3.934.866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3.610.898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4.351.926</w:t>
            </w:r>
            <w:r>
              <w:rPr>
                <w:color w:val="000000"/>
                <w:sz w:val="22"/>
                <w:szCs w:val="22"/>
              </w:rPr>
            </w:r>
            <w:r>
              <w:rPr>
                <w:color w:val="000000"/>
                <w:sz w:val="22"/>
                <w:szCs w:val="22"/>
              </w:rPr>
            </w:r>
          </w:p>
        </w:tc>
      </w:tr>
      <w:tr>
        <w:trPr>
          <w:trHeight w:val="20"/>
        </w:trPr>
        <w:tc>
          <w:tcPr>
            <w:shd w:val="clear" w:color="000000" w:fill="ffffff"/>
            <w:tcBorders/>
            <w:tcW w:w="746" w:type="dxa"/>
            <w:vAlign w:val="center"/>
            <w:vMerge w:val="restart"/>
            <w:textDirection w:val="lrTb"/>
            <w:noWrap w:val="false"/>
          </w:tcPr>
          <w:p>
            <w:pPr>
              <w:pBdr/>
              <w:spacing w:line="276" w:lineRule="auto"/>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207.098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112.841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4.141.964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3.723.739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themeColor="text1"/>
                <w:sz w:val="22"/>
                <w:szCs w:val="22"/>
              </w:rPr>
              <w:t xml:space="preserve">4.351.926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line="276" w:lineRule="auto"/>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4.141.964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3.723.739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4.351.926</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line="276" w:lineRule="auto"/>
              <w:ind/>
              <w:jc w:val="center"/>
              <w:rPr>
                <w:b/>
                <w:bCs/>
                <w:color w:val="000000"/>
                <w:sz w:val="22"/>
                <w:szCs w:val="22"/>
              </w:rPr>
            </w:pPr>
            <w:r>
              <w:rPr>
                <w:b/>
                <w:bCs/>
                <w:color w:val="000000" w:themeColor="text1"/>
                <w:sz w:val="22"/>
                <w:szCs w:val="22"/>
              </w:rPr>
              <w:t xml:space="preserve">4.072.543</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-8,56%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themeColor="text1"/>
                <w:sz w:val="22"/>
                <w:szCs w:val="22"/>
              </w:rPr>
              <w:t xml:space="preserve">6,86%</w:t>
            </w:r>
            <w:r>
              <w:rPr>
                <w:color w:val="000000"/>
                <w:sz w:val="22"/>
                <w:szCs w:val="22"/>
              </w:rPr>
            </w:r>
            <w:r>
              <w:rPr>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line="276" w:lineRule="auto"/>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line="276" w:lineRule="auto"/>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1.242.589</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865.113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line="276" w:lineRule="auto"/>
              <w:ind/>
              <w:jc w:val="center"/>
              <w:rPr>
                <w:b/>
                <w:bCs/>
                <w:color w:val="000000"/>
                <w:sz w:val="22"/>
                <w:szCs w:val="22"/>
              </w:rPr>
            </w:pPr>
            <w:r>
              <w:rPr>
                <w:color w:val="000000" w:themeColor="text1"/>
                <w:sz w:val="22"/>
                <w:szCs w:val="22"/>
              </w:rPr>
              <w:t xml:space="preserve">725.321</w:t>
            </w:r>
            <w:r>
              <w:rPr>
                <w:b/>
                <w:bCs/>
                <w:color w:val="000000"/>
                <w:sz w:val="22"/>
                <w:szCs w:val="22"/>
              </w:rPr>
            </w:r>
            <w:r>
              <w:rPr>
                <w:b/>
                <w:bCs/>
                <w:color w:val="000000"/>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line="276" w:lineRule="auto"/>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- 7%%</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0% - 5%%</w:t>
            </w:r>
            <w:r>
              <w:rPr>
                <w:sz w:val="22"/>
                <w:szCs w:val="22"/>
              </w:rPr>
            </w:r>
            <w:r>
              <w:rPr>
                <w:sz w:val="22"/>
                <w:szCs w:val="22"/>
              </w:rPr>
            </w:r>
          </w:p>
        </w:tc>
      </w:tr>
      <w:tr>
        <w:trPr>
          <w:trHeight w:val="20"/>
        </w:trPr>
        <w:tc>
          <w:tcPr>
            <w:shd w:val="clear" w:color="000000" w:fill="ffffff"/>
            <w:tcBorders/>
            <w:tcW w:w="746" w:type="dxa"/>
            <w:vAlign w:val="center"/>
            <w:textDirection w:val="lrTb"/>
            <w:noWrap/>
          </w:tcPr>
          <w:p>
            <w:pPr>
              <w:pBdr/>
              <w:spacing w:line="276" w:lineRule="auto"/>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line="276" w:lineRule="auto"/>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line="276" w:lineRule="auto"/>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37.613</w:t>
            </w:r>
            <w:r>
              <w:rPr>
                <w:sz w:val="22"/>
                <w:szCs w:val="22"/>
              </w:rPr>
            </w:r>
            <w:r>
              <w:rPr>
                <w:sz w:val="22"/>
                <w:szCs w:val="22"/>
              </w:rPr>
            </w:r>
          </w:p>
        </w:tc>
        <w:tc>
          <w:tcPr>
            <w:shd w:val="clear" w:color="000000" w:fill="ffffff"/>
            <w:tcBorders/>
            <w:tcW w:w="1522" w:type="dxa"/>
            <w:vAlign w:val="center"/>
            <w:textDirection w:val="lrTb"/>
            <w:noWrap/>
          </w:tcPr>
          <w:p>
            <w:pPr>
              <w:pBdr/>
              <w:spacing w:line="276" w:lineRule="auto"/>
              <w:ind/>
              <w:jc w:val="center"/>
              <w:rPr>
                <w:sz w:val="22"/>
                <w:szCs w:val="22"/>
              </w:rPr>
            </w:pPr>
            <w:r>
              <w:rPr>
                <w:color w:val="000000" w:themeColor="text1"/>
                <w:sz w:val="22"/>
                <w:szCs w:val="22"/>
              </w:rPr>
              <w:t xml:space="preserve">322.365</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-8,56</w:t>
      </w:r>
      <w:r>
        <w:t xml:space="preserve">% </w:t>
      </w:r>
      <w:r>
        <w:t xml:space="preserve">đến</w:t>
      </w:r>
      <w:r>
        <w:t xml:space="preserve"> </w:t>
      </w:r>
      <w:r>
        <w:t xml:space="preserve"> </w:t>
      </w:r>
      <w:r>
        <w:t xml:space="preserve">6,86</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4.141.964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1.380.931</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3.723.739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1.241.122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4.351.926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1.450.497</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4.072.550</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4.000.000</w:t>
      </w:r>
      <w:r>
        <w:rPr>
          <w:b/>
          <w:bCs/>
          <w:color w:val="000000" w:themeColor="text1"/>
        </w:rPr>
        <w:t xml:space="preserve"> </w:t>
      </w:r>
      <w:r>
        <w:rPr>
          <w:b/>
          <w:bCs/>
        </w:rPr>
        <w:t xml:space="preserve">đồng</w:t>
      </w:r>
      <w:r>
        <w:rPr>
          <w:b/>
          <w:bCs/>
        </w:rPr>
        <w:t xml:space="preserve">/m².</w:t>
      </w:r>
      <w:r>
        <w:rPr>
          <w:b/>
          <w:bCs/>
        </w:rPr>
      </w:r>
      <w:r>
        <w:rPr>
          <w:b/>
          <w:bCs/>
        </w:rPr>
      </w:r>
    </w:p>
    <w:p>
      <w:pPr>
        <w:pStyle w:val="1063"/>
        <w:numPr>
          <w:ilvl w:val="0"/>
          <w:numId w:val="26"/>
        </w:numPr>
        <w:pBdr/>
        <w:spacing w:after="120" w:before="120" w:line="276" w:lineRule="auto"/>
        <w:ind w:hanging="357" w:left="357"/>
        <w:jc w:val="both"/>
        <w:rPr>
          <w:b/>
          <w:bCs/>
        </w:rPr>
      </w:pPr>
      <w:r>
        <w:rPr>
          <w:b/>
          <w:bCs/>
        </w:rPr>
      </w:r>
      <w:r>
        <w:rPr>
          <w:rFonts w:ascii="Times New Roman" w:hAnsi="Times New Roman" w:eastAsia="Times New Roman" w:cs="Times New Roman"/>
          <w:b/>
          <w:color w:val="000000"/>
          <w:sz w:val="24"/>
        </w:rPr>
        <w:t xml:space="preserve">Xác định Giá trị công trình xây dựng gắn liền với đất và Giá trị MMTB</w:t>
      </w:r>
      <w:r>
        <w:rPr>
          <w:b/>
          <w:bCs/>
        </w:rPr>
        <w:t xml:space="preserve">:</w:t>
      </w:r>
      <w:r>
        <w:rPr>
          <w:b/>
          <w:bCs/>
        </w:rPr>
      </w:r>
      <w:r>
        <w:rPr>
          <w:b/>
          <w:bCs/>
        </w:rPr>
      </w:r>
    </w:p>
    <w:p>
      <w:pPr>
        <w:pBdr>
          <w:top w:val="none" w:color="000000" w:sz="4" w:space="0"/>
          <w:left w:val="none" w:color="000000" w:sz="4" w:space="0"/>
          <w:bottom w:val="none" w:color="000000" w:sz="4" w:space="0"/>
          <w:right w:val="none" w:color="000000" w:sz="4" w:space="0"/>
        </w:pBdr>
        <w:tabs>
          <w:tab w:val="left" w:leader="none" w:pos="426"/>
        </w:tabs>
        <w:spacing w:after="12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color w:val="000000"/>
          <w:sz w:val="24"/>
        </w:rPr>
        <w:t xml:space="preserve">Trên cơ sở tham khảo và phân tích tài sản, Thẩm định viên lựa chọn phương pháp chi phí tái tạo để tính giá trị công trình xây dựng như sau:</w:t>
      </w:r>
      <w:r/>
    </w:p>
    <w:tbl>
      <w:tblPr>
        <w:tblStyle w:val="106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25"/>
        <w:gridCol w:w="7000"/>
      </w:tblGrid>
      <w:tr>
        <w:trPr/>
        <w:tc>
          <w:tcPr>
            <w:tcBorders/>
            <w:tcMar>
              <w:left w:w="108" w:type="dxa"/>
              <w:top w:w="0" w:type="dxa"/>
              <w:right w:w="108" w:type="dxa"/>
              <w:bottom w:w="0" w:type="dxa"/>
            </w:tcMar>
            <w:tcW w:w="2525"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67"/>
              </w:tabs>
              <w:spacing w:after="60" w:line="276" w:lineRule="auto"/>
              <w:ind w:right="0" w:firstLine="0" w:left="0"/>
              <w:jc w:val="right"/>
              <w:rPr/>
            </w:pPr>
            <w:r>
              <w:rPr>
                <w:rFonts w:ascii="Times New Roman" w:hAnsi="Times New Roman" w:eastAsia="Times New Roman" w:cs="Times New Roman"/>
                <w:b/>
                <w:color w:val="000000"/>
                <w:sz w:val="24"/>
              </w:rPr>
              <w:t xml:space="preserve">Giá trị tài sản</w:t>
            </w:r>
            <w:r/>
          </w:p>
        </w:tc>
        <w:tc>
          <w:tcPr>
            <w:tcBorders/>
            <w:tcMar>
              <w:left w:w="108" w:type="dxa"/>
              <w:top w:w="0" w:type="dxa"/>
              <w:right w:w="108" w:type="dxa"/>
              <w:bottom w:w="0" w:type="dxa"/>
            </w:tcMar>
            <w:tcW w:w="7000" w:type="dxa"/>
            <w:vAlign w:val="top"/>
            <w:textDirection w:val="lrTb"/>
            <w:noWrap w:val="false"/>
          </w:tcPr>
          <w:p>
            <w:pPr>
              <w:pBdr>
                <w:top w:val="none" w:color="000000" w:sz="4" w:space="0"/>
                <w:left w:val="none" w:color="000000" w:sz="4" w:space="0"/>
                <w:bottom w:val="none" w:color="000000" w:sz="4" w:space="0"/>
                <w:right w:val="none" w:color="000000" w:sz="4" w:space="0"/>
              </w:pBdr>
              <w:tabs>
                <w:tab w:val="left" w:leader="none" w:pos="567"/>
              </w:tabs>
              <w:spacing w:after="60" w:line="276" w:lineRule="auto"/>
              <w:ind w:right="0" w:firstLine="0" w:left="0"/>
              <w:jc w:val="both"/>
              <w:rPr/>
            </w:pPr>
            <w:r>
              <w:rPr>
                <w:rFonts w:ascii="Times New Roman" w:hAnsi="Times New Roman" w:eastAsia="Times New Roman" w:cs="Times New Roman"/>
                <w:b/>
                <w:color w:val="000000"/>
                <w:sz w:val="24"/>
              </w:rPr>
              <w:t xml:space="preserve">= Chi phí tái tạo  - Tổng giá trị hao mòn</w:t>
            </w:r>
            <w:r/>
          </w:p>
        </w:tc>
      </w:tr>
    </w:tbl>
    <w:p>
      <w:pPr>
        <w:numPr>
          <w:ilvl w:val="0"/>
          <w:numId w:val="54"/>
        </w:numPr>
        <w:pBdr>
          <w:top w:val="none" w:color="000000" w:sz="4" w:space="0"/>
          <w:left w:val="none" w:color="000000" w:sz="4" w:space="0"/>
          <w:bottom w:val="none" w:color="000000" w:sz="4" w:space="0"/>
          <w:right w:val="none" w:color="000000" w:sz="4" w:space="0"/>
        </w:pBdr>
        <w:spacing w:after="120" w:before="0" w:line="276" w:lineRule="auto"/>
        <w:ind/>
        <w:jc w:val="both"/>
        <w:rPr/>
      </w:pPr>
      <w:r>
        <w:rPr>
          <w:rFonts w:ascii="Times New Roman" w:hAnsi="Times New Roman" w:eastAsia="Times New Roman" w:cs="Times New Roman"/>
          <w:b/>
          <w:color w:val="000000"/>
          <w:sz w:val="24"/>
        </w:rPr>
        <w:t xml:space="preserve">Xác định Chi phí tái tạo của Tài sản thẩm định:</w:t>
      </w: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b/>
          <w:color w:val="000000"/>
          <w:sz w:val="24"/>
          <w:u w:val="single"/>
        </w:rPr>
        <w:t xml:space="preserve">Xác chi phí tái tạo của công trình xây dựng trên đất:</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Chi phí tái tạo của các công trình xây dựng trên đất được ước tính theo Hợp đồng thi công, hồ sơ quyết toán, Hoá đơn,…Cụ thể như sau</w:t>
      </w:r>
      <w:r>
        <w:rPr>
          <w:rFonts w:ascii="Times New Roman" w:hAnsi="Times New Roman" w:eastAsia="Times New Roman" w:cs="Times New Roman"/>
          <w:color w:val="000000"/>
          <w:sz w:val="24"/>
        </w:rPr>
      </w:r>
      <w:r/>
    </w:p>
    <w:tbl>
      <w:tblPr>
        <w:tblStyle w:val="106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638"/>
        <w:gridCol w:w="23303"/>
        <w:gridCol w:w="20884"/>
        <w:gridCol w:w="54333"/>
        <w:gridCol w:w="22467"/>
        <w:gridCol w:w="20317"/>
        <w:gridCol w:w="147949"/>
      </w:tblGrid>
      <w:tr>
        <w:trPr>
          <w:trHeight w:val="517"/>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3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330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Hạng mục CTXD gắn liền với đất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8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Nhà thầu</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54333"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Hồ sơ pháp lý</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246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Số Hoá đơn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31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Chi phí tái tạo đã gồm VAT (đồng)</w:t>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r>
        <w:trPr>
          <w:trHeight w:val="517"/>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Nhà xưởng</w:t>
            </w:r>
            <w:r/>
          </w:p>
        </w:tc>
        <w:tc>
          <w:tcPr>
            <w:tcBorders>
              <w:bottom w:val="single" w:color="000000" w:sz="8" w:space="0"/>
              <w:right w:val="single" w:color="000000" w:sz="8" w:space="0"/>
            </w:tcBorders>
            <w:tcMar>
              <w:left w:w="108" w:type="dxa"/>
              <w:top w:w="0" w:type="dxa"/>
              <w:right w:w="108" w:type="dxa"/>
              <w:bottom w:w="0" w:type="dxa"/>
            </w:tcMar>
            <w:tcW w:w="20884" w:type="dxa"/>
            <w:vAlign w:val="center"/>
            <w:textDirection w:val="lrTb"/>
            <w:noWrap w:val="false"/>
          </w:tcPr>
          <w:p>
            <w:pPr>
              <w:pBdr/>
              <w:spacing w:after="0" w:before="0" w:line="240" w:lineRule="auto"/>
              <w:ind/>
              <w:rPr/>
            </w:pPr>
            <w:r/>
            <w:r/>
          </w:p>
        </w:tc>
        <w:tc>
          <w:tcPr>
            <w:tcBorders>
              <w:bottom w:val="single" w:color="000000" w:sz="8" w:space="0"/>
            </w:tcBorders>
            <w:tcMar>
              <w:left w:w="108" w:type="dxa"/>
              <w:top w:w="0" w:type="dxa"/>
              <w:right w:w="108" w:type="dxa"/>
              <w:bottom w:w="0" w:type="dxa"/>
            </w:tcMar>
            <w:tcW w:w="54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24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20317" w:type="dxa"/>
            <w:vAlign w:val="center"/>
            <w:textDirection w:val="lrTb"/>
            <w:noWrap w:val="false"/>
          </w:tcPr>
          <w:p>
            <w:pPr>
              <w:pBdr/>
              <w:spacing w:after="0" w:before="0" w:line="240" w:lineRule="auto"/>
              <w:ind/>
              <w:rPr/>
            </w:pPr>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1.1</w:t>
            </w:r>
            <w:r/>
          </w:p>
        </w:tc>
        <w:tc>
          <w:tcPr>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Nhà xưởng F4B</w:t>
            </w:r>
            <w:r/>
          </w:p>
        </w:tc>
        <w:tc>
          <w:tcPr>
            <w:tcBorders>
              <w:bottom w:val="single" w:color="000000" w:sz="8" w:space="0"/>
              <w:right w:val="single" w:color="000000" w:sz="8" w:space="0"/>
            </w:tcBorders>
            <w:tcMar>
              <w:left w:w="108" w:type="dxa"/>
              <w:top w:w="0" w:type="dxa"/>
              <w:right w:w="108" w:type="dxa"/>
              <w:bottom w:w="0" w:type="dxa"/>
            </w:tcMar>
            <w:tcW w:w="20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Công ty Cổ phần đầu tư Sông Thao</w:t>
            </w:r>
            <w:r/>
          </w:p>
        </w:tc>
        <w:tc>
          <w:tcPr>
            <w:tcBorders>
              <w:bottom w:val="single" w:color="000000" w:sz="8" w:space="0"/>
            </w:tcBorders>
            <w:tcMar>
              <w:left w:w="108" w:type="dxa"/>
              <w:top w:w="0" w:type="dxa"/>
              <w:right w:w="108" w:type="dxa"/>
              <w:bottom w:w="0" w:type="dxa"/>
            </w:tcMar>
            <w:tcW w:w="54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-Hợp đồng thi công xây lắp số 02/HĐXL/CNCTECH HN-ST ký ngày 02 tháng 08 năm 2021 giữa Công ty CNCTECH Hà Nam và Công ty Cổ phần đầu tư Sông Thao về việc thi công hạng mục “Thi công xây dựng nhà xưởng F4-B” thuộc công trình CNCTECH LOTUS 2.</w:t>
            </w:r>
            <w:r/>
          </w:p>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-Hồ sơ quyết toán ngày ngày 30 tháng 12 năm 2022 giữa Công ty CNCTECH Hà Nam và Công ty Cổ phần đầu tư Sông Thao về việc quyết toán hang mục “Thi công xây dựng nhà xưởng F4-B”.</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24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2, 3, 7, 12, 14, 18, 30, 4</w:t>
            </w:r>
            <w:r/>
          </w:p>
        </w:tc>
        <w:tc>
          <w:tcPr>
            <w:tcBorders>
              <w:bottom w:val="single" w:color="000000" w:sz="8" w:space="0"/>
              <w:right w:val="single" w:color="000000" w:sz="8" w:space="0"/>
            </w:tcBorders>
            <w:tcMar>
              <w:left w:w="108" w:type="dxa"/>
              <w:top w:w="0" w:type="dxa"/>
              <w:right w:w="108" w:type="dxa"/>
              <w:bottom w:w="0" w:type="dxa"/>
            </w:tcMar>
            <w:tcW w:w="203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158.286.939.000</w:t>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1.2</w:t>
            </w:r>
            <w:r/>
          </w:p>
        </w:tc>
        <w:tc>
          <w:tcPr>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Nâng cấp sàn 1.5 bên trong nhà xưởng F4B</w:t>
            </w:r>
            <w:r/>
          </w:p>
        </w:tc>
        <w:tc>
          <w:tcPr>
            <w:tcBorders>
              <w:bottom w:val="single" w:color="000000" w:sz="8" w:space="0"/>
              <w:right w:val="single" w:color="000000" w:sz="8" w:space="0"/>
            </w:tcBorders>
            <w:tcMar>
              <w:left w:w="108" w:type="dxa"/>
              <w:top w:w="0" w:type="dxa"/>
              <w:right w:w="108" w:type="dxa"/>
              <w:bottom w:w="0" w:type="dxa"/>
            </w:tcMar>
            <w:tcW w:w="20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Công ty Cổ phần VINASTARTUP Vĩnh Phúc</w:t>
            </w:r>
            <w:r/>
          </w:p>
        </w:tc>
        <w:tc>
          <w:tcPr>
            <w:tcBorders>
              <w:bottom w:val="single" w:color="000000" w:sz="8" w:space="0"/>
            </w:tcBorders>
            <w:tcMar>
              <w:left w:w="108" w:type="dxa"/>
              <w:top w:w="0" w:type="dxa"/>
              <w:right w:w="108" w:type="dxa"/>
              <w:bottom w:w="0" w:type="dxa"/>
            </w:tcMar>
            <w:tcW w:w="54333" w:type="dxa"/>
            <w:vAlign w:val="center"/>
            <w:textDirection w:val="lrTb"/>
            <w:noWrap w:val="false"/>
          </w:tcPr>
          <w:tbl>
            <w:tblPr>
              <w:tblStyle w:val="106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5019"/>
            </w:tblGrid>
            <w:tr>
              <w:trPr>
                <w:trHeight w:val="1560"/>
              </w:trPr>
              <w:tc>
                <w:tcPr>
                  <w:tcBorders/>
                  <w:tcMar>
                    <w:left w:w="108" w:type="dxa"/>
                    <w:top w:w="0" w:type="dxa"/>
                    <w:right w:w="108" w:type="dxa"/>
                    <w:bottom w:w="0" w:type="dxa"/>
                  </w:tcMar>
                  <w:tcW w:w="501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 Hợp đồng thi công số 02/02-0807-2023/HANAM-VNSU ký ngày 12 tháng 07 năm 2023 giữa Công ty CNCTECH Hà Nam và Công ty Cổ phần VINASTARTUP Vĩnh Phúc về việc thi công gói thầu “Nâng cấp sàn 1.5 bên trong nhà xưởng F4B” dự án Nhà xưởng F4B – ACCTON VIỆT NAM.</w:t>
                  </w:r>
                  <w:r/>
                </w:p>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 Hồ sơ quyết toán ngày ngày 30 tháng 12 năm 2022 giữa Công ty CNCTECH Hà Nam và Công ty Cổ phần VINASTARTUP Vĩnh Phúc về việc quyết toán hang mục “Thi công nâng cấp sàn 1.5 bên trong nhà xưởng F4B.</w:t>
                  </w:r>
                  <w:r/>
                </w:p>
              </w:tc>
            </w:tr>
          </w:tbl>
          <w:p>
            <w:pPr>
              <w:pBdr/>
              <w:spacing/>
              <w:ind/>
              <w:rPr/>
            </w:pPr>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24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193</w:t>
            </w:r>
            <w:r/>
          </w:p>
        </w:tc>
        <w:tc>
          <w:tcPr>
            <w:tcBorders>
              <w:bottom w:val="single" w:color="000000" w:sz="8" w:space="0"/>
              <w:right w:val="single" w:color="000000" w:sz="8" w:space="0"/>
            </w:tcBorders>
            <w:tcMar>
              <w:left w:w="108" w:type="dxa"/>
              <w:top w:w="0" w:type="dxa"/>
              <w:right w:w="108" w:type="dxa"/>
              <w:bottom w:w="0" w:type="dxa"/>
            </w:tcMar>
            <w:tcW w:w="203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20.664.000.000 </w:t>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Hệ thống phòng cháy chữa cháy và hệ thống hút khói nhà xưởng F4B</w:t>
            </w:r>
            <w:r/>
          </w:p>
        </w:tc>
        <w:tc>
          <w:tcPr>
            <w:tcBorders>
              <w:bottom w:val="single" w:color="000000" w:sz="8" w:space="0"/>
              <w:right w:val="single" w:color="000000" w:sz="8" w:space="0"/>
            </w:tcBorders>
            <w:tcMar>
              <w:left w:w="108" w:type="dxa"/>
              <w:top w:w="0" w:type="dxa"/>
              <w:right w:w="108" w:type="dxa"/>
              <w:bottom w:w="0" w:type="dxa"/>
            </w:tcMar>
            <w:tcW w:w="20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Công ty Cổ phần đầu tư Sông Thao</w:t>
            </w:r>
            <w:r/>
          </w:p>
        </w:tc>
        <w:tc>
          <w:tcPr>
            <w:tcBorders>
              <w:bottom w:val="single" w:color="000000" w:sz="8" w:space="0"/>
            </w:tcBorders>
            <w:tcMar>
              <w:left w:w="108" w:type="dxa"/>
              <w:top w:w="0" w:type="dxa"/>
              <w:right w:w="108" w:type="dxa"/>
              <w:bottom w:w="0" w:type="dxa"/>
            </w:tcMar>
            <w:tcW w:w="54333" w:type="dxa"/>
            <w:vAlign w:val="center"/>
            <w:textDirection w:val="lrTb"/>
            <w:noWrap w:val="false"/>
          </w:tcPr>
          <w:p>
            <w:pPr>
              <w:numPr>
                <w:ilvl w:val="0"/>
                <w:numId w:val="55"/>
              </w:numPr>
              <w:pBdr>
                <w:top w:val="none" w:color="000000" w:sz="4" w:space="0"/>
                <w:left w:val="none" w:color="000000" w:sz="4" w:space="0"/>
                <w:bottom w:val="none" w:color="000000" w:sz="4" w:space="0"/>
                <w:right w:val="none" w:color="000000" w:sz="4" w:space="0"/>
              </w:pBdr>
              <w:spacing w:after="0" w:before="0"/>
              <w:ind/>
              <w:jc w:val="both"/>
              <w:rPr/>
            </w:pPr>
            <w:r>
              <w:rPr>
                <w:rFonts w:ascii="Times New Roman" w:hAnsi="Times New Roman" w:eastAsia="Times New Roman" w:cs="Times New Roman"/>
                <w:color w:val="000000"/>
                <w:sz w:val="24"/>
              </w:rPr>
              <w:t xml:space="preserve">Hợp đồng thi công xây lắp số 02 HĐXL/LOTUS- ST ký ngày 18 tháng 02 năm 2022 giữa Công ty CNCTECH Hà Nam và Công ty Cổ phần đầu tư Sông Thao về việc thi công hạng mục “Thi công hệ thống phòng cháy chữa cháy và hệ thống hút khói nhà xưởng F4B” thuộc công trì</w:t>
            </w:r>
            <w:r>
              <w:rPr>
                <w:rFonts w:ascii="Times New Roman" w:hAnsi="Times New Roman" w:eastAsia="Times New Roman" w:cs="Times New Roman"/>
                <w:color w:val="000000"/>
                <w:sz w:val="24"/>
              </w:rPr>
              <w:t xml:space="preserve">nh CNCTECH LOTUS 2.</w:t>
            </w:r>
            <w:r/>
          </w:p>
          <w:p>
            <w:pPr>
              <w:numPr>
                <w:ilvl w:val="0"/>
                <w:numId w:val="55"/>
              </w:numPr>
              <w:pBdr>
                <w:top w:val="none" w:color="000000" w:sz="4" w:space="0"/>
                <w:left w:val="none" w:color="000000" w:sz="4" w:space="0"/>
                <w:bottom w:val="none" w:color="000000" w:sz="4" w:space="0"/>
                <w:right w:val="none" w:color="000000" w:sz="4" w:space="0"/>
              </w:pBdr>
              <w:spacing w:after="0" w:before="0"/>
              <w:ind/>
              <w:jc w:val="both"/>
              <w:rPr/>
            </w:pPr>
            <w:r>
              <w:rPr>
                <w:rFonts w:ascii="Times New Roman" w:hAnsi="Times New Roman" w:eastAsia="Times New Roman" w:cs="Times New Roman"/>
                <w:color w:val="000000"/>
                <w:sz w:val="24"/>
              </w:rPr>
              <w:t xml:space="preserve">Hồ sơ quyết toán ngày 30 tháng 12 năm 2022 giữa Công ty CNCTECH Hà Nam và Công ty Cổ phần đầu tư Sông Thao về việc quyết toán hang mục “Thi công hệ thống phòng cháy chữa cháy và hệ thống hút khói nhà xưởng F4B”.</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24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21, 29</w:t>
            </w:r>
            <w:r/>
          </w:p>
        </w:tc>
        <w:tc>
          <w:tcPr>
            <w:tcBorders>
              <w:bottom w:val="single" w:color="000000" w:sz="8" w:space="0"/>
              <w:right w:val="single" w:color="000000" w:sz="8" w:space="0"/>
            </w:tcBorders>
            <w:tcMar>
              <w:left w:w="108" w:type="dxa"/>
              <w:top w:w="0" w:type="dxa"/>
              <w:right w:w="108" w:type="dxa"/>
              <w:bottom w:w="0" w:type="dxa"/>
            </w:tcMar>
            <w:tcW w:w="203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10.417.423.000</w:t>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Hạ tầng phụ trợ nhà xưởng F4-B: </w:t>
              <w:br/>
              <w:t xml:space="preserve"> Nhà bảo vệ,</w:t>
              <w:br/>
              <w:t xml:space="preserve"> Bể xử lý nước thải</w:t>
              <w:br/>
              <w:t xml:space="preserve"> Hạ tầng kỹ thuật bao gồm: hệ thống điện, đường giao thông, tường rào, cổng</w:t>
              <w:br/>
              <w:t xml:space="preserve"> Camera, thang máy, sàn nâng tự động, cửa cuốn</w:t>
            </w:r>
            <w:r/>
          </w:p>
        </w:tc>
        <w:tc>
          <w:tcPr>
            <w:tcBorders>
              <w:bottom w:val="single" w:color="000000" w:sz="8" w:space="0"/>
              <w:right w:val="single" w:color="000000" w:sz="8" w:space="0"/>
            </w:tcBorders>
            <w:tcMar>
              <w:left w:w="108" w:type="dxa"/>
              <w:top w:w="0" w:type="dxa"/>
              <w:right w:w="108" w:type="dxa"/>
              <w:bottom w:w="0" w:type="dxa"/>
            </w:tcMar>
            <w:tcW w:w="20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Công ty Cổ phần đầu tư Sông Thao</w:t>
            </w:r>
            <w:r/>
          </w:p>
        </w:tc>
        <w:tc>
          <w:tcPr>
            <w:tcBorders>
              <w:bottom w:val="single" w:color="000000" w:sz="8" w:space="0"/>
            </w:tcBorders>
            <w:tcMar>
              <w:left w:w="108" w:type="dxa"/>
              <w:top w:w="0" w:type="dxa"/>
              <w:right w:w="108" w:type="dxa"/>
              <w:bottom w:w="0" w:type="dxa"/>
            </w:tcMar>
            <w:tcW w:w="5433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-Hợp đồng thi công xây lắp số 03 HĐXL/LOTUS- ST ký ngày 18 tháng 02 năm 2022 giữa Công ty CNCTECH Hà Nam và Công ty Cổ phần đầu tư Sông Thao về việc thi công hạng mục “Thi công xây dựng hạ tầng phụ trợ nhà xưởng F4B” thuộc công trình CNCTECH LOTUS 2.</w:t>
            </w:r>
            <w:r/>
          </w:p>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-Hồ sơ quyết toán ngày ngày 30 tháng 12 năm 2022 giữa Công ty CNCTECH Hà Nam và Công ty Cổ phần đầu tư Sông Thao về việc quyết toán hang mục “Thi công xây dựng hạ tầng phụ trợ nhà xưởng F4-B”.</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24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1, 5, 31</w:t>
            </w:r>
            <w:r/>
          </w:p>
        </w:tc>
        <w:tc>
          <w:tcPr>
            <w:tcBorders>
              <w:bottom w:val="single" w:color="000000" w:sz="8" w:space="0"/>
              <w:right w:val="single" w:color="000000" w:sz="8" w:space="0"/>
            </w:tcBorders>
            <w:tcMar>
              <w:left w:w="108" w:type="dxa"/>
              <w:top w:w="0" w:type="dxa"/>
              <w:right w:w="108" w:type="dxa"/>
              <w:bottom w:w="0" w:type="dxa"/>
            </w:tcMar>
            <w:tcW w:w="203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18.760.814.000</w:t>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r>
        <w:trPr>
          <w:trHeight w:val="20"/>
        </w:trPr>
        <w:tc>
          <w:tcPr>
            <w:tcBorders>
              <w:left w:val="single" w:color="000000" w:sz="8" w:space="0"/>
              <w:bottom w:val="single" w:color="000000" w:sz="8" w:space="0"/>
              <w:right w:val="single" w:color="000000" w:sz="8" w:space="0"/>
            </w:tcBorders>
            <w:tcMar>
              <w:left w:w="108" w:type="dxa"/>
              <w:top w:w="0" w:type="dxa"/>
              <w:right w:w="108" w:type="dxa"/>
              <w:bottom w:w="0" w:type="dxa"/>
            </w:tcMar>
            <w:tcW w:w="66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23303"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Nhà để xe, cầu kết nối và hệ thống Phòng cháy chữa cháy</w:t>
            </w:r>
            <w:r/>
          </w:p>
        </w:tc>
        <w:tc>
          <w:tcPr>
            <w:tcBorders>
              <w:bottom w:val="single" w:color="000000" w:sz="8" w:space="0"/>
              <w:right w:val="single" w:color="000000" w:sz="8" w:space="0"/>
            </w:tcBorders>
            <w:tcMar>
              <w:left w:w="108" w:type="dxa"/>
              <w:top w:w="0" w:type="dxa"/>
              <w:right w:w="108" w:type="dxa"/>
              <w:bottom w:w="0" w:type="dxa"/>
            </w:tcMar>
            <w:tcW w:w="208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Công ty Cổ phần VINASTARTUP Vĩnh Phúc</w:t>
            </w:r>
            <w:r/>
          </w:p>
        </w:tc>
        <w:tc>
          <w:tcPr>
            <w:tcBorders>
              <w:bottom w:val="single" w:color="000000" w:sz="8" w:space="0"/>
            </w:tcBorders>
            <w:tcMar>
              <w:left w:w="108" w:type="dxa"/>
              <w:top w:w="0" w:type="dxa"/>
              <w:right w:w="108" w:type="dxa"/>
              <w:bottom w:w="0" w:type="dxa"/>
            </w:tcMar>
            <w:tcW w:w="54333" w:type="dxa"/>
            <w:vAlign w:val="center"/>
            <w:textDirection w:val="lrTb"/>
            <w:noWrap w:val="false"/>
          </w:tcPr>
          <w:p>
            <w:pPr>
              <w:numPr>
                <w:ilvl w:val="0"/>
                <w:numId w:val="56"/>
              </w:numPr>
              <w:pBdr>
                <w:top w:val="none" w:color="000000" w:sz="4" w:space="0"/>
                <w:left w:val="none" w:color="000000" w:sz="4" w:space="0"/>
                <w:bottom w:val="none" w:color="000000" w:sz="4" w:space="0"/>
                <w:right w:val="none" w:color="000000" w:sz="4" w:space="0"/>
              </w:pBdr>
              <w:spacing w:after="0" w:before="0"/>
              <w:ind/>
              <w:jc w:val="both"/>
              <w:rPr/>
            </w:pPr>
            <w:r>
              <w:rPr>
                <w:rFonts w:ascii="Times New Roman" w:hAnsi="Times New Roman" w:eastAsia="Times New Roman" w:cs="Times New Roman"/>
                <w:color w:val="000000"/>
                <w:sz w:val="24"/>
              </w:rPr>
              <w:t xml:space="preserve">Hồ sơ quyết toán ngày ngày 30 tháng 11 năm 2023 giữa Công ty CNCTECH Hà Nam và Công ty Cổ phần VINASTARTUP Vĩnh Phúc về việc quyết toán hang mục “Cung cấp và thi công nhà để xe, cầu kết nối và hệ thống pccc”.</w:t>
            </w:r>
            <w:r/>
          </w:p>
          <w:p>
            <w:pPr>
              <w:numPr>
                <w:ilvl w:val="0"/>
                <w:numId w:val="56"/>
              </w:numPr>
              <w:pBdr>
                <w:top w:val="none" w:color="000000" w:sz="4" w:space="0"/>
                <w:left w:val="none" w:color="000000" w:sz="4" w:space="0"/>
                <w:bottom w:val="none" w:color="000000" w:sz="4" w:space="0"/>
                <w:right w:val="none" w:color="000000" w:sz="4" w:space="0"/>
              </w:pBdr>
              <w:spacing w:after="0" w:before="0"/>
              <w:ind/>
              <w:jc w:val="both"/>
              <w:rPr/>
            </w:pPr>
            <w:r>
              <w:rPr>
                <w:rFonts w:ascii="Times New Roman" w:hAnsi="Times New Roman" w:eastAsia="Times New Roman" w:cs="Times New Roman"/>
                <w:color w:val="000000"/>
                <w:sz w:val="24"/>
              </w:rPr>
              <w:t xml:space="preserve">Hợp đồng thi công số 01/02-0807-2023/HANAM-VNSU ký ngày 12 tháng 07 năm 2023 giữa Công ty CNCTECH Hà Nam và Công ty Cổ phần VINASTARTUP Vĩnh Phúc về việc thi công gói thầu “Cung cấp và thi công nhà để xe, cầu kết nối và hệ thống Phòng cháy chữa cháy” dự án</w:t>
            </w:r>
            <w:r>
              <w:rPr>
                <w:rFonts w:ascii="Times New Roman" w:hAnsi="Times New Roman" w:eastAsia="Times New Roman" w:cs="Times New Roman"/>
                <w:color w:val="000000"/>
                <w:sz w:val="24"/>
              </w:rPr>
              <w:t xml:space="preserve"> Nhà xưởng F4B – ACCTON VIỆT NAM.</w:t>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2246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190</w:t>
            </w:r>
            <w:r/>
          </w:p>
        </w:tc>
        <w:tc>
          <w:tcPr>
            <w:tcBorders>
              <w:bottom w:val="single" w:color="000000" w:sz="8" w:space="0"/>
              <w:right w:val="single" w:color="000000" w:sz="8" w:space="0"/>
            </w:tcBorders>
            <w:tcMar>
              <w:left w:w="108" w:type="dxa"/>
              <w:top w:w="0" w:type="dxa"/>
              <w:right w:w="108" w:type="dxa"/>
              <w:bottom w:w="0" w:type="dxa"/>
            </w:tcMar>
            <w:tcW w:w="2031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27.538.290.000</w:t>
            </w:r>
            <w:r/>
          </w:p>
        </w:tc>
        <w:tc>
          <w:tcPr>
            <w:tcBorders/>
            <w:tcMar>
              <w:left w:w="0" w:type="dxa"/>
              <w:top w:w="0" w:type="dxa"/>
              <w:right w:w="0" w:type="dxa"/>
              <w:bottom w:w="0" w:type="dxa"/>
            </w:tcMar>
            <w:tcW w:w="147949" w:type="dxa"/>
            <w:vAlign w:val="center"/>
            <w:textDirection w:val="lrTb"/>
            <w:noWrap w:val="false"/>
          </w:tcPr>
          <w:p>
            <w:pPr>
              <w:pBdr/>
              <w:spacing w:after="0" w:before="0" w:line="240" w:lineRule="auto"/>
              <w:ind/>
              <w:rPr/>
            </w:pPr>
            <w:r/>
            <w:r/>
          </w:p>
        </w:tc>
      </w:tr>
    </w:tbl>
    <w:p>
      <w:pPr>
        <w:numPr>
          <w:ilvl w:val="0"/>
          <w:numId w:val="57"/>
        </w:numPr>
        <w:pBdr>
          <w:top w:val="none" w:color="000000" w:sz="4" w:space="0"/>
          <w:left w:val="none" w:color="000000" w:sz="4" w:space="0"/>
          <w:bottom w:val="none" w:color="000000" w:sz="4" w:space="0"/>
          <w:right w:val="none" w:color="000000" w:sz="4" w:space="0"/>
        </w:pBdr>
        <w:spacing w:after="120" w:before="0" w:line="276" w:lineRule="auto"/>
        <w:ind/>
        <w:jc w:val="both"/>
        <w:rPr/>
      </w:pPr>
      <w:r>
        <w:rPr>
          <w:rFonts w:ascii="Times New Roman" w:hAnsi="Times New Roman" w:eastAsia="Times New Roman" w:cs="Times New Roman"/>
          <w:b/>
          <w:i/>
          <w:color w:val="000000"/>
          <w:sz w:val="24"/>
        </w:rPr>
        <w:t xml:space="preserve">Xác định tỷ lệ hao mòn theo phương pháp tuổi đời:</w:t>
      </w:r>
      <w:r/>
    </w:p>
    <w:p>
      <w:pPr>
        <w:pBdr>
          <w:top w:val="none" w:color="000000" w:sz="4" w:space="0"/>
          <w:left w:val="none" w:color="000000" w:sz="4" w:space="0"/>
          <w:bottom w:val="none" w:color="000000" w:sz="4" w:space="0"/>
          <w:right w:val="none" w:color="000000" w:sz="4" w:space="0"/>
        </w:pBdr>
        <w:spacing w:after="120" w:before="0" w:line="276" w:lineRule="auto"/>
        <w:ind w:right="-1390" w:firstLine="426"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0" w:line="276" w:lineRule="auto"/>
        <w:ind w:right="-1390" w:firstLine="426" w:left="0"/>
        <w:jc w:val="both"/>
        <w:rPr/>
      </w:pPr>
      <w:r>
        <w:rPr>
          <w:rFonts w:ascii="Times New Roman" w:hAnsi="Times New Roman" w:eastAsia="Times New Roman" w:cs="Times New Roman"/>
          <w:b/>
          <w:color w:val="000000"/>
          <w:spacing w:val="2"/>
          <w:sz w:val="24"/>
        </w:rPr>
        <w:t xml:space="preserve">Công thức: Tỷ lệ hao mòn = Tuổi đời hiệu quả/ Tuổi đời kinh tế</w:t>
      </w:r>
      <w:r/>
    </w:p>
    <w:p>
      <w:pPr>
        <w:pBdr>
          <w:top w:val="none" w:color="000000" w:sz="4" w:space="0"/>
          <w:left w:val="none" w:color="000000" w:sz="4" w:space="0"/>
          <w:bottom w:val="none" w:color="000000" w:sz="4" w:space="0"/>
          <w:right w:val="none" w:color="000000" w:sz="4" w:space="0"/>
        </w:pBdr>
        <w:spacing w:line="276" w:lineRule="auto"/>
        <w:ind w:right="-1390" w:firstLine="426" w:left="0"/>
        <w:jc w:val="both"/>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before="0" w:line="276" w:lineRule="auto"/>
        <w:ind w:right="-1390" w:firstLine="0" w:left="426"/>
        <w:jc w:val="both"/>
        <w:rPr/>
      </w:pPr>
      <w:r>
        <w:rPr>
          <w:rFonts w:ascii="Times New Roman" w:hAnsi="Times New Roman" w:eastAsia="Times New Roman" w:cs="Times New Roman"/>
          <w:color w:val="000000"/>
          <w:sz w:val="24"/>
        </w:rPr>
        <w:t xml:space="preserve">+ Tuổi đời hiệu quả (t) là số năm thể hiện thực trạng của tài sản thẩm định giá tại thời điểm thẩm định giá. Tuổi đời hiệu quả phụ thuộc vào tình trạng duy trì, bảo dưỡng tài sản.</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rFonts w:ascii="Times New Roman" w:hAnsi="Times New Roman" w:eastAsia="Times New Roman" w:cs="Times New Roman"/>
          <w:b/>
          <w:bCs/>
          <w:color w:val="000000"/>
          <w:sz w:val="24"/>
          <w:szCs w:val="24"/>
          <w:highlight w:val="none"/>
          <w:u w:val="single"/>
        </w:rPr>
      </w:pPr>
      <w:r>
        <w:rPr>
          <w:rFonts w:ascii="Times New Roman" w:hAnsi="Times New Roman" w:eastAsia="Times New Roman" w:cs="Times New Roman"/>
          <w:color w:val="000000"/>
          <w:sz w:val="24"/>
        </w:rPr>
        <w:t xml:space="preserve">+ Tuổi đời kinh tế (T) là thời hạn sử dụng của tài sản phát huy được hiệu quả kinh tế. Tuổi đời kinh tế được xác định theo Khung thời gian trích khấu hao các loại tài sản cố định vận dụng Thông tư 45/TT-BTC ngày 25/04/2013 của Bộ Tài chính hướng dẫn chế độ</w:t>
      </w:r>
      <w:r>
        <w:rPr>
          <w:rFonts w:ascii="Times New Roman" w:hAnsi="Times New Roman" w:eastAsia="Times New Roman" w:cs="Times New Roman"/>
          <w:color w:val="000000"/>
          <w:sz w:val="24"/>
        </w:rPr>
        <w:t xml:space="preserve"> quản lý, sử dụng và trích khấu hao tài sản cố định</w:t>
      </w:r>
      <w:r>
        <w:rPr>
          <w:rFonts w:ascii="Times New Roman" w:hAnsi="Times New Roman" w:eastAsia="Times New Roman" w:cs="Times New Roman"/>
          <w:b/>
          <w:bCs/>
          <w:color w:val="000000"/>
          <w:sz w:val="24"/>
          <w:szCs w:val="24"/>
          <w:highlight w:val="none"/>
          <w:u w:val="single"/>
        </w:rPr>
      </w:r>
      <w:r>
        <w:rPr>
          <w:rFonts w:ascii="Times New Roman" w:hAnsi="Times New Roman" w:eastAsia="Times New Roman" w:cs="Times New Roman"/>
          <w:b/>
          <w:bCs/>
          <w:color w:val="000000"/>
          <w:sz w:val="24"/>
          <w:szCs w:val="24"/>
          <w:highlight w:val="none"/>
          <w:u w:val="single"/>
        </w:rPr>
      </w:r>
    </w:p>
    <w:tbl>
      <w:tblPr>
        <w:tblStyle w:val="106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07"/>
        <w:gridCol w:w="1154"/>
        <w:gridCol w:w="2004"/>
        <w:gridCol w:w="1208"/>
        <w:gridCol w:w="1159"/>
        <w:gridCol w:w="732"/>
        <w:gridCol w:w="576"/>
        <w:gridCol w:w="870"/>
        <w:gridCol w:w="787"/>
        <w:gridCol w:w="768"/>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80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15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Hạng mục</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200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 Chi phí xây dựng/tái tạo (Đã bao gồm thuế GTGT) </w:t>
            </w:r>
            <w:r/>
          </w:p>
        </w:tc>
        <w:tc>
          <w:tcPr>
            <w:gridSpan w:val="5"/>
            <w:tcBorders>
              <w:top w:val="single" w:color="000000" w:sz="8" w:space="0"/>
              <w:bottom w:val="single" w:color="000000" w:sz="8" w:space="0"/>
              <w:right w:val="single" w:color="000000" w:sz="8" w:space="0"/>
            </w:tcBorders>
            <w:tcMar>
              <w:left w:w="108" w:type="dxa"/>
              <w:top w:w="0" w:type="dxa"/>
              <w:right w:w="108" w:type="dxa"/>
              <w:bottom w:w="0" w:type="dxa"/>
            </w:tcMar>
            <w:tcW w:w="454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Phương pháp tuổi đời</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87"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Giá trị hao mòn (đồng)</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7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 Giá trị thẩm định (đồng) </w:t>
            </w:r>
            <w:r/>
          </w:p>
        </w:tc>
      </w:tr>
      <w:tr>
        <w:trPr>
          <w:trHeight w:val="300"/>
        </w:trPr>
        <w:tc>
          <w:tcPr>
            <w:tcBorders>
              <w:top w:val="single" w:color="000000" w:sz="8" w:space="0"/>
              <w:left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left w:val="single" w:color="000000" w:sz="8" w:space="0"/>
              <w:bottom w:val="single" w:color="000000" w:sz="8" w:space="0"/>
              <w:right w:val="single" w:color="000000" w:sz="8" w:space="0"/>
            </w:tcBorders>
            <w:tcMar>
              <w:left w:w="108" w:type="dxa"/>
              <w:top w:w="0" w:type="dxa"/>
              <w:right w:w="108" w:type="dxa"/>
              <w:bottom w:w="0" w:type="dxa"/>
            </w:tcMar>
            <w:tcW w:w="120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1</w:t>
            </w:r>
            <w:r/>
          </w:p>
        </w:tc>
        <w:tc>
          <w:tcPr>
            <w:tcBorders>
              <w:bottom w:val="single" w:color="000000" w:sz="8" w:space="0"/>
              <w:right w:val="single" w:color="000000" w:sz="8" w:space="0"/>
            </w:tcBorders>
            <w:tcMar>
              <w:left w:w="108" w:type="dxa"/>
              <w:top w:w="0" w:type="dxa"/>
              <w:right w:w="108" w:type="dxa"/>
              <w:bottom w:w="0" w:type="dxa"/>
            </w:tcMar>
            <w:tcW w:w="11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b/>
                <w:color w:val="000000"/>
                <w:sz w:val="24"/>
              </w:rPr>
              <w:t xml:space="preserve">Nhà xưởng</w:t>
            </w:r>
            <w:r/>
          </w:p>
        </w:tc>
        <w:tc>
          <w:tcPr>
            <w:tcBorders>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576"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870"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b/>
                <w:color w:val="000000"/>
                <w:sz w:val="24"/>
              </w:rPr>
              <w:t xml:space="preserve"> </w:t>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c>
          <w:tcPr>
            <w:tcBorders>
              <w:top w:val="single" w:color="000000" w:sz="8" w:space="0"/>
              <w:bottom w:val="single" w:color="000000" w:sz="8" w:space="0"/>
              <w:right w:val="single" w:color="000000" w:sz="8" w:space="0"/>
            </w:tcBorders>
            <w:vMerge w:val="continue"/>
            <w:textDirection w:val="lrTb"/>
            <w:noWrap w:val="false"/>
          </w:tcPr>
          <w:p>
            <w:pPr>
              <w:pBdr/>
              <w:spacing/>
              <w:ind/>
              <w:rPr/>
            </w:pPr>
            <w:r/>
            <w:r/>
          </w:p>
        </w:tc>
      </w:tr>
      <w:tr>
        <w:trPr>
          <w:trHeight w:val="1240"/>
        </w:trPr>
        <w:tc>
          <w:tcPr>
            <w:tcBorders>
              <w:left w:val="single" w:color="000000" w:sz="8" w:space="0"/>
              <w:bottom w:val="single" w:color="000000" w:sz="8" w:space="0"/>
              <w:right w:val="single" w:color="000000" w:sz="8" w:space="0"/>
            </w:tcBorders>
            <w:tcMar>
              <w:left w:w="108" w:type="dxa"/>
              <w:top w:w="0" w:type="dxa"/>
              <w:right w:w="108" w:type="dxa"/>
              <w:bottom w:w="0" w:type="dxa"/>
            </w:tcMar>
            <w:tcW w:w="80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Nhà xưởng F4B</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158.286.939.000</w:t>
            </w:r>
            <w:r/>
          </w:p>
        </w:tc>
        <w:tc>
          <w:tcPr>
            <w:tcBorders>
              <w:bottom w:val="single" w:color="000000" w:sz="8" w:space="0"/>
              <w:right w:val="single" w:color="000000" w:sz="8" w:space="0"/>
            </w:tcBorders>
            <w:tcMar>
              <w:left w:w="108" w:type="dxa"/>
              <w:top w:w="0" w:type="dxa"/>
              <w:right w:w="108" w:type="dxa"/>
              <w:bottom w:w="0" w:type="dxa"/>
            </w:tcMar>
            <w:tcW w:w="120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27/02/2023</w:t>
            </w:r>
            <w:r/>
          </w:p>
        </w:tc>
        <w:tc>
          <w:tcPr>
            <w:tcBorders>
              <w:bottom w:val="single" w:color="000000" w:sz="8" w:space="0"/>
              <w:right w:val="single" w:color="000000" w:sz="8" w:space="0"/>
            </w:tcBorders>
            <w:tcMar>
              <w:left w:w="108" w:type="dxa"/>
              <w:top w:w="0" w:type="dxa"/>
              <w:right w:w="108" w:type="dxa"/>
              <w:bottom w:w="0" w:type="dxa"/>
            </w:tcMar>
            <w:tcW w:w="1159"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27/03/2026</w:t>
            </w:r>
            <w:r/>
          </w:p>
        </w:tc>
        <w:tc>
          <w:tcPr>
            <w:tcBorders>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37,5</w:t>
            </w:r>
            <w:r/>
          </w:p>
        </w:tc>
        <w:tc>
          <w:tcPr>
            <w:tcBorders>
              <w:bottom w:val="single" w:color="000000" w:sz="8" w:space="0"/>
              <w:right w:val="single" w:color="000000" w:sz="8" w:space="0"/>
            </w:tcBorders>
            <w:tcMar>
              <w:left w:w="108" w:type="dxa"/>
              <w:top w:w="0" w:type="dxa"/>
              <w:right w:w="108" w:type="dxa"/>
              <w:bottom w:w="0" w:type="dxa"/>
            </w:tcMar>
            <w:tcW w:w="576"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360</w:t>
            </w:r>
            <w:r/>
          </w:p>
        </w:tc>
        <w:tc>
          <w:tcPr>
            <w:tcBorders>
              <w:bottom w:val="single" w:color="000000" w:sz="8" w:space="0"/>
              <w:right w:val="single" w:color="000000" w:sz="8" w:space="0"/>
            </w:tcBorders>
            <w:tcMar>
              <w:left w:w="108" w:type="dxa"/>
              <w:top w:w="0" w:type="dxa"/>
              <w:right w:w="108" w:type="dxa"/>
              <w:bottom w:w="0" w:type="dxa"/>
            </w:tcMar>
            <w:tcW w:w="870"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10,4%</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16.461.841.656,0</w:t>
            </w:r>
            <w:r/>
          </w:p>
        </w:tc>
        <w:tc>
          <w:tcPr>
            <w:tcBorders>
              <w:bottom w:val="single" w:color="000000" w:sz="8" w:space="0"/>
              <w:right w:val="single" w:color="000000" w:sz="8" w:space="0"/>
            </w:tcBorders>
            <w:tcMar>
              <w:left w:w="108" w:type="dxa"/>
              <w:top w:w="0" w:type="dxa"/>
              <w:right w:w="108" w:type="dxa"/>
              <w:bottom w:w="0" w:type="dxa"/>
            </w:tcMar>
            <w:tcW w:w="76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141.825.097.344</w:t>
            </w:r>
            <w:r/>
          </w:p>
        </w:tc>
      </w:tr>
      <w:tr>
        <w:trPr>
          <w:trHeight w:val="620"/>
        </w:trPr>
        <w:tc>
          <w:tcPr>
            <w:tcBorders>
              <w:left w:val="single" w:color="000000" w:sz="8" w:space="0"/>
              <w:bottom w:val="single" w:color="000000" w:sz="8" w:space="0"/>
              <w:right w:val="single" w:color="000000" w:sz="8" w:space="0"/>
            </w:tcBorders>
            <w:tcMar>
              <w:left w:w="108" w:type="dxa"/>
              <w:top w:w="0" w:type="dxa"/>
              <w:right w:w="108" w:type="dxa"/>
              <w:bottom w:w="0" w:type="dxa"/>
            </w:tcMar>
            <w:tcW w:w="80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w:t>
            </w:r>
            <w:r/>
          </w:p>
        </w:tc>
        <w:tc>
          <w:tcPr>
            <w:tcBorders>
              <w:bottom w:val="single" w:color="000000" w:sz="8" w:space="0"/>
              <w:right w:val="single" w:color="000000" w:sz="8" w:space="0"/>
            </w:tcBorders>
            <w:tcMar>
              <w:left w:w="108" w:type="dxa"/>
              <w:top w:w="0" w:type="dxa"/>
              <w:right w:w="108" w:type="dxa"/>
              <w:bottom w:w="0" w:type="dxa"/>
            </w:tcMar>
            <w:tcW w:w="1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Nâng cấp sàn bên trong nhà xưởng</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20.664.000.000</w:t>
            </w:r>
            <w:r/>
          </w:p>
        </w:tc>
        <w:tc>
          <w:tcPr>
            <w:tcBorders>
              <w:bottom w:val="single" w:color="000000" w:sz="8" w:space="0"/>
              <w:right w:val="single" w:color="000000" w:sz="8" w:space="0"/>
            </w:tcBorders>
            <w:tcMar>
              <w:left w:w="108" w:type="dxa"/>
              <w:top w:w="0" w:type="dxa"/>
              <w:right w:w="108" w:type="dxa"/>
              <w:bottom w:w="0" w:type="dxa"/>
            </w:tcMar>
            <w:tcW w:w="120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30/11/2023</w:t>
            </w:r>
            <w:r/>
          </w:p>
        </w:tc>
        <w:tc>
          <w:tcPr>
            <w:tcBorders>
              <w:bottom w:val="single" w:color="000000" w:sz="8" w:space="0"/>
              <w:right w:val="single" w:color="000000" w:sz="8" w:space="0"/>
            </w:tcBorders>
            <w:tcMar>
              <w:left w:w="108" w:type="dxa"/>
              <w:top w:w="0" w:type="dxa"/>
              <w:right w:w="108" w:type="dxa"/>
              <w:bottom w:w="0" w:type="dxa"/>
            </w:tcMar>
            <w:tcW w:w="1159"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27/03/2026</w:t>
            </w:r>
            <w:r/>
          </w:p>
        </w:tc>
        <w:tc>
          <w:tcPr>
            <w:tcBorders>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28,3</w:t>
            </w:r>
            <w:r/>
          </w:p>
        </w:tc>
        <w:tc>
          <w:tcPr>
            <w:tcBorders>
              <w:bottom w:val="single" w:color="000000" w:sz="8" w:space="0"/>
              <w:right w:val="single" w:color="000000" w:sz="8" w:space="0"/>
            </w:tcBorders>
            <w:tcMar>
              <w:left w:w="108" w:type="dxa"/>
              <w:top w:w="0" w:type="dxa"/>
              <w:right w:w="108" w:type="dxa"/>
              <w:bottom w:w="0" w:type="dxa"/>
            </w:tcMar>
            <w:tcW w:w="576"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360</w:t>
            </w:r>
            <w:r/>
          </w:p>
        </w:tc>
        <w:tc>
          <w:tcPr>
            <w:tcBorders>
              <w:bottom w:val="single" w:color="000000" w:sz="8" w:space="0"/>
              <w:right w:val="single" w:color="000000" w:sz="8" w:space="0"/>
            </w:tcBorders>
            <w:tcMar>
              <w:left w:w="108" w:type="dxa"/>
              <w:top w:w="0" w:type="dxa"/>
              <w:right w:w="108" w:type="dxa"/>
              <w:bottom w:w="0" w:type="dxa"/>
            </w:tcMar>
            <w:tcW w:w="870"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7,9%</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1.632.456.000,0</w:t>
            </w:r>
            <w:r/>
          </w:p>
        </w:tc>
        <w:tc>
          <w:tcPr>
            <w:tcBorders>
              <w:bottom w:val="single" w:color="000000" w:sz="8" w:space="0"/>
              <w:right w:val="single" w:color="000000" w:sz="8" w:space="0"/>
            </w:tcBorders>
            <w:tcMar>
              <w:left w:w="108" w:type="dxa"/>
              <w:top w:w="0" w:type="dxa"/>
              <w:right w:w="108" w:type="dxa"/>
              <w:bottom w:w="0" w:type="dxa"/>
            </w:tcMar>
            <w:tcW w:w="76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19.031.544.000</w:t>
            </w:r>
            <w:r/>
          </w:p>
        </w:tc>
      </w:tr>
      <w:tr>
        <w:trPr>
          <w:trHeight w:val="620"/>
        </w:trPr>
        <w:tc>
          <w:tcPr>
            <w:tcBorders>
              <w:left w:val="single" w:color="000000" w:sz="8" w:space="0"/>
              <w:bottom w:val="single" w:color="000000" w:sz="8" w:space="0"/>
              <w:right w:val="single" w:color="000000" w:sz="8" w:space="0"/>
            </w:tcBorders>
            <w:tcMar>
              <w:left w:w="108" w:type="dxa"/>
              <w:top w:w="0" w:type="dxa"/>
              <w:right w:w="108" w:type="dxa"/>
              <w:bottom w:w="0" w:type="dxa"/>
            </w:tcMar>
            <w:tcW w:w="80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w:t>
            </w:r>
            <w:r/>
          </w:p>
        </w:tc>
        <w:tc>
          <w:tcPr>
            <w:tcBorders>
              <w:bottom w:val="single" w:color="000000" w:sz="8" w:space="0"/>
              <w:right w:val="single" w:color="000000" w:sz="8" w:space="0"/>
            </w:tcBorders>
            <w:tcMar>
              <w:left w:w="108" w:type="dxa"/>
              <w:top w:w="0" w:type="dxa"/>
              <w:right w:w="108" w:type="dxa"/>
              <w:bottom w:w="0" w:type="dxa"/>
            </w:tcMar>
            <w:tcW w:w="1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Hệ thống PCCC</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10.417.423.000</w:t>
            </w:r>
            <w:r/>
          </w:p>
        </w:tc>
        <w:tc>
          <w:tcPr>
            <w:tcBorders>
              <w:bottom w:val="single" w:color="000000" w:sz="8" w:space="0"/>
              <w:right w:val="single" w:color="000000" w:sz="8" w:space="0"/>
            </w:tcBorders>
            <w:tcMar>
              <w:left w:w="108" w:type="dxa"/>
              <w:top w:w="0" w:type="dxa"/>
              <w:right w:w="108" w:type="dxa"/>
              <w:bottom w:w="0" w:type="dxa"/>
            </w:tcMar>
            <w:tcW w:w="120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21/12/2022</w:t>
            </w:r>
            <w:r/>
          </w:p>
        </w:tc>
        <w:tc>
          <w:tcPr>
            <w:tcBorders>
              <w:bottom w:val="single" w:color="000000" w:sz="8" w:space="0"/>
              <w:right w:val="single" w:color="000000" w:sz="8" w:space="0"/>
            </w:tcBorders>
            <w:tcMar>
              <w:left w:w="108" w:type="dxa"/>
              <w:top w:w="0" w:type="dxa"/>
              <w:right w:w="108" w:type="dxa"/>
              <w:bottom w:w="0" w:type="dxa"/>
            </w:tcMar>
            <w:tcW w:w="1159"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27/03/2026</w:t>
            </w:r>
            <w:r/>
          </w:p>
        </w:tc>
        <w:tc>
          <w:tcPr>
            <w:tcBorders>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39,7</w:t>
            </w:r>
            <w:r/>
          </w:p>
        </w:tc>
        <w:tc>
          <w:tcPr>
            <w:tcBorders>
              <w:bottom w:val="single" w:color="000000" w:sz="8" w:space="0"/>
              <w:right w:val="single" w:color="000000" w:sz="8" w:space="0"/>
            </w:tcBorders>
            <w:tcMar>
              <w:left w:w="108" w:type="dxa"/>
              <w:top w:w="0" w:type="dxa"/>
              <w:right w:w="108" w:type="dxa"/>
              <w:bottom w:w="0" w:type="dxa"/>
            </w:tcMar>
            <w:tcW w:w="576"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180</w:t>
            </w:r>
            <w:r/>
          </w:p>
        </w:tc>
        <w:tc>
          <w:tcPr>
            <w:tcBorders>
              <w:bottom w:val="single" w:color="000000" w:sz="8" w:space="0"/>
              <w:right w:val="single" w:color="000000" w:sz="8" w:space="0"/>
            </w:tcBorders>
            <w:tcMar>
              <w:left w:w="108" w:type="dxa"/>
              <w:top w:w="0" w:type="dxa"/>
              <w:right w:w="108" w:type="dxa"/>
              <w:bottom w:w="0" w:type="dxa"/>
            </w:tcMar>
            <w:tcW w:w="870"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22,1%</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2.302.250.483,0</w:t>
            </w:r>
            <w:r/>
          </w:p>
        </w:tc>
        <w:tc>
          <w:tcPr>
            <w:tcBorders>
              <w:bottom w:val="single" w:color="000000" w:sz="8" w:space="0"/>
              <w:right w:val="single" w:color="000000" w:sz="8" w:space="0"/>
            </w:tcBorders>
            <w:tcMar>
              <w:left w:w="108" w:type="dxa"/>
              <w:top w:w="0" w:type="dxa"/>
              <w:right w:w="108" w:type="dxa"/>
              <w:bottom w:w="0" w:type="dxa"/>
            </w:tcMar>
            <w:tcW w:w="76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8.115.172.517</w:t>
            </w:r>
            <w:r/>
          </w:p>
        </w:tc>
      </w:tr>
      <w:tr>
        <w:trPr>
          <w:trHeight w:val="2790"/>
        </w:trPr>
        <w:tc>
          <w:tcPr>
            <w:tcBorders>
              <w:left w:val="single" w:color="000000" w:sz="8" w:space="0"/>
              <w:bottom w:val="single" w:color="000000" w:sz="8" w:space="0"/>
              <w:right w:val="single" w:color="000000" w:sz="8" w:space="0"/>
            </w:tcBorders>
            <w:tcMar>
              <w:left w:w="108" w:type="dxa"/>
              <w:top w:w="0" w:type="dxa"/>
              <w:right w:w="108" w:type="dxa"/>
              <w:bottom w:w="0" w:type="dxa"/>
            </w:tcMar>
            <w:tcW w:w="80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w:t>
            </w:r>
            <w:r/>
          </w:p>
        </w:tc>
        <w:tc>
          <w:tcPr>
            <w:tcBorders>
              <w:bottom w:val="single" w:color="000000" w:sz="8" w:space="0"/>
              <w:right w:val="single" w:color="000000" w:sz="8" w:space="0"/>
            </w:tcBorders>
            <w:tcMar>
              <w:left w:w="108" w:type="dxa"/>
              <w:top w:w="0" w:type="dxa"/>
              <w:right w:w="108" w:type="dxa"/>
              <w:bottom w:w="0" w:type="dxa"/>
            </w:tcMar>
            <w:tcW w:w="1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Các hạng mục phụ trợ:</w:t>
              <w:br/>
              <w:t xml:space="preserve"> Nhà bảo vệ, Nhà xe</w:t>
              <w:br/>
              <w:t xml:space="preserve"> Bể xử lý nước thải</w:t>
              <w:br/>
              <w:t xml:space="preserve"> Hạ tầng kỹ thuật bao gồm: hệ thống điện, đường giao thông, tường rào, cổng</w:t>
              <w:br/>
              <w:t xml:space="preserve"> Camera, thang máy, sàn nâng tự động, cửa cuốn</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18.760.814.000</w:t>
            </w:r>
            <w:r/>
          </w:p>
        </w:tc>
        <w:tc>
          <w:tcPr>
            <w:tcBorders>
              <w:bottom w:val="single" w:color="000000" w:sz="8" w:space="0"/>
              <w:right w:val="single" w:color="000000" w:sz="8" w:space="0"/>
            </w:tcBorders>
            <w:tcMar>
              <w:left w:w="108" w:type="dxa"/>
              <w:top w:w="0" w:type="dxa"/>
              <w:right w:w="108" w:type="dxa"/>
              <w:bottom w:w="0" w:type="dxa"/>
            </w:tcMar>
            <w:tcW w:w="120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27/02/2023</w:t>
            </w:r>
            <w:r/>
          </w:p>
        </w:tc>
        <w:tc>
          <w:tcPr>
            <w:tcBorders>
              <w:bottom w:val="single" w:color="000000" w:sz="8" w:space="0"/>
              <w:right w:val="single" w:color="000000" w:sz="8" w:space="0"/>
            </w:tcBorders>
            <w:tcMar>
              <w:left w:w="108" w:type="dxa"/>
              <w:top w:w="0" w:type="dxa"/>
              <w:right w:w="108" w:type="dxa"/>
              <w:bottom w:w="0" w:type="dxa"/>
            </w:tcMar>
            <w:tcW w:w="1159"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27/03/2026</w:t>
            </w:r>
            <w:r/>
          </w:p>
        </w:tc>
        <w:tc>
          <w:tcPr>
            <w:tcBorders>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37,5</w:t>
            </w:r>
            <w:r/>
          </w:p>
        </w:tc>
        <w:tc>
          <w:tcPr>
            <w:tcBorders>
              <w:bottom w:val="single" w:color="000000" w:sz="8" w:space="0"/>
              <w:right w:val="single" w:color="000000" w:sz="8" w:space="0"/>
            </w:tcBorders>
            <w:tcMar>
              <w:left w:w="108" w:type="dxa"/>
              <w:top w:w="0" w:type="dxa"/>
              <w:right w:w="108" w:type="dxa"/>
              <w:bottom w:w="0" w:type="dxa"/>
            </w:tcMar>
            <w:tcW w:w="576"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180</w:t>
            </w:r>
            <w:r/>
          </w:p>
        </w:tc>
        <w:tc>
          <w:tcPr>
            <w:tcBorders>
              <w:bottom w:val="single" w:color="000000" w:sz="8" w:space="0"/>
              <w:right w:val="single" w:color="000000" w:sz="8" w:space="0"/>
            </w:tcBorders>
            <w:tcMar>
              <w:left w:w="108" w:type="dxa"/>
              <w:top w:w="0" w:type="dxa"/>
              <w:right w:w="108" w:type="dxa"/>
              <w:bottom w:w="0" w:type="dxa"/>
            </w:tcMar>
            <w:tcW w:w="870"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20,8%</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3.902.249.312,0</w:t>
            </w:r>
            <w:r/>
          </w:p>
        </w:tc>
        <w:tc>
          <w:tcPr>
            <w:tcBorders>
              <w:bottom w:val="single" w:color="000000" w:sz="8" w:space="0"/>
              <w:right w:val="single" w:color="000000" w:sz="8" w:space="0"/>
            </w:tcBorders>
            <w:tcMar>
              <w:left w:w="108" w:type="dxa"/>
              <w:top w:w="0" w:type="dxa"/>
              <w:right w:w="108" w:type="dxa"/>
              <w:bottom w:w="0" w:type="dxa"/>
            </w:tcMar>
            <w:tcW w:w="76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14.858.564.688</w:t>
            </w:r>
            <w:r/>
          </w:p>
        </w:tc>
      </w:tr>
      <w:tr>
        <w:trPr>
          <w:trHeight w:val="620"/>
        </w:trPr>
        <w:tc>
          <w:tcPr>
            <w:tcBorders>
              <w:left w:val="single" w:color="000000" w:sz="8" w:space="0"/>
              <w:bottom w:val="single" w:color="000000" w:sz="8" w:space="0"/>
              <w:right w:val="single" w:color="000000" w:sz="8" w:space="0"/>
            </w:tcBorders>
            <w:tcMar>
              <w:left w:w="108" w:type="dxa"/>
              <w:top w:w="0" w:type="dxa"/>
              <w:right w:w="108" w:type="dxa"/>
              <w:bottom w:w="0" w:type="dxa"/>
            </w:tcMar>
            <w:tcW w:w="80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4</w:t>
            </w:r>
            <w:r/>
          </w:p>
        </w:tc>
        <w:tc>
          <w:tcPr>
            <w:tcBorders>
              <w:bottom w:val="single" w:color="000000" w:sz="8" w:space="0"/>
              <w:right w:val="single" w:color="000000" w:sz="8" w:space="0"/>
            </w:tcBorders>
            <w:tcMar>
              <w:left w:w="108" w:type="dxa"/>
              <w:top w:w="0" w:type="dxa"/>
              <w:right w:w="108" w:type="dxa"/>
              <w:bottom w:w="0" w:type="dxa"/>
            </w:tcMar>
            <w:tcW w:w="1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color w:val="000000"/>
                <w:sz w:val="24"/>
              </w:rPr>
              <w:t xml:space="preserve">Cầu kết nối, nhà để xe, PCCC của nhà để xe</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27.538.290.000</w:t>
            </w:r>
            <w:r/>
          </w:p>
        </w:tc>
        <w:tc>
          <w:tcPr>
            <w:tcBorders>
              <w:bottom w:val="single" w:color="000000" w:sz="8" w:space="0"/>
              <w:right w:val="single" w:color="000000" w:sz="8" w:space="0"/>
            </w:tcBorders>
            <w:tcMar>
              <w:left w:w="108" w:type="dxa"/>
              <w:top w:w="0" w:type="dxa"/>
              <w:right w:w="108" w:type="dxa"/>
              <w:bottom w:w="0" w:type="dxa"/>
            </w:tcMar>
            <w:tcW w:w="120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23/11/2023</w:t>
            </w:r>
            <w:r/>
          </w:p>
        </w:tc>
        <w:tc>
          <w:tcPr>
            <w:tcBorders>
              <w:bottom w:val="single" w:color="000000" w:sz="8" w:space="0"/>
              <w:right w:val="single" w:color="000000" w:sz="8" w:space="0"/>
            </w:tcBorders>
            <w:tcMar>
              <w:left w:w="108" w:type="dxa"/>
              <w:top w:w="0" w:type="dxa"/>
              <w:right w:w="108" w:type="dxa"/>
              <w:bottom w:w="0" w:type="dxa"/>
            </w:tcMar>
            <w:tcW w:w="1159"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27/03/2026</w:t>
            </w:r>
            <w:r/>
          </w:p>
        </w:tc>
        <w:tc>
          <w:tcPr>
            <w:tcBorders>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28,5</w:t>
            </w:r>
            <w:r/>
          </w:p>
        </w:tc>
        <w:tc>
          <w:tcPr>
            <w:tcBorders>
              <w:bottom w:val="single" w:color="000000" w:sz="8" w:space="0"/>
              <w:right w:val="single" w:color="000000" w:sz="8" w:space="0"/>
            </w:tcBorders>
            <w:tcMar>
              <w:left w:w="108" w:type="dxa"/>
              <w:top w:w="0" w:type="dxa"/>
              <w:right w:w="108" w:type="dxa"/>
              <w:bottom w:w="0" w:type="dxa"/>
            </w:tcMar>
            <w:tcW w:w="576"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360</w:t>
            </w:r>
            <w:r/>
          </w:p>
        </w:tc>
        <w:tc>
          <w:tcPr>
            <w:tcBorders>
              <w:bottom w:val="single" w:color="000000" w:sz="8" w:space="0"/>
              <w:right w:val="single" w:color="000000" w:sz="8" w:space="0"/>
            </w:tcBorders>
            <w:tcMar>
              <w:left w:w="108" w:type="dxa"/>
              <w:top w:w="0" w:type="dxa"/>
              <w:right w:w="108" w:type="dxa"/>
              <w:bottom w:w="0" w:type="dxa"/>
            </w:tcMar>
            <w:tcW w:w="870"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color w:val="000000"/>
                <w:sz w:val="24"/>
              </w:rPr>
              <w:t xml:space="preserve">7,9%</w:t>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2.175.524.910,0</w:t>
            </w:r>
            <w:r/>
          </w:p>
        </w:tc>
        <w:tc>
          <w:tcPr>
            <w:tcBorders>
              <w:bottom w:val="single" w:color="000000" w:sz="8" w:space="0"/>
              <w:right w:val="single" w:color="000000" w:sz="8" w:space="0"/>
            </w:tcBorders>
            <w:tcMar>
              <w:left w:w="108" w:type="dxa"/>
              <w:top w:w="0" w:type="dxa"/>
              <w:right w:w="108" w:type="dxa"/>
              <w:bottom w:w="0" w:type="dxa"/>
            </w:tcMar>
            <w:tcW w:w="76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color w:val="000000"/>
                <w:sz w:val="24"/>
              </w:rPr>
              <w:t xml:space="preserve">25.362.765.090</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807"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center"/>
              <w:rPr/>
            </w:pPr>
            <w:r>
              <w:rPr>
                <w:rFonts w:ascii="Times New Roman" w:hAnsi="Times New Roman" w:eastAsia="Times New Roman" w:cs="Times New Roman"/>
                <w:b/>
                <w:color w:val="000000"/>
                <w:sz w:val="24"/>
              </w:rPr>
              <w:t xml:space="preserve"> </w:t>
            </w:r>
            <w:r/>
          </w:p>
        </w:tc>
        <w:tc>
          <w:tcPr>
            <w:tcBorders>
              <w:bottom w:val="single" w:color="000000" w:sz="8" w:space="0"/>
              <w:right w:val="single" w:color="000000" w:sz="8" w:space="0"/>
            </w:tcBorders>
            <w:tcMar>
              <w:left w:w="108" w:type="dxa"/>
              <w:top w:w="0" w:type="dxa"/>
              <w:right w:w="108" w:type="dxa"/>
              <w:bottom w:w="0" w:type="dxa"/>
            </w:tcMar>
            <w:tcW w:w="1154"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before="0"/>
              <w:ind w:right="57" w:firstLine="0" w:left="57"/>
              <w:rPr/>
            </w:pPr>
            <w:r>
              <w:rPr>
                <w:rFonts w:ascii="Times New Roman" w:hAnsi="Times New Roman" w:eastAsia="Times New Roman" w:cs="Times New Roman"/>
                <w:b/>
                <w:color w:val="000000"/>
                <w:sz w:val="24"/>
              </w:rPr>
              <w:t xml:space="preserve">Cộng</w:t>
            </w:r>
            <w:r/>
          </w:p>
        </w:tc>
        <w:tc>
          <w:tcPr>
            <w:tcBorders>
              <w:bottom w:val="single" w:color="000000" w:sz="8" w:space="0"/>
              <w:right w:val="single" w:color="000000" w:sz="8" w:space="0"/>
            </w:tcBorders>
            <w:tcMar>
              <w:left w:w="108" w:type="dxa"/>
              <w:top w:w="0" w:type="dxa"/>
              <w:right w:w="108" w:type="dxa"/>
              <w:bottom w:w="0" w:type="dxa"/>
            </w:tcMar>
            <w:tcW w:w="2004"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b/>
                <w:color w:val="000000"/>
                <w:sz w:val="24"/>
              </w:rPr>
              <w:t xml:space="preserve">235.667.466.000</w:t>
            </w:r>
            <w:r/>
          </w:p>
        </w:tc>
        <w:tc>
          <w:tcPr>
            <w:tcBorders>
              <w:bottom w:val="single" w:color="000000" w:sz="8" w:space="0"/>
              <w:right w:val="single" w:color="000000" w:sz="8" w:space="0"/>
            </w:tcBorders>
            <w:tcMar>
              <w:left w:w="108" w:type="dxa"/>
              <w:top w:w="0" w:type="dxa"/>
              <w:right w:w="108" w:type="dxa"/>
              <w:bottom w:w="0" w:type="dxa"/>
            </w:tcMar>
            <w:tcW w:w="1208"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1159"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732"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576"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870"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787" w:type="dxa"/>
            <w:vAlign w:val="center"/>
            <w:textDirection w:val="lrTb"/>
            <w:noWrap/>
          </w:tcPr>
          <w:p>
            <w:pPr>
              <w:pBdr/>
              <w:spacing w:after="0" w:before="0" w:line="240" w:lineRule="auto"/>
              <w:ind/>
              <w:rPr/>
            </w:pPr>
            <w:r/>
            <w:r/>
          </w:p>
        </w:tc>
        <w:tc>
          <w:tcPr>
            <w:tcBorders>
              <w:bottom w:val="single" w:color="000000" w:sz="8" w:space="0"/>
              <w:right w:val="single" w:color="000000" w:sz="8" w:space="0"/>
            </w:tcBorders>
            <w:tcMar>
              <w:left w:w="108" w:type="dxa"/>
              <w:top w:w="0" w:type="dxa"/>
              <w:right w:w="108" w:type="dxa"/>
              <w:bottom w:w="0" w:type="dxa"/>
            </w:tcMar>
            <w:tcW w:w="768" w:type="dxa"/>
            <w:vAlign w:val="center"/>
            <w:textDirection w:val="lrTb"/>
            <w:noWrap/>
          </w:tcPr>
          <w:p>
            <w:pPr>
              <w:pBdr>
                <w:top w:val="none" w:color="000000" w:sz="4" w:space="0"/>
                <w:left w:val="none" w:color="000000" w:sz="4" w:space="0"/>
                <w:bottom w:val="none" w:color="000000" w:sz="4" w:space="0"/>
                <w:right w:val="none" w:color="000000" w:sz="4" w:space="0"/>
              </w:pBdr>
              <w:spacing w:after="0" w:before="0"/>
              <w:ind w:right="57" w:firstLine="0" w:left="57"/>
              <w:jc w:val="both"/>
              <w:rPr/>
            </w:pPr>
            <w:r>
              <w:rPr>
                <w:rFonts w:ascii="Times New Roman" w:hAnsi="Times New Roman" w:eastAsia="Times New Roman" w:cs="Times New Roman"/>
                <w:b/>
                <w:color w:val="000000"/>
                <w:sz w:val="24"/>
              </w:rPr>
              <w:t xml:space="preserve">209.193.143.639</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highlight w:val="none"/>
          <w:u w:val="single"/>
        </w:rPr>
      </w:r>
      <w:r>
        <w:rPr>
          <w:rFonts w:ascii="Times New Roman" w:hAnsi="Times New Roman" w:eastAsia="Times New Roman" w:cs="Times New Roman"/>
          <w:b/>
          <w:color w:val="000000"/>
          <w:sz w:val="24"/>
          <w:highlight w:val="none"/>
          <w:u w:val="single"/>
        </w:rPr>
      </w:r>
      <w:r/>
    </w:p>
    <w:p>
      <w:pPr>
        <w:pStyle w:val="1063"/>
        <w:pBdr/>
        <w:spacing w:after="120" w:before="120" w:line="276" w:lineRule="auto"/>
        <w:ind w:left="0"/>
        <w:jc w:val="both"/>
        <w:rPr>
          <w:b/>
          <w:bCs/>
          <w:lang w:val="pt-BR"/>
        </w:rPr>
      </w:pPr>
      <w:r>
        <w:rPr>
          <w:b/>
          <w:lang w:val="pt-BR"/>
        </w:rPr>
      </w:r>
      <w:r>
        <w:rPr>
          <w:b/>
          <w:bCs/>
          <w:lang w:val="pt-BR"/>
        </w:rPr>
      </w:r>
      <w:r>
        <w:rPr>
          <w:b/>
          <w:bCs/>
          <w:lang w:val="pt-BR"/>
        </w:rPr>
      </w:r>
    </w:p>
    <w:p>
      <w:pPr>
        <w:pStyle w:val="1063"/>
        <w:pBdr/>
        <w:spacing w:after="120" w:before="120" w:line="276" w:lineRule="auto"/>
        <w:ind w:left="357"/>
        <w:jc w:val="both"/>
        <w:rPr>
          <w:b/>
          <w:bCs/>
          <w:lang w:val="pt-BR"/>
        </w:rPr>
      </w:pPr>
      <w:r>
        <w:rPr>
          <w:b/>
          <w:bCs/>
          <w:lang w:val="pt-BR"/>
        </w:rPr>
      </w:r>
      <w:r>
        <w:rPr>
          <w:b/>
          <w:bCs/>
          <w:lang w:val="pt-BR"/>
        </w:rPr>
      </w:r>
      <w:r>
        <w:rPr>
          <w:b/>
          <w:bCs/>
          <w:lang w:val="pt-BR"/>
        </w:rPr>
      </w:r>
    </w:p>
    <w:p>
      <w:pPr>
        <w:pStyle w:val="1063"/>
        <w:pBdr/>
        <w:spacing w:after="120" w:before="120" w:line="276" w:lineRule="auto"/>
        <w:ind w:left="357"/>
        <w:jc w:val="both"/>
        <w:rPr>
          <w:b/>
          <w:bCs/>
          <w:lang w:val="pt-BR"/>
        </w:rPr>
      </w:pPr>
      <w:r>
        <w:rPr>
          <w:b/>
          <w:bCs/>
          <w:lang w:val="pt-BR"/>
        </w:rPr>
      </w:r>
      <w:r>
        <w:rPr>
          <w:b/>
          <w:bCs/>
          <w:lang w:val="pt-BR"/>
        </w:rPr>
      </w:r>
      <w:r>
        <w:rPr>
          <w:b/>
          <w:bCs/>
          <w:lang w:val="pt-BR"/>
        </w:rPr>
      </w:r>
    </w:p>
    <w:p>
      <w:pPr>
        <w:pStyle w:val="1063"/>
        <w:pBdr/>
        <w:spacing w:after="120" w:before="120" w:line="276" w:lineRule="auto"/>
        <w:ind w:left="357"/>
        <w:jc w:val="both"/>
        <w:rPr>
          <w:b/>
          <w:bCs/>
          <w:lang w:val="pt-BR"/>
        </w:rPr>
      </w:pPr>
      <w:r>
        <w:rPr>
          <w:b/>
          <w:bCs/>
          <w:lang w:val="pt-BR"/>
        </w:rPr>
      </w:r>
      <w:r>
        <w:rPr>
          <w:b/>
          <w:bCs/>
          <w:lang w:val="pt-BR"/>
        </w:rPr>
      </w:r>
      <w:r>
        <w:rPr>
          <w:b/>
          <w:bCs/>
          <w:lang w:val="pt-BR"/>
        </w:rPr>
      </w:r>
    </w:p>
    <w:p>
      <w:pPr>
        <w:pStyle w:val="1063"/>
        <w:pBdr/>
        <w:spacing w:after="120" w:before="120" w:line="276" w:lineRule="auto"/>
        <w:ind w:left="357"/>
        <w:jc w:val="both"/>
        <w:rPr>
          <w:b/>
          <w:bCs/>
          <w:lang w:val="pt-BR"/>
        </w:rPr>
      </w:pPr>
      <w:r>
        <w:rPr>
          <w:b/>
          <w:bCs/>
          <w:lang w:val="pt-BR"/>
        </w:rPr>
      </w:r>
      <w:r>
        <w:rPr>
          <w:b/>
          <w:bCs/>
          <w:lang w:val="pt-BR"/>
        </w:rPr>
      </w:r>
      <w:r>
        <w:rPr>
          <w:b/>
          <w:bCs/>
          <w:lang w:val="pt-BR"/>
        </w:rPr>
      </w:r>
    </w:p>
    <w:p>
      <w:pPr>
        <w:pStyle w:val="1063"/>
        <w:pBdr/>
        <w:spacing w:after="120" w:before="120" w:line="276" w:lineRule="auto"/>
        <w:ind w:left="357"/>
        <w:jc w:val="both"/>
        <w:rPr>
          <w:b/>
          <w:bCs/>
          <w:lang w:val="pt-BR"/>
        </w:rPr>
      </w:pPr>
      <w:r>
        <w:rPr>
          <w:b/>
          <w:bCs/>
          <w:lang w:val="pt-BR"/>
        </w:rPr>
      </w:r>
      <w:r>
        <w:rPr>
          <w:b/>
          <w:bCs/>
          <w:lang w:val="pt-BR"/>
        </w:rPr>
      </w:r>
      <w:r>
        <w:rPr>
          <w:b/>
          <w:bCs/>
          <w:lang w:val="pt-BR"/>
        </w:rPr>
      </w:r>
    </w:p>
    <w:p>
      <w:pPr>
        <w:pStyle w:val="1063"/>
        <w:pBdr/>
        <w:spacing w:after="120" w:before="120" w:line="276" w:lineRule="auto"/>
        <w:ind w:left="357"/>
        <w:jc w:val="both"/>
        <w:rPr>
          <w:b/>
          <w:bCs/>
          <w:lang w:val="pt-BR"/>
        </w:rPr>
      </w:pPr>
      <w:r>
        <w:rPr>
          <w:b/>
          <w:bCs/>
          <w:lang w:val="pt-BR"/>
        </w:rPr>
      </w:r>
      <w:r>
        <w:rPr>
          <w:b/>
          <w:bCs/>
          <w:lang w:val="pt-BR"/>
        </w:rPr>
      </w:r>
      <w:r>
        <w:rPr>
          <w:b/>
          <w:bCs/>
          <w:lang w:val="pt-BR"/>
        </w:rPr>
      </w:r>
    </w:p>
    <w:p>
      <w:pPr>
        <w:pStyle w:val="1063"/>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63"/>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03/2026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1067"/>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10611"/>
        <w:gridCol w:w="32535"/>
        <w:gridCol w:w="29070"/>
        <w:gridCol w:w="41256"/>
        <w:gridCol w:w="34715"/>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06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2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290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412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347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6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1028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both"/>
              <w:rPr/>
            </w:pPr>
            <w:r>
              <w:rPr>
                <w:rFonts w:ascii="Times New Roman" w:hAnsi="Times New Roman" w:eastAsia="Times New Roman" w:cs="Times New Roman"/>
                <w:b/>
                <w:color w:val="000000"/>
                <w:sz w:val="24"/>
              </w:rPr>
              <w:t xml:space="preserve">Quyền sử dụng đất thuê trả tiền một lần và tài sản gắn liền với đất tại thửa đất số: 66, tờ bản đồ số 6 có địa chỉ: Khu công nghiệp Thăng Long Vĩnh Phúc, xã Tam Hợp, huyện Bình Xuyên, tỉnh Vĩnh Phúc (Nay là xã Bình Nguyên, tỉnh Phú Thọ) theo Giấy chứng nhậ</w:t>
            </w:r>
            <w:r>
              <w:rPr>
                <w:rFonts w:ascii="Times New Roman" w:hAnsi="Times New Roman" w:eastAsia="Times New Roman" w:cs="Times New Roman"/>
                <w:b/>
                <w:color w:val="000000"/>
                <w:sz w:val="24"/>
              </w:rPr>
              <w:t xml:space="preserve">n quyền sử dụng đất quyền sở hữu nhà ở và tài sản khác gắn liền với đất số: DG 348254, số vào sổ cấp GCN: CT 25514 do Sở Tài Nguyên và Môi trường tỉnh Vĩnh Phúc cấp ngày 15/09/2022 cho Công ty Cổ phần CNCTECH Hà Nam.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7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6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rPr/>
            </w:pPr>
            <w:r>
              <w:rPr>
                <w:rFonts w:ascii="Times New Roman" w:hAnsi="Times New Roman" w:eastAsia="Times New Roman" w:cs="Times New Roman"/>
                <w:b/>
                <w:color w:val="000000"/>
                <w:sz w:val="24"/>
              </w:rPr>
              <w:t xml:space="preserve">Quyền sử dụng đất</w:t>
            </w:r>
            <w:r/>
          </w:p>
        </w:tc>
        <w:tc>
          <w:tcPr>
            <w:tcBorders>
              <w:bottom w:val="single" w:color="000000" w:sz="8" w:space="0"/>
              <w:right w:val="single" w:color="000000" w:sz="8" w:space="0"/>
            </w:tcBorders>
            <w:tcMar>
              <w:left w:w="108" w:type="dxa"/>
              <w:top w:w="0" w:type="dxa"/>
              <w:right w:w="108" w:type="dxa"/>
              <w:bottom w:w="0" w:type="dxa"/>
            </w:tcMar>
            <w:tcW w:w="29070"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color w:val="000000"/>
                <w:sz w:val="24"/>
              </w:rPr>
              <w:t xml:space="preserve">24561,6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2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4.000.000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7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98.246.400.000</w:t>
            </w:r>
            <w:r/>
          </w:p>
        </w:tc>
      </w:tr>
      <w:tr>
        <w:trPr>
          <w:trHeight w:val="2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06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b/>
                <w:color w:val="000000"/>
                <w:sz w:val="24"/>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253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rPr/>
            </w:pPr>
            <w:r>
              <w:rPr>
                <w:rFonts w:ascii="Times New Roman" w:hAnsi="Times New Roman" w:eastAsia="Times New Roman" w:cs="Times New Roman"/>
                <w:b/>
                <w:color w:val="000000"/>
                <w:sz w:val="24"/>
              </w:rPr>
              <w:t xml:space="preserve">Công trình xây dựng trên đất</w:t>
            </w:r>
            <w:r/>
          </w:p>
        </w:tc>
        <w:tc>
          <w:tcPr>
            <w:tcBorders>
              <w:bottom w:val="single" w:color="000000" w:sz="8" w:space="0"/>
              <w:right w:val="single" w:color="000000" w:sz="8" w:space="0"/>
            </w:tcBorders>
            <w:tcMar>
              <w:left w:w="108" w:type="dxa"/>
              <w:top w:w="0" w:type="dxa"/>
              <w:right w:w="108" w:type="dxa"/>
              <w:bottom w:w="0" w:type="dxa"/>
            </w:tcMar>
            <w:tcW w:w="29070"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4125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347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0" w:line="288" w:lineRule="auto"/>
              <w:ind w:right="57" w:firstLine="0" w:left="57"/>
              <w:jc w:val="center"/>
              <w:rPr/>
            </w:pPr>
            <w:r>
              <w:rPr>
                <w:rFonts w:ascii="Times New Roman" w:hAnsi="Times New Roman" w:eastAsia="Times New Roman" w:cs="Times New Roman"/>
                <w:color w:val="000000"/>
                <w:sz w:val="24"/>
              </w:rPr>
              <w:t xml:space="preserve">209.193.143.639</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34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108" w:type="dxa"/>
              <w:top w:w="0" w:type="dxa"/>
              <w:right w:w="108" w:type="dxa"/>
              <w:bottom w:w="0" w:type="dxa"/>
            </w:tcMar>
            <w:tcW w:w="34715"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color w:val="000000"/>
                <w:sz w:val="24"/>
              </w:rPr>
              <w:t xml:space="preserve">307.439.543.639</w:t>
            </w:r>
            <w:r/>
          </w:p>
        </w:tc>
      </w:tr>
      <w:tr>
        <w:trPr>
          <w:trHeight w:val="20"/>
        </w:trPr>
        <w:tc>
          <w:tcPr>
            <w:gridSpan w:val="4"/>
            <w:tcBorders>
              <w:left w:val="single" w:color="000000" w:sz="8" w:space="0"/>
              <w:bottom w:val="single" w:color="000000" w:sz="8" w:space="0"/>
              <w:right w:val="single" w:color="000000" w:sz="8" w:space="0"/>
            </w:tcBorders>
            <w:tcMar>
              <w:left w:w="108" w:type="dxa"/>
              <w:top w:w="0" w:type="dxa"/>
              <w:right w:w="108" w:type="dxa"/>
              <w:bottom w:w="0" w:type="dxa"/>
            </w:tcMar>
            <w:tcW w:w="113471"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108" w:type="dxa"/>
              <w:top w:w="0" w:type="dxa"/>
              <w:right w:w="108" w:type="dxa"/>
              <w:bottom w:w="0" w:type="dxa"/>
            </w:tcMar>
            <w:tcW w:w="34715" w:type="dxa"/>
            <w:vAlign w:val="center"/>
            <w:textDirection w:val="lrTb"/>
            <w:noWrap/>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color w:val="000000"/>
                <w:sz w:val="24"/>
              </w:rPr>
              <w:t xml:space="preserve">307.440.000.000</w:t>
            </w:r>
            <w:r/>
          </w:p>
        </w:tc>
      </w:tr>
      <w:tr>
        <w:trPr>
          <w:trHeight w:val="20"/>
        </w:trPr>
        <w:tc>
          <w:tcPr>
            <w:gridSpan w:val="5"/>
            <w:tcBorders>
              <w:left w:val="single" w:color="000000" w:sz="8" w:space="0"/>
              <w:bottom w:val="single" w:color="000000" w:sz="8" w:space="0"/>
              <w:right w:val="single" w:color="000000" w:sz="8" w:space="0"/>
            </w:tcBorders>
            <w:tcMar>
              <w:left w:w="108" w:type="dxa"/>
              <w:top w:w="0" w:type="dxa"/>
              <w:right w:w="108" w:type="dxa"/>
              <w:bottom w:w="0" w:type="dxa"/>
            </w:tcMar>
            <w:tcW w:w="1481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0" w:line="288" w:lineRule="auto"/>
              <w:ind w:right="57" w:firstLine="0" w:left="57"/>
              <w:jc w:val="center"/>
              <w:rPr/>
            </w:pPr>
            <w:r>
              <w:rPr>
                <w:rFonts w:ascii="Times New Roman" w:hAnsi="Times New Roman" w:eastAsia="Times New Roman" w:cs="Times New Roman"/>
                <w:b/>
                <w:i/>
                <w:color w:val="000000"/>
                <w:sz w:val="24"/>
              </w:rPr>
              <w:t xml:space="preserve">(Bằng chữ: Ba trăm linh bảy tỷ, bốn trăm bốn mươi triệu đồng./.)</w:t>
            </w:r>
            <w:r/>
          </w:p>
        </w:tc>
      </w:tr>
    </w:tbl>
    <w:p>
      <w:pPr>
        <w:pStyle w:val="1063"/>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63"/>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63"/>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63"/>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63"/>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63"/>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3"/>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63"/>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3"/>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63"/>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63"/>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63"/>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6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63"/>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63"/>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63"/>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63"/>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63"/>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63"/>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63"/>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63"/>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r>
        <w:rPr>
          <w:bCs/>
          <w:spacing w:val="-2"/>
          <w:lang w:val="pt-BR"/>
        </w:rPr>
      </w:r>
    </w:p>
    <w:p>
      <w:pPr>
        <w:pStyle w:val="1063"/>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63"/>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63"/>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63"/>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63"/>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63"/>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275/2026/0484/VFI-CT.51.A</w:t>
      </w:r>
      <w:r>
        <w:rPr>
          <w:color w:val="ff0000"/>
          <w:lang w:val="vi-VN"/>
        </w:rPr>
        <w:t xml:space="preserve"> </w:t>
      </w:r>
      <w:r>
        <w:rPr>
          <w:color w:val="000000" w:themeColor="text1"/>
        </w:rPr>
        <w:t xml:space="preserve">ngày 27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275/2026/0484/VFI-BC.51.A</w:t>
      </w:r>
      <w:r>
        <w:rPr>
          <w:i/>
          <w:lang w:val="pt-BR"/>
        </w:rPr>
        <w:t xml:space="preserve"> </w:t>
      </w:r>
      <w:r>
        <w:rPr>
          <w:i/>
          <w:lang w:val="pt-BR"/>
        </w:rPr>
        <w:t xml:space="preserve">27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67"/>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4758"/>
        <w:gridCol w:w="4757"/>
      </w:tblGrid>
      <w:tr>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Đường trước tài sản </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(đường chính)</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Đường tiếp giáp tài sản</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(đường phụ)</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75569" name=""/>
                              <pic:cNvPicPr>
                                <a:picLocks noChangeAspect="1"/>
                              </pic:cNvPicPr>
                              <pic:nvPr/>
                            </pic:nvPicPr>
                            <pic:blipFill rotWithShape="1">
                              <a:blip r:embed="rId18"/>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6.25pt;height:177.00pt;mso-wrap-distance-left:0.00pt;mso-wrap-distance-top:0.00pt;mso-wrap-distance-right:0.00pt;mso-wrap-distance-bottom:0.00pt;z-index:1;" stroked="false">
                      <v:imagedata r:id="rId18"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934125" name=""/>
                              <pic:cNvPicPr>
                                <a:picLocks noChangeAspect="1"/>
                              </pic:cNvPicPr>
                              <pic:nvPr/>
                            </pic:nvPicPr>
                            <pic:blipFill rotWithShape="1">
                              <a:blip r:embed="rId19"/>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6.25pt;height:177.00pt;mso-wrap-distance-left:0.00pt;mso-wrap-distance-top:0.00pt;mso-wrap-distance-right:0.00pt;mso-wrap-distance-bottom:0.00pt;z-index:1;" stroked="false">
                      <v:imagedata r:id="rId19"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Tổng quan tài sản</w: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(Nhà xưởng F4B)</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706059" name=""/>
                              <pic:cNvPicPr>
                                <a:picLocks noChangeAspect="1"/>
                              </pic:cNvPicPr>
                              <pic:nvPr/>
                            </pic:nvPicPr>
                            <pic:blipFill rotWithShape="1">
                              <a:blip r:embed="rId20"/>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6.25pt;height:177.00pt;mso-wrap-distance-left:0.00pt;mso-wrap-distance-top:0.00pt;mso-wrap-distance-right:0.00pt;mso-wrap-distance-bottom:0.00pt;z-index:1;" stroked="false">
                      <v:imagedata r:id="rId20"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174053" name=""/>
                              <pic:cNvPicPr>
                                <a:picLocks noChangeAspect="1"/>
                              </pic:cNvPicPr>
                              <pic:nvPr/>
                            </pic:nvPicPr>
                            <pic:blipFill rotWithShape="1">
                              <a:blip r:embed="rId21"/>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6.25pt;height:177.00pt;mso-wrap-distance-left:0.00pt;mso-wrap-distance-top:0.00pt;mso-wrap-distance-right:0.00pt;mso-wrap-distance-bottom:0.00pt;z-index:1;" stroked="false">
                      <v:imagedata r:id="rId21"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(Nhà xưởng F4B)</w:t>
            </w:r>
            <w:r/>
          </w:p>
        </w:tc>
        <w:tc>
          <w:tcPr>
            <w:tcBorders>
              <w:bottom w:val="single" w:color="000000" w:sz="8" w:space="0"/>
              <w:right w:val="single" w:color="000000" w:sz="8" w:space="0"/>
            </w:tcBorders>
            <w:tcMar>
              <w:left w:w="108" w:type="dxa"/>
              <w:top w:w="0" w:type="dxa"/>
              <w:right w:w="108" w:type="dxa"/>
              <w:bottom w:w="0" w:type="dxa"/>
            </w:tcMar>
            <w:tcW w:w="475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(Nhà xưởng F4B)</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443712" name=""/>
                              <pic:cNvPicPr>
                                <a:picLocks noChangeAspect="1"/>
                              </pic:cNvPicPr>
                              <pic:nvPr/>
                            </pic:nvPicPr>
                            <pic:blipFill rotWithShape="1">
                              <a:blip r:embed="rId22"/>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25pt;height:177.00pt;mso-wrap-distance-left:0.00pt;mso-wrap-distance-top:0.00pt;mso-wrap-distance-right:0.00pt;mso-wrap-distance-bottom:0.00pt;z-index:1;" stroked="false">
                      <v:imagedata r:id="rId22"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06327" name=""/>
                              <pic:cNvPicPr>
                                <a:picLocks noChangeAspect="1"/>
                              </pic:cNvPicPr>
                              <pic:nvPr/>
                            </pic:nvPicPr>
                            <pic:blipFill rotWithShape="1">
                              <a:blip r:embed="rId23"/>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6.25pt;height:177.00pt;mso-wrap-distance-left:0.00pt;mso-wrap-distance-top:0.00pt;mso-wrap-distance-right:0.00pt;mso-wrap-distance-bottom:0.00pt;z-index:1;" stroked="false">
                      <v:imagedata r:id="rId23"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(Nhà xưởng F4B)</w:t>
            </w:r>
            <w:r/>
          </w:p>
        </w:tc>
        <w:tc>
          <w:tcPr>
            <w:tcBorders>
              <w:bottom w:val="single" w:color="000000" w:sz="8" w:space="0"/>
              <w:right w:val="single" w:color="000000" w:sz="8" w:space="0"/>
            </w:tcBorders>
            <w:tcMar>
              <w:left w:w="108" w:type="dxa"/>
              <w:top w:w="0" w:type="dxa"/>
              <w:right w:w="108" w:type="dxa"/>
              <w:bottom w:w="0" w:type="dxa"/>
            </w:tcMar>
            <w:tcW w:w="4757" w:type="dxa"/>
            <w:vAlign w:val="top"/>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i/>
                <w:color w:val="000000"/>
                <w:sz w:val="24"/>
              </w:rPr>
              <w:t xml:space="preserve">(Nhà xưởng F4B)</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75010" cy="179185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79648" name=""/>
                              <pic:cNvPicPr>
                                <a:picLocks noChangeAspect="1"/>
                              </pic:cNvPicPr>
                              <pic:nvPr/>
                            </pic:nvPicPr>
                            <pic:blipFill rotWithShape="1">
                              <a:blip r:embed="rId24"/>
                              <a:stretch/>
                            </pic:blipFill>
                            <pic:spPr bwMode="auto">
                              <a:xfrm flipH="0" flipV="0">
                                <a:off x="0" y="0"/>
                                <a:ext cx="3075009" cy="17918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2.13pt;height:141.09pt;mso-wrap-distance-left:0.00pt;mso-wrap-distance-top:0.00pt;mso-wrap-distance-right:0.00pt;mso-wrap-distance-bottom:0.00pt;z-index:1;" stroked="false">
                      <v:imagedata r:id="rId24"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2597104" cy="1975373"/>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080799" name=""/>
                              <pic:cNvPicPr>
                                <a:picLocks noChangeAspect="1"/>
                              </pic:cNvPicPr>
                              <pic:nvPr/>
                            </pic:nvPicPr>
                            <pic:blipFill rotWithShape="1">
                              <a:blip r:embed="rId25"/>
                              <a:stretch/>
                            </pic:blipFill>
                            <pic:spPr bwMode="auto">
                              <a:xfrm flipH="0" flipV="0">
                                <a:off x="0" y="0"/>
                                <a:ext cx="2597104" cy="197537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04.50pt;height:155.54pt;mso-wrap-distance-left:0.00pt;mso-wrap-distance-top:0.00pt;mso-wrap-distance-right:0.00pt;mso-wrap-distance-bottom:0.00pt;z-index:1;" stroked="false">
                      <v:imagedata r:id="rId25"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color w:val="000000"/>
                <w:sz w:val="24"/>
              </w:rPr>
              <w:t xml:space="preserve">(Nhà để xe)</w: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color w:val="000000"/>
                <w:sz w:val="24"/>
              </w:rPr>
              <w:t xml:space="preserve">(Nhà để xe)</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26203" name=""/>
                              <pic:cNvPicPr>
                                <a:picLocks noChangeAspect="1"/>
                              </pic:cNvPicPr>
                              <pic:nvPr/>
                            </pic:nvPicPr>
                            <pic:blipFill rotWithShape="1">
                              <a:blip r:embed="rId26"/>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6.25pt;height:177.00pt;mso-wrap-distance-left:0.00pt;mso-wrap-distance-top:0.00pt;mso-wrap-distance-right:0.00pt;mso-wrap-distance-bottom:0.00pt;z-index:1;" stroked="false">
                      <v:imagedata r:id="rId26"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861743" name=""/>
                              <pic:cNvPicPr>
                                <a:picLocks noChangeAspect="1"/>
                              </pic:cNvPicPr>
                              <pic:nvPr/>
                            </pic:nvPicPr>
                            <pic:blipFill rotWithShape="1">
                              <a:blip r:embed="rId27"/>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36.25pt;height:177.00pt;mso-wrap-distance-left:0.00pt;mso-wrap-distance-top:0.00pt;mso-wrap-distance-right:0.00pt;mso-wrap-distance-bottom:0.00pt;z-index:1;" stroked="false">
                      <v:imagedata r:id="rId27" o:title=""/>
                      <o:lock v:ext="edit" rotation="t"/>
                    </v:shape>
                  </w:pict>
                </mc:Fallback>
              </mc:AlternateConten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color w:val="000000"/>
                <w:sz w:val="24"/>
              </w:rPr>
              <w:t xml:space="preserve">Hiện trạng tài sản trên đất</w:t>
            </w:r>
            <w:r/>
          </w:p>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color w:val="000000"/>
                <w:sz w:val="24"/>
              </w:rPr>
              <w:t xml:space="preserve">(Nhà bảo vể)</w: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57" w:firstLine="0" w:left="0"/>
              <w:jc w:val="center"/>
              <w:rPr/>
            </w:pPr>
            <w:r>
              <w:rPr>
                <w:rFonts w:ascii="Times New Roman" w:hAnsi="Times New Roman" w:eastAsia="Times New Roman" w:cs="Times New Roman"/>
                <w:b/>
                <w:color w:val="000000"/>
                <w:sz w:val="24"/>
              </w:rPr>
              <w:t xml:space="preserve">Hướng của tài sản</w:t>
            </w:r>
            <w:r/>
          </w:p>
        </w:tc>
      </w:tr>
      <w:tr>
        <w:trPr/>
        <w:tc>
          <w:tcPr>
            <w:tcBorders>
              <w:left w:val="single" w:color="000000" w:sz="8" w:space="0"/>
              <w:bottom w:val="single" w:color="000000" w:sz="8" w:space="0"/>
              <w:right w:val="single" w:color="000000" w:sz="8" w:space="0"/>
            </w:tcBorders>
            <w:tcMar>
              <w:left w:w="108" w:type="dxa"/>
              <w:top w:w="0" w:type="dxa"/>
              <w:right w:w="108" w:type="dxa"/>
              <w:bottom w:w="0" w:type="dxa"/>
            </w:tcMar>
            <w:tcW w:w="4758"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3000375" cy="224790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00066" name=""/>
                              <pic:cNvPicPr>
                                <a:picLocks noChangeAspect="1"/>
                              </pic:cNvPicPr>
                              <pic:nvPr/>
                            </pic:nvPicPr>
                            <pic:blipFill rotWithShape="1">
                              <a:blip r:embed="rId28"/>
                              <a:stretch/>
                            </pic:blipFill>
                            <pic:spPr bwMode="auto">
                              <a:xfrm>
                                <a:off x="0" y="0"/>
                                <a:ext cx="300037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36.25pt;height:177.00pt;mso-wrap-distance-left:0.00pt;mso-wrap-distance-top:0.00pt;mso-wrap-distance-right:0.00pt;mso-wrap-distance-bottom:0.00pt;z-index:1;" stroked="false">
                      <v:imagedata r:id="rId28" o:title=""/>
                      <o:lock v:ext="edit" rotation="t"/>
                    </v:shape>
                  </w:pict>
                </mc:Fallback>
              </mc:AlternateContent>
            </w:r>
            <w:r/>
          </w:p>
        </w:tc>
        <w:tc>
          <w:tcPr>
            <w:tcBorders>
              <w:bottom w:val="single" w:color="000000" w:sz="8" w:space="0"/>
              <w:right w:val="single" w:color="000000" w:sz="8" w:space="0"/>
            </w:tcBorders>
            <w:tcMar>
              <w:left w:w="108" w:type="dxa"/>
              <w:top w:w="0" w:type="dxa"/>
              <w:right w:w="108" w:type="dxa"/>
              <w:bottom w:w="0" w:type="dxa"/>
            </w:tcMar>
            <w:tcW w:w="4757" w:type="dxa"/>
            <w:vAlign w:val="center"/>
            <w:textDirection w:val="lrTb"/>
            <w:noWrap w:val="false"/>
          </w:tcPr>
          <w:p>
            <w:pPr>
              <w:pBdr/>
              <w:spacing w:after="0" w:before="0" w:line="240" w:lineRule="auto"/>
              <w:ind/>
              <w:jc w:val="center"/>
              <w:rPr/>
            </w:pPr>
            <w:r>
              <mc:AlternateContent>
                <mc:Choice Requires="wpg">
                  <w:drawing>
                    <wp:inline xmlns:wp="http://schemas.openxmlformats.org/drawingml/2006/wordprocessingDrawing" distT="0" distB="0" distL="0" distR="0">
                      <wp:extent cx="1228725" cy="22479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96623" name=""/>
                              <pic:cNvPicPr>
                                <a:picLocks noChangeAspect="1"/>
                              </pic:cNvPicPr>
                              <pic:nvPr/>
                            </pic:nvPicPr>
                            <pic:blipFill rotWithShape="1">
                              <a:blip r:embed="rId29"/>
                              <a:stretch/>
                            </pic:blipFill>
                            <pic:spPr bwMode="auto">
                              <a:xfrm>
                                <a:off x="0" y="0"/>
                                <a:ext cx="1228725" cy="22478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96.75pt;height:177.00pt;mso-wrap-distance-left:0.00pt;mso-wrap-distance-top:0.00pt;mso-wrap-distance-right:0.00pt;mso-wrap-distance-bottom:0.00pt;z-index:1;" stroked="false">
                      <v:imagedata r:id="rId29" o:title=""/>
                      <o:lock v:ext="edit" rotation="t"/>
                    </v:shape>
                  </w:pict>
                </mc:Fallback>
              </mc:AlternateContent>
            </w: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234603"/>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17971" name=""/>
                        <pic:cNvPicPr>
                          <a:picLocks noChangeAspect="1"/>
                        </pic:cNvPicPr>
                        <pic:nvPr/>
                      </pic:nvPicPr>
                      <pic:blipFill rotWithShape="1">
                        <a:blip r:embed="rId30"/>
                        <a:stretch/>
                      </pic:blipFill>
                      <pic:spPr bwMode="auto">
                        <a:xfrm>
                          <a:off x="0" y="0"/>
                          <a:ext cx="6048374" cy="42346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33.43pt;mso-wrap-distance-left:0.00pt;mso-wrap-distance-top:0.00pt;mso-wrap-distance-right:0.00pt;mso-wrap-distance-bottom:0.00pt;z-index:1;" stroked="false">
                <v:imagedata r:id="rId30" o:title=""/>
                <o:lock v:ext="edit" rotation="t"/>
              </v:shape>
            </w:pict>
          </mc:Fallback>
        </mc:AlternateConten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6048375" cy="4207234"/>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874970" name=""/>
                        <pic:cNvPicPr>
                          <a:picLocks noChangeAspect="1"/>
                        </pic:cNvPicPr>
                        <pic:nvPr/>
                      </pic:nvPicPr>
                      <pic:blipFill rotWithShape="1">
                        <a:blip r:embed="rId31"/>
                        <a:stretch/>
                      </pic:blipFill>
                      <pic:spPr bwMode="auto">
                        <a:xfrm>
                          <a:off x="0" y="0"/>
                          <a:ext cx="6048374" cy="42072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31.28pt;mso-wrap-distance-left:0.00pt;mso-wrap-distance-top:0.00pt;mso-wrap-distance-right:0.00pt;mso-wrap-distance-bottom:0.00pt;z-index:1;" stroked="false">
                <v:imagedata r:id="rId31"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HIỆN TRẠNG TÀI SẢN</w:t>
      </w:r>
      <w:r>
        <w:rPr>
          <w:b/>
          <w:bCs/>
          <w:highlight w:val="none"/>
        </w:rPr>
      </w:r>
      <w:r>
        <w:rPr>
          <w:b/>
          <w:bCs/>
          <w:highlight w:val="none"/>
        </w:rPr>
      </w:r>
    </w:p>
    <w:p>
      <w:pPr>
        <w:pBdr/>
        <w:spacing w:after="200" w:line="276" w:lineRule="auto"/>
        <w:ind/>
        <w:jc w:val="center"/>
        <w:rPr>
          <w:b/>
          <w:bCs/>
        </w:rPr>
      </w:pPr>
      <w:r>
        <w:rPr>
          <w:b/>
          <w:bCs/>
        </w:rPr>
      </w:r>
      <w:r>
        <mc:AlternateContent>
          <mc:Choice Requires="wpg">
            <w:drawing>
              <wp:inline xmlns:wp="http://schemas.openxmlformats.org/drawingml/2006/wordprocessingDrawing" distT="0" distB="0" distL="0" distR="0">
                <wp:extent cx="6048375" cy="8237253"/>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655161" name=""/>
                        <pic:cNvPicPr>
                          <a:picLocks noChangeAspect="1"/>
                        </pic:cNvPicPr>
                        <pic:nvPr/>
                      </pic:nvPicPr>
                      <pic:blipFill rotWithShape="1">
                        <a:blip r:embed="rId32"/>
                        <a:stretch/>
                      </pic:blipFill>
                      <pic:spPr bwMode="auto">
                        <a:xfrm>
                          <a:off x="0" y="0"/>
                          <a:ext cx="6048374" cy="8237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48.60pt;mso-wrap-distance-left:0.00pt;mso-wrap-distance-top:0.00pt;mso-wrap-distance-right:0.00pt;mso-wrap-distance-bottom:0.00pt;z-index:1;" stroked="false">
                <v:imagedata r:id="rId32" o:title=""/>
                <o:lock v:ext="edit" rotation="t"/>
              </v:shape>
            </w:pict>
          </mc:Fallback>
        </mc:AlternateContent>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left"/>
        <w:rPr>
          <w:b/>
          <w:bCs/>
        </w:rPr>
      </w:pPr>
      <w:r>
        <w:rPr>
          <w:b/>
          <w:bCs/>
          <w:highlight w:val="none"/>
        </w:rPr>
      </w:r>
      <w:r>
        <w:rPr>
          <w:b/>
          <w:bCs/>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275/2026/0484/VFI-BC.51.A</w:t>
      </w:r>
      <w:r>
        <w:rPr>
          <w:i/>
          <w:lang w:val="pt-BR"/>
        </w:rPr>
        <w:t xml:space="preserve"> </w:t>
      </w:r>
      <w:r>
        <w:rPr>
          <w:i/>
          <w:lang w:val="pt-BR"/>
        </w:rPr>
        <w:t xml:space="preserve">27 tháng 3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SDT: 0386091393</w:t>
            </w:r>
            <w:r>
              <w:rPr>
                <w:sz w:val="22"/>
                <w:szCs w:val="22"/>
              </w:rPr>
              <w:t xml:space="preserve"> </w:t>
            </w:r>
            <w:r>
              <w:rPr>
                <w:sz w:val="22"/>
                <w:szCs w:val="22"/>
              </w:rPr>
              <w:br/>
              <w:t xml:space="preserve">(Hồng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270.278.809.530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229.736.988.101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Có thời hạn đến 13/10/2065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DT30B khoảng 2800m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55465,7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310,24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 giác khác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03067" cy="3140843"/>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46844895" name="" descr=""/>
                              <pic:cNvPicPr/>
                              <pic:nvPr/>
                            </pic:nvPicPr>
                            <pic:blipFill rotWithShape="1">
                              <a:blip r:embed="rId33"/>
                              <a:stretch/>
                            </pic:blipFill>
                            <pic:spPr bwMode="auto">
                              <a:xfrm rot="0" flipH="0" flipV="0">
                                <a:off x="0" y="0"/>
                                <a:ext cx="2903066" cy="314084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28.59pt;height:247.31pt;mso-wrap-distance-left:0.00pt;mso-wrap-distance-top:0.00pt;mso-wrap-distance-right:0.00pt;mso-wrap-distance-bottom:0.00pt;rotation:0;z-index:1;" stroked="fals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555140" cy="2845568"/>
                      <wp:effectExtent l="0" t="0" r="0" b="0"/>
                      <wp:docPr id="22" name=""/>
                      <wp:cNvGraphicFramePr/>
                      <a:graphic xmlns:a="http://schemas.openxmlformats.org/drawingml/2006/main">
                        <a:graphicData uri="http://schemas.openxmlformats.org/drawingml/2006/picture">
                          <pic:pic xmlns:pic="http://schemas.openxmlformats.org/drawingml/2006/picture">
                            <pic:nvPicPr>
                              <pic:cNvPr id="1193465546" name="" descr=""/>
                              <pic:cNvPicPr/>
                              <pic:nvPr/>
                            </pic:nvPicPr>
                            <pic:blipFill rotWithShape="1">
                              <a:blip r:embed="rId34"/>
                              <a:stretch/>
                            </pic:blipFill>
                            <pic:spPr bwMode="auto">
                              <a:xfrm rot="0" flipH="0" flipV="0">
                                <a:off x="0" y="0"/>
                                <a:ext cx="2555139" cy="284556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01.19pt;height:224.06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r>
            <w:r>
              <w:rPr>
                <w:color w:val="000000"/>
                <w:sz w:val="22"/>
                <w:szCs w:val="22"/>
              </w:rP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SDT: 0386091393</w:t>
            </w:r>
            <w:r>
              <w:rPr>
                <w:sz w:val="22"/>
                <w:szCs w:val="22"/>
              </w:rPr>
              <w:t xml:space="preserve"> </w:t>
            </w:r>
            <w:r>
              <w:rPr>
                <w:sz w:val="22"/>
                <w:szCs w:val="22"/>
              </w:rPr>
              <w:br/>
              <w:t xml:space="preserve">(Hồng Land</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88.502.400.000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75.227.040.000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khu công nghiệp</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Có thời hạn đến 11/10/2067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DT30B khoảng 1000m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825727" cy="3172968"/>
                      <wp:effectExtent l="0" t="0" r="0" b="0"/>
                      <wp:docPr id="23" name=""/>
                      <wp:cNvGraphicFramePr/>
                      <a:graphic xmlns:a="http://schemas.openxmlformats.org/drawingml/2006/main">
                        <a:graphicData uri="http://schemas.openxmlformats.org/drawingml/2006/picture">
                          <pic:pic xmlns:pic="http://schemas.openxmlformats.org/drawingml/2006/picture">
                            <pic:nvPicPr>
                              <pic:cNvPr id="1549790190" name="" descr=""/>
                              <pic:cNvPicPr/>
                              <pic:nvPr/>
                            </pic:nvPicPr>
                            <pic:blipFill rotWithShape="1">
                              <a:blip r:embed="rId35"/>
                              <a:stretch/>
                            </pic:blipFill>
                            <pic:spPr bwMode="auto">
                              <a:xfrm rot="0" flipH="0" flipV="0">
                                <a:off x="0" y="0"/>
                                <a:ext cx="2825727"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22.50pt;height:249.84pt;mso-wrap-distance-left:0.00pt;mso-wrap-distance-top:0.00pt;mso-wrap-distance-right:0.00pt;mso-wrap-distance-bottom:0.00pt;rotation:0;z-index:1;" stroked="false">
                      <v:imagedata r:id="rId35"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2743200" cy="3172968"/>
                      <wp:effectExtent l="0" t="0" r="0" b="0"/>
                      <wp:docPr id="24" name=""/>
                      <wp:cNvGraphicFramePr/>
                      <a:graphic xmlns:a="http://schemas.openxmlformats.org/drawingml/2006/main">
                        <a:graphicData uri="http://schemas.openxmlformats.org/drawingml/2006/picture">
                          <pic:pic xmlns:pic="http://schemas.openxmlformats.org/drawingml/2006/picture">
                            <pic:nvPicPr>
                              <pic:cNvPr id="163646522" name="" descr=""/>
                              <pic:cNvPicPr/>
                              <pic:nvPr/>
                            </pic:nvPicPr>
                            <pic:blipFill rotWithShape="1">
                              <a:blip r:embed="rId36"/>
                              <a:stretch/>
                            </pic:blipFill>
                            <pic:spPr bwMode="auto">
                              <a:xfrm rot="0" flipH="0" flipV="0">
                                <a:off x="0" y="0"/>
                                <a:ext cx="2743199" cy="317296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16.00pt;height:249.84pt;mso-wrap-distance-left:0.00pt;mso-wrap-distance-top:0.00pt;mso-wrap-distance-right:0.00pt;mso-wrap-distance-bottom:0.00pt;rotation:0;z-index:1;" stroked="false">
                      <v:imagedata r:id="rId36"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i/>
              </w:rPr>
            </w:pPr>
            <w:r>
              <w:rPr>
                <w:b/>
                <w:bCs/>
                <w:i/>
                <w:iCs/>
              </w:rPr>
            </w:r>
            <w:r>
              <w:rPr>
                <w:b/>
                <w:bCs/>
                <w:i/>
              </w:rPr>
            </w:r>
            <w:r>
              <w:rPr>
                <w:b/>
                <w:bCs/>
                <w:i/>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https://batdongsan.com.vn/ban-kho-nha-xuong-thi-tran-huong-canh/chu-dau-tu-khu-cong-nghiep-nam-binh-xuyen-5000-met-8000-1ha-1ha-20-ha-ha-tang-dong-bo-pr44639115</w:t>
            </w:r>
            <w:r>
              <w:rPr>
                <w:color w:val="000000" w:themeColor="text1"/>
                <w:sz w:val="22"/>
                <w:szCs w:val="22"/>
              </w:rPr>
              <w:br/>
            </w:r>
            <w:r>
              <w:rPr>
                <w:sz w:val="22"/>
                <w:szCs w:val="22"/>
              </w:rPr>
              <w:t xml:space="preserve">SĐT: </w:t>
            </w:r>
            <w:r>
              <w:rPr>
                <w:color w:val="000000" w:themeColor="text1"/>
                <w:sz w:val="22"/>
                <w:szCs w:val="22"/>
              </w:rPr>
              <w:t xml:space="preserve">0936298578</w:t>
            </w:r>
            <w:r>
              <w:rPr>
                <w:sz w:val="22"/>
                <w:szCs w:val="22"/>
              </w:rPr>
              <w:t xml:space="preserve"> </w:t>
            </w:r>
            <w:r>
              <w:rPr>
                <w:sz w:val="22"/>
                <w:szCs w:val="22"/>
              </w:rPr>
              <w:br/>
              <w:t xml:space="preserve">(Ngọc Thúy</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94.813.200.000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80.591.220.000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cụm công nghiệp</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Có thời hạn đến 29/12/2071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color w:val="000000" w:themeColor="text1"/>
                <w:sz w:val="22"/>
                <w:szCs w:val="22"/>
              </w:rPr>
              <w:t xml:space="preserve">Tài sản cách QL21A khoảng 1500m</w:t>
            </w:r>
            <w:r>
              <w:rPr>
                <w:sz w:val="22"/>
                <w:szCs w:val="22"/>
              </w:rPr>
            </w:r>
            <w:r>
              <w:rPr>
                <w:sz w:val="22"/>
                <w:szCs w:val="22"/>
              </w:rPr>
            </w:r>
          </w:p>
        </w:tc>
      </w:tr>
      <w:tr>
        <w:trPr>
          <w:trHeight w:val="357"/>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461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left"/>
              <w:rPr>
                <w:b/>
                <w:bCs/>
                <w:color w:val="000000"/>
                <w:sz w:val="22"/>
                <w:szCs w:val="22"/>
              </w:rPr>
            </w:pPr>
            <w:r>
              <w:rPr>
                <w:b/>
                <w:bCs/>
                <w:color w:val="000000"/>
                <w:sz w:val="22"/>
                <w:szCs w:val="22"/>
              </w:rPr>
            </w:r>
            <w:r>
              <w:rPr>
                <w:color w:val="000000"/>
                <w:sz w:val="22"/>
                <w:szCs w:val="22"/>
              </w:rPr>
              <mc:AlternateContent>
                <mc:Choice Requires="wpg">
                  <w:drawing>
                    <wp:inline xmlns:wp="http://schemas.openxmlformats.org/drawingml/2006/wordprocessingDrawing" distT="0" distB="0" distL="0" distR="0">
                      <wp:extent cx="2740365" cy="2709017"/>
                      <wp:effectExtent l="0" t="0" r="0" b="0"/>
                      <wp:docPr id="25" name=""/>
                      <wp:cNvGraphicFramePr/>
                      <a:graphic xmlns:a="http://schemas.openxmlformats.org/drawingml/2006/main">
                        <a:graphicData uri="http://schemas.openxmlformats.org/drawingml/2006/picture">
                          <pic:pic xmlns:pic="http://schemas.openxmlformats.org/drawingml/2006/picture">
                            <pic:nvPicPr>
                              <pic:cNvPr id="1593989241" name="" descr=""/>
                              <pic:cNvPicPr/>
                              <pic:nvPr/>
                            </pic:nvPicPr>
                            <pic:blipFill rotWithShape="1">
                              <a:blip r:embed="rId37"/>
                              <a:stretch/>
                            </pic:blipFill>
                            <pic:spPr bwMode="auto">
                              <a:xfrm rot="0" flipH="0" flipV="0">
                                <a:off x="0" y="0"/>
                                <a:ext cx="2740365" cy="270901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15.78pt;height:213.31pt;mso-wrap-distance-left:0.00pt;mso-wrap-distance-top:0.00pt;mso-wrap-distance-right:0.00pt;mso-wrap-distance-bottom:0.00pt;rotation:0;z-index:1;" stroked="false">
                      <v:imagedata r:id="rId37" o:title=""/>
                      <o:lock v:ext="edit" rotation="t"/>
                    </v:shape>
                  </w:pict>
                </mc:Fallback>
              </mc:AlternateContent>
            </w:r>
            <w:r>
              <w:rPr>
                <w:color w:val="000000"/>
                <w:sz w:val="22"/>
                <w:szCs w:val="22"/>
              </w:rPr>
              <mc:AlternateContent>
                <mc:Choice Requires="wpg">
                  <w:drawing>
                    <wp:anchor xmlns:wp="http://schemas.openxmlformats.org/drawingml/2006/wordprocessingDrawing" xmlns:wp14="http://schemas.microsoft.com/office/word/2010/wordprocessingDrawing" distT="0" distB="0" distL="115200" distR="115200" simplePos="0" relativeHeight="251673088" behindDoc="0" locked="0" layoutInCell="1" allowOverlap="1">
                      <wp:simplePos x="0" y="0"/>
                      <wp:positionH relativeFrom="column">
                        <wp:posOffset>2797515</wp:posOffset>
                      </wp:positionH>
                      <wp:positionV relativeFrom="paragraph">
                        <wp:posOffset>0</wp:posOffset>
                      </wp:positionV>
                      <wp:extent cx="2840650" cy="2709017"/>
                      <wp:effectExtent l="0" t="0" r="0" b="0"/>
                      <wp:wrapSquare wrapText="bothSides"/>
                      <wp:docPr id="26" name=""/>
                      <wp:cNvGraphicFramePr/>
                      <a:graphic xmlns:a="http://schemas.openxmlformats.org/drawingml/2006/main">
                        <a:graphicData uri="http://schemas.openxmlformats.org/drawingml/2006/picture">
                          <pic:pic xmlns:pic="http://schemas.openxmlformats.org/drawingml/2006/picture">
                            <pic:nvPicPr>
                              <pic:cNvPr id="705721353" name="" descr=""/>
                              <pic:cNvPicPr/>
                              <pic:nvPr/>
                            </pic:nvPicPr>
                            <pic:blipFill rotWithShape="1">
                              <a:blip r:embed="rId38"/>
                              <a:stretch/>
                            </pic:blipFill>
                            <pic:spPr bwMode="auto">
                              <a:xfrm rot="0" flipH="0" flipV="0">
                                <a:off x="0" y="0"/>
                                <a:ext cx="2840649" cy="2709017"/>
                              </a:xfrm>
                              <a:prstGeom prst="rect">
                                <a:avLst/>
                              </a:prstGeom>
                              <a:noFill/>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position:absolute;z-index:251673088;o:allowoverlap:true;o:allowincell:true;mso-position-horizontal-relative:text;margin-left:220.28pt;mso-position-horizontal:absolute;mso-position-vertical-relative:text;margin-top:0.00pt;mso-position-vertical:absolute;width:223.67pt;height:213.31pt;mso-wrap-distance-left:9.07pt;mso-wrap-distance-top:0.00pt;mso-wrap-distance-right:9.07pt;mso-wrap-distance-bottom:0.00pt;rotation:0;z-index:1;" stroked="false">
                      <w10:wrap type="square"/>
                      <v:imagedata r:id="rId38" o:title=""/>
                      <o:lock v:ext="edit" rotation="t"/>
                    </v:shape>
                  </w:pict>
                </mc:Fallback>
              </mc:AlternateContent>
            </w:r>
            <w:r>
              <w:rPr>
                <w:b/>
                <w:bCs/>
                <w:color w:val="000000"/>
                <w:sz w:val="22"/>
                <w:szCs w:val="22"/>
              </w:rPr>
            </w:r>
            <w:r>
              <w:rPr>
                <w:b/>
                <w:bCs/>
                <w:color w:val="000000"/>
                <w:sz w:val="22"/>
                <w:szCs w:val="22"/>
              </w:rPr>
            </w:r>
          </w:p>
        </w:tc>
      </w:tr>
    </w:tbl>
    <w:p>
      <w:pPr>
        <w:pBdr/>
        <w:spacing w:after="200" w:line="276" w:lineRule="auto"/>
        <w:ind/>
        <w:jc w:val="left"/>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left"/>
              <w:rPr/>
            </w:pPr>
            <w:r/>
            <w:r/>
          </w:p>
          <w:p>
            <w:pPr>
              <w:pBdr/>
              <w:spacing/>
              <w:ind/>
              <w:jc w:val="left"/>
              <w:rPr/>
            </w:pPr>
            <w:r/>
            <w:r/>
          </w:p>
          <w:p>
            <w:pPr>
              <w:pBdr/>
              <w:spacing/>
              <w:ind/>
              <w:jc w:val="left"/>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Symbol">
    <w:panose1 w:val="020B0502040504020204"/>
  </w:font>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9"/>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59"/>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9"/>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9"/>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7"/>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9B0712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8">
    <w:nsid w:val="06C95F66"/>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1">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2">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3">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4">
    <w:nsid w:val="125898DA"/>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5">
    <w:nsid w:val="116AB115"/>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0EC54C2E"/>
    <w:lvl w:ilvl="0">
      <w:isLgl w:val="false"/>
      <w:lvlJc w:val="left"/>
      <w:lvlText w:val=""/>
      <w:numFmt w:val="bullet"/>
      <w:pPr>
        <w:pBdr/>
        <w:spacing/>
        <w:ind w:hanging="360" w:left="1146"/>
      </w:pPr>
      <w:rPr>
        <w:rFonts w:hint="default" w:ascii="Wingdings" w:hAnsi="Wingdings" w:eastAsia="Wingdings" w:cs="Wingdings"/>
      </w:rPr>
      <w:start w:val="1"/>
      <w:suff w:val="tab"/>
    </w:lvl>
    <w:lvl w:ilvl="1">
      <w:isLgl w:val="false"/>
      <w:lvlJc w:val="left"/>
      <w:lvlText w:val="o"/>
      <w:numFmt w:val="bullet"/>
      <w:pPr>
        <w:pBdr/>
        <w:spacing/>
        <w:ind w:hanging="360" w:left="1866"/>
      </w:pPr>
      <w:rPr>
        <w:rFonts w:hint="default" w:ascii="Courier New" w:hAnsi="Courier New" w:eastAsia="Courier New" w:cs="Courier New"/>
      </w:rPr>
      <w:start w:val="1"/>
      <w:suff w:val="tab"/>
    </w:lvl>
    <w:lvl w:ilvl="2">
      <w:isLgl w:val="false"/>
      <w:lvlJc w:val="left"/>
      <w:lvlText w:val=""/>
      <w:numFmt w:val="bullet"/>
      <w:pPr>
        <w:pBdr/>
        <w:spacing/>
        <w:ind w:hanging="360" w:left="2586"/>
      </w:pPr>
      <w:rPr>
        <w:rFonts w:hint="default" w:ascii="Wingdings" w:hAnsi="Wingdings" w:eastAsia="Wingdings" w:cs="Wingdings"/>
      </w:rPr>
      <w:start w:val="1"/>
      <w:suff w:val="tab"/>
    </w:lvl>
    <w:lvl w:ilvl="3">
      <w:isLgl w:val="false"/>
      <w:lvlJc w:val="left"/>
      <w:lvlText w:val=""/>
      <w:numFmt w:val="bullet"/>
      <w:pPr>
        <w:pBdr/>
        <w:spacing/>
        <w:ind w:hanging="360" w:left="3306"/>
      </w:pPr>
      <w:rPr>
        <w:rFonts w:hint="default" w:ascii="Symbol" w:hAnsi="Symbol" w:eastAsia="Symbol" w:cs="Symbol"/>
      </w:rPr>
      <w:start w:val="1"/>
      <w:suff w:val="tab"/>
    </w:lvl>
    <w:lvl w:ilvl="4">
      <w:isLgl w:val="false"/>
      <w:lvlJc w:val="left"/>
      <w:lvlText w:val="o"/>
      <w:numFmt w:val="bullet"/>
      <w:pPr>
        <w:pBdr/>
        <w:spacing/>
        <w:ind w:hanging="360" w:left="4026"/>
      </w:pPr>
      <w:rPr>
        <w:rFonts w:hint="default" w:ascii="Courier New" w:hAnsi="Courier New" w:eastAsia="Courier New" w:cs="Courier New"/>
      </w:rPr>
      <w:start w:val="1"/>
      <w:suff w:val="tab"/>
    </w:lvl>
    <w:lvl w:ilvl="5">
      <w:isLgl w:val="false"/>
      <w:lvlJc w:val="left"/>
      <w:lvlText w:val=""/>
      <w:numFmt w:val="bullet"/>
      <w:pPr>
        <w:pBdr/>
        <w:spacing/>
        <w:ind w:hanging="360" w:left="4746"/>
      </w:pPr>
      <w:rPr>
        <w:rFonts w:hint="default" w:ascii="Wingdings" w:hAnsi="Wingdings" w:eastAsia="Wingdings" w:cs="Wingdings"/>
      </w:rPr>
      <w:start w:val="1"/>
      <w:suff w:val="tab"/>
    </w:lvl>
    <w:lvl w:ilvl="6">
      <w:isLgl w:val="false"/>
      <w:lvlJc w:val="left"/>
      <w:lvlText w:val=""/>
      <w:numFmt w:val="bullet"/>
      <w:pPr>
        <w:pBdr/>
        <w:spacing/>
        <w:ind w:hanging="360" w:left="5466"/>
      </w:pPr>
      <w:rPr>
        <w:rFonts w:hint="default" w:ascii="Symbol" w:hAnsi="Symbol" w:eastAsia="Symbol" w:cs="Symbol"/>
      </w:rPr>
      <w:start w:val="1"/>
      <w:suff w:val="tab"/>
    </w:lvl>
    <w:lvl w:ilvl="7">
      <w:isLgl w:val="false"/>
      <w:lvlJc w:val="left"/>
      <w:lvlText w:val="o"/>
      <w:numFmt w:val="bullet"/>
      <w:pPr>
        <w:pBdr/>
        <w:spacing/>
        <w:ind w:hanging="360" w:left="6186"/>
      </w:pPr>
      <w:rPr>
        <w:rFonts w:hint="default" w:ascii="Courier New" w:hAnsi="Courier New" w:eastAsia="Courier New" w:cs="Courier New"/>
      </w:rPr>
      <w:start w:val="1"/>
      <w:suff w:val="tab"/>
    </w:lvl>
    <w:lvl w:ilvl="8">
      <w:isLgl w:val="false"/>
      <w:lvlJc w:val="left"/>
      <w:lvlText w:val=""/>
      <w:numFmt w:val="bullet"/>
      <w:pPr>
        <w:pBdr/>
        <w:spacing/>
        <w:ind w:hanging="360" w:left="6906"/>
      </w:pPr>
      <w:rPr>
        <w:rFonts w:hint="default" w:ascii="Wingdings" w:hAnsi="Wingdings" w:eastAsia="Wingdings" w:cs="Wingdings"/>
      </w:rPr>
      <w:start w:val="1"/>
      <w:suff w:val="tab"/>
    </w:lvl>
  </w:abstractNum>
  <w:abstractNum w:abstractNumId="47">
    <w:nsid w:val="7001D0F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8">
    <w:nsid w:val="7404759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9">
    <w:nsid w:val="66C227CA"/>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0">
    <w:nsid w:val="270A9434"/>
    <w:lvl w:ilvl="0">
      <w:isLgl w:val="false"/>
      <w:lvlJc w:val="left"/>
      <w:lvlText w:val="-"/>
      <w:numFmt w:val="bullet"/>
      <w:pPr>
        <w:pBdr/>
        <w:spacing/>
        <w:ind w:hanging="360" w:left="784"/>
      </w:pPr>
      <w:rPr>
        <w:rFonts w:hint="default" w:ascii="Symbol" w:hAnsi="Symbol" w:eastAsia="Symbol" w:cs="Symbol"/>
      </w:rPr>
      <w:start w:val="1"/>
      <w:suff w:val="tab"/>
    </w:lvl>
    <w:lvl w:ilvl="1">
      <w:isLgl w:val="false"/>
      <w:lvlJc w:val="left"/>
      <w:lvlText w:val="o"/>
      <w:numFmt w:val="bullet"/>
      <w:pPr>
        <w:pBdr/>
        <w:spacing/>
        <w:ind w:hanging="360" w:left="1504"/>
      </w:pPr>
      <w:rPr>
        <w:rFonts w:hint="default" w:ascii="Courier New" w:hAnsi="Courier New" w:eastAsia="Courier New" w:cs="Courier New"/>
      </w:rPr>
      <w:start w:val="1"/>
      <w:suff w:val="tab"/>
    </w:lvl>
    <w:lvl w:ilvl="2">
      <w:isLgl w:val="false"/>
      <w:lvlJc w:val="left"/>
      <w:lvlText w:val=""/>
      <w:numFmt w:val="bullet"/>
      <w:pPr>
        <w:pBdr/>
        <w:spacing/>
        <w:ind w:hanging="360" w:left="2224"/>
      </w:pPr>
      <w:rPr>
        <w:rFonts w:hint="default" w:ascii="Wingdings" w:hAnsi="Wingdings" w:eastAsia="Wingdings" w:cs="Wingdings"/>
      </w:rPr>
      <w:start w:val="1"/>
      <w:suff w:val="tab"/>
    </w:lvl>
    <w:lvl w:ilvl="3">
      <w:isLgl w:val="false"/>
      <w:lvlJc w:val="left"/>
      <w:lvlText w:val=""/>
      <w:numFmt w:val="bullet"/>
      <w:pPr>
        <w:pBdr/>
        <w:spacing/>
        <w:ind w:hanging="360" w:left="2944"/>
      </w:pPr>
      <w:rPr>
        <w:rFonts w:hint="default" w:ascii="Symbol" w:hAnsi="Symbol" w:eastAsia="Symbol" w:cs="Symbol"/>
      </w:rPr>
      <w:start w:val="1"/>
      <w:suff w:val="tab"/>
    </w:lvl>
    <w:lvl w:ilvl="4">
      <w:isLgl w:val="false"/>
      <w:lvlJc w:val="left"/>
      <w:lvlText w:val="o"/>
      <w:numFmt w:val="bullet"/>
      <w:pPr>
        <w:pBdr/>
        <w:spacing/>
        <w:ind w:hanging="360" w:left="3664"/>
      </w:pPr>
      <w:rPr>
        <w:rFonts w:hint="default" w:ascii="Courier New" w:hAnsi="Courier New" w:eastAsia="Courier New" w:cs="Courier New"/>
      </w:rPr>
      <w:start w:val="1"/>
      <w:suff w:val="tab"/>
    </w:lvl>
    <w:lvl w:ilvl="5">
      <w:isLgl w:val="false"/>
      <w:lvlJc w:val="left"/>
      <w:lvlText w:val=""/>
      <w:numFmt w:val="bullet"/>
      <w:pPr>
        <w:pBdr/>
        <w:spacing/>
        <w:ind w:hanging="360" w:left="4384"/>
      </w:pPr>
      <w:rPr>
        <w:rFonts w:hint="default" w:ascii="Wingdings" w:hAnsi="Wingdings" w:eastAsia="Wingdings" w:cs="Wingdings"/>
      </w:rPr>
      <w:start w:val="1"/>
      <w:suff w:val="tab"/>
    </w:lvl>
    <w:lvl w:ilvl="6">
      <w:isLgl w:val="false"/>
      <w:lvlJc w:val="left"/>
      <w:lvlText w:val=""/>
      <w:numFmt w:val="bullet"/>
      <w:pPr>
        <w:pBdr/>
        <w:spacing/>
        <w:ind w:hanging="360" w:left="5104"/>
      </w:pPr>
      <w:rPr>
        <w:rFonts w:hint="default" w:ascii="Symbol" w:hAnsi="Symbol" w:eastAsia="Symbol" w:cs="Symbol"/>
      </w:rPr>
      <w:start w:val="1"/>
      <w:suff w:val="tab"/>
    </w:lvl>
    <w:lvl w:ilvl="7">
      <w:isLgl w:val="false"/>
      <w:lvlJc w:val="left"/>
      <w:lvlText w:val="o"/>
      <w:numFmt w:val="bullet"/>
      <w:pPr>
        <w:pBdr/>
        <w:spacing/>
        <w:ind w:hanging="360" w:left="5824"/>
      </w:pPr>
      <w:rPr>
        <w:rFonts w:hint="default" w:ascii="Courier New" w:hAnsi="Courier New" w:eastAsia="Courier New" w:cs="Courier New"/>
      </w:rPr>
      <w:start w:val="1"/>
      <w:suff w:val="tab"/>
    </w:lvl>
    <w:lvl w:ilvl="8">
      <w:isLgl w:val="false"/>
      <w:lvlJc w:val="left"/>
      <w:lvlText w:val=""/>
      <w:numFmt w:val="bullet"/>
      <w:pPr>
        <w:pBdr/>
        <w:spacing/>
        <w:ind w:hanging="360" w:left="6544"/>
      </w:pPr>
      <w:rPr>
        <w:rFonts w:hint="default" w:ascii="Wingdings" w:hAnsi="Wingdings" w:eastAsia="Wingdings" w:cs="Wingdings"/>
      </w:rPr>
      <w:start w:val="1"/>
      <w:suff w:val="tab"/>
    </w:lvl>
  </w:abstractNum>
  <w:abstractNum w:abstractNumId="51">
    <w:nsid w:val="4A9EE2E3"/>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2">
    <w:nsid w:val="39C5708B"/>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53">
    <w:nsid w:val="42037B4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54">
    <w:nsid w:val="73A37611"/>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55">
    <w:nsid w:val="3E6F7E1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 w:numId="56">
    <w:abstractNumId w:val="54"/>
  </w:num>
  <w:num w:numId="57">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5">
    <w:name w:val="Table Grid Light"/>
    <w:basedOn w:val="104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Plain Table 1"/>
    <w:basedOn w:val="1047"/>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Plain Table 2"/>
    <w:basedOn w:val="1047"/>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Plain Table 3"/>
    <w:basedOn w:val="104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Plain Table 4"/>
    <w:basedOn w:val="104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Plain Table 5"/>
    <w:basedOn w:val="1047"/>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1 Light"/>
    <w:basedOn w:val="1047"/>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1 Light - Accent 1"/>
    <w:basedOn w:val="104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 Accent 2"/>
    <w:basedOn w:val="104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1 Light - Accent 3"/>
    <w:basedOn w:val="104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1 Light - Accent 4"/>
    <w:basedOn w:val="104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1 Light - Accent 5"/>
    <w:basedOn w:val="104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1 Light - Accent 6"/>
    <w:basedOn w:val="104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2"/>
    <w:basedOn w:val="104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2 - Accent 1"/>
    <w:basedOn w:val="104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 Accent 2"/>
    <w:basedOn w:val="104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2 - Accent 3"/>
    <w:basedOn w:val="104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2 - Accent 4"/>
    <w:basedOn w:val="104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2 - Accent 5"/>
    <w:basedOn w:val="104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2 - Accent 6"/>
    <w:basedOn w:val="104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3"/>
    <w:basedOn w:val="1047"/>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3 - Accent 1"/>
    <w:basedOn w:val="1047"/>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 Accent 2"/>
    <w:basedOn w:val="1047"/>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3 - Accent 3"/>
    <w:basedOn w:val="1047"/>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3 - Accent 4"/>
    <w:basedOn w:val="1047"/>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3 - Accent 5"/>
    <w:basedOn w:val="1047"/>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3 - Accent 6"/>
    <w:basedOn w:val="1047"/>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4"/>
    <w:basedOn w:val="1047"/>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4 - Accent 1"/>
    <w:basedOn w:val="1047"/>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 Accent 2"/>
    <w:basedOn w:val="1047"/>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4 - Accent 3"/>
    <w:basedOn w:val="1047"/>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4 - Accent 4"/>
    <w:basedOn w:val="1047"/>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4 - Accent 5"/>
    <w:basedOn w:val="1047"/>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4 - Accent 6"/>
    <w:basedOn w:val="1047"/>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5 Dark"/>
    <w:basedOn w:val="104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5 Dark- Accent 1"/>
    <w:basedOn w:val="104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 Accent 2"/>
    <w:basedOn w:val="104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5 Dark - Accent 3"/>
    <w:basedOn w:val="104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5 Dark- Accent 4"/>
    <w:basedOn w:val="104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Grid Table 5 Dark - Accent 5"/>
    <w:basedOn w:val="104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Grid Table 5 Dark - Accent 6"/>
    <w:basedOn w:val="1047"/>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Grid Table 6 Colorful"/>
    <w:basedOn w:val="1047"/>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7">
    <w:name w:val="Grid Table 6 Colorful - Accent 1"/>
    <w:basedOn w:val="1047"/>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8">
    <w:name w:val="Grid Table 6 Colorful - Accent 2"/>
    <w:basedOn w:val="104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9">
    <w:name w:val="Grid Table 6 Colorful - Accent 3"/>
    <w:basedOn w:val="1047"/>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20">
    <w:name w:val="Grid Table 6 Colorful - Accent 4"/>
    <w:basedOn w:val="104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21">
    <w:name w:val="Grid Table 6 Colorful - Accent 5"/>
    <w:basedOn w:val="1047"/>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2">
    <w:name w:val="Grid Table 6 Colorful - Accent 6"/>
    <w:basedOn w:val="1047"/>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23">
    <w:name w:val="Grid Table 7 Colorful"/>
    <w:basedOn w:val="1047"/>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7 Colorful - Accent 1"/>
    <w:basedOn w:val="1047"/>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7 Colorful - Accent 2"/>
    <w:basedOn w:val="1047"/>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Grid Table 7 Colorful - Accent 3"/>
    <w:basedOn w:val="1047"/>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Grid Table 7 Colorful - Accent 4"/>
    <w:basedOn w:val="1047"/>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Grid Table 7 Colorful - Accent 5"/>
    <w:basedOn w:val="1047"/>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Grid Table 7 Colorful - Accent 6"/>
    <w:basedOn w:val="1047"/>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1 Light"/>
    <w:basedOn w:val="104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1 Light - Accent 1"/>
    <w:basedOn w:val="104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 Accent 2"/>
    <w:basedOn w:val="104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1 Light - Accent 3"/>
    <w:basedOn w:val="104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1 Light - Accent 4"/>
    <w:basedOn w:val="104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1 Light - Accent 5"/>
    <w:basedOn w:val="104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1 Light - Accent 6"/>
    <w:basedOn w:val="1047"/>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2"/>
    <w:basedOn w:val="1047"/>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2 - Accent 1"/>
    <w:basedOn w:val="1047"/>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 Accent 2"/>
    <w:basedOn w:val="1047"/>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2 - Accent 3"/>
    <w:basedOn w:val="1047"/>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2 - Accent 4"/>
    <w:basedOn w:val="1047"/>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2 - Accent 5"/>
    <w:basedOn w:val="1047"/>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2 - Accent 6"/>
    <w:basedOn w:val="1047"/>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3"/>
    <w:basedOn w:val="104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3 - Accent 1"/>
    <w:basedOn w:val="1047"/>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 Accent 2"/>
    <w:basedOn w:val="1047"/>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3 - Accent 3"/>
    <w:basedOn w:val="1047"/>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3 - Accent 4"/>
    <w:basedOn w:val="1047"/>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3 - Accent 5"/>
    <w:basedOn w:val="1047"/>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3 - Accent 6"/>
    <w:basedOn w:val="1047"/>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4"/>
    <w:basedOn w:val="1047"/>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4 - Accent 1"/>
    <w:basedOn w:val="1047"/>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2"/>
    <w:basedOn w:val="1047"/>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4 - Accent 3"/>
    <w:basedOn w:val="1047"/>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4 - Accent 4"/>
    <w:basedOn w:val="1047"/>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4 - Accent 5"/>
    <w:basedOn w:val="1047"/>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List Table 4 - Accent 6"/>
    <w:basedOn w:val="1047"/>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st Table 5 Dark"/>
    <w:basedOn w:val="1047"/>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9">
    <w:name w:val="List Table 5 Dark - Accent 1"/>
    <w:basedOn w:val="1047"/>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2"/>
    <w:basedOn w:val="1047"/>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5 Dark - Accent 3"/>
    <w:basedOn w:val="1047"/>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2">
    <w:name w:val="List Table 5 Dark - Accent 4"/>
    <w:basedOn w:val="1047"/>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3">
    <w:name w:val="List Table 5 Dark - Accent 5"/>
    <w:basedOn w:val="1047"/>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4">
    <w:name w:val="List Table 5 Dark - Accent 6"/>
    <w:basedOn w:val="1047"/>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5">
    <w:name w:val="List Table 6 Colorful"/>
    <w:basedOn w:val="1047"/>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6 Colorful - Accent 1"/>
    <w:basedOn w:val="1047"/>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2"/>
    <w:basedOn w:val="1047"/>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6 Colorful - Accent 3"/>
    <w:basedOn w:val="1047"/>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st Table 6 Colorful - Accent 4"/>
    <w:basedOn w:val="1047"/>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List Table 6 Colorful - Accent 5"/>
    <w:basedOn w:val="1047"/>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List Table 6 Colorful - Accent 6"/>
    <w:basedOn w:val="1047"/>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List Table 7 Colorful"/>
    <w:basedOn w:val="1047"/>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73">
    <w:name w:val="List Table 7 Colorful - Accent 1"/>
    <w:basedOn w:val="1047"/>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4">
    <w:name w:val="List Table 7 Colorful - Accent 2"/>
    <w:basedOn w:val="1047"/>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75">
    <w:name w:val="List Table 7 Colorful - Accent 3"/>
    <w:basedOn w:val="1047"/>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6">
    <w:name w:val="List Table 7 Colorful - Accent 4"/>
    <w:basedOn w:val="1047"/>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7">
    <w:name w:val="List Table 7 Colorful - Accent 5"/>
    <w:basedOn w:val="1047"/>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8">
    <w:name w:val="List Table 7 Colorful - Accent 6"/>
    <w:basedOn w:val="1047"/>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9">
    <w:name w:val="Lined - Accent"/>
    <w:basedOn w:val="104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ned - Accent 1"/>
    <w:basedOn w:val="104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ned - Accent 2"/>
    <w:basedOn w:val="104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Lined - Accent 3"/>
    <w:basedOn w:val="104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Lined - Accent 4"/>
    <w:basedOn w:val="104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Lined - Accent 5"/>
    <w:basedOn w:val="104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Lined - Accent 6"/>
    <w:basedOn w:val="1047"/>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amp; Lined - Accent"/>
    <w:basedOn w:val="1047"/>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amp; Lined - Accent 1"/>
    <w:basedOn w:val="1047"/>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2"/>
    <w:basedOn w:val="1047"/>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amp; Lined - Accent 3"/>
    <w:basedOn w:val="1047"/>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amp; Lined - Accent 4"/>
    <w:basedOn w:val="1047"/>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amp; Lined - Accent 5"/>
    <w:basedOn w:val="1047"/>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amp; Lined - Accent 6"/>
    <w:basedOn w:val="1047"/>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w:basedOn w:val="1047"/>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 Accent 1"/>
    <w:basedOn w:val="1047"/>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 Accent 2"/>
    <w:basedOn w:val="1047"/>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6">
    <w:name w:val="Bordered - Accent 3"/>
    <w:basedOn w:val="1047"/>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7">
    <w:name w:val="Bordered - Accent 4"/>
    <w:basedOn w:val="1047"/>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8">
    <w:name w:val="Bordered - Accent 5"/>
    <w:basedOn w:val="1047"/>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9">
    <w:name w:val="Bordered - Accent 6"/>
    <w:basedOn w:val="1047"/>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00">
    <w:name w:val="Heading 5"/>
    <w:basedOn w:val="1041"/>
    <w:next w:val="1041"/>
    <w:link w:val="100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001">
    <w:name w:val="Heading 6"/>
    <w:basedOn w:val="1041"/>
    <w:next w:val="1041"/>
    <w:link w:val="100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002">
    <w:name w:val="Heading 7"/>
    <w:basedOn w:val="1041"/>
    <w:next w:val="1041"/>
    <w:link w:val="100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003">
    <w:name w:val="Heading 8"/>
    <w:basedOn w:val="1041"/>
    <w:next w:val="1041"/>
    <w:link w:val="100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04">
    <w:name w:val="Heading 9"/>
    <w:basedOn w:val="1041"/>
    <w:next w:val="1041"/>
    <w:link w:val="100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05">
    <w:name w:val="Heading 5 Char"/>
    <w:basedOn w:val="1046"/>
    <w:link w:val="1000"/>
    <w:uiPriority w:val="9"/>
    <w:pPr>
      <w:pBdr/>
      <w:spacing/>
      <w:ind/>
    </w:pPr>
    <w:rPr>
      <w:rFonts w:ascii="Arial" w:hAnsi="Arial" w:eastAsia="Arial" w:cs="Arial"/>
      <w:color w:val="0f4761" w:themeColor="accent1" w:themeShade="BF"/>
    </w:rPr>
  </w:style>
  <w:style w:type="character" w:styleId="1006">
    <w:name w:val="Heading 6 Char"/>
    <w:basedOn w:val="1046"/>
    <w:link w:val="1001"/>
    <w:uiPriority w:val="9"/>
    <w:pPr>
      <w:pBdr/>
      <w:spacing/>
      <w:ind/>
    </w:pPr>
    <w:rPr>
      <w:rFonts w:ascii="Arial" w:hAnsi="Arial" w:eastAsia="Arial" w:cs="Arial"/>
      <w:i/>
      <w:iCs/>
      <w:color w:val="595959" w:themeColor="text1" w:themeTint="A6"/>
    </w:rPr>
  </w:style>
  <w:style w:type="character" w:styleId="1007">
    <w:name w:val="Heading 7 Char"/>
    <w:basedOn w:val="1046"/>
    <w:link w:val="1002"/>
    <w:uiPriority w:val="9"/>
    <w:pPr>
      <w:pBdr/>
      <w:spacing/>
      <w:ind/>
    </w:pPr>
    <w:rPr>
      <w:rFonts w:ascii="Arial" w:hAnsi="Arial" w:eastAsia="Arial" w:cs="Arial"/>
      <w:color w:val="595959" w:themeColor="text1" w:themeTint="A6"/>
    </w:rPr>
  </w:style>
  <w:style w:type="character" w:styleId="1008">
    <w:name w:val="Heading 8 Char"/>
    <w:basedOn w:val="1046"/>
    <w:link w:val="1003"/>
    <w:uiPriority w:val="9"/>
    <w:pPr>
      <w:pBdr/>
      <w:spacing/>
      <w:ind/>
    </w:pPr>
    <w:rPr>
      <w:rFonts w:ascii="Arial" w:hAnsi="Arial" w:eastAsia="Arial" w:cs="Arial"/>
      <w:i/>
      <w:iCs/>
      <w:color w:val="272727" w:themeColor="text1" w:themeTint="D8"/>
    </w:rPr>
  </w:style>
  <w:style w:type="character" w:styleId="1009">
    <w:name w:val="Heading 9 Char"/>
    <w:basedOn w:val="1046"/>
    <w:link w:val="1004"/>
    <w:uiPriority w:val="9"/>
    <w:pPr>
      <w:pBdr/>
      <w:spacing/>
      <w:ind/>
    </w:pPr>
    <w:rPr>
      <w:rFonts w:ascii="Arial" w:hAnsi="Arial" w:eastAsia="Arial" w:cs="Arial"/>
      <w:i/>
      <w:iCs/>
      <w:color w:val="272727" w:themeColor="text1" w:themeTint="D8"/>
    </w:rPr>
  </w:style>
  <w:style w:type="paragraph" w:styleId="1010">
    <w:name w:val="Subtitle"/>
    <w:basedOn w:val="1041"/>
    <w:next w:val="1041"/>
    <w:link w:val="1011"/>
    <w:uiPriority w:val="11"/>
    <w:qFormat/>
    <w:pPr>
      <w:numPr>
        <w:ilvl w:val="1"/>
      </w:numPr>
      <w:pBdr/>
      <w:spacing/>
      <w:ind/>
    </w:pPr>
    <w:rPr>
      <w:color w:val="595959" w:themeColor="text1" w:themeTint="A6"/>
      <w:spacing w:val="15"/>
      <w:sz w:val="28"/>
      <w:szCs w:val="28"/>
    </w:rPr>
  </w:style>
  <w:style w:type="character" w:styleId="1011">
    <w:name w:val="Subtitle Char"/>
    <w:basedOn w:val="1046"/>
    <w:link w:val="1010"/>
    <w:uiPriority w:val="11"/>
    <w:pPr>
      <w:pBdr/>
      <w:spacing/>
      <w:ind/>
    </w:pPr>
    <w:rPr>
      <w:color w:val="595959" w:themeColor="text1" w:themeTint="A6"/>
      <w:spacing w:val="15"/>
      <w:sz w:val="28"/>
      <w:szCs w:val="28"/>
    </w:rPr>
  </w:style>
  <w:style w:type="paragraph" w:styleId="1012">
    <w:name w:val="Quote"/>
    <w:basedOn w:val="1041"/>
    <w:next w:val="1041"/>
    <w:link w:val="1013"/>
    <w:uiPriority w:val="29"/>
    <w:qFormat/>
    <w:pPr>
      <w:pBdr/>
      <w:spacing w:before="160"/>
      <w:ind/>
      <w:jc w:val="center"/>
    </w:pPr>
    <w:rPr>
      <w:i/>
      <w:iCs/>
      <w:color w:val="404040" w:themeColor="text1" w:themeTint="BF"/>
    </w:rPr>
  </w:style>
  <w:style w:type="character" w:styleId="1013">
    <w:name w:val="Quote Char"/>
    <w:basedOn w:val="1046"/>
    <w:link w:val="1012"/>
    <w:uiPriority w:val="29"/>
    <w:pPr>
      <w:pBdr/>
      <w:spacing/>
      <w:ind/>
    </w:pPr>
    <w:rPr>
      <w:i/>
      <w:iCs/>
      <w:color w:val="404040" w:themeColor="text1" w:themeTint="BF"/>
    </w:rPr>
  </w:style>
  <w:style w:type="character" w:styleId="1014">
    <w:name w:val="Intense Emphasis"/>
    <w:basedOn w:val="1046"/>
    <w:uiPriority w:val="21"/>
    <w:qFormat/>
    <w:pPr>
      <w:pBdr/>
      <w:spacing/>
      <w:ind/>
    </w:pPr>
    <w:rPr>
      <w:i/>
      <w:iCs/>
      <w:color w:val="0f4761" w:themeColor="accent1" w:themeShade="BF"/>
    </w:rPr>
  </w:style>
  <w:style w:type="paragraph" w:styleId="1015">
    <w:name w:val="Intense Quote"/>
    <w:basedOn w:val="1041"/>
    <w:next w:val="1041"/>
    <w:link w:val="101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6">
    <w:name w:val="Intense Quote Char"/>
    <w:basedOn w:val="1046"/>
    <w:link w:val="1015"/>
    <w:uiPriority w:val="30"/>
    <w:pPr>
      <w:pBdr/>
      <w:spacing/>
      <w:ind/>
    </w:pPr>
    <w:rPr>
      <w:i/>
      <w:iCs/>
      <w:color w:val="0f4761" w:themeColor="accent1" w:themeShade="BF"/>
    </w:rPr>
  </w:style>
  <w:style w:type="character" w:styleId="1017">
    <w:name w:val="Intense Reference"/>
    <w:basedOn w:val="1046"/>
    <w:uiPriority w:val="32"/>
    <w:qFormat/>
    <w:pPr>
      <w:pBdr/>
      <w:spacing/>
      <w:ind/>
    </w:pPr>
    <w:rPr>
      <w:b/>
      <w:bCs/>
      <w:smallCaps/>
      <w:color w:val="0f4761" w:themeColor="accent1" w:themeShade="BF"/>
      <w:spacing w:val="5"/>
    </w:rPr>
  </w:style>
  <w:style w:type="paragraph" w:styleId="1018">
    <w:name w:val="No Spacing"/>
    <w:basedOn w:val="1041"/>
    <w:uiPriority w:val="1"/>
    <w:qFormat/>
    <w:pPr>
      <w:pBdr/>
      <w:spacing w:after="0" w:line="240" w:lineRule="auto"/>
      <w:ind/>
    </w:pPr>
  </w:style>
  <w:style w:type="character" w:styleId="1019">
    <w:name w:val="Subtle Emphasis"/>
    <w:basedOn w:val="1046"/>
    <w:uiPriority w:val="19"/>
    <w:qFormat/>
    <w:pPr>
      <w:pBdr/>
      <w:spacing/>
      <w:ind/>
    </w:pPr>
    <w:rPr>
      <w:i/>
      <w:iCs/>
      <w:color w:val="404040" w:themeColor="text1" w:themeTint="BF"/>
    </w:rPr>
  </w:style>
  <w:style w:type="character" w:styleId="1020">
    <w:name w:val="Subtle Reference"/>
    <w:basedOn w:val="1046"/>
    <w:uiPriority w:val="31"/>
    <w:qFormat/>
    <w:pPr>
      <w:pBdr/>
      <w:spacing/>
      <w:ind/>
    </w:pPr>
    <w:rPr>
      <w:smallCaps/>
      <w:color w:val="5a5a5a" w:themeColor="text1" w:themeTint="A5"/>
    </w:rPr>
  </w:style>
  <w:style w:type="character" w:styleId="1021">
    <w:name w:val="Book Title"/>
    <w:basedOn w:val="1046"/>
    <w:uiPriority w:val="33"/>
    <w:qFormat/>
    <w:pPr>
      <w:pBdr/>
      <w:spacing/>
      <w:ind/>
    </w:pPr>
    <w:rPr>
      <w:b/>
      <w:bCs/>
      <w:i/>
      <w:iCs/>
      <w:spacing w:val="5"/>
    </w:rPr>
  </w:style>
  <w:style w:type="paragraph" w:styleId="1022">
    <w:name w:val="Caption"/>
    <w:basedOn w:val="1041"/>
    <w:next w:val="1041"/>
    <w:uiPriority w:val="35"/>
    <w:unhideWhenUsed/>
    <w:qFormat/>
    <w:pPr>
      <w:pBdr/>
      <w:spacing w:after="200" w:line="240" w:lineRule="auto"/>
      <w:ind/>
    </w:pPr>
    <w:rPr>
      <w:i/>
      <w:iCs/>
      <w:color w:val="0e2841" w:themeColor="text2"/>
      <w:sz w:val="18"/>
      <w:szCs w:val="18"/>
    </w:rPr>
  </w:style>
  <w:style w:type="paragraph" w:styleId="1023">
    <w:name w:val="footnote text"/>
    <w:basedOn w:val="1041"/>
    <w:link w:val="1024"/>
    <w:uiPriority w:val="99"/>
    <w:semiHidden/>
    <w:unhideWhenUsed/>
    <w:pPr>
      <w:pBdr/>
      <w:spacing w:after="0" w:line="240" w:lineRule="auto"/>
      <w:ind/>
    </w:pPr>
    <w:rPr>
      <w:sz w:val="20"/>
      <w:szCs w:val="20"/>
    </w:rPr>
  </w:style>
  <w:style w:type="character" w:styleId="1024">
    <w:name w:val="Footnote Text Char"/>
    <w:basedOn w:val="1046"/>
    <w:link w:val="1023"/>
    <w:uiPriority w:val="99"/>
    <w:semiHidden/>
    <w:pPr>
      <w:pBdr/>
      <w:spacing/>
      <w:ind/>
    </w:pPr>
    <w:rPr>
      <w:sz w:val="20"/>
      <w:szCs w:val="20"/>
    </w:rPr>
  </w:style>
  <w:style w:type="character" w:styleId="1025">
    <w:name w:val="footnote reference"/>
    <w:basedOn w:val="1046"/>
    <w:uiPriority w:val="99"/>
    <w:semiHidden/>
    <w:unhideWhenUsed/>
    <w:pPr>
      <w:pBdr/>
      <w:spacing/>
      <w:ind/>
    </w:pPr>
    <w:rPr>
      <w:vertAlign w:val="superscript"/>
    </w:rPr>
  </w:style>
  <w:style w:type="paragraph" w:styleId="1026">
    <w:name w:val="endnote text"/>
    <w:basedOn w:val="1041"/>
    <w:link w:val="1027"/>
    <w:uiPriority w:val="99"/>
    <w:semiHidden/>
    <w:unhideWhenUsed/>
    <w:pPr>
      <w:pBdr/>
      <w:spacing w:after="0" w:line="240" w:lineRule="auto"/>
      <w:ind/>
    </w:pPr>
    <w:rPr>
      <w:sz w:val="20"/>
      <w:szCs w:val="20"/>
    </w:rPr>
  </w:style>
  <w:style w:type="character" w:styleId="1027">
    <w:name w:val="Endnote Text Char"/>
    <w:basedOn w:val="1046"/>
    <w:link w:val="1026"/>
    <w:uiPriority w:val="99"/>
    <w:semiHidden/>
    <w:pPr>
      <w:pBdr/>
      <w:spacing/>
      <w:ind/>
    </w:pPr>
    <w:rPr>
      <w:sz w:val="20"/>
      <w:szCs w:val="20"/>
    </w:rPr>
  </w:style>
  <w:style w:type="character" w:styleId="1028">
    <w:name w:val="endnote reference"/>
    <w:basedOn w:val="1046"/>
    <w:uiPriority w:val="99"/>
    <w:semiHidden/>
    <w:unhideWhenUsed/>
    <w:pPr>
      <w:pBdr/>
      <w:spacing/>
      <w:ind/>
    </w:pPr>
    <w:rPr>
      <w:vertAlign w:val="superscript"/>
    </w:rPr>
  </w:style>
  <w:style w:type="paragraph" w:styleId="1029">
    <w:name w:val="toc 1"/>
    <w:basedOn w:val="1041"/>
    <w:next w:val="1041"/>
    <w:uiPriority w:val="39"/>
    <w:unhideWhenUsed/>
    <w:pPr>
      <w:pBdr/>
      <w:spacing w:after="100"/>
      <w:ind/>
    </w:pPr>
  </w:style>
  <w:style w:type="paragraph" w:styleId="1030">
    <w:name w:val="toc 2"/>
    <w:basedOn w:val="1041"/>
    <w:next w:val="1041"/>
    <w:uiPriority w:val="39"/>
    <w:unhideWhenUsed/>
    <w:pPr>
      <w:pBdr/>
      <w:spacing w:after="100"/>
      <w:ind w:left="220"/>
    </w:pPr>
  </w:style>
  <w:style w:type="paragraph" w:styleId="1031">
    <w:name w:val="toc 3"/>
    <w:basedOn w:val="1041"/>
    <w:next w:val="1041"/>
    <w:uiPriority w:val="39"/>
    <w:unhideWhenUsed/>
    <w:pPr>
      <w:pBdr/>
      <w:spacing w:after="100"/>
      <w:ind w:left="440"/>
    </w:pPr>
  </w:style>
  <w:style w:type="paragraph" w:styleId="1032">
    <w:name w:val="toc 4"/>
    <w:basedOn w:val="1041"/>
    <w:next w:val="1041"/>
    <w:uiPriority w:val="39"/>
    <w:unhideWhenUsed/>
    <w:pPr>
      <w:pBdr/>
      <w:spacing w:after="100"/>
      <w:ind w:left="660"/>
    </w:pPr>
  </w:style>
  <w:style w:type="paragraph" w:styleId="1033">
    <w:name w:val="toc 5"/>
    <w:basedOn w:val="1041"/>
    <w:next w:val="1041"/>
    <w:uiPriority w:val="39"/>
    <w:unhideWhenUsed/>
    <w:pPr>
      <w:pBdr/>
      <w:spacing w:after="100"/>
      <w:ind w:left="880"/>
    </w:pPr>
  </w:style>
  <w:style w:type="paragraph" w:styleId="1034">
    <w:name w:val="toc 6"/>
    <w:basedOn w:val="1041"/>
    <w:next w:val="1041"/>
    <w:uiPriority w:val="39"/>
    <w:unhideWhenUsed/>
    <w:pPr>
      <w:pBdr/>
      <w:spacing w:after="100"/>
      <w:ind w:left="1100"/>
    </w:pPr>
  </w:style>
  <w:style w:type="paragraph" w:styleId="1035">
    <w:name w:val="toc 7"/>
    <w:basedOn w:val="1041"/>
    <w:next w:val="1041"/>
    <w:uiPriority w:val="39"/>
    <w:unhideWhenUsed/>
    <w:pPr>
      <w:pBdr/>
      <w:spacing w:after="100"/>
      <w:ind w:left="1320"/>
    </w:pPr>
  </w:style>
  <w:style w:type="paragraph" w:styleId="1036">
    <w:name w:val="toc 8"/>
    <w:basedOn w:val="1041"/>
    <w:next w:val="1041"/>
    <w:uiPriority w:val="39"/>
    <w:unhideWhenUsed/>
    <w:pPr>
      <w:pBdr/>
      <w:spacing w:after="100"/>
      <w:ind w:left="1540"/>
    </w:pPr>
  </w:style>
  <w:style w:type="paragraph" w:styleId="1037">
    <w:name w:val="toc 9"/>
    <w:basedOn w:val="1041"/>
    <w:next w:val="1041"/>
    <w:uiPriority w:val="39"/>
    <w:unhideWhenUsed/>
    <w:pPr>
      <w:pBdr/>
      <w:spacing w:after="100"/>
      <w:ind w:left="1760"/>
    </w:pPr>
  </w:style>
  <w:style w:type="character" w:styleId="1038">
    <w:name w:val="Placeholder Text"/>
    <w:basedOn w:val="1046"/>
    <w:uiPriority w:val="99"/>
    <w:semiHidden/>
    <w:pPr>
      <w:pBdr/>
      <w:spacing/>
      <w:ind/>
    </w:pPr>
    <w:rPr>
      <w:color w:val="666666"/>
    </w:rPr>
  </w:style>
  <w:style w:type="paragraph" w:styleId="1039">
    <w:name w:val="TOC Heading"/>
    <w:uiPriority w:val="39"/>
    <w:unhideWhenUsed/>
    <w:pPr>
      <w:pBdr/>
      <w:spacing/>
      <w:ind/>
    </w:pPr>
  </w:style>
  <w:style w:type="paragraph" w:styleId="1040">
    <w:name w:val="table of figures"/>
    <w:basedOn w:val="1041"/>
    <w:next w:val="1041"/>
    <w:uiPriority w:val="99"/>
    <w:unhideWhenUsed/>
    <w:pPr>
      <w:pBdr/>
      <w:spacing w:after="0" w:afterAutospacing="0"/>
      <w:ind/>
    </w:pPr>
  </w:style>
  <w:style w:type="paragraph" w:styleId="1041" w:default="1">
    <w:name w:val="Normal"/>
    <w:qFormat/>
    <w:pPr>
      <w:pBdr/>
      <w:spacing w:after="0" w:line="240" w:lineRule="auto"/>
      <w:ind/>
    </w:pPr>
    <w:rPr>
      <w:rFonts w:ascii="Times New Roman" w:hAnsi="Times New Roman" w:eastAsia="Times New Roman" w:cs="Times New Roman"/>
      <w:sz w:val="24"/>
      <w:szCs w:val="24"/>
    </w:rPr>
  </w:style>
  <w:style w:type="paragraph" w:styleId="1042">
    <w:name w:val="Heading 1"/>
    <w:basedOn w:val="1041"/>
    <w:next w:val="1041"/>
    <w:link w:val="1049"/>
    <w:qFormat/>
    <w:pPr>
      <w:keepNext w:val="true"/>
      <w:pBdr/>
      <w:spacing w:after="120" w:before="120"/>
      <w:ind/>
      <w:jc w:val="center"/>
      <w:outlineLvl w:val="0"/>
    </w:pPr>
    <w:rPr>
      <w:b/>
      <w:bCs/>
      <w:sz w:val="27"/>
      <w:szCs w:val="27"/>
    </w:rPr>
  </w:style>
  <w:style w:type="paragraph" w:styleId="1043">
    <w:name w:val="Heading 2"/>
    <w:basedOn w:val="1041"/>
    <w:next w:val="1041"/>
    <w:link w:val="1050"/>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44">
    <w:name w:val="Heading 3"/>
    <w:basedOn w:val="1041"/>
    <w:next w:val="1041"/>
    <w:link w:val="1051"/>
    <w:qFormat/>
    <w:pPr>
      <w:keepNext w:val="true"/>
      <w:pBdr/>
      <w:spacing w:before="60"/>
      <w:ind/>
      <w:outlineLvl w:val="2"/>
    </w:pPr>
    <w:rPr>
      <w:sz w:val="28"/>
      <w:szCs w:val="28"/>
    </w:rPr>
  </w:style>
  <w:style w:type="paragraph" w:styleId="1045">
    <w:name w:val="Heading 4"/>
    <w:basedOn w:val="1041"/>
    <w:next w:val="1041"/>
    <w:link w:val="1052"/>
    <w:qFormat/>
    <w:pPr>
      <w:keepNext w:val="true"/>
      <w:pBdr/>
      <w:spacing/>
      <w:ind/>
      <w:jc w:val="center"/>
      <w:outlineLvl w:val="3"/>
    </w:pPr>
    <w:rPr>
      <w:b/>
      <w:bCs/>
    </w:rPr>
  </w:style>
  <w:style w:type="character" w:styleId="1046" w:default="1">
    <w:name w:val="Default Paragraph Font"/>
    <w:uiPriority w:val="1"/>
    <w:semiHidden/>
    <w:unhideWhenUsed/>
    <w:pPr>
      <w:pBdr/>
      <w:spacing/>
      <w:ind/>
    </w:pPr>
  </w:style>
  <w:style w:type="table" w:styleId="1047"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8" w:default="1">
    <w:name w:val="No List"/>
    <w:uiPriority w:val="99"/>
    <w:semiHidden/>
    <w:unhideWhenUsed/>
    <w:pPr>
      <w:pBdr/>
      <w:spacing/>
      <w:ind/>
    </w:pPr>
  </w:style>
  <w:style w:type="character" w:styleId="1049" w:customStyle="1">
    <w:name w:val="Heading 1 Char"/>
    <w:basedOn w:val="1046"/>
    <w:link w:val="1042"/>
    <w:pPr>
      <w:pBdr/>
      <w:spacing/>
      <w:ind/>
    </w:pPr>
    <w:rPr>
      <w:rFonts w:ascii="Times New Roman" w:hAnsi="Times New Roman" w:eastAsia="Times New Roman" w:cs="Times New Roman"/>
      <w:b/>
      <w:bCs/>
      <w:sz w:val="27"/>
      <w:szCs w:val="27"/>
    </w:rPr>
  </w:style>
  <w:style w:type="character" w:styleId="1050" w:customStyle="1">
    <w:name w:val="Heading 2 Char"/>
    <w:basedOn w:val="1046"/>
    <w:link w:val="1043"/>
    <w:uiPriority w:val="9"/>
    <w:pPr>
      <w:pBdr/>
      <w:spacing/>
      <w:ind/>
    </w:pPr>
    <w:rPr>
      <w:rFonts w:asciiTheme="majorHAnsi" w:hAnsiTheme="majorHAnsi" w:eastAsiaTheme="majorEastAsia" w:cstheme="majorBidi"/>
      <w:color w:val="365f91" w:themeColor="accent1" w:themeShade="BF"/>
      <w:sz w:val="26"/>
      <w:szCs w:val="26"/>
    </w:rPr>
  </w:style>
  <w:style w:type="character" w:styleId="1051" w:customStyle="1">
    <w:name w:val="Heading 3 Char"/>
    <w:basedOn w:val="1046"/>
    <w:link w:val="1044"/>
    <w:pPr>
      <w:pBdr/>
      <w:spacing/>
      <w:ind/>
    </w:pPr>
    <w:rPr>
      <w:rFonts w:ascii="Times New Roman" w:hAnsi="Times New Roman" w:eastAsia="Times New Roman" w:cs="Times New Roman"/>
      <w:sz w:val="28"/>
      <w:szCs w:val="28"/>
    </w:rPr>
  </w:style>
  <w:style w:type="character" w:styleId="1052" w:customStyle="1">
    <w:name w:val="Heading 4 Char"/>
    <w:basedOn w:val="1046"/>
    <w:link w:val="1045"/>
    <w:pPr>
      <w:pBdr/>
      <w:spacing/>
      <w:ind/>
    </w:pPr>
    <w:rPr>
      <w:rFonts w:ascii="Times New Roman" w:hAnsi="Times New Roman" w:eastAsia="Times New Roman" w:cs="Times New Roman"/>
      <w:b/>
      <w:bCs/>
      <w:sz w:val="24"/>
      <w:szCs w:val="24"/>
    </w:rPr>
  </w:style>
  <w:style w:type="character" w:styleId="1053">
    <w:name w:val="Hyperlink"/>
    <w:uiPriority w:val="99"/>
    <w:pPr>
      <w:pBdr/>
      <w:spacing/>
      <w:ind/>
    </w:pPr>
    <w:rPr>
      <w:color w:val="000000"/>
      <w:u w:val="single"/>
    </w:rPr>
  </w:style>
  <w:style w:type="character" w:styleId="1054">
    <w:name w:val="Strong"/>
    <w:uiPriority w:val="22"/>
    <w:qFormat/>
    <w:pPr>
      <w:pBdr/>
      <w:spacing/>
      <w:ind/>
    </w:pPr>
    <w:rPr>
      <w:b/>
      <w:bCs/>
    </w:rPr>
  </w:style>
  <w:style w:type="paragraph" w:styleId="1055">
    <w:name w:val="Balloon Text"/>
    <w:basedOn w:val="1041"/>
    <w:link w:val="1056"/>
    <w:uiPriority w:val="99"/>
    <w:semiHidden/>
    <w:unhideWhenUsed/>
    <w:pPr>
      <w:pBdr/>
      <w:spacing/>
      <w:ind/>
    </w:pPr>
    <w:rPr>
      <w:rFonts w:ascii="Tahoma" w:hAnsi="Tahoma" w:cs="Tahoma"/>
      <w:sz w:val="16"/>
      <w:szCs w:val="16"/>
    </w:rPr>
  </w:style>
  <w:style w:type="character" w:styleId="1056" w:customStyle="1">
    <w:name w:val="Balloon Text Char"/>
    <w:basedOn w:val="1046"/>
    <w:link w:val="1055"/>
    <w:uiPriority w:val="99"/>
    <w:semiHidden/>
    <w:pPr>
      <w:pBdr/>
      <w:spacing/>
      <w:ind/>
    </w:pPr>
    <w:rPr>
      <w:rFonts w:ascii="Tahoma" w:hAnsi="Tahoma" w:eastAsia="Times New Roman" w:cs="Tahoma"/>
      <w:sz w:val="16"/>
      <w:szCs w:val="16"/>
    </w:rPr>
  </w:style>
  <w:style w:type="paragraph" w:styleId="1057">
    <w:name w:val="Header"/>
    <w:basedOn w:val="1041"/>
    <w:link w:val="1058"/>
    <w:unhideWhenUsed/>
    <w:pPr>
      <w:pBdr/>
      <w:tabs>
        <w:tab w:val="center" w:leader="none" w:pos="4680"/>
        <w:tab w:val="right" w:leader="none" w:pos="9360"/>
      </w:tabs>
      <w:spacing/>
      <w:ind/>
    </w:pPr>
  </w:style>
  <w:style w:type="character" w:styleId="1058" w:customStyle="1">
    <w:name w:val="Header Char"/>
    <w:basedOn w:val="1046"/>
    <w:link w:val="1057"/>
    <w:pPr>
      <w:pBdr/>
      <w:spacing/>
      <w:ind/>
    </w:pPr>
    <w:rPr>
      <w:rFonts w:ascii="Times New Roman" w:hAnsi="Times New Roman" w:eastAsia="Times New Roman" w:cs="Times New Roman"/>
      <w:sz w:val="24"/>
      <w:szCs w:val="24"/>
    </w:rPr>
  </w:style>
  <w:style w:type="paragraph" w:styleId="1059">
    <w:name w:val="Footer"/>
    <w:basedOn w:val="1041"/>
    <w:link w:val="1060"/>
    <w:uiPriority w:val="99"/>
    <w:unhideWhenUsed/>
    <w:pPr>
      <w:pBdr/>
      <w:tabs>
        <w:tab w:val="center" w:leader="none" w:pos="4680"/>
        <w:tab w:val="right" w:leader="none" w:pos="9360"/>
      </w:tabs>
      <w:spacing/>
      <w:ind/>
    </w:pPr>
  </w:style>
  <w:style w:type="character" w:styleId="1060" w:customStyle="1">
    <w:name w:val="Footer Char"/>
    <w:basedOn w:val="1046"/>
    <w:link w:val="1059"/>
    <w:uiPriority w:val="99"/>
    <w:pPr>
      <w:pBdr/>
      <w:spacing/>
      <w:ind/>
    </w:pPr>
    <w:rPr>
      <w:rFonts w:ascii="Times New Roman" w:hAnsi="Times New Roman" w:eastAsia="Times New Roman" w:cs="Times New Roman"/>
      <w:sz w:val="24"/>
      <w:szCs w:val="24"/>
    </w:rPr>
  </w:style>
  <w:style w:type="character" w:styleId="1061" w:customStyle="1">
    <w:name w:val="normal-h1"/>
    <w:pPr>
      <w:pBdr/>
      <w:spacing/>
      <w:ind/>
    </w:pPr>
    <w:rPr>
      <w:rFonts w:hint="default" w:ascii=".VnTime" w:hAnsi=".VnTime"/>
      <w:color w:val="0000ff"/>
      <w:sz w:val="24"/>
      <w:szCs w:val="24"/>
    </w:rPr>
  </w:style>
  <w:style w:type="paragraph" w:styleId="1062" w:customStyle="1">
    <w:name w:val="normal-p"/>
    <w:basedOn w:val="1041"/>
    <w:pPr>
      <w:pBdr/>
      <w:spacing/>
      <w:ind/>
      <w:jc w:val="both"/>
    </w:pPr>
    <w:rPr>
      <w:sz w:val="20"/>
      <w:szCs w:val="20"/>
    </w:rPr>
  </w:style>
  <w:style w:type="paragraph" w:styleId="1063">
    <w:name w:val="List Paragraph"/>
    <w:basedOn w:val="1041"/>
    <w:link w:val="1150"/>
    <w:uiPriority w:val="34"/>
    <w:qFormat/>
    <w:pPr>
      <w:pBdr/>
      <w:spacing/>
      <w:ind w:left="720"/>
    </w:pPr>
  </w:style>
  <w:style w:type="paragraph" w:styleId="1064">
    <w:name w:val="Normal (Web)"/>
    <w:basedOn w:val="1041"/>
    <w:uiPriority w:val="99"/>
    <w:pPr>
      <w:pBdr/>
      <w:spacing w:after="100" w:afterAutospacing="1" w:before="100" w:beforeAutospacing="1"/>
      <w:ind/>
    </w:pPr>
  </w:style>
  <w:style w:type="paragraph" w:styleId="1065">
    <w:name w:val="Body Text"/>
    <w:basedOn w:val="1041"/>
    <w:link w:val="1066"/>
    <w:pPr>
      <w:pBdr/>
      <w:spacing w:after="120"/>
      <w:ind/>
      <w:jc w:val="both"/>
    </w:pPr>
  </w:style>
  <w:style w:type="character" w:styleId="1066" w:customStyle="1">
    <w:name w:val="Body Text Char"/>
    <w:basedOn w:val="1046"/>
    <w:link w:val="1065"/>
    <w:pPr>
      <w:pBdr/>
      <w:spacing/>
      <w:ind/>
    </w:pPr>
    <w:rPr>
      <w:rFonts w:ascii="Times New Roman" w:hAnsi="Times New Roman" w:eastAsia="Times New Roman" w:cs="Times New Roman"/>
      <w:sz w:val="24"/>
      <w:szCs w:val="24"/>
    </w:rPr>
  </w:style>
  <w:style w:type="table" w:styleId="1067">
    <w:name w:val="Table Grid"/>
    <w:basedOn w:val="1047"/>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8"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9">
    <w:name w:val="annotation reference"/>
    <w:basedOn w:val="1046"/>
    <w:uiPriority w:val="99"/>
    <w:semiHidden/>
    <w:unhideWhenUsed/>
    <w:pPr>
      <w:pBdr/>
      <w:spacing/>
      <w:ind/>
    </w:pPr>
    <w:rPr>
      <w:sz w:val="16"/>
      <w:szCs w:val="16"/>
    </w:rPr>
  </w:style>
  <w:style w:type="paragraph" w:styleId="1070">
    <w:name w:val="annotation text"/>
    <w:basedOn w:val="1041"/>
    <w:link w:val="1071"/>
    <w:uiPriority w:val="99"/>
    <w:unhideWhenUsed/>
    <w:pPr>
      <w:pBdr/>
      <w:spacing/>
      <w:ind/>
    </w:pPr>
    <w:rPr>
      <w:sz w:val="20"/>
      <w:szCs w:val="20"/>
    </w:rPr>
  </w:style>
  <w:style w:type="character" w:styleId="1071" w:customStyle="1">
    <w:name w:val="Comment Text Char"/>
    <w:basedOn w:val="1046"/>
    <w:link w:val="1070"/>
    <w:uiPriority w:val="99"/>
    <w:pPr>
      <w:pBdr/>
      <w:spacing/>
      <w:ind/>
    </w:pPr>
    <w:rPr>
      <w:rFonts w:ascii="Times New Roman" w:hAnsi="Times New Roman" w:eastAsia="Times New Roman" w:cs="Times New Roman"/>
      <w:sz w:val="20"/>
      <w:szCs w:val="20"/>
    </w:rPr>
  </w:style>
  <w:style w:type="paragraph" w:styleId="1072">
    <w:name w:val="annotation subject"/>
    <w:basedOn w:val="1070"/>
    <w:next w:val="1070"/>
    <w:link w:val="1073"/>
    <w:uiPriority w:val="99"/>
    <w:semiHidden/>
    <w:unhideWhenUsed/>
    <w:pPr>
      <w:pBdr/>
      <w:spacing/>
      <w:ind/>
    </w:pPr>
    <w:rPr>
      <w:b/>
      <w:bCs/>
    </w:rPr>
  </w:style>
  <w:style w:type="character" w:styleId="1073" w:customStyle="1">
    <w:name w:val="Comment Subject Char"/>
    <w:basedOn w:val="1071"/>
    <w:link w:val="1072"/>
    <w:uiPriority w:val="99"/>
    <w:semiHidden/>
    <w:pPr>
      <w:pBdr/>
      <w:spacing/>
      <w:ind/>
    </w:pPr>
    <w:rPr>
      <w:rFonts w:ascii="Times New Roman" w:hAnsi="Times New Roman" w:eastAsia="Times New Roman" w:cs="Times New Roman"/>
      <w:b/>
      <w:bCs/>
      <w:sz w:val="20"/>
      <w:szCs w:val="20"/>
    </w:rPr>
  </w:style>
  <w:style w:type="paragraph" w:styleId="1074" w:customStyle="1">
    <w:name w:val="font5"/>
    <w:basedOn w:val="1041"/>
    <w:pPr>
      <w:pBdr/>
      <w:spacing w:after="100" w:afterAutospacing="1" w:before="100" w:beforeAutospacing="1"/>
      <w:ind/>
    </w:pPr>
    <w:rPr>
      <w:rFonts w:ascii="Tahoma" w:hAnsi="Tahoma" w:cs="Tahoma"/>
      <w:color w:val="000000"/>
      <w:sz w:val="18"/>
      <w:szCs w:val="18"/>
    </w:rPr>
  </w:style>
  <w:style w:type="paragraph" w:styleId="1075" w:customStyle="1">
    <w:name w:val="font6"/>
    <w:basedOn w:val="1041"/>
    <w:pPr>
      <w:pBdr/>
      <w:spacing w:after="100" w:afterAutospacing="1" w:before="100" w:beforeAutospacing="1"/>
      <w:ind/>
    </w:pPr>
    <w:rPr>
      <w:rFonts w:ascii="Tahoma" w:hAnsi="Tahoma" w:cs="Tahoma"/>
      <w:b/>
      <w:bCs/>
      <w:color w:val="000000"/>
      <w:sz w:val="18"/>
      <w:szCs w:val="18"/>
    </w:rPr>
  </w:style>
  <w:style w:type="paragraph" w:styleId="1076" w:customStyle="1">
    <w:name w:val="xl233"/>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34"/>
    <w:basedOn w:val="1041"/>
    <w:pPr>
      <w:pBdr/>
      <w:spacing w:after="100" w:afterAutospacing="1" w:before="100" w:beforeAutospacing="1"/>
      <w:ind/>
      <w:jc w:val="center"/>
    </w:pPr>
  </w:style>
  <w:style w:type="paragraph" w:styleId="1078" w:customStyle="1">
    <w:name w:val="xl235"/>
    <w:basedOn w:val="1041"/>
    <w:pPr>
      <w:pBdr/>
      <w:spacing w:after="100" w:afterAutospacing="1" w:before="100" w:beforeAutospacing="1"/>
      <w:ind/>
      <w:jc w:val="center"/>
    </w:pPr>
    <w:rPr>
      <w:b/>
      <w:bCs/>
    </w:rPr>
  </w:style>
  <w:style w:type="paragraph" w:styleId="1079" w:customStyle="1">
    <w:name w:val="xl236"/>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37"/>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38"/>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2" w:customStyle="1">
    <w:name w:val="xl239"/>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3" w:customStyle="1">
    <w:name w:val="xl240"/>
    <w:basedOn w:val="1041"/>
    <w:pPr>
      <w:pBdr/>
      <w:spacing w:after="100" w:afterAutospacing="1" w:before="100" w:beforeAutospacing="1"/>
      <w:ind/>
    </w:pPr>
  </w:style>
  <w:style w:type="paragraph" w:styleId="1084" w:customStyle="1">
    <w:name w:val="xl241"/>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5" w:customStyle="1">
    <w:name w:val="xl242"/>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43"/>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44"/>
    <w:basedOn w:val="1041"/>
    <w:pPr>
      <w:pBdr/>
      <w:spacing w:after="100" w:afterAutospacing="1" w:before="100" w:beforeAutospacing="1"/>
      <w:ind/>
    </w:pPr>
    <w:rPr>
      <w:b/>
      <w:bCs/>
    </w:rPr>
  </w:style>
  <w:style w:type="paragraph" w:styleId="1088" w:customStyle="1">
    <w:name w:val="xl245"/>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9" w:customStyle="1">
    <w:name w:val="xl246"/>
    <w:basedOn w:val="104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0" w:customStyle="1">
    <w:name w:val="xl247"/>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1" w:customStyle="1">
    <w:name w:val="xl248"/>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49"/>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50"/>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51"/>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52"/>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6" w:customStyle="1">
    <w:name w:val="xl253"/>
    <w:basedOn w:val="104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54"/>
    <w:basedOn w:val="1041"/>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55"/>
    <w:basedOn w:val="104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56"/>
    <w:basedOn w:val="1041"/>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100" w:customStyle="1">
    <w:name w:val="xl257"/>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1" w:customStyle="1">
    <w:name w:val="xl258"/>
    <w:basedOn w:val="1041"/>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2" w:customStyle="1">
    <w:name w:val="xl259"/>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60"/>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61"/>
    <w:basedOn w:val="1041"/>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5" w:customStyle="1">
    <w:name w:val="xl262"/>
    <w:basedOn w:val="1041"/>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6" w:customStyle="1">
    <w:name w:val="xl263"/>
    <w:basedOn w:val="1041"/>
    <w:pPr>
      <w:pBdr/>
      <w:shd w:val="clear" w:color="000000" w:fill="ffffff"/>
      <w:spacing w:after="100" w:afterAutospacing="1" w:before="100" w:beforeAutospacing="1"/>
      <w:ind/>
    </w:pPr>
  </w:style>
  <w:style w:type="paragraph" w:styleId="1107" w:customStyle="1">
    <w:name w:val="xl264"/>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65"/>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9" w:customStyle="1">
    <w:name w:val="xl266"/>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10" w:customStyle="1">
    <w:name w:val="xl267"/>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11" w:customStyle="1">
    <w:name w:val="xl268"/>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2" w:customStyle="1">
    <w:name w:val="xl269"/>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13" w:customStyle="1">
    <w:name w:val="xl270"/>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71"/>
    <w:basedOn w:val="1041"/>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15" w:customStyle="1">
    <w:name w:val="xl272"/>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6" w:customStyle="1">
    <w:name w:val="xl273"/>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7" w:customStyle="1">
    <w:name w:val="xl274"/>
    <w:basedOn w:val="1041"/>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8" w:customStyle="1">
    <w:name w:val="xl275"/>
    <w:basedOn w:val="1041"/>
    <w:pPr>
      <w:pBdr/>
      <w:spacing w:after="100" w:afterAutospacing="1" w:before="100" w:beforeAutospacing="1"/>
      <w:ind/>
    </w:pPr>
  </w:style>
  <w:style w:type="paragraph" w:styleId="1119" w:customStyle="1">
    <w:name w:val="xl276"/>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20" w:customStyle="1">
    <w:name w:val="xl277"/>
    <w:basedOn w:val="1041"/>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21" w:customStyle="1">
    <w:name w:val="xl278"/>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customStyle="1">
    <w:name w:val="xl279"/>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3" w:customStyle="1">
    <w:name w:val="xl280"/>
    <w:basedOn w:val="1041"/>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4" w:customStyle="1">
    <w:name w:val="xl281"/>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5" w:customStyle="1">
    <w:name w:val="xl282"/>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6" w:customStyle="1">
    <w:name w:val="xl283"/>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7" w:customStyle="1">
    <w:name w:val="xl284"/>
    <w:basedOn w:val="1041"/>
    <w:pPr>
      <w:pBdr>
        <w:left w:val="single" w:color="000000" w:sz="4" w:space="0"/>
        <w:bottom w:val="single" w:color="000000" w:sz="4" w:space="0"/>
        <w:right w:val="single" w:color="000000" w:sz="4" w:space="0"/>
      </w:pBdr>
      <w:spacing w:after="100" w:afterAutospacing="1" w:before="100" w:beforeAutospacing="1"/>
      <w:ind/>
    </w:pPr>
  </w:style>
  <w:style w:type="paragraph" w:styleId="1128" w:customStyle="1">
    <w:name w:val="xl285"/>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9" w:customStyle="1">
    <w:name w:val="xl286"/>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0" w:customStyle="1">
    <w:name w:val="xl287"/>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31" w:customStyle="1">
    <w:name w:val="xl288"/>
    <w:basedOn w:val="1041"/>
    <w:pPr>
      <w:pBdr>
        <w:top w:val="single" w:color="000000" w:sz="4" w:space="0"/>
        <w:left w:val="single" w:color="000000" w:sz="4" w:space="0"/>
        <w:right w:val="single" w:color="000000" w:sz="4" w:space="0"/>
      </w:pBdr>
      <w:spacing w:after="100" w:afterAutospacing="1" w:before="100" w:beforeAutospacing="1"/>
      <w:ind/>
    </w:pPr>
  </w:style>
  <w:style w:type="paragraph" w:styleId="1132" w:customStyle="1">
    <w:name w:val="xl289"/>
    <w:basedOn w:val="1041"/>
    <w:pPr>
      <w:pBdr>
        <w:left w:val="single" w:color="000000" w:sz="4" w:space="0"/>
        <w:right w:val="single" w:color="000000" w:sz="4" w:space="0"/>
      </w:pBdr>
      <w:spacing w:after="100" w:afterAutospacing="1" w:before="100" w:beforeAutospacing="1"/>
      <w:ind/>
    </w:pPr>
    <w:rPr>
      <w:b/>
      <w:bCs/>
    </w:rPr>
  </w:style>
  <w:style w:type="paragraph" w:styleId="1133" w:customStyle="1">
    <w:name w:val="xl290"/>
    <w:basedOn w:val="1041"/>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4" w:customStyle="1">
    <w:name w:val="xl291"/>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5" w:customStyle="1">
    <w:name w:val="xl292"/>
    <w:basedOn w:val="1041"/>
    <w:pPr>
      <w:pBdr>
        <w:top w:val="single" w:color="000000" w:sz="4" w:space="0"/>
        <w:left w:val="single" w:color="000000" w:sz="4" w:space="0"/>
        <w:right w:val="single" w:color="000000" w:sz="4" w:space="0"/>
      </w:pBdr>
      <w:spacing w:after="100" w:afterAutospacing="1" w:before="100" w:beforeAutospacing="1"/>
      <w:ind/>
    </w:pPr>
  </w:style>
  <w:style w:type="paragraph" w:styleId="1136" w:customStyle="1">
    <w:name w:val="xl293"/>
    <w:basedOn w:val="1041"/>
    <w:pPr>
      <w:pBdr>
        <w:left w:val="single" w:color="000000" w:sz="4" w:space="0"/>
        <w:bottom w:val="single" w:color="000000" w:sz="4" w:space="0"/>
        <w:right w:val="single" w:color="000000" w:sz="4" w:space="0"/>
      </w:pBdr>
      <w:spacing w:after="100" w:afterAutospacing="1" w:before="100" w:beforeAutospacing="1"/>
      <w:ind/>
    </w:pPr>
  </w:style>
  <w:style w:type="paragraph" w:styleId="1137" w:customStyle="1">
    <w:name w:val="xl294"/>
    <w:basedOn w:val="1041"/>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8">
    <w:name w:val="Title"/>
    <w:basedOn w:val="1041"/>
    <w:link w:val="1139"/>
    <w:qFormat/>
    <w:pPr>
      <w:pBdr/>
      <w:spacing/>
      <w:ind/>
      <w:jc w:val="center"/>
    </w:pPr>
    <w:rPr>
      <w:b/>
      <w:bCs/>
      <w:sz w:val="32"/>
      <w:szCs w:val="26"/>
    </w:rPr>
  </w:style>
  <w:style w:type="character" w:styleId="1139" w:customStyle="1">
    <w:name w:val="Title Char"/>
    <w:basedOn w:val="1046"/>
    <w:link w:val="1138"/>
    <w:pPr>
      <w:pBdr/>
      <w:spacing/>
      <w:ind/>
    </w:pPr>
    <w:rPr>
      <w:rFonts w:ascii="Times New Roman" w:hAnsi="Times New Roman" w:eastAsia="Times New Roman" w:cs="Times New Roman"/>
      <w:b/>
      <w:bCs/>
      <w:sz w:val="32"/>
      <w:szCs w:val="26"/>
    </w:rPr>
  </w:style>
  <w:style w:type="character" w:styleId="1140" w:customStyle="1">
    <w:name w:val="Unresolved Mention1"/>
    <w:basedOn w:val="1046"/>
    <w:uiPriority w:val="99"/>
    <w:semiHidden/>
    <w:unhideWhenUsed/>
    <w:pPr>
      <w:pBdr/>
      <w:spacing/>
      <w:ind/>
    </w:pPr>
    <w:rPr>
      <w:color w:val="605e5c"/>
      <w:shd w:val="clear" w:color="auto" w:fill="e1dfdd"/>
    </w:rPr>
  </w:style>
  <w:style w:type="character" w:styleId="1141" w:customStyle="1">
    <w:name w:val="Body text (3)_"/>
    <w:link w:val="1142"/>
    <w:pPr>
      <w:pBdr/>
      <w:spacing/>
      <w:ind/>
    </w:pPr>
    <w:rPr>
      <w:rFonts w:ascii="Times New Roman" w:hAnsi="Times New Roman" w:cs="Times New Roman"/>
      <w:i/>
      <w:iCs/>
      <w:spacing w:val="4"/>
      <w:shd w:val="clear" w:color="auto" w:fill="ffffff"/>
    </w:rPr>
  </w:style>
  <w:style w:type="paragraph" w:styleId="1142" w:customStyle="1">
    <w:name w:val="Body text (3)1"/>
    <w:basedOn w:val="1041"/>
    <w:link w:val="1141"/>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43" w:customStyle="1">
    <w:name w:val="t-j"/>
    <w:basedOn w:val="1041"/>
    <w:pPr>
      <w:pBdr/>
      <w:spacing w:after="100" w:afterAutospacing="1" w:before="100" w:beforeAutospacing="1"/>
      <w:ind/>
    </w:pPr>
  </w:style>
  <w:style w:type="character" w:styleId="1144" w:customStyle="1">
    <w:name w:val="Unresolved Mention2"/>
    <w:basedOn w:val="1046"/>
    <w:uiPriority w:val="99"/>
    <w:semiHidden/>
    <w:unhideWhenUsed/>
    <w:pPr>
      <w:pBdr/>
      <w:spacing/>
      <w:ind/>
    </w:pPr>
    <w:rPr>
      <w:color w:val="605e5c"/>
      <w:shd w:val="clear" w:color="auto" w:fill="e1dfdd"/>
    </w:rPr>
  </w:style>
  <w:style w:type="character" w:styleId="1145">
    <w:name w:val="FollowedHyperlink"/>
    <w:basedOn w:val="1046"/>
    <w:uiPriority w:val="99"/>
    <w:semiHidden/>
    <w:unhideWhenUsed/>
    <w:pPr>
      <w:pBdr/>
      <w:spacing/>
      <w:ind/>
    </w:pPr>
    <w:rPr>
      <w:color w:val="800080" w:themeColor="followedHyperlink"/>
      <w:u w:val="single"/>
    </w:rPr>
  </w:style>
  <w:style w:type="character" w:styleId="1146" w:customStyle="1">
    <w:name w:val="text"/>
    <w:basedOn w:val="1046"/>
    <w:pPr>
      <w:pBdr/>
      <w:spacing/>
      <w:ind/>
    </w:pPr>
  </w:style>
  <w:style w:type="character" w:styleId="1147" w:customStyle="1">
    <w:name w:val="card-send-time__sendtime"/>
    <w:basedOn w:val="1046"/>
    <w:pPr>
      <w:pBdr/>
      <w:spacing/>
      <w:ind/>
    </w:pPr>
  </w:style>
  <w:style w:type="character" w:styleId="1148" w:customStyle="1">
    <w:name w:val="Đề cập Chưa giải quyết1"/>
    <w:basedOn w:val="1046"/>
    <w:uiPriority w:val="99"/>
    <w:semiHidden/>
    <w:unhideWhenUsed/>
    <w:pPr>
      <w:pBdr/>
      <w:spacing/>
      <w:ind/>
    </w:pPr>
    <w:rPr>
      <w:color w:val="605e5c"/>
      <w:shd w:val="clear" w:color="auto" w:fill="e1dfdd"/>
    </w:rPr>
  </w:style>
  <w:style w:type="paragraph" w:styleId="1149" w:customStyle="1">
    <w:name w:val="nqtitle"/>
    <w:basedOn w:val="1041"/>
    <w:pPr>
      <w:pBdr/>
      <w:spacing w:after="100" w:afterAutospacing="1" w:before="100" w:beforeAutospacing="1"/>
      <w:ind/>
    </w:pPr>
    <w:rPr>
      <w:lang w:val="vi-VN" w:eastAsia="vi-VN"/>
    </w:rPr>
  </w:style>
  <w:style w:type="character" w:styleId="1150" w:customStyle="1">
    <w:name w:val="List Paragraph Char"/>
    <w:link w:val="1063"/>
    <w:uiPriority w:val="34"/>
    <w:qFormat/>
    <w:pPr>
      <w:pBdr/>
      <w:spacing/>
      <w:ind/>
    </w:pPr>
    <w:rPr>
      <w:rFonts w:ascii="Times New Roman" w:hAnsi="Times New Roman" w:eastAsia="Times New Roman" w:cs="Times New Roman"/>
      <w:sz w:val="24"/>
      <w:szCs w:val="24"/>
    </w:rPr>
  </w:style>
  <w:style w:type="character" w:styleId="1151" w:customStyle="1">
    <w:name w:val="Đề cập Chưa giải quyết2"/>
    <w:basedOn w:val="1046"/>
    <w:uiPriority w:val="99"/>
    <w:semiHidden/>
    <w:unhideWhenUsed/>
    <w:pPr>
      <w:pBdr/>
      <w:spacing/>
      <w:ind/>
    </w:pPr>
    <w:rPr>
      <w:color w:val="605e5c"/>
      <w:shd w:val="clear" w:color="auto" w:fill="e1dfdd"/>
    </w:rPr>
  </w:style>
  <w:style w:type="character" w:styleId="1152" w:customStyle="1">
    <w:name w:val="Unresolved Mention3"/>
    <w:basedOn w:val="1046"/>
    <w:uiPriority w:val="99"/>
    <w:semiHidden/>
    <w:unhideWhenUsed/>
    <w:pPr>
      <w:pBdr/>
      <w:spacing/>
      <w:ind/>
    </w:pPr>
    <w:rPr>
      <w:color w:val="605e5c"/>
      <w:shd w:val="clear" w:color="auto" w:fill="e1dfdd"/>
    </w:rPr>
  </w:style>
  <w:style w:type="character" w:styleId="1153" w:customStyle="1">
    <w:name w:val="copy"/>
    <w:basedOn w:val="1046"/>
    <w:pPr>
      <w:pBdr/>
      <w:spacing/>
      <w:ind/>
    </w:pPr>
  </w:style>
  <w:style w:type="paragraph" w:styleId="1154" w:customStyle="1">
    <w:name w:val="align-justify"/>
    <w:basedOn w:val="1041"/>
    <w:pPr>
      <w:pBdr/>
      <w:spacing w:after="100" w:afterAutospacing="1" w:before="100" w:beforeAutospacing="1"/>
      <w:ind/>
    </w:pPr>
  </w:style>
  <w:style w:type="character" w:styleId="1155" w:customStyle="1">
    <w:name w:val="btn"/>
    <w:basedOn w:val="1046"/>
    <w:pPr>
      <w:pBdr/>
      <w:spacing/>
      <w:ind/>
    </w:pPr>
  </w:style>
  <w:style w:type="character" w:styleId="1156" w:customStyle="1">
    <w:name w:val="hide_mobile"/>
    <w:basedOn w:val="1046"/>
    <w:pPr>
      <w:pBdr/>
      <w:spacing/>
      <w:ind/>
    </w:pPr>
  </w:style>
  <w:style w:type="character" w:styleId="1157">
    <w:name w:val="Emphasis"/>
    <w:basedOn w:val="1046"/>
    <w:uiPriority w:val="20"/>
    <w:qFormat/>
    <w:pPr>
      <w:pBdr/>
      <w:spacing/>
      <w:ind/>
    </w:pPr>
    <w:rPr>
      <w:i/>
      <w:iCs/>
    </w:rPr>
  </w:style>
  <w:style w:type="character" w:styleId="1158" w:customStyle="1">
    <w:name w:val="t1"/>
    <w:basedOn w:val="1046"/>
    <w:pPr>
      <w:pBdr/>
      <w:spacing/>
      <w:ind/>
    </w:pPr>
  </w:style>
  <w:style w:type="character" w:styleId="1159" w:customStyle="1">
    <w:name w:val="Unresolved Mention4"/>
    <w:basedOn w:val="1046"/>
    <w:uiPriority w:val="99"/>
    <w:semiHidden/>
    <w:unhideWhenUsed/>
    <w:pPr>
      <w:pBdr/>
      <w:spacing/>
      <w:ind/>
    </w:pPr>
    <w:rPr>
      <w:color w:val="605e5c"/>
      <w:shd w:val="clear" w:color="auto" w:fill="e1dfdd"/>
    </w:rPr>
  </w:style>
  <w:style w:type="character" w:styleId="1160">
    <w:name w:val="Unresolved Mention"/>
    <w:basedOn w:val="1046"/>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275</cp:revision>
  <dcterms:created xsi:type="dcterms:W3CDTF">2025-09-15T09:58:00Z</dcterms:created>
  <dcterms:modified xsi:type="dcterms:W3CDTF">2026-06-22T07:31:33Z</dcterms:modified>
</cp:coreProperties>
</file>