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968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968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275/2026/0591/VFI-CT.63.A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w:t>
                            </w:r>
                            <w:r>
                              <w:rPr>
                                <w:rFonts w:ascii="Times New Roman Bold" w:hAnsi="Times New Roman Bold"/>
                                <w:b/>
                                <w:highlight w:val="white"/>
                                <w:lang w:val="pt-BR"/>
                              </w:rPr>
                              <w:t xml:space="preserve">: Ông</w:t>
                            </w:r>
                            <w:r>
                              <w:rPr>
                                <w:rFonts w:ascii="Times New Roman Bold" w:hAnsi="Times New Roman Bold"/>
                                <w:b/>
                                <w:color w:val="000000" w:themeColor="text1"/>
                                <w:highlight w:val="white"/>
                                <w:lang w:val="pt-BR"/>
                              </w:rPr>
                              <w:t xml:space="preserve"> N</w:t>
                            </w:r>
                            <w:r>
                              <w:rPr>
                                <w:rFonts w:ascii="Times New Roman Bold" w:hAnsi="Times New Roman Bold"/>
                                <w:b/>
                                <w:color w:val="000000" w:themeColor="text1"/>
                                <w:lang w:val="pt-BR"/>
                              </w:rPr>
                              <w:t xml:space="preserve">guyễn Văn Phúc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373, tờ bản đồ số: 30, có địa chỉ: TDP Văn Khê, phường Tù</w:t>
                            </w:r>
                            <w:r>
                              <w:rPr>
                                <w:color w:val="000000"/>
                              </w:rPr>
                              <w:t xml:space="preserve">ng Thiện, thành phố Hà Nội theo Giấy chứng nhận quyền sử dụng đất, quyền sở hữu tài sản gắn liền với đất số: AA 07036514, Số vào sổ cấp GCN: CN 6731 do Chi nhánh Văn phòng Đăng ký Đất đai Sơn Tây  cấp ngày 19/3/2026; chủ sử dụng đất là Ông Nguyễn Văn Phúc</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t xml:space="preserve"> </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9.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275/2026/0591/VFI-CT.63.A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w:t>
                      </w:r>
                      <w:r>
                        <w:rPr>
                          <w:rFonts w:ascii="Times New Roman Bold" w:hAnsi="Times New Roman Bold"/>
                          <w:b/>
                          <w:highlight w:val="white"/>
                          <w:lang w:val="pt-BR"/>
                        </w:rPr>
                        <w:t xml:space="preserve">: Ông</w:t>
                      </w:r>
                      <w:r>
                        <w:rPr>
                          <w:rFonts w:ascii="Times New Roman Bold" w:hAnsi="Times New Roman Bold"/>
                          <w:b/>
                          <w:color w:val="000000" w:themeColor="text1"/>
                          <w:highlight w:val="white"/>
                          <w:lang w:val="pt-BR"/>
                        </w:rPr>
                        <w:t xml:space="preserve"> N</w:t>
                      </w:r>
                      <w:r>
                        <w:rPr>
                          <w:rFonts w:ascii="Times New Roman Bold" w:hAnsi="Times New Roman Bold"/>
                          <w:b/>
                          <w:color w:val="000000" w:themeColor="text1"/>
                          <w:lang w:val="pt-BR"/>
                        </w:rPr>
                        <w:t xml:space="preserve">guyễn Văn Phúc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373, tờ bản đồ số: 30, có địa chỉ: TDP Văn Khê, phường Tù</w:t>
                      </w:r>
                      <w:r>
                        <w:rPr>
                          <w:color w:val="000000"/>
                        </w:rPr>
                        <w:t xml:space="preserve">ng Thiện, thành phố Hà Nội theo Giấy chứng nhận quyền sử dụng đất, quyền sở hữu tài sản gắn liền với đất số: AA 07036514, Số vào sổ cấp GCN: CN 6731 do Chi nhánh Văn phòng Đăng ký Đất đai Sơn Tây  cấp ngày 19/3/2026; chủ sử dụng đất là Ông Nguyễn Văn Phúc</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t xml:space="preserve"> </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22-31</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275/2026/0591/VFI-CT.63.A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17 tháng 4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Phúc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275/2026/0591/VFI-HĐTĐ.63.A</w:t>
      </w:r>
      <w:r>
        <w:rPr>
          <w:spacing w:val="-4"/>
          <w:lang w:val="vi-VN"/>
        </w:rPr>
        <w:t xml:space="preserve"> ký ngày </w:t>
      </w:r>
      <w:r>
        <w:rPr>
          <w:color w:val="000000" w:themeColor="text1"/>
          <w:spacing w:val="-4"/>
        </w:rPr>
        <w:t xml:space="preserve">15 tháng 4 năm 2026</w:t>
      </w:r>
      <w:r>
        <w:rPr>
          <w:spacing w:val="-4"/>
          <w:lang w:val="vi-VN"/>
        </w:rPr>
        <w:t xml:space="preserve"> </w:t>
      </w:r>
      <w:r>
        <w:rPr>
          <w:spacing w:val="-4"/>
          <w:lang w:val="vi-VN"/>
        </w:rPr>
        <w:t xml:space="preserve">giữa </w:t>
      </w:r>
      <w:r>
        <w:rPr>
          <w:color w:val="000000" w:themeColor="text1"/>
          <w:spacing w:val="-4"/>
        </w:rPr>
        <w:t xml:space="preserve">Nguyễn Văn Phúc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275/2026/0591/VFI-BC.63.A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Văn Phúc </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001088020629</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373, tờ bản đồ số: 30, có địa chỉ: TDP Văn Khê, phường Tù</w:t>
      </w:r>
      <w:r>
        <w:rPr>
          <w:color w:val="000000" w:themeColor="text1"/>
        </w:rPr>
        <w:t xml:space="preserve">ng Thiện, thành phố Hà Nội theo Giấy chứng nhận quyền sử dụng đất, quyền sở hữu tài sản gắn liền với đất  số: AA 07036514, Số vào sổ cấp GCN: CN 6731 do Chi nhánh Văn phòng Đăng ký Đất đai Sơn Tây  cấp ngày 19/3/2026; chủ sử dụng đất là Ông Nguyễn Văn Phúc</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373, tờ bản đồ số: 30, có địa chỉ: TDP Văn Khê, phường Tù</w:t>
            </w:r>
            <w:r>
              <w:rPr>
                <w:color w:val="000000"/>
              </w:rPr>
              <w:t xml:space="preserve">ng Thiện, thành phố Hà Nội theo Giấy chứng nhận quyền sử dụng đất, quyền sở hữu tài sản gắn liền với đất  số: AA 07036514, Số vào sổ cấp GCN: CN 6731 do Chi nhánh Văn phòng Đăng ký Đất đai Sơn Tây  cấp ngày 19/3/2026; chủ sử dụng đất là Ông Nguyễn Văn Phúc</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1063"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đô thị</w:t>
            </w:r>
            <w:r>
              <w:rPr>
                <w:b w:val="0"/>
                <w:bCs w:val="0"/>
                <w:highlight w:val="white"/>
              </w:rPr>
            </w:r>
            <w:r>
              <w:rPr>
                <w:b w:val="0"/>
                <w:bCs w:val="0"/>
                <w:highlight w:val="white"/>
              </w:rPr>
            </w:r>
          </w:p>
        </w:tc>
        <w:tc>
          <w:tcPr>
            <w:tcBorders/>
            <w:tcW w:w="946"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300</w:t>
            </w:r>
            <w:r>
              <w:rPr>
                <w:color w:val="000000"/>
                <w:highlight w:val="white"/>
              </w:rPr>
            </w:r>
            <w:r>
              <w:rPr>
                <w:color w:val="000000"/>
                <w:highlight w:val="white"/>
              </w:rPr>
            </w:r>
          </w:p>
        </w:tc>
        <w:tc>
          <w:tcPr>
            <w:shd w:val="clear" w:color="000000" w:fill="ffffff"/>
            <w:tcBorders/>
            <w:tcW w:w="1355" w:type="pct"/>
            <w:vAlign w:val="center"/>
            <w:textDirection w:val="lrTb"/>
            <w:noWrap w:val="false"/>
          </w:tcPr>
          <w:p>
            <w:pPr>
              <w:pBdr/>
              <w:spacing w:after="40" w:before="40" w:line="288" w:lineRule="auto"/>
              <w:ind/>
              <w:jc w:val="center"/>
              <w:rPr>
                <w:highlight w:val="white"/>
              </w:rPr>
            </w:pPr>
            <w:r>
              <w:rPr>
                <w:color w:val="000000" w:themeColor="text1"/>
                <w:highlight w:val="white"/>
              </w:rPr>
            </w:r>
            <w:r>
              <w:t xml:space="preserve">10.162.752</w:t>
            </w:r>
            <w:r>
              <w:rPr>
                <w:highlight w:val="white"/>
              </w:rPr>
            </w:r>
            <w:r>
              <w:rPr>
                <w:highlight w:val="white"/>
              </w:rPr>
            </w:r>
          </w:p>
        </w:tc>
        <w:tc>
          <w:tcPr>
            <w:shd w:val="clear" w:color="000000" w:fill="ffffff"/>
            <w:tcBorders/>
            <w:tcW w:w="1136" w:type="pct"/>
            <w:vAlign w:val="center"/>
            <w:textDirection w:val="lrTb"/>
            <w:noWrap w:val="false"/>
          </w:tcPr>
          <w:p>
            <w:pPr>
              <w:pBdr/>
              <w:spacing w:after="40" w:before="40" w:line="288" w:lineRule="auto"/>
              <w:ind/>
              <w:jc w:val="center"/>
              <w:rPr>
                <w:highlight w:val="white"/>
              </w:rPr>
            </w:pPr>
            <w:r>
              <w:rPr>
                <w:color w:val="000000" w:themeColor="text1"/>
                <w:highlight w:val="white"/>
              </w:rPr>
            </w:r>
            <w:r>
              <w:rPr>
                <w:highlight w:val="white"/>
              </w:rPr>
              <w:t xml:space="preserve">3.048.825.459 </w:t>
            </w:r>
            <w:r>
              <w:rPr>
                <w:highlight w:val="white"/>
              </w:rPr>
            </w:r>
            <w:r>
              <w:rPr>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2</w:t>
            </w:r>
            <w:r>
              <w:rPr>
                <w:b w:val="0"/>
                <w:bCs w:val="0"/>
                <w:highlight w:val="white"/>
              </w:rPr>
            </w:r>
            <w:r>
              <w:rPr>
                <w:b w:val="0"/>
                <w:bCs w:val="0"/>
                <w:highlight w:val="white"/>
              </w:rPr>
            </w:r>
          </w:p>
        </w:tc>
        <w:tc>
          <w:tcPr>
            <w:shd w:val="clear" w:color="000000" w:fill="ffffff"/>
            <w:tcBorders/>
            <w:tcW w:w="1063"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trồng cây lâu năm</w:t>
            </w:r>
            <w:r>
              <w:rPr>
                <w:b w:val="0"/>
                <w:bCs w:val="0"/>
                <w:highlight w:val="white"/>
              </w:rPr>
            </w:r>
            <w:r>
              <w:rPr>
                <w:b w:val="0"/>
                <w:bCs w:val="0"/>
                <w:highlight w:val="white"/>
              </w:rPr>
            </w:r>
          </w:p>
        </w:tc>
        <w:tc>
          <w:tcPr>
            <w:tcBorders/>
            <w:tcW w:w="946"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545,1</w:t>
            </w:r>
            <w:r>
              <w:rPr>
                <w:color w:val="000000"/>
                <w:highlight w:val="white"/>
              </w:rPr>
            </w:r>
            <w:r>
              <w:rPr>
                <w:color w:val="000000"/>
                <w:highlight w:val="white"/>
              </w:rPr>
            </w:r>
          </w:p>
        </w:tc>
        <w:tc>
          <w:tcPr>
            <w:shd w:val="clear" w:color="000000" w:fill="ffffff"/>
            <w:tcBorders/>
            <w:tcW w:w="1355" w:type="pct"/>
            <w:vAlign w:val="center"/>
            <w:textDirection w:val="lrTb"/>
            <w:noWrap w:val="false"/>
          </w:tcPr>
          <w:p>
            <w:pPr>
              <w:pBdr/>
              <w:spacing w:after="40" w:before="40" w:line="288" w:lineRule="auto"/>
              <w:ind/>
              <w:jc w:val="center"/>
              <w:rPr>
                <w:highlight w:val="white"/>
              </w:rPr>
            </w:pPr>
            <w:r>
              <w:rPr>
                <w:color w:val="000000" w:themeColor="text1"/>
                <w:highlight w:val="white"/>
              </w:rPr>
            </w:r>
            <w:r>
              <w:t xml:space="preserve">298.210 </w:t>
            </w:r>
            <w:r>
              <w:rPr>
                <w:highlight w:val="white"/>
              </w:rPr>
            </w:r>
            <w:r>
              <w:rPr>
                <w:highlight w:val="white"/>
              </w:rPr>
            </w:r>
          </w:p>
        </w:tc>
        <w:tc>
          <w:tcPr>
            <w:shd w:val="clear" w:color="000000" w:fill="ffffff"/>
            <w:tcBorders/>
            <w:tcW w:w="1136" w:type="pct"/>
            <w:vAlign w:val="center"/>
            <w:textDirection w:val="lrTb"/>
            <w:noWrap w:val="false"/>
          </w:tcPr>
          <w:p>
            <w:pPr>
              <w:pBdr/>
              <w:spacing w:after="40" w:before="40" w:line="288" w:lineRule="auto"/>
              <w:ind/>
              <w:jc w:val="center"/>
              <w:rPr>
                <w:highlight w:val="white"/>
              </w:rPr>
            </w:pPr>
            <w:r>
              <w:rPr>
                <w:color w:val="000000" w:themeColor="text1"/>
                <w:highlight w:val="white"/>
              </w:rPr>
            </w:r>
            <w:r>
              <w:rPr>
                <w:highlight w:val="white"/>
              </w:rPr>
              <w:t xml:space="preserve">162.554.541</w:t>
            </w:r>
            <w:r>
              <w:rPr>
                <w:highlight w:val="white"/>
              </w:rPr>
            </w:r>
            <w:r>
              <w:rPr>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3.211.380.000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hai trăm mười một triệu ba trăm tám mươi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firstLine="360"/>
        <w:jc w:val="both"/>
        <w:rPr>
          <w:lang w:val="pt-BR"/>
          <w14:ligatures w14:val="none"/>
        </w:rPr>
      </w:pPr>
      <w:r>
        <w:rPr>
          <w:b/>
          <w:bCs/>
          <w:highlight w:val="none"/>
          <w:lang w:val="vi-VN"/>
        </w:rPr>
        <w:t xml:space="preserve">Ghi chú: </w:t>
      </w:r>
      <w:r>
        <w:rPr>
          <w:lang w:val="pt-BR"/>
        </w:rPr>
        <w:t xml:space="preserve">Trong quá trình sử dụng kết quả Chứng thư và Báo cáo thẩm định giá này, giá trị phần đất ở và đất trồng cây lâu năm của thửa đất số 373, tờ bản đồ số 30 không được tách rời nhau và không sử dụng để tham chiếu cho bất kỳ tài sản nào khác.</w:t>
      </w:r>
      <w:r>
        <w:rPr>
          <w:lang w:val="pt-BR"/>
          <w14:ligatures w14:val="none"/>
        </w:rPr>
      </w:r>
      <w:r>
        <w:rPr>
          <w:lang w:val="pt-BR"/>
          <w14:ligatures w14:val="none"/>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275/2026/0591/VFI</w:t>
            </w:r>
            <w:r>
              <w:rPr>
                <w:rStyle w:val="1031"/>
                <w:rFonts w:ascii="Times New Roman" w:hAnsi="Times New Roman"/>
                <w:color w:val="000000" w:themeColor="text1"/>
                <w:highlight w:val="white"/>
                <w:lang w:val="pt-BR"/>
              </w:rPr>
              <w:t xml:space="preserve">-</w:t>
            </w:r>
            <w:r>
              <w:rPr>
                <w:rStyle w:val="1031"/>
                <w:rFonts w:ascii="Times New Roman" w:hAnsi="Times New Roman"/>
                <w:color w:val="000000" w:themeColor="text1"/>
                <w:highlight w:val="white"/>
                <w:lang w:val="pt-BR"/>
              </w:rPr>
              <w:t xml:space="preserve">BC.</w:t>
            </w:r>
            <w:r>
              <w:rPr>
                <w:rStyle w:val="1031"/>
                <w:rFonts w:ascii="Times New Roman" w:hAnsi="Times New Roman"/>
                <w:color w:val="000000" w:themeColor="text1"/>
                <w:lang w:val="pt-BR"/>
              </w:rPr>
              <w:t xml:space="preserve">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17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2"/>
              <w:pBdr/>
              <w:spacing w:after="60"/>
              <w:ind/>
              <w:rPr>
                <w:rStyle w:val="1031"/>
                <w:rFonts w:ascii="Times New Roman" w:hAnsi="Times New Roman"/>
                <w:color w:val="000000" w:themeColor="text1"/>
                <w:lang w:val="pt-BR"/>
              </w:rPr>
            </w:pPr>
            <w:r>
              <w:rPr>
                <w:rStyle w:val="1031"/>
                <w:rFonts w:ascii="Times New Roman" w:hAnsi="Times New Roman"/>
                <w:color w:val="000000" w:themeColor="text1"/>
                <w:lang w:val="pt-BR"/>
              </w:rPr>
            </w:r>
            <w:r>
              <w:rPr>
                <w:rStyle w:val="1031"/>
                <w:rFonts w:ascii="Times New Roman" w:hAnsi="Times New Roman"/>
                <w:color w:val="000000" w:themeColor="text1"/>
                <w:lang w:val="pt-BR"/>
              </w:rPr>
            </w:r>
            <w:r>
              <w:rPr>
                <w:rStyle w:val="1031"/>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2"/>
              <w:pBdr/>
              <w:spacing w:after="6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275/2026/0591/VFI-CT.63.A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Văn Phúc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001088020629</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373, tờ bản đồ số: 30, có địa chỉ: TDP Văn Khê, phường Tù</w:t>
            </w:r>
            <w:r>
              <w:rPr>
                <w:bCs/>
                <w:color w:val="000000" w:themeColor="text1"/>
                <w:lang w:val="pt-BR"/>
              </w:rPr>
              <w:t xml:space="preserve">ng Thiện, thành phố Hà Nội theo Giấy chứng nhận quyền sử dụng đất, quyền sở hữu tài sản gắn liền với đất  số: AA 07036514, Số vào sổ cấp GCN: CN 6731 do Chi nhánh Văn phòng Đăng ký Đất đai Sơn Tây  cấp ngày 19/3/2026; chủ sử dụng đất là Ông Nguyễn Văn Phúc</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TDT Văn Khê, phường Tùng Thiện,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21.131444444444, 105.45530555556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highlight w:val="white"/>
        </w:rPr>
      </w:r>
      <w:r>
        <w:rPr>
          <w:bCs/>
          <w:spacing w:val="-4"/>
          <w:highlight w:val="white"/>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07036514, Số vào sổ cấp GCN: CN 6731 do Chi nhánh Văn phòng Đăng ký Đất đai Sơn Tây  cấp ngày 19/3/2026; chủ sử dụng đất là Ông Nguyễn Văn Phúc</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275/2026/0591/VFI-BC.63.A ngày 15/04/2026 giữa Ông Nguyễn Văn Phúc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xã Sơn Tây là một trong những khu vực có vị trí chiến lược ở phía Tây Bắc Thủ đô Hà Nội, cách trung tâm khoảng 40–45 km. Với vai trò là đô thị vệ tinh quan trọng, Sơn Tây sở hữu nhiều lợi thế về lịch sử, văn hóa, cảnh quan và hạ tầng gia</w:t>
      </w:r>
      <w:r>
        <w:rPr>
          <w:shd w:val="clear" w:color="auto" w:fill="ffffff"/>
        </w:rPr>
        <w:t xml:space="preserve">o thông, từ đó trở thành điểm đến ngày càng được quan tâm trong phát triển đô thị và thị trường bất động sản.</w:t>
        <w:br/>
        <w:t xml:space="preserve">Về vị trí địa lý, Sơn Tây tiếp giáp huyện Ba Vì, Phúc Thọ và Thạch Thất, đồng thời kết nối thuận lợi với trung tâm Hà Nội thông qua các trục giao </w:t>
      </w:r>
      <w:r>
        <w:rPr>
          <w:shd w:val="clear" w:color="auto" w:fill="ffffff"/>
        </w:rPr>
        <w:t xml:space="preserve">thông lớn như Quốc lộ 32, Đại lộ Thăng Long và đường Hồ Chí Minh. Điều này giúp việc di chuyển, giao thương và phát triển kinh tế của khu vực ngày càng thuận tiện, đặc biệt trong bối cảnh Hà Nội mở rộng không gian đô thị về phía Tây.</w:t>
        <w:br/>
        <w:t xml:space="preserve">Sơn Tây còn được biết </w:t>
      </w:r>
      <w:r>
        <w:rPr>
          <w:shd w:val="clear" w:color="auto" w:fill="ffffff"/>
        </w:rPr>
        <w:t xml:space="preserve">đến là vùng đất giàu giá trị lịch sử – văn hóa với nhiều di tích nổi bật như Thành cổ Sơn Tây, làng cổ Đường Lâm, đền Và… Những yếu tố này tạo điều kiện thuận lợi để phát triển du lịch văn hóa – sinh thái, đồng thời góp phần nâng cao giá trị bất động sản k</w:t>
      </w:r>
      <w:r>
        <w:rPr>
          <w:shd w:val="clear" w:color="auto" w:fill="ffffff"/>
        </w:rPr>
        <w:t xml:space="preserve">hu vực trung tâm thị xã. Bên cạnh đó, môi trường sống tại Sơn Tây được đánh giá khá trong lành, mật độ dân cư chưa quá cao, phù hợp với xu hướng tìm kiếm không gian sống xanh, yên tĩnh của người dân đô thị hiện nay.</w:t>
        <w:br/>
        <w:t xml:space="preserve">Trước đây, thị xã Sơn Tây có nhiều phườn</w:t>
      </w:r>
      <w:r>
        <w:rPr>
          <w:shd w:val="clear" w:color="auto" w:fill="ffffff"/>
        </w:rPr>
        <w:t xml:space="preserve">g trung tâm như Quang Trung, Ngô Quyền, Lê Lợi, Viên Sơn, Phú Thịnh… Trong đó, phường Quang Trung được xem là khu vực có vị trí thuận lợi, tập trung nhiều cơ quan hành chính, dịch vụ và hoạt động thương mại. Tuy nhiên, trong giai đoạn 2023–2025, theo chủ t</w:t>
      </w:r>
      <w:r>
        <w:rPr>
          <w:shd w:val="clear" w:color="auto" w:fill="ffffff"/>
        </w:rPr>
        <w:t xml:space="preserve">rương sắp xếp đơn vị hành chính cấp xã của TP. Hà Nội, một số phường trên địa bàn Sơn Tây đã được sáp nhập nhằm tinh gọn bộ máy, phù hợp với tiêu chí về diện tích và quy mô dân số.</w:t>
        <w:br/>
        <w:t xml:space="preserve">Theo phương án sắp xếp, phường Quang Trung được sáp nhập cùng phường Ngô Qu</w:t>
      </w:r>
      <w:r>
        <w:rPr>
          <w:shd w:val="clear" w:color="auto" w:fill="ffffff"/>
        </w:rPr>
        <w:t xml:space="preserve">yền và phường Lê Lợi để hình thành một phường mới, dự kiến lấy tên là phường Ngô Quyền. Sau sáp nhập, tên gọi phường Quang Trung không còn tồn tại như một đơn vị hành chính độc lập, tuy nhiên khu vực địa lý và dân cư cũ vẫn giữ nguyên vị trí, chỉ thay đổi </w:t>
      </w:r>
      <w:r>
        <w:rPr>
          <w:shd w:val="clear" w:color="auto" w:fill="ffffff"/>
        </w:rPr>
        <w:t xml:space="preserve">về mặt quản lý hành chính. Việc sáp nhập này không làm mất đi vai trò trung tâm của khu vực mà còn góp phần tăng quy mô, nguồn lực và hiệu quả quản lý đô thị.</w:t>
        <w:br/>
        <w:t xml:space="preserve">Đối với thị trường bất động sản, Sơn Tây được đánh giá là khu vực có mặt bằng giá còn “mềm” so vớ</w:t>
      </w:r>
      <w:r>
        <w:rPr>
          <w:shd w:val="clear" w:color="auto" w:fill="ffffff"/>
        </w:rPr>
        <w:t xml:space="preserve">i nhiều quận, huyện khác của Hà Nội, trong khi tiềm năng tăng trưởng vẫn khá lớn nhờ hạ tầng ngày càng hoàn thiện và định hướng phát triển đô thị vệ tinh. Các khu vực trung tâm cũ như Quang Trung, Ngô Quyền hay Lê Lợi (trước sáp nhập) vẫn là những điểm đượ</w:t>
      </w:r>
      <w:r>
        <w:rPr>
          <w:shd w:val="clear" w:color="auto" w:fill="ffffff"/>
        </w:rPr>
        <w:t xml:space="preserve">c nhà đầu tư quan tâm nhờ vị trí thuận tiện, dân cư đông và khả năng khai thác kinh doanh tốt.</w:t>
        <w:br/>
        <w:t xml:space="preserve">Tóm lại, thị xã Sơn Tây đang đứng trước nhiều cơ hội phát triển cả về kinh tế – xã hội lẫn bất động sản. Việc sắp xếp, sáp nhập các đơn vị hành chính như phường </w:t>
      </w:r>
      <w:r>
        <w:rPr>
          <w:shd w:val="clear" w:color="auto" w:fill="ffffff"/>
        </w:rPr>
        <w:t xml:space="preserve">Quang Trung là một bước đi trong chiến lược phát triển lâu dài, góp phần hoàn thiện bộ máy quản lý và tạo nền tảng cho Sơn Tây phát triển bền vững trong tương lai.</w:t>
        <w:br/>
        <w:t xml:space="preserve">(Nguồn: https://onehousing.vn/blog/bat-dong-san-thi-xa-son-tay-tiem-nang-va-vi-tri-dep-n17t)</w:t>
      </w:r>
      <w:r>
        <w:rPr>
          <w:i/>
          <w:iCs/>
          <w:lang w:val="pt-BR"/>
        </w:rPr>
      </w:r>
      <w:r>
        <w:rPr>
          <w:i/>
          <w:iCs/>
          <w:lang w:val="pt-BR"/>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373, tờ bản đồ số: 30, có địa chỉ: TDP Văn Khê, phường Tù</w:t>
            </w:r>
            <w:r>
              <w:rPr>
                <w:b/>
                <w:bCs/>
                <w:color w:val="000000"/>
              </w:rPr>
              <w:t xml:space="preserve">ng Thiện, thành phố Hà Nội theo Giấy chứng nhận quyền sử dụng đất, quyền sở hữu tài sản gắn liền với đất  số: AA 07036514, Số vào sổ cấp GCN: CN 6731 do Chi nhánh Văn phòng Đăng ký Đất đai Sơn Tây  cấp ngày 19/3/2026; chủ sử dụng đất là Ông Nguyễn Văn Phúc</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highlight w:val="yellow"/>
              </w:rPr>
            </w:pPr>
            <w:r>
              <w:rPr>
                <w:color w:val="000000" w:themeColor="text1"/>
                <w:highlight w:val="none"/>
              </w:rPr>
              <w:t xml:space="preserve">373</w:t>
            </w:r>
            <w:r>
              <w:rPr>
                <w:color w:val="000000"/>
                <w:highlight w:val="yellow"/>
              </w:rPr>
            </w:r>
            <w:r>
              <w:rPr>
                <w:color w:val="000000"/>
                <w:highlight w:val="yellow"/>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TDT Văn Khê, phường Tùng Thiện,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845,1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 (300m2), Đất trồng cây lâu năm (545,1m2)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Đất ở tại đô thị: </w:t>
            </w:r>
            <w:r>
              <w:rPr>
                <w:color w:val="000000" w:themeColor="text1"/>
                <w:highlight w:val="white"/>
              </w:rPr>
              <w:t xml:space="preserve">Lâu dài</w:t>
            </w:r>
            <w:r>
              <w:rPr>
                <w:color w:val="000000" w:themeColor="text1"/>
                <w:highlight w:val="none"/>
              </w:rPr>
            </w:r>
            <w:r>
              <w:rPr>
                <w:color w:val="000000" w:themeColor="text1"/>
                <w:highlight w:val="none"/>
              </w:rPr>
            </w:r>
          </w:p>
          <w:p>
            <w:pPr>
              <w:pBdr/>
              <w:spacing/>
              <w:ind/>
              <w:jc w:val="center"/>
              <w:rPr>
                <w:color w:val="000000"/>
                <w:highlight w:val="white"/>
              </w:rPr>
            </w:pPr>
            <w:r>
              <w:rPr>
                <w:color w:val="000000" w:themeColor="text1"/>
                <w:highlight w:val="none"/>
              </w:rPr>
              <w:t xml:space="preserve">Đất trồng cây lâu năm: Có thời hạn (Đến 25/9/2072)</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r>
            <w:r>
              <w:rPr>
                <w:color w:val="000000"/>
              </w:rPr>
              <w:t xml:space="preserve">Thông</w:t>
            </w:r>
            <w:r>
              <w:rPr>
                <w:color w:val="000000"/>
              </w:rPr>
              <w:t xml:space="preserve">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Theo công văn số 844/UBND-KTHTĐT ngày 08/4/2026 của UBND Phường Tùng Thiện, thửa đất không nằm trong quy hoạch.</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Style w:val="1033"/>
              <w:numPr>
                <w:ilvl w:val="0"/>
                <w:numId w:val="41"/>
              </w:numPr>
              <w:pBdr/>
              <w:spacing/>
              <w:ind w:right="0" w:hanging="283" w:left="283"/>
              <w:jc w:val="both"/>
              <w:rPr>
                <w:color w:val="000000"/>
              </w:rPr>
            </w:pPr>
            <w:r>
              <w:rPr>
                <w:color w:val="000000"/>
              </w:rPr>
              <w:t xml:space="preserve">Số tờ, số thửa được xác định theo Bản đồ dự án Tổng thể thuộc xã Xuân Sơn, thị xã Sơn Tây trước khi sáp nhập</w:t>
            </w:r>
            <w:r>
              <w:rPr>
                <w:color w:val="000000"/>
              </w:rPr>
            </w:r>
            <w:r>
              <w:rPr>
                <w:color w:val="000000"/>
              </w:rPr>
            </w:r>
          </w:p>
          <w:p>
            <w:pPr>
              <w:pStyle w:val="1033"/>
              <w:numPr>
                <w:ilvl w:val="0"/>
                <w:numId w:val="41"/>
              </w:numPr>
              <w:pBdr/>
              <w:spacing/>
              <w:ind w:right="0" w:hanging="283" w:left="283"/>
              <w:jc w:val="both"/>
              <w:rPr>
                <w:color w:val="000000"/>
              </w:rPr>
            </w:pPr>
            <w:r>
              <w:rPr>
                <w:color w:val="000000"/>
                <w:highlight w:val="none"/>
              </w:rPr>
              <w:t xml:space="preserve">Thửa đất này được tách ra từ thửa đất số 82, tờ 30 đã được UBND phường Tùng Thiện, thành phố Hà Nội cấp GCN số AA 00817692 ngày 25/9/2025</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Ngõ 38 DT413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Khoảng cách đến trục đường 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yellow"/>
              </w:rPr>
            </w:pPr>
            <w:r>
              <w:rPr>
                <w:color w:val="000000" w:themeColor="text1"/>
                <w:highlight w:val="none"/>
              </w:rPr>
              <w:t xml:space="preserve">Cách DT413 khoảng 500m</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Tây Bắc: tiếp giáp ngõ giao thông</w:t>
              <w:br/>
              <w:t xml:space="preserve">Các hướng còn lại tiếp giáp các thửa đất 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21.131444444444</w:t>
            </w:r>
            <w:r>
              <w:rPr>
                <w:color w:val="000000"/>
              </w:rPr>
              <w:t xml:space="preserve">, </w:t>
            </w:r>
            <w:r>
              <w:rPr>
                <w:color w:val="000000"/>
              </w:rPr>
              <w:t xml:space="preserve">105.45530555556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50913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50913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5.05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845,1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15,5</w:t>
            </w:r>
            <w:r>
              <w:rPr>
                <w:color w:val="000000"/>
              </w:rPr>
            </w:r>
            <w:r>
              <w:rPr>
                <w:color w:val="000000"/>
              </w:rPr>
            </w:r>
          </w:p>
        </w:tc>
        <w:tc>
          <w:tcPr>
            <w:tcBorders/>
            <w:tcW w:w="2126" w:type="dxa"/>
            <w:vAlign w:val="center"/>
            <w:textDirection w:val="lrTb"/>
            <w:noWrap w:val="false"/>
          </w:tcPr>
          <w:p>
            <w:pPr>
              <w:pBdr/>
              <w:spacing/>
              <w:ind/>
              <w:rPr/>
            </w:pPr>
            <w:r>
              <w:t xml:space="preserve">Chiều sâu trung bình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55,86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thẩm định giá, Tổ thẩm định xác định trên đất có CTXD 01 nhà mái bằng, diện tích xây dựng khoảng 40m2, xây dựng đã lâu; và 01 nhà đang xây, diện tích khoảng 40m2. CTXD chưa được công nhận trên GCN QSDĐ.</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highlight w:val="none"/>
          <w:lang w:val="pt-BR"/>
        </w:rPr>
      </w:r>
      <w:r>
        <w:rPr>
          <w:lang w:val="de-DE"/>
        </w:rPr>
      </w:r>
      <w:r>
        <w:rPr>
          <w:lang w:val="de-DE"/>
        </w:rPr>
      </w:r>
    </w:p>
    <w:p>
      <w:pPr>
        <w:pStyle w:val="1033"/>
        <w:pBdr/>
        <w:spacing w:after="120" w:before="120" w:line="276" w:lineRule="auto"/>
        <w:ind w:left="0"/>
        <w:jc w:val="both"/>
        <w:rPr>
          <w:b/>
          <w:bCs/>
          <w:highlight w:val="none"/>
          <w:lang w:val="pt-BR"/>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b/>
          <w:bCs/>
          <w:highlight w:val="none"/>
          <w:lang w:val="pt-BR"/>
        </w:rPr>
      </w:r>
      <w:r>
        <w:rPr>
          <w:b/>
          <w:bCs/>
          <w:highlight w:val="none"/>
          <w:lang w:val="pt-BR"/>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TDP Văn Khê, phường Tùng Thiện,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Phường Tùng Thiện,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Phường Tùng Thiện,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Phường Tùng Thiện,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https://www.facebook.com/groups/batdongsansontay/posts/2408653966229740/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https://guland.vn/post/ban-dat-2276m2-1138-ty-tai-xa-xuan-son-thi-xa-son-tay-1264492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0364044444</w:t>
            </w:r>
            <w:r>
              <w:rPr>
                <w:sz w:val="22"/>
                <w:szCs w:val="22"/>
              </w:rPr>
              <w:t xml:space="preserve"> </w:t>
            </w:r>
            <w:r>
              <w:rPr>
                <w:sz w:val="22"/>
                <w:szCs w:val="22"/>
              </w:rPr>
              <w:br/>
              <w:t xml:space="preserve">(</w:t>
            </w:r>
            <w:r>
              <w:rPr>
                <w:sz w:val="22"/>
                <w:szCs w:val="22"/>
              </w:rPr>
              <w:t xml:space="preserve">Quỳnh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0968397097</w:t>
            </w:r>
            <w:r>
              <w:rPr>
                <w:sz w:val="22"/>
                <w:szCs w:val="22"/>
              </w:rPr>
              <w:br/>
            </w:r>
            <w:r>
              <w:rPr>
                <w:sz w:val="22"/>
                <w:szCs w:val="22"/>
              </w:rPr>
              <w:t xml:space="preserve">(</w:t>
            </w:r>
            <w:r>
              <w:rPr>
                <w:sz w:val="22"/>
                <w:szCs w:val="22"/>
              </w:rPr>
              <w:t xml:space="preserve">Sơn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0944026555</w:t>
            </w:r>
            <w:r>
              <w:rPr>
                <w:sz w:val="22"/>
                <w:szCs w:val="22"/>
              </w:rPr>
              <w:br/>
            </w:r>
            <w:r>
              <w:rPr>
                <w:sz w:val="22"/>
                <w:szCs w:val="22"/>
              </w:rPr>
              <w:t xml:space="preserve">(</w:t>
            </w:r>
            <w:r>
              <w:rPr>
                <w:sz w:val="22"/>
                <w:szCs w:val="22"/>
              </w:rPr>
              <w:t xml:space="preserve">Quyết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04/2026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04/2026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(300m²), Đất trồng cây lâu năm (545.1m²)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 (700m2), Đất ở (300m2)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(70m2), Đất trồng cây lâu năm (2206m2)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(300m2), Đất trồng cây lâu năm (3686,1m2)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w:t>
              <w:br/>
              <w:t xml:space="preserve">Đất trồng cây lâu năm: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Lâu dài</w:t>
              <w:br/>
              <w:t xml:space="preserve">Đất trồng cây lâu năm: Có thời hạn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Lâu dài</w:t>
              <w:br/>
              <w:t xml:space="preserve">Đất trồng cây lâu năm: Có thời hạn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Lâu dài</w:t>
              <w:br/>
              <w:t xml:space="preserve">Đất trồng cây lâu năm: Có thời hạn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TDP Văn Khê, phường Tùng Thiện,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Phường Tùng Thiện,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Phường Tùng Thiện,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Phường Tùng Thiện, thành phố Hà Nội</w:t>
            </w:r>
            <w:r>
              <w:rPr>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3986,1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99,65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hồ, sông, suối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Phù hợp để ở</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Phù hợp để ở</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ở/tổng diện tích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3.906.000.000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9.104.000.000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3.906.000.000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9.104.000.000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3.906.000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5.193.046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nhỏ nhất từ đường chính vào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s>
              <w:spacing/>
              <w:ind/>
              <w:rPr>
                <w:color w:val="000000"/>
                <w:sz w:val="22"/>
                <w:szCs w:val="22"/>
              </w:rPr>
            </w:pPr>
            <w:r>
              <w:rPr>
                <w:color w:val="000000" w:themeColor="text1"/>
                <w:sz w:val="22"/>
                <w:szCs w:val="22"/>
              </w:rPr>
              <w:t xml:space="preserve">Tỷ lệ đất ở/tổng diện tích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3.906.000.000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9.104.000.000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20.700.000.000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3.906.000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5.193.046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3.906.000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5.193.046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(300m²), Đất trồng cây lâu năm (545.1m²)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 (700m2), Đất ở (300m2)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(70m2), Đất trồng cây lâu năm (2206m2)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(300m2), Đất trồng cây lâu năm (3686,1m2)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3.906.000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5.193.046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Lâu dài</w:t>
              <w:br/>
              <w:t xml:space="preserve">Đất trồng cây lâu năm: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Lâu dài</w:t>
              <w:br/>
              <w:t xml:space="preserve">Đất trồng cây lâu năm: Có thời hạn</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Lâu dài</w:t>
              <w:br/>
              <w:t xml:space="preserve">Đất trồng cây lâu năm: Có thời hạn</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Lâu dài</w:t>
              <w:br/>
              <w:t xml:space="preserve">Đất trồng cây lâu năm: Có thời hạn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3.906.000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5.193.046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TDP Văn Khê, phường Tùng Thiện,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Phường Tùng Thiện,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Phường Tùng Thiện, thành phố Hà Nội</w:t>
            </w:r>
            <w:r>
              <w:rPr>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Phường Tùng Thiện, thành phố Hà Nội</w:t>
            </w:r>
            <w:r>
              <w:rPr>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-519.305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3.788.820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4.673.741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234.360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4.023.180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4.673.741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-259.652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4.023.180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4.414.089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3986,1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195.300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778.957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4.218.480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5.193.046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-390.600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-778.957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3.827.880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4.414.089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3.827.880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4.414.089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3.827.880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4.414.089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hồ, sông, suối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-259.652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3.827.880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4.154.437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-519.305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3.827.880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3.635.132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Tỷ lệ đất ở/tổng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259.652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3.827.880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3.894.784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3.827.880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3.720.000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3.894.784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3.814.221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937.440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3.375.480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78.120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1.298.262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-2,47</w:t>
      </w:r>
      <w:r>
        <w:t xml:space="preserve">% đến</w:t>
      </w:r>
      <w:r>
        <w:t xml:space="preserve"> </w:t>
      </w:r>
      <w:r>
        <w:t xml:space="preserve">2,11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3.827.880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1.276.215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1.239.876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3.894.784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1.298.132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3.814.223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3.800.000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bCs/>
        </w:rPr>
      </w:pPr>
      <w:r>
        <w:rPr>
          <w:b/>
          <w:bCs/>
        </w:rPr>
        <w:t xml:space="preserve">Xác đơn giá từng loại đất.</w:t>
      </w:r>
      <w:r>
        <w:rPr>
          <w:b/>
          <w:bCs/>
        </w:rPr>
      </w:r>
      <w:r>
        <w:rPr>
          <w:b/>
          <w:bCs/>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yellow"/>
        </w:rPr>
      </w:r>
      <w:r>
        <w:rPr>
          <w:rFonts w:ascii="Times New Roman" w:hAnsi="Times New Roman" w:eastAsia="Times New Roman" w:cs="Times New Roman"/>
          <w:color w:val="000000"/>
          <w:sz w:val="24"/>
          <w:highlight w:val="none"/>
        </w:rPr>
        <w:t xml:space="preserve">Theo yêu cầu của phía ngân hàng và khách hàng,</w:t>
      </w:r>
      <w:r>
        <w:rPr>
          <w:rFonts w:ascii="Times New Roman" w:hAnsi="Times New Roman" w:eastAsia="Times New Roman" w:cs="Times New Roman"/>
          <w:color w:val="000000"/>
          <w:sz w:val="24"/>
        </w:rPr>
        <w:t xml:space="preserve"> Tổ thẩm định xác định giá trị đất trồng cây lâu năm và đất ở theo tỉ l</w:t>
      </w:r>
      <w:r>
        <w:rPr>
          <w:rFonts w:ascii="Times New Roman" w:hAnsi="Times New Roman" w:eastAsia="Times New Roman" w:cs="Times New Roman"/>
          <w:color w:val="000000"/>
          <w:sz w:val="24"/>
        </w:rPr>
        <w:t xml:space="preserve">ệ giữa giá đất trồng cây lâu năm với đất ở theo bảng giá UBND.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tabs>
          <w:tab w:val="left" w:leader="none" w:pos="720"/>
        </w:tabs>
        <w:spacing w:after="120" w:before="120"/>
        <w:ind w:right="0" w:firstLine="0" w:left="0"/>
        <w:jc w:val="left"/>
        <w:rPr/>
      </w:pPr>
      <w:r>
        <w:rPr>
          <w:rFonts w:ascii="Times New Roman" w:hAnsi="Times New Roman" w:eastAsia="Times New Roman" w:cs="Times New Roman"/>
          <w:color w:val="000000"/>
          <w:sz w:val="24"/>
        </w:rPr>
        <w:t xml:space="preserve">Căn cứ Nghị quyết số: 52/2025/NQ-HĐND ngày 26/11/2025 do </w:t>
      </w:r>
      <w:r>
        <w:rPr>
          <w:rFonts w:ascii="Times New Roman" w:hAnsi="Times New Roman" w:eastAsia="Times New Roman" w:cs="Times New Roman"/>
          <w:color w:val="000000"/>
          <w:sz w:val="24"/>
        </w:rPr>
        <w:t xml:space="preserve">Hội đồng nhân dân thành p</w:t>
      </w:r>
      <w:r>
        <w:rPr>
          <w:rFonts w:ascii="Times New Roman" w:hAnsi="Times New Roman" w:eastAsia="Times New Roman" w:cs="Times New Roman"/>
          <w:color w:val="000000"/>
          <w:sz w:val="24"/>
        </w:rPr>
        <w:t xml:space="preserve">hố Hà Nội ban hành Quy định bảng giá đất trên địa bàn thành phố Hà Nội áp dụng từ ngày 01/1/2026:</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ind w:right="0" w:hanging="142" w:left="425"/>
        <w:jc w:val="left"/>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Đơn giá đất ở VT2 </w:t>
      </w:r>
      <w:r>
        <w:rPr>
          <w:rFonts w:ascii="Times New Roman" w:hAnsi="Times New Roman" w:eastAsia="Times New Roman" w:cs="Times New Roman"/>
          <w:color w:val="000000"/>
          <w:sz w:val="24"/>
        </w:rPr>
        <w:t xml:space="preserve">- Đường Tỉnh lộ 413, đoạn từ ngã ba Vị Thủy đến hết địa phận phường Tùng Thiện có giá là: </w:t>
      </w:r>
      <w:r>
        <w:rPr>
          <w:rFonts w:ascii="Times New Roman" w:hAnsi="Times New Roman" w:eastAsia="Times New Roman" w:cs="Times New Roman"/>
          <w:b/>
          <w:bCs/>
          <w:color w:val="000000"/>
          <w:sz w:val="24"/>
        </w:rPr>
        <w:t xml:space="preserve">7.753.000</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đồng</w:t>
      </w:r>
      <w:r>
        <w:rPr>
          <w:rFonts w:ascii="Times New Roman" w:hAnsi="Times New Roman" w:eastAsia="Times New Roman" w:cs="Times New Roman"/>
          <w:color w:val="000000"/>
          <w:sz w:val="24"/>
        </w:rPr>
        <w:t xml:space="preserve">/</w:t>
      </w:r>
      <w:r>
        <w:rPr>
          <w:rFonts w:ascii="Times New Roman" w:hAnsi="Times New Roman" w:eastAsia="Times New Roman" w:cs="Times New Roman"/>
          <w:b/>
          <w:color w:val="000000"/>
          <w:sz w:val="24"/>
        </w:rPr>
        <w:t xml:space="preserve"> 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br/>
        <w:t xml:space="preserve">Theo tiêu chí xác định vị trí thửa đất trong bảng giá đất Hà Nội, khoảng cách từ 500 trở lên giảm 20% so với giá đất quy định. Tương đương: </w:t>
      </w:r>
      <w:r>
        <w:rPr>
          <w:rFonts w:ascii="Times New Roman" w:hAnsi="Times New Roman" w:eastAsia="Times New Roman" w:cs="Times New Roman"/>
          <w:b/>
          <w:bCs/>
          <w:color w:val="000000"/>
          <w:sz w:val="24"/>
        </w:rPr>
        <w:t xml:space="preserve">6.202.400 </w:t>
      </w:r>
      <w:r>
        <w:rPr>
          <w:rFonts w:ascii="Times New Roman" w:hAnsi="Times New Roman" w:eastAsia="Times New Roman" w:cs="Times New Roman"/>
          <w:b/>
          <w:color w:val="000000"/>
          <w:sz w:val="24"/>
        </w:rPr>
        <w:t xml:space="preserve">đồng</w:t>
      </w:r>
      <w:r>
        <w:rPr>
          <w:rFonts w:ascii="Times New Roman" w:hAnsi="Times New Roman" w:eastAsia="Times New Roman" w:cs="Times New Roman"/>
          <w:color w:val="000000"/>
          <w:sz w:val="24"/>
        </w:rPr>
        <w:t xml:space="preserve">/</w:t>
      </w:r>
      <w:r>
        <w:rPr>
          <w:rFonts w:ascii="Times New Roman" w:hAnsi="Times New Roman" w:eastAsia="Times New Roman" w:cs="Times New Roman"/>
          <w:b/>
          <w:color w:val="000000"/>
          <w:sz w:val="24"/>
        </w:rPr>
        <w:t xml:space="preserve"> 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rPr>
          <w:rFonts w:ascii="Times New Roman" w:hAnsi="Times New Roman" w:eastAsia="Times New Roman" w:cs="Times New Roman"/>
          <w:b w:val="0"/>
          <w:bCs w:val="0"/>
          <w:color w:val="000000"/>
          <w:sz w:val="24"/>
        </w:rPr>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ind w:right="0" w:hanging="437" w:left="720"/>
        <w:jc w:val="left"/>
        <w:rPr/>
      </w:pPr>
      <w:r>
        <w:rPr>
          <w:rFonts w:ascii="Times New Roman" w:hAnsi="Times New Roman" w:eastAsia="Times New Roman" w:cs="Times New Roman"/>
          <w:color w:val="000000"/>
          <w:sz w:val="24"/>
        </w:rPr>
        <w:t xml:space="preserve">Đơn giá đất trồng cây lâu năm khu vực các xã, phường còn lại thuộc thị xã Sơn Tây (trước sáp nhập) là: </w:t>
      </w:r>
      <w:r>
        <w:rPr>
          <w:rFonts w:ascii="Times New Roman" w:hAnsi="Times New Roman" w:eastAsia="Times New Roman" w:cs="Times New Roman"/>
          <w:b/>
          <w:color w:val="000000"/>
          <w:sz w:val="24"/>
        </w:rPr>
        <w:t xml:space="preserve">182.000 đồng</w:t>
      </w:r>
      <w:r>
        <w:rPr>
          <w:rFonts w:ascii="Times New Roman" w:hAnsi="Times New Roman" w:eastAsia="Times New Roman" w:cs="Times New Roman"/>
          <w:color w:val="000000"/>
          <w:sz w:val="24"/>
        </w:rPr>
        <w:t xml:space="preserve">/</w:t>
      </w:r>
      <w:r>
        <w:rPr>
          <w:rFonts w:ascii="Times New Roman" w:hAnsi="Times New Roman" w:eastAsia="Times New Roman" w:cs="Times New Roman"/>
          <w:b/>
          <w:color w:val="000000"/>
          <w:sz w:val="24"/>
        </w:rPr>
        <w:t xml:space="preserve"> 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left"/>
        <w:rPr/>
      </w:pPr>
      <w:r>
        <w:rPr>
          <w:rFonts w:ascii="Times New Roman" w:hAnsi="Times New Roman" w:eastAsia="Times New Roman" w:cs="Times New Roman"/>
          <w:color w:val="000000"/>
          <w:sz w:val="24"/>
        </w:rPr>
        <w:t xml:space="preserve">Gọi đơn giá đất ở là X, đơn giá đất trồng cây là Y ta có tổng giá trị quyền sử dụng đất là:</w:t>
      </w:r>
      <w:r/>
    </w:p>
    <w:p>
      <w:pPr>
        <w:pBdr/>
        <w:spacing w:after="40" w:before="40" w:line="288" w:lineRule="auto"/>
        <w:ind/>
        <w:jc w:val="left"/>
        <w:rPr>
          <w:b/>
          <w:bCs/>
          <w:color w:val="000000"/>
        </w:rPr>
      </w:pPr>
      <w:r>
        <w:rPr>
          <w:rFonts w:ascii="Times New Roman" w:hAnsi="Times New Roman" w:eastAsia="Times New Roman" w:cs="Times New Roman"/>
          <w:color w:val="000000"/>
          <w:sz w:val="24"/>
        </w:rPr>
        <w:t xml:space="preserve">     300*X+545,1*Y = 3.800.000*845,1 &lt;=&gt;   100*X+26*Y = </w:t>
      </w:r>
      <w:r>
        <w:t xml:space="preserve">3.211.380.000</w:t>
      </w:r>
      <w:r>
        <w:rPr>
          <w:rFonts w:ascii="Times New Roman" w:hAnsi="Times New Roman" w:eastAsia="Times New Roman" w:cs="Times New Roman"/>
          <w:color w:val="000000"/>
          <w:sz w:val="24"/>
        </w:rPr>
        <w:t xml:space="preserve"> (1)</w:t>
      </w:r>
      <w:r>
        <w:rPr>
          <w:b/>
          <w:bCs/>
          <w:color w:val="000000"/>
        </w:rPr>
      </w:r>
      <w:r>
        <w:rPr>
          <w:b/>
          <w:bCs/>
          <w:color w:val="000000"/>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Theo tỷ lệ giá đất ở so với đất trồng cây lâu năm theo giá UBND: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left"/>
        <w:rPr>
          <w:rFonts w:ascii="Times New Roman" w:hAnsi="Times New Roman" w:eastAsia="Times New Roman" w:cs="Times New Roman"/>
          <w:sz w:val="24"/>
          <w:szCs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X/Y = 6.202.400/182.000</w:t>
      </w:r>
      <w:r>
        <w:rPr>
          <w:rFonts w:ascii="Times New Roman" w:hAnsi="Times New Roman" w:eastAsia="Times New Roman" w:cs="Times New Roman"/>
          <w:sz w:val="24"/>
        </w:rPr>
        <w:t xml:space="preserve"> (2)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rFonts w:ascii="Times New Roman" w:hAnsi="Times New Roman" w:eastAsia="Times New Roman" w:cs="Times New Roman"/>
          <w:sz w:val="24"/>
          <w:szCs w:val="24"/>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Từ (1) và (2) ta có: X </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b/>
          <w:bCs/>
          <w:color w:val="000000"/>
          <w:sz w:val="24"/>
          <w:highlight w:val="white"/>
        </w:rPr>
        <w:t xml:space="preserve"> </w:t>
      </w:r>
      <w:r>
        <w:rPr>
          <w:rFonts w:ascii="Times New Roman" w:hAnsi="Times New Roman" w:eastAsia="Times New Roman" w:cs="Times New Roman"/>
          <w:b/>
          <w:bCs/>
          <w:color w:val="000000"/>
          <w:sz w:val="24"/>
          <w:highlight w:val="white"/>
        </w:rPr>
        <w:t xml:space="preserve">10.162.752 đồng/m</w:t>
      </w:r>
      <w:r>
        <w:rPr>
          <w:rFonts w:ascii="Times New Roman" w:hAnsi="Times New Roman" w:eastAsia="Times New Roman" w:cs="Times New Roman"/>
          <w:b/>
          <w:bCs/>
          <w:color w:val="000000"/>
          <w:sz w:val="24"/>
          <w:highlight w:val="white"/>
          <w:vertAlign w:val="superscript"/>
        </w:rPr>
        <w:t xml:space="preserve">2</w:t>
      </w:r>
      <w:r>
        <w:rPr>
          <w:rFonts w:ascii="Times New Roman" w:hAnsi="Times New Roman" w:eastAsia="Times New Roman" w:cs="Times New Roman"/>
          <w:b/>
          <w:bCs/>
          <w:color w:val="000000"/>
          <w:sz w:val="24"/>
          <w:highlight w:val="white"/>
        </w:rPr>
        <w:t xml:space="preserve"> </w:t>
      </w:r>
      <w:r>
        <w:rPr>
          <w:rFonts w:ascii="Times New Roman" w:hAnsi="Times New Roman" w:eastAsia="Times New Roman" w:cs="Times New Roman"/>
          <w:color w:val="000000"/>
          <w:sz w:val="24"/>
          <w:highlight w:val="white"/>
        </w:rPr>
        <w:t xml:space="preserve">; Y = </w:t>
      </w:r>
      <w:r>
        <w:rPr>
          <w:rFonts w:ascii="Times New Roman" w:hAnsi="Times New Roman" w:eastAsia="Times New Roman" w:cs="Times New Roman"/>
          <w:b/>
          <w:bCs/>
          <w:sz w:val="24"/>
          <w:szCs w:val="24"/>
          <w:highlight w:val="white"/>
        </w:rPr>
        <w:t xml:space="preserve">298.210 đồng/m</w:t>
      </w:r>
      <w:r>
        <w:rPr>
          <w:rFonts w:ascii="Times New Roman" w:hAnsi="Times New Roman" w:eastAsia="Times New Roman" w:cs="Times New Roman"/>
          <w:b/>
          <w:bCs/>
          <w:sz w:val="24"/>
          <w:szCs w:val="24"/>
          <w:highlight w:val="white"/>
          <w:vertAlign w:val="superscript"/>
        </w:rPr>
        <w:t xml:space="preserve">2</w:t>
      </w:r>
      <w:r>
        <w:rPr>
          <w:rFonts w:ascii="Times New Roman" w:hAnsi="Times New Roman" w:eastAsia="Times New Roman" w:cs="Times New Roman"/>
          <w:b/>
          <w:bCs/>
          <w:sz w:val="24"/>
          <w:szCs w:val="24"/>
          <w:highlight w:val="white"/>
        </w:rPr>
        <w:t xml:space="preserve"> </w:t>
      </w: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p>
      <w:pPr>
        <w:pStyle w:val="1033"/>
        <w:numPr>
          <w:ilvl w:val="0"/>
          <w:numId w:val="26"/>
        </w:numPr>
        <w:pBdr/>
        <w:spacing w:after="120" w:before="120" w:line="276" w:lineRule="auto"/>
        <w:ind w:hanging="357" w:left="357"/>
        <w:jc w:val="both"/>
        <w:rPr>
          <w:b/>
          <w:highlight w:val="white"/>
        </w:rPr>
      </w:pPr>
      <w:r>
        <w:rPr>
          <w:b/>
          <w:highlight w:val="white"/>
          <w:lang w:val="pt-BR"/>
        </w:rPr>
        <w:t xml:space="preserve">Kết quả thẩm định giá:</w:t>
      </w:r>
      <w:r>
        <w:rPr>
          <w:b/>
          <w:highlight w:val="white"/>
        </w:rPr>
      </w:r>
      <w:r>
        <w:rPr>
          <w:b/>
          <w:highlight w:val="white"/>
        </w:rPr>
      </w:r>
    </w:p>
    <w:p>
      <w:pPr>
        <w:pStyle w:val="1033"/>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04/2026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97" w:type="pct"/>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981" w:type="pct"/>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1389" w:type="pct"/>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1170" w:type="pct"/>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467" w:type="pct"/>
            <w:vAlign w:val="center"/>
            <w:textDirection w:val="lrTb"/>
            <w:noWrap w:val="false"/>
          </w:tcPr>
          <w:p>
            <w:pPr>
              <w:pBdr/>
              <w:spacing w:after="40" w:before="40" w:line="288" w:lineRule="auto"/>
              <w:ind/>
              <w:jc w:val="both"/>
              <w:rPr>
                <w:b/>
                <w:bCs/>
                <w:highlight w:val="white"/>
              </w:rPr>
            </w:pPr>
            <w:r>
              <w:rPr>
                <w:color w:val="000000"/>
                <w:highlight w:val="white"/>
              </w:rPr>
              <w:t xml:space="preserve">Quyền sử dụng đất tại thửa đất số: 373, tờ bản đồ số: 30, có địa chỉ: TDP Văn Khê, phường Tù</w:t>
            </w:r>
            <w:r>
              <w:rPr>
                <w:color w:val="000000"/>
                <w:highlight w:val="white"/>
              </w:rPr>
              <w:t xml:space="preserve">ng Thiện, thành phố Hà Nội theo Giấy chứng nhận quyền sử dụng đất, quyền sở hữu tài sản gắn liền với đất  số: AA 07036514, Số vào sổ cấp GCN: CN 6731 do Chi nhánh Văn phòng Đăng ký Đất đai Sơn Tây  cấp ngày 19/3/2026; chủ sử dụng đất là Ông Nguyễn Văn Phúc</w:t>
            </w:r>
            <w:r>
              <w:rPr>
                <w:b/>
                <w:bCs/>
                <w:highlight w:val="white"/>
              </w:rPr>
              <w:t xml:space="preserve">.</w:t>
            </w:r>
            <w:r>
              <w:rPr>
                <w:b/>
                <w:bCs/>
                <w:highlight w:val="white"/>
              </w:rPr>
            </w:r>
            <w:r>
              <w:rPr>
                <w:b/>
                <w:bCs/>
                <w:highlight w:val="white"/>
              </w:rPr>
            </w:r>
          </w:p>
        </w:tc>
        <w:tc>
          <w:tcPr>
            <w:shd w:val="clear" w:color="000000" w:fill="ffffff"/>
            <w:tcBorders/>
            <w:tcW w:w="1170" w:type="pct"/>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1097"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ở tại đô thị</w:t>
            </w:r>
            <w:r>
              <w:rPr>
                <w:b w:val="0"/>
                <w:bCs w:val="0"/>
                <w:highlight w:val="white"/>
              </w:rPr>
            </w:r>
            <w:r>
              <w:rPr>
                <w:b w:val="0"/>
                <w:bCs w:val="0"/>
                <w:highlight w:val="white"/>
              </w:rPr>
            </w:r>
          </w:p>
        </w:tc>
        <w:tc>
          <w:tcPr>
            <w:tcBorders/>
            <w:tcW w:w="981"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300</w:t>
            </w:r>
            <w:r>
              <w:rPr>
                <w:color w:val="000000"/>
                <w:highlight w:val="white"/>
              </w:rPr>
            </w:r>
            <w:r>
              <w:rPr>
                <w:color w:val="000000"/>
                <w:highlight w:val="white"/>
              </w:rPr>
            </w:r>
          </w:p>
        </w:tc>
        <w:tc>
          <w:tcPr>
            <w:shd w:val="clear" w:color="000000" w:fill="ffffff"/>
            <w:tcBorders/>
            <w:tcW w:w="1389" w:type="pct"/>
            <w:vAlign w:val="center"/>
            <w:textDirection w:val="lrTb"/>
            <w:noWrap w:val="false"/>
          </w:tcPr>
          <w:p>
            <w:pPr>
              <w:pBdr/>
              <w:spacing w:after="40" w:before="40" w:line="288" w:lineRule="auto"/>
              <w:ind/>
              <w:jc w:val="center"/>
              <w:rPr>
                <w:highlight w:val="white"/>
              </w:rPr>
            </w:pPr>
            <w:r>
              <w:rPr>
                <w:color w:val="000000" w:themeColor="text1"/>
                <w:highlight w:val="white"/>
              </w:rPr>
            </w:r>
            <w:r>
              <w:t xml:space="preserve">10.162.752</w:t>
            </w:r>
            <w:r>
              <w:rPr>
                <w:highlight w:val="white"/>
              </w:rPr>
            </w:r>
            <w:r>
              <w:rPr>
                <w:highlight w:val="white"/>
              </w:rPr>
            </w:r>
          </w:p>
        </w:tc>
        <w:tc>
          <w:tcPr>
            <w:shd w:val="clear" w:color="000000" w:fill="ffffff"/>
            <w:tcBorders/>
            <w:tcW w:w="1170" w:type="pct"/>
            <w:vAlign w:val="center"/>
            <w:textDirection w:val="lrTb"/>
            <w:noWrap w:val="false"/>
          </w:tcPr>
          <w:p>
            <w:pPr>
              <w:pBdr/>
              <w:spacing w:after="40" w:before="40" w:line="288" w:lineRule="auto"/>
              <w:ind/>
              <w:jc w:val="center"/>
              <w:rPr>
                <w:highlight w:val="white"/>
              </w:rPr>
            </w:pPr>
            <w:r>
              <w:rPr>
                <w:color w:val="000000" w:themeColor="text1"/>
                <w:highlight w:val="white"/>
              </w:rPr>
            </w:r>
            <w:r>
              <w:rPr>
                <w:highlight w:val="white"/>
              </w:rPr>
              <w:t xml:space="preserve">3.048.825.459 </w:t>
            </w:r>
            <w:r>
              <w:rPr>
                <w:highlight w:val="white"/>
              </w:rPr>
            </w:r>
            <w:r>
              <w:rPr>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2</w:t>
            </w:r>
            <w:r>
              <w:rPr>
                <w:b w:val="0"/>
                <w:bCs w:val="0"/>
                <w:highlight w:val="white"/>
              </w:rPr>
            </w:r>
            <w:r>
              <w:rPr>
                <w:b w:val="0"/>
                <w:bCs w:val="0"/>
                <w:highlight w:val="white"/>
              </w:rPr>
            </w:r>
          </w:p>
        </w:tc>
        <w:tc>
          <w:tcPr>
            <w:shd w:val="clear" w:color="000000" w:fill="ffffff"/>
            <w:tcBorders/>
            <w:tcW w:w="1097" w:type="pct"/>
            <w:vAlign w:val="center"/>
            <w:textDirection w:val="lrTb"/>
            <w:noWrap w:val="false"/>
          </w:tcPr>
          <w:p>
            <w:pPr>
              <w:pBdr/>
              <w:spacing w:after="40" w:before="40" w:line="288" w:lineRule="auto"/>
              <w:ind/>
              <w:rPr>
                <w:b w:val="0"/>
                <w:bCs w:val="0"/>
                <w:highlight w:val="white"/>
              </w:rPr>
            </w:pPr>
            <w:r>
              <w:rPr>
                <w:b w:val="0"/>
                <w:bCs w:val="0"/>
                <w:highlight w:val="white"/>
              </w:rPr>
              <w:t xml:space="preserve">Đất trồng cây lâu năm</w:t>
            </w:r>
            <w:r>
              <w:rPr>
                <w:b w:val="0"/>
                <w:bCs w:val="0"/>
                <w:highlight w:val="white"/>
              </w:rPr>
            </w:r>
            <w:r>
              <w:rPr>
                <w:b w:val="0"/>
                <w:bCs w:val="0"/>
                <w:highlight w:val="white"/>
              </w:rPr>
            </w:r>
          </w:p>
        </w:tc>
        <w:tc>
          <w:tcPr>
            <w:tcBorders/>
            <w:tcW w:w="981"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545,1</w:t>
            </w:r>
            <w:r>
              <w:rPr>
                <w:color w:val="000000"/>
                <w:highlight w:val="white"/>
              </w:rPr>
            </w:r>
            <w:r>
              <w:rPr>
                <w:color w:val="000000"/>
                <w:highlight w:val="white"/>
              </w:rPr>
            </w:r>
          </w:p>
        </w:tc>
        <w:tc>
          <w:tcPr>
            <w:shd w:val="clear" w:color="000000" w:fill="ffffff"/>
            <w:tcBorders/>
            <w:tcW w:w="1389" w:type="pct"/>
            <w:vAlign w:val="center"/>
            <w:textDirection w:val="lrTb"/>
            <w:noWrap w:val="false"/>
          </w:tcPr>
          <w:p>
            <w:pPr>
              <w:pBdr/>
              <w:spacing w:after="40" w:before="40" w:line="288" w:lineRule="auto"/>
              <w:ind/>
              <w:jc w:val="center"/>
              <w:rPr>
                <w:highlight w:val="white"/>
              </w:rPr>
            </w:pPr>
            <w:r>
              <w:rPr>
                <w:color w:val="000000" w:themeColor="text1"/>
                <w:highlight w:val="white"/>
              </w:rPr>
            </w:r>
            <w:r>
              <w:t xml:space="preserve">298.210 </w:t>
            </w:r>
            <w:r>
              <w:rPr>
                <w:highlight w:val="white"/>
              </w:rPr>
            </w:r>
            <w:r>
              <w:rPr>
                <w:highlight w:val="white"/>
              </w:rPr>
            </w:r>
          </w:p>
        </w:tc>
        <w:tc>
          <w:tcPr>
            <w:shd w:val="clear" w:color="000000" w:fill="ffffff"/>
            <w:tcBorders/>
            <w:tcW w:w="1170" w:type="pct"/>
            <w:vAlign w:val="center"/>
            <w:textDirection w:val="lrTb"/>
            <w:noWrap w:val="false"/>
          </w:tcPr>
          <w:p>
            <w:pPr>
              <w:pBdr/>
              <w:spacing w:after="40" w:before="40" w:line="288" w:lineRule="auto"/>
              <w:ind/>
              <w:jc w:val="center"/>
              <w:rPr>
                <w:highlight w:val="white"/>
              </w:rPr>
            </w:pPr>
            <w:r>
              <w:rPr>
                <w:color w:val="000000" w:themeColor="text1"/>
                <w:highlight w:val="white"/>
              </w:rPr>
            </w:r>
            <w:r>
              <w:rPr>
                <w:highlight w:val="white"/>
              </w:rPr>
              <w:t xml:space="preserve">162.554.541</w:t>
            </w:r>
            <w:r>
              <w:rPr>
                <w:highlight w:val="white"/>
              </w:rPr>
            </w:r>
            <w:r>
              <w:rPr>
                <w:highlight w:val="white"/>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70" w:type="pct"/>
            <w:vAlign w:val="center"/>
            <w:textDirection w:val="lrTb"/>
            <w:noWrap/>
          </w:tcPr>
          <w:p>
            <w:pPr>
              <w:pBdr/>
              <w:spacing w:after="40" w:before="40" w:line="288" w:lineRule="auto"/>
              <w:ind/>
              <w:jc w:val="center"/>
              <w:rPr>
                <w:b/>
                <w:bCs/>
                <w:color w:val="000000"/>
                <w:highlight w:val="white"/>
              </w:rPr>
            </w:pPr>
            <w:r>
              <w:rPr>
                <w:highlight w:val="white"/>
              </w:rPr>
              <w:t xml:space="preserve">3.211.380.000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hai trăm mười một triệu ba trăm tám mươi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firstLine="360"/>
        <w:jc w:val="both"/>
        <w:rPr>
          <w:bCs/>
          <w:i/>
          <w14:ligatures w14:val="none"/>
        </w:rPr>
      </w:pPr>
      <w:r>
        <w:rPr>
          <w:b/>
          <w:bCs/>
          <w:highlight w:val="yellow"/>
          <w:lang w:val="vi-VN"/>
        </w:rPr>
      </w:r>
      <w:r>
        <w:rPr>
          <w:b/>
          <w:bCs/>
          <w:lang w:val="pt-BR"/>
        </w:rPr>
        <w:t xml:space="preserve">Ghi chú:</w:t>
      </w:r>
      <w:r>
        <w:rPr>
          <w:lang w:val="pt-BR"/>
        </w:rPr>
        <w:t xml:space="preserve"> </w:t>
      </w:r>
      <w:r>
        <w:rPr>
          <w:i/>
          <w:iCs/>
          <w:lang w:val="pt-BR"/>
        </w:rPr>
        <w:t xml:space="preserve">Trong quá trình sử dụng kết quả Chứng thư và Báo cáo thẩm định giá này, giá trị phần đất ở và đất trồng cây lâu năm của thửa đất số 373, tờ bản đồ số 30 không được tách rời nhau và không sử dụng để tham chiếu cho bất kỳ tài sản nào khác</w:t>
      </w:r>
      <w:r>
        <w:rPr>
          <w:i/>
          <w:iCs/>
          <w:lang w:val="pt-BR"/>
        </w:rPr>
        <w:t xml:space="preserve">.</w:t>
      </w:r>
      <w:r>
        <w:rPr>
          <w:i/>
          <w:iCs/>
          <w:lang w:val="pt-BR"/>
          <w14:ligatures w14:val="none"/>
        </w:rPr>
      </w:r>
      <w:r>
        <w:rPr>
          <w:bCs/>
          <w:i/>
          <w14:ligatures w14:val="none"/>
        </w:rPr>
      </w:r>
    </w:p>
    <w:p>
      <w:pPr>
        <w:pStyle w:val="1033"/>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t xml:space="preserve"> </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highlight w:val="none"/>
          <w:lang w:val="pt-BR" w:bidi="pt-BR"/>
        </w:rPr>
        <w:t xml:space="preserve">Trong quá trình sử dụng kết quả Chứng thư và Báo cáo thẩm định giá này, giá trị phần đất ở và đất trồng cây lâu năm của thửa đất số 373, tờ bản đồ số 30 không được tách rời nhau.</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275/2026/0591/VFI-CT.63.A</w:t>
      </w:r>
      <w:r>
        <w:rPr>
          <w:color w:val="ff0000"/>
          <w:lang w:val="vi-VN"/>
        </w:rPr>
        <w:t xml:space="preserve"> </w:t>
      </w:r>
      <w:r>
        <w:rPr>
          <w:color w:val="000000" w:themeColor="text1"/>
        </w:rPr>
        <w:t xml:space="preserve">ngày 17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275/2026/0591/VFI-BC.63.A</w:t>
      </w:r>
      <w:r>
        <w:rPr>
          <w:i/>
          <w:lang w:val="pt-BR"/>
        </w:rPr>
        <w:t xml:space="preserve"> </w:t>
      </w:r>
      <w:r>
        <w:rPr>
          <w:i/>
          <w:lang w:val="pt-BR"/>
        </w:rPr>
        <w:t xml:space="preserve">ngày 17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92769" cy="22445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95000" name=""/>
                              <pic:cNvPicPr>
                                <a:picLocks noChangeAspect="1"/>
                              </pic:cNvPicPr>
                              <pic:nvPr/>
                            </pic:nvPicPr>
                            <pic:blipFill rotWithShape="1">
                              <a:blip r:embed="rId18"/>
                              <a:stretch/>
                            </pic:blipFill>
                            <pic:spPr bwMode="auto">
                              <a:xfrm flipH="0" flipV="0">
                                <a:off x="0" y="0"/>
                                <a:ext cx="2992768" cy="22445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5.65pt;height:176.7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67879" cy="245090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38218" name=""/>
                              <pic:cNvPicPr>
                                <a:picLocks noChangeAspect="1"/>
                              </pic:cNvPicPr>
                              <pic:nvPr/>
                            </pic:nvPicPr>
                            <pic:blipFill rotWithShape="1">
                              <a:blip r:embed="rId19"/>
                              <a:stretch/>
                            </pic:blipFill>
                            <pic:spPr bwMode="auto">
                              <a:xfrm flipH="0" flipV="0">
                                <a:off x="0" y="0"/>
                                <a:ext cx="3267878" cy="24509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7.31pt;height:192.9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4510" cy="216338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04748" name=""/>
                              <pic:cNvPicPr>
                                <a:picLocks noChangeAspect="1"/>
                              </pic:cNvPicPr>
                              <pic:nvPr/>
                            </pic:nvPicPr>
                            <pic:blipFill rotWithShape="1">
                              <a:blip r:embed="rId20"/>
                              <a:stretch/>
                            </pic:blipFill>
                            <pic:spPr bwMode="auto">
                              <a:xfrm flipH="0" flipV="0">
                                <a:off x="0" y="0"/>
                                <a:ext cx="2884509" cy="21633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13pt;height:170.3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70544" cy="230290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89638" name=""/>
                              <pic:cNvPicPr>
                                <a:picLocks noChangeAspect="1"/>
                              </pic:cNvPicPr>
                              <pic:nvPr/>
                            </pic:nvPicPr>
                            <pic:blipFill rotWithShape="1">
                              <a:blip r:embed="rId21"/>
                              <a:stretch/>
                            </pic:blipFill>
                            <pic:spPr bwMode="auto">
                              <a:xfrm flipH="0" flipV="0">
                                <a:off x="0" y="0"/>
                                <a:ext cx="3070543" cy="23029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1.78pt;height:181.3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0295" cy="221272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66296" name=""/>
                              <pic:cNvPicPr>
                                <a:picLocks noChangeAspect="1"/>
                              </pic:cNvPicPr>
                              <pic:nvPr/>
                            </pic:nvPicPr>
                            <pic:blipFill rotWithShape="1">
                              <a:blip r:embed="rId22"/>
                              <a:stretch/>
                            </pic:blipFill>
                            <pic:spPr bwMode="auto">
                              <a:xfrm flipH="0" flipV="0">
                                <a:off x="0" y="0"/>
                                <a:ext cx="2950294" cy="22127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2.31pt;height:174.2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70544" cy="230290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94065" name=""/>
                              <pic:cNvPicPr>
                                <a:picLocks noChangeAspect="1"/>
                              </pic:cNvPicPr>
                              <pic:nvPr/>
                            </pic:nvPicPr>
                            <pic:blipFill rotWithShape="1">
                              <a:blip r:embed="rId23"/>
                              <a:stretch/>
                            </pic:blipFill>
                            <pic:spPr bwMode="auto">
                              <a:xfrm flipH="0" flipV="0">
                                <a:off x="0" y="0"/>
                                <a:ext cx="3070543" cy="23029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1.78pt;height:181.3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275/2026/0591/VFI-BC.63.A</w:t>
      </w:r>
      <w:r>
        <w:rPr>
          <w:i/>
          <w:lang w:val="pt-BR"/>
        </w:rPr>
        <w:t xml:space="preserve"> </w:t>
      </w:r>
      <w:r>
        <w:rPr>
          <w:i/>
          <w:lang w:val="pt-BR"/>
        </w:rPr>
        <w:t xml:space="preserve">17 ngày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https://www.facebook.com/groups/batdongsansontay/posts/2408653966229740/</w:t>
            </w:r>
            <w:r>
              <w:rPr>
                <w:color w:val="000000" w:themeColor="text1"/>
                <w:sz w:val="22"/>
                <w:szCs w:val="22"/>
              </w:rPr>
              <w:br/>
              <w:t xml:space="preserve">0364044444</w:t>
            </w:r>
            <w:r>
              <w:rPr>
                <w:sz w:val="22"/>
                <w:szCs w:val="22"/>
              </w:rPr>
              <w:t xml:space="preserve"> </w:t>
            </w:r>
            <w:r>
              <w:rPr>
                <w:sz w:val="22"/>
                <w:szCs w:val="22"/>
              </w:rPr>
              <w:br/>
              <w:t xml:space="preserve">(Quỳnh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3.906.000.000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(700m²), Đất ở nông thôn (300m²)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Tùng Thiện,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2936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4293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48.77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936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5593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59.0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https://guland.vn/post/ban-dat-2276m2-1138-ty-tai-xa-xuan-son-thi-xa-son-tay-1264492</w:t>
            </w:r>
            <w:r>
              <w:rPr>
                <w:color w:val="000000" w:themeColor="text1"/>
                <w:sz w:val="22"/>
                <w:szCs w:val="22"/>
              </w:rPr>
              <w:br/>
              <w:t xml:space="preserve">0968397097</w:t>
            </w:r>
            <w:r>
              <w:rPr>
                <w:sz w:val="22"/>
                <w:szCs w:val="22"/>
              </w:rPr>
              <w:t xml:space="preserve"> </w:t>
            </w:r>
            <w:r>
              <w:rPr>
                <w:sz w:val="22"/>
                <w:szCs w:val="22"/>
              </w:rPr>
              <w:br/>
              <w:t xml:space="preserve">(Sơn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11.380.000.000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9.104.000.000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(70m²), Đất trồng cây lâu năm (2206m²)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Tùng Thiện,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0018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0001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2.4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3412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8341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01.9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0227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8022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78.1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0944026555</w:t>
            </w:r>
            <w:r>
              <w:rPr>
                <w:sz w:val="22"/>
                <w:szCs w:val="22"/>
              </w:rPr>
              <w:t xml:space="preserve"> </w:t>
            </w:r>
            <w:r>
              <w:rPr>
                <w:sz w:val="22"/>
                <w:szCs w:val="22"/>
              </w:rPr>
              <w:br/>
              <w:t xml:space="preserve">(Quyết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(300m²), Đất trồng cây lâu năm (3686.1m²)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Tùng Thiện,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3986,1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1353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81353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00.2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5766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85766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03.7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5000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63500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500.0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3.3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7762"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3.68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3.3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4043370" cy="8807948"/>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080577" name=""/>
                        <pic:cNvPicPr>
                          <a:picLocks noChangeAspect="1"/>
                        </pic:cNvPicPr>
                        <pic:nvPr/>
                      </pic:nvPicPr>
                      <pic:blipFill rotWithShape="1">
                        <a:blip r:embed="rId36"/>
                        <a:stretch/>
                      </pic:blipFill>
                      <pic:spPr bwMode="auto">
                        <a:xfrm flipH="0" flipV="0">
                          <a:off x="0" y="0"/>
                          <a:ext cx="4043369" cy="88079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18.38pt;height:693.54pt;mso-wrap-distance-left:0.00pt;mso-wrap-distance-top:0.00pt;mso-wrap-distance-right:0.00pt;mso-wrap-distance-bottom:0.00pt;z-index:1;" stroked="false">
                <v:imagedata r:id="rId36"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4C544DE"/>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44C544DE"/>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551C37C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44C544DE"/>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286</cp:revision>
  <dcterms:created xsi:type="dcterms:W3CDTF">2025-09-15T09:58:00Z</dcterms:created>
  <dcterms:modified xsi:type="dcterms:W3CDTF">2026-04-23T12:52:42Z</dcterms:modified>
</cp:coreProperties>
</file>